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681133" w14:textId="6F17CC2D" w:rsidR="00C35877" w:rsidRPr="007834FA" w:rsidRDefault="00BC3B0C" w:rsidP="001A64D3">
      <w:pPr>
        <w:pStyle w:val="BodyA"/>
        <w:spacing w:line="360" w:lineRule="auto"/>
        <w:rPr>
          <w:rFonts w:ascii="Times New Roman" w:eastAsia="Arial" w:hAnsi="Times New Roman" w:cs="Times New Roman"/>
          <w:b/>
          <w:bCs/>
          <w:sz w:val="36"/>
          <w:szCs w:val="36"/>
          <w:lang w:val="en-GB"/>
        </w:rPr>
      </w:pPr>
      <w:bookmarkStart w:id="0" w:name="_GoBack"/>
      <w:bookmarkEnd w:id="0"/>
      <w:r w:rsidRPr="007834FA">
        <w:rPr>
          <w:rFonts w:ascii="Times New Roman" w:hAnsi="Times New Roman" w:cs="Times New Roman"/>
          <w:b/>
          <w:bCs/>
          <w:sz w:val="36"/>
          <w:szCs w:val="36"/>
          <w:lang w:val="en-GB"/>
        </w:rPr>
        <w:t xml:space="preserve">Effect of maternal </w:t>
      </w:r>
      <w:r w:rsidR="007059D6" w:rsidRPr="007834FA">
        <w:rPr>
          <w:rFonts w:ascii="Times New Roman" w:hAnsi="Times New Roman" w:cs="Times New Roman"/>
          <w:b/>
          <w:bCs/>
          <w:sz w:val="36"/>
          <w:szCs w:val="36"/>
          <w:lang w:val="en-GB"/>
        </w:rPr>
        <w:t>preconception</w:t>
      </w:r>
      <w:r w:rsidRPr="007834FA">
        <w:rPr>
          <w:rFonts w:ascii="Times New Roman" w:hAnsi="Times New Roman" w:cs="Times New Roman"/>
          <w:b/>
          <w:bCs/>
          <w:sz w:val="36"/>
          <w:szCs w:val="36"/>
          <w:lang w:val="en-GB"/>
        </w:rPr>
        <w:t>al and pregnancy micronutrient intervention</w:t>
      </w:r>
      <w:r w:rsidR="00EA47DF" w:rsidRPr="007834FA">
        <w:rPr>
          <w:rFonts w:ascii="Times New Roman" w:hAnsi="Times New Roman" w:cs="Times New Roman"/>
          <w:b/>
          <w:bCs/>
          <w:sz w:val="36"/>
          <w:szCs w:val="36"/>
          <w:lang w:val="en-GB"/>
        </w:rPr>
        <w:t>s</w:t>
      </w:r>
      <w:r w:rsidRPr="007834FA">
        <w:rPr>
          <w:rFonts w:ascii="Times New Roman" w:hAnsi="Times New Roman" w:cs="Times New Roman"/>
          <w:b/>
          <w:bCs/>
          <w:sz w:val="36"/>
          <w:szCs w:val="36"/>
          <w:lang w:val="en-GB"/>
        </w:rPr>
        <w:t xml:space="preserve"> on children’s DNA methylation: </w:t>
      </w:r>
      <w:r w:rsidR="0043491C" w:rsidRPr="007834FA">
        <w:rPr>
          <w:rFonts w:ascii="Times New Roman" w:hAnsi="Times New Roman" w:cs="Times New Roman"/>
          <w:b/>
          <w:bCs/>
          <w:sz w:val="36"/>
          <w:szCs w:val="36"/>
          <w:lang w:val="en-GB"/>
        </w:rPr>
        <w:t>findings from</w:t>
      </w:r>
      <w:r w:rsidR="00352D64" w:rsidRPr="007834FA">
        <w:rPr>
          <w:rFonts w:ascii="Times New Roman" w:hAnsi="Times New Roman" w:cs="Times New Roman"/>
          <w:b/>
          <w:bCs/>
          <w:sz w:val="36"/>
          <w:szCs w:val="36"/>
          <w:lang w:val="en-GB"/>
        </w:rPr>
        <w:t xml:space="preserve"> the</w:t>
      </w:r>
      <w:r w:rsidR="0043491C" w:rsidRPr="007834FA">
        <w:rPr>
          <w:rFonts w:ascii="Times New Roman" w:hAnsi="Times New Roman" w:cs="Times New Roman"/>
          <w:b/>
          <w:bCs/>
          <w:sz w:val="36"/>
          <w:szCs w:val="36"/>
          <w:lang w:val="en-GB"/>
        </w:rPr>
        <w:t xml:space="preserve"> </w:t>
      </w:r>
      <w:r w:rsidRPr="007834FA">
        <w:rPr>
          <w:rFonts w:ascii="Times New Roman" w:hAnsi="Times New Roman" w:cs="Times New Roman"/>
          <w:b/>
          <w:bCs/>
          <w:sz w:val="36"/>
          <w:szCs w:val="36"/>
          <w:lang w:val="en-GB"/>
        </w:rPr>
        <w:t>EMPHASIS</w:t>
      </w:r>
      <w:r w:rsidR="00352D64" w:rsidRPr="007834FA">
        <w:rPr>
          <w:rFonts w:ascii="Times New Roman" w:hAnsi="Times New Roman" w:cs="Times New Roman"/>
          <w:b/>
          <w:bCs/>
          <w:sz w:val="36"/>
          <w:szCs w:val="36"/>
          <w:lang w:val="en-GB"/>
        </w:rPr>
        <w:t xml:space="preserve"> study</w:t>
      </w:r>
      <w:r w:rsidRPr="007834FA">
        <w:rPr>
          <w:rFonts w:ascii="Times New Roman" w:hAnsi="Times New Roman" w:cs="Times New Roman"/>
          <w:b/>
          <w:bCs/>
          <w:sz w:val="36"/>
          <w:szCs w:val="36"/>
          <w:lang w:val="en-GB"/>
        </w:rPr>
        <w:t xml:space="preserve"> </w:t>
      </w:r>
    </w:p>
    <w:p w14:paraId="50153C1D" w14:textId="77777777" w:rsidR="00FD1D8C" w:rsidRPr="005A28F5" w:rsidRDefault="00BC3B0C" w:rsidP="001A64D3">
      <w:pPr>
        <w:pStyle w:val="BodyA"/>
        <w:spacing w:line="360" w:lineRule="auto"/>
        <w:rPr>
          <w:rFonts w:ascii="Times New Roman" w:eastAsia="Cambria" w:hAnsi="Times New Roman" w:cs="Times New Roman"/>
          <w:sz w:val="24"/>
          <w:szCs w:val="24"/>
          <w:lang w:val="en-GB"/>
        </w:rPr>
      </w:pPr>
      <w:r w:rsidRPr="005A28F5">
        <w:rPr>
          <w:rFonts w:ascii="Times New Roman" w:hAnsi="Times New Roman" w:cs="Times New Roman"/>
          <w:sz w:val="24"/>
          <w:szCs w:val="24"/>
          <w:lang w:val="en-GB"/>
        </w:rPr>
        <w:t>Ayden Saffari</w:t>
      </w:r>
      <w:r w:rsidR="007402DD" w:rsidRPr="005A28F5">
        <w:rPr>
          <w:rFonts w:ascii="Times New Roman" w:hAnsi="Times New Roman" w:cs="Times New Roman"/>
          <w:sz w:val="24"/>
          <w:szCs w:val="24"/>
          <w:vertAlign w:val="superscript"/>
          <w:lang w:val="en-GB"/>
        </w:rPr>
        <w:t>1</w:t>
      </w:r>
      <w:r w:rsidR="009B6EEA" w:rsidRPr="005A28F5">
        <w:rPr>
          <w:rFonts w:ascii="Times New Roman" w:hAnsi="Times New Roman" w:cs="Times New Roman"/>
          <w:sz w:val="24"/>
          <w:szCs w:val="24"/>
          <w:vertAlign w:val="superscript"/>
          <w:lang w:val="en-GB"/>
        </w:rPr>
        <w:t>†</w:t>
      </w:r>
      <w:r w:rsidRPr="005A28F5">
        <w:rPr>
          <w:rFonts w:ascii="Times New Roman" w:hAnsi="Times New Roman" w:cs="Times New Roman"/>
          <w:sz w:val="24"/>
          <w:szCs w:val="24"/>
          <w:lang w:val="en-GB"/>
        </w:rPr>
        <w:t>, Smeeta Shrestha</w:t>
      </w:r>
      <w:r w:rsidR="003534B1" w:rsidRPr="005A28F5">
        <w:rPr>
          <w:rFonts w:ascii="Times New Roman" w:hAnsi="Times New Roman" w:cs="Times New Roman"/>
          <w:sz w:val="24"/>
          <w:szCs w:val="24"/>
          <w:vertAlign w:val="superscript"/>
          <w:lang w:val="en-GB"/>
        </w:rPr>
        <w:t>2,3</w:t>
      </w:r>
      <w:r w:rsidR="009B6EEA" w:rsidRPr="005A28F5">
        <w:rPr>
          <w:rFonts w:ascii="Times New Roman" w:hAnsi="Times New Roman" w:cs="Times New Roman"/>
          <w:sz w:val="24"/>
          <w:szCs w:val="24"/>
          <w:vertAlign w:val="superscript"/>
          <w:lang w:val="en-GB"/>
        </w:rPr>
        <w:t>†</w:t>
      </w:r>
      <w:r w:rsidRPr="005A28F5">
        <w:rPr>
          <w:rFonts w:ascii="Times New Roman" w:hAnsi="Times New Roman" w:cs="Times New Roman"/>
          <w:sz w:val="24"/>
          <w:szCs w:val="24"/>
          <w:lang w:val="en-GB"/>
        </w:rPr>
        <w:t>, Prachand Issarapu</w:t>
      </w:r>
      <w:r w:rsidR="003534B1" w:rsidRPr="005A28F5">
        <w:rPr>
          <w:rFonts w:ascii="Times New Roman" w:hAnsi="Times New Roman" w:cs="Times New Roman"/>
          <w:sz w:val="24"/>
          <w:szCs w:val="24"/>
          <w:vertAlign w:val="superscript"/>
          <w:lang w:val="en-GB"/>
        </w:rPr>
        <w:t>2</w:t>
      </w:r>
      <w:r w:rsidR="009B6EEA" w:rsidRPr="005A28F5">
        <w:rPr>
          <w:rFonts w:ascii="Times New Roman" w:hAnsi="Times New Roman" w:cs="Times New Roman"/>
          <w:sz w:val="24"/>
          <w:szCs w:val="24"/>
          <w:vertAlign w:val="superscript"/>
          <w:lang w:val="en-GB"/>
        </w:rPr>
        <w:t>†</w:t>
      </w:r>
      <w:r w:rsidRPr="005A28F5">
        <w:rPr>
          <w:rFonts w:ascii="Times New Roman" w:hAnsi="Times New Roman" w:cs="Times New Roman"/>
          <w:sz w:val="24"/>
          <w:szCs w:val="24"/>
          <w:lang w:val="en-GB"/>
        </w:rPr>
        <w:t>, Sara Sajjadi</w:t>
      </w:r>
      <w:r w:rsidR="003534B1" w:rsidRPr="005A28F5">
        <w:rPr>
          <w:rFonts w:ascii="Times New Roman" w:hAnsi="Times New Roman" w:cs="Times New Roman"/>
          <w:sz w:val="24"/>
          <w:szCs w:val="24"/>
          <w:vertAlign w:val="superscript"/>
          <w:lang w:val="en-GB"/>
        </w:rPr>
        <w:t>2</w:t>
      </w:r>
      <w:r w:rsidRPr="005A28F5">
        <w:rPr>
          <w:rFonts w:ascii="Times New Roman" w:hAnsi="Times New Roman" w:cs="Times New Roman"/>
          <w:sz w:val="24"/>
          <w:szCs w:val="24"/>
          <w:lang w:val="en-GB"/>
        </w:rPr>
        <w:t>,</w:t>
      </w:r>
      <w:r w:rsidR="00FD1D8C" w:rsidRPr="005A28F5">
        <w:rPr>
          <w:rFonts w:ascii="Times New Roman" w:eastAsia="Cambria" w:hAnsi="Times New Roman" w:cs="Times New Roman"/>
          <w:sz w:val="24"/>
          <w:szCs w:val="24"/>
          <w:lang w:val="en-GB"/>
        </w:rPr>
        <w:t xml:space="preserve"> </w:t>
      </w:r>
    </w:p>
    <w:p w14:paraId="4DD5D088" w14:textId="77777777" w:rsidR="00FD1D8C" w:rsidRPr="005A28F5" w:rsidRDefault="00BC3B0C" w:rsidP="001A64D3">
      <w:pPr>
        <w:pStyle w:val="BodyA"/>
        <w:spacing w:line="360" w:lineRule="auto"/>
        <w:rPr>
          <w:rFonts w:ascii="Times New Roman" w:hAnsi="Times New Roman" w:cs="Times New Roman"/>
          <w:sz w:val="24"/>
          <w:szCs w:val="24"/>
          <w:lang w:val="en-GB"/>
        </w:rPr>
      </w:pPr>
      <w:r w:rsidRPr="005A28F5">
        <w:rPr>
          <w:rFonts w:ascii="Times New Roman" w:hAnsi="Times New Roman" w:cs="Times New Roman"/>
          <w:sz w:val="24"/>
          <w:szCs w:val="24"/>
          <w:lang w:val="en-GB"/>
        </w:rPr>
        <w:t>Modupeh Betts</w:t>
      </w:r>
      <w:r w:rsidR="009166EE" w:rsidRPr="005A28F5">
        <w:rPr>
          <w:rFonts w:ascii="Times New Roman" w:hAnsi="Times New Roman" w:cs="Times New Roman"/>
          <w:sz w:val="24"/>
          <w:szCs w:val="24"/>
          <w:vertAlign w:val="superscript"/>
          <w:lang w:val="en-GB"/>
        </w:rPr>
        <w:t>4</w:t>
      </w:r>
      <w:r w:rsidRPr="005A28F5">
        <w:rPr>
          <w:rFonts w:ascii="Times New Roman" w:hAnsi="Times New Roman" w:cs="Times New Roman"/>
          <w:sz w:val="24"/>
          <w:szCs w:val="24"/>
          <w:lang w:val="en-GB"/>
        </w:rPr>
        <w:t>, Sirazul Ameen Sahar</w:t>
      </w:r>
      <w:r w:rsidR="0043491C" w:rsidRPr="005A28F5">
        <w:rPr>
          <w:rFonts w:ascii="Times New Roman" w:hAnsi="Times New Roman" w:cs="Times New Roman"/>
          <w:sz w:val="24"/>
          <w:szCs w:val="24"/>
          <w:lang w:val="en-GB"/>
        </w:rPr>
        <w:t>iah</w:t>
      </w:r>
      <w:r w:rsidR="00380ED6" w:rsidRPr="005A28F5">
        <w:rPr>
          <w:rFonts w:ascii="Times New Roman" w:hAnsi="Times New Roman" w:cs="Times New Roman"/>
          <w:sz w:val="24"/>
          <w:szCs w:val="24"/>
          <w:vertAlign w:val="superscript"/>
          <w:lang w:val="en-GB"/>
        </w:rPr>
        <w:t>5</w:t>
      </w:r>
      <w:r w:rsidR="0043491C" w:rsidRPr="005A28F5">
        <w:rPr>
          <w:rFonts w:ascii="Times New Roman" w:hAnsi="Times New Roman" w:cs="Times New Roman"/>
          <w:sz w:val="24"/>
          <w:szCs w:val="24"/>
          <w:lang w:val="en-GB"/>
        </w:rPr>
        <w:t>, Ashutosh Singh Tomar</w:t>
      </w:r>
      <w:r w:rsidR="003534B1" w:rsidRPr="005A28F5">
        <w:rPr>
          <w:rFonts w:ascii="Times New Roman" w:hAnsi="Times New Roman" w:cs="Times New Roman"/>
          <w:sz w:val="24"/>
          <w:szCs w:val="24"/>
          <w:vertAlign w:val="superscript"/>
          <w:lang w:val="en-GB"/>
        </w:rPr>
        <w:t>2</w:t>
      </w:r>
      <w:r w:rsidR="0043491C" w:rsidRPr="005A28F5">
        <w:rPr>
          <w:rFonts w:ascii="Times New Roman" w:hAnsi="Times New Roman" w:cs="Times New Roman"/>
          <w:sz w:val="24"/>
          <w:szCs w:val="24"/>
          <w:lang w:val="en-GB"/>
        </w:rPr>
        <w:t xml:space="preserve">, </w:t>
      </w:r>
    </w:p>
    <w:p w14:paraId="450F7D64" w14:textId="77777777" w:rsidR="001E3671" w:rsidRPr="005A28F5" w:rsidRDefault="0043491C" w:rsidP="001A64D3">
      <w:pPr>
        <w:pStyle w:val="BodyA"/>
        <w:spacing w:line="360" w:lineRule="auto"/>
        <w:rPr>
          <w:rFonts w:ascii="Times New Roman" w:hAnsi="Times New Roman" w:cs="Times New Roman"/>
          <w:sz w:val="24"/>
          <w:szCs w:val="24"/>
          <w:lang w:val="en-GB"/>
        </w:rPr>
      </w:pPr>
      <w:r w:rsidRPr="005A28F5">
        <w:rPr>
          <w:rFonts w:ascii="Times New Roman" w:hAnsi="Times New Roman" w:cs="Times New Roman"/>
          <w:sz w:val="24"/>
          <w:szCs w:val="24"/>
          <w:lang w:val="en-GB"/>
        </w:rPr>
        <w:t>Phil</w:t>
      </w:r>
      <w:r w:rsidR="00BC3B0C" w:rsidRPr="005A28F5">
        <w:rPr>
          <w:rFonts w:ascii="Times New Roman" w:hAnsi="Times New Roman" w:cs="Times New Roman"/>
          <w:sz w:val="24"/>
          <w:szCs w:val="24"/>
          <w:lang w:val="en-GB"/>
        </w:rPr>
        <w:t>ip James</w:t>
      </w:r>
      <w:r w:rsidR="003534B1" w:rsidRPr="005A28F5">
        <w:rPr>
          <w:rFonts w:ascii="Times New Roman" w:hAnsi="Times New Roman" w:cs="Times New Roman"/>
          <w:sz w:val="24"/>
          <w:szCs w:val="24"/>
          <w:vertAlign w:val="superscript"/>
          <w:lang w:val="en-GB"/>
        </w:rPr>
        <w:t>1</w:t>
      </w:r>
      <w:r w:rsidR="00BC3B0C" w:rsidRPr="005A28F5">
        <w:rPr>
          <w:rFonts w:ascii="Times New Roman" w:hAnsi="Times New Roman" w:cs="Times New Roman"/>
          <w:sz w:val="24"/>
          <w:szCs w:val="24"/>
          <w:lang w:val="en-GB"/>
        </w:rPr>
        <w:t xml:space="preserve">, </w:t>
      </w:r>
      <w:proofErr w:type="spellStart"/>
      <w:r w:rsidR="00BC3B0C" w:rsidRPr="005A28F5">
        <w:rPr>
          <w:rFonts w:ascii="Times New Roman" w:hAnsi="Times New Roman" w:cs="Times New Roman"/>
          <w:sz w:val="24"/>
          <w:szCs w:val="24"/>
          <w:lang w:val="en-GB"/>
        </w:rPr>
        <w:t>Akshay</w:t>
      </w:r>
      <w:proofErr w:type="spellEnd"/>
      <w:r w:rsidR="00BC3B0C" w:rsidRPr="005A28F5">
        <w:rPr>
          <w:rFonts w:ascii="Times New Roman" w:hAnsi="Times New Roman" w:cs="Times New Roman"/>
          <w:sz w:val="24"/>
          <w:szCs w:val="24"/>
          <w:lang w:val="en-GB"/>
        </w:rPr>
        <w:t xml:space="preserve"> Dedani</w:t>
      </w:r>
      <w:r w:rsidR="00035E4A" w:rsidRPr="005A28F5">
        <w:rPr>
          <w:rFonts w:ascii="Times New Roman" w:hAnsi="Times New Roman" w:cs="Times New Roman"/>
          <w:sz w:val="24"/>
          <w:szCs w:val="24"/>
          <w:lang w:val="en-GB"/>
        </w:rPr>
        <w:t>y</w:t>
      </w:r>
      <w:r w:rsidR="00BC3B0C" w:rsidRPr="005A28F5">
        <w:rPr>
          <w:rFonts w:ascii="Times New Roman" w:hAnsi="Times New Roman" w:cs="Times New Roman"/>
          <w:sz w:val="24"/>
          <w:szCs w:val="24"/>
          <w:lang w:val="en-GB"/>
        </w:rPr>
        <w:t>a</w:t>
      </w:r>
      <w:r w:rsidR="003534B1" w:rsidRPr="005A28F5">
        <w:rPr>
          <w:rFonts w:ascii="Times New Roman" w:hAnsi="Times New Roman" w:cs="Times New Roman"/>
          <w:sz w:val="24"/>
          <w:szCs w:val="24"/>
          <w:vertAlign w:val="superscript"/>
          <w:lang w:val="en-GB"/>
        </w:rPr>
        <w:t>2</w:t>
      </w:r>
      <w:r w:rsidR="00BC3B0C" w:rsidRPr="005A28F5">
        <w:rPr>
          <w:rFonts w:ascii="Times New Roman" w:hAnsi="Times New Roman" w:cs="Times New Roman"/>
          <w:sz w:val="24"/>
          <w:szCs w:val="24"/>
          <w:lang w:val="en-GB"/>
        </w:rPr>
        <w:t xml:space="preserve">, </w:t>
      </w:r>
      <w:proofErr w:type="spellStart"/>
      <w:r w:rsidR="00796AF7" w:rsidRPr="005A28F5">
        <w:rPr>
          <w:rFonts w:ascii="Times New Roman" w:hAnsi="Times New Roman" w:cs="Times New Roman"/>
          <w:sz w:val="24"/>
          <w:szCs w:val="24"/>
          <w:lang w:val="en-GB"/>
        </w:rPr>
        <w:t>Dilip</w:t>
      </w:r>
      <w:proofErr w:type="spellEnd"/>
      <w:r w:rsidR="00796AF7" w:rsidRPr="005A28F5">
        <w:rPr>
          <w:rFonts w:ascii="Times New Roman" w:hAnsi="Times New Roman" w:cs="Times New Roman"/>
          <w:sz w:val="24"/>
          <w:szCs w:val="24"/>
          <w:lang w:val="en-GB"/>
        </w:rPr>
        <w:t xml:space="preserve"> K</w:t>
      </w:r>
      <w:r w:rsidR="00FD1D8C" w:rsidRPr="005A28F5">
        <w:rPr>
          <w:rFonts w:ascii="Times New Roman" w:hAnsi="Times New Roman" w:cs="Times New Roman"/>
          <w:sz w:val="24"/>
          <w:szCs w:val="24"/>
          <w:lang w:val="en-GB"/>
        </w:rPr>
        <w:t>.</w:t>
      </w:r>
      <w:r w:rsidR="00796AF7" w:rsidRPr="005A28F5">
        <w:rPr>
          <w:rFonts w:ascii="Times New Roman" w:hAnsi="Times New Roman" w:cs="Times New Roman"/>
          <w:sz w:val="24"/>
          <w:szCs w:val="24"/>
          <w:lang w:val="en-GB"/>
        </w:rPr>
        <w:t xml:space="preserve"> Yadav</w:t>
      </w:r>
      <w:r w:rsidR="003534B1" w:rsidRPr="005A28F5">
        <w:rPr>
          <w:rFonts w:ascii="Times New Roman" w:hAnsi="Times New Roman" w:cs="Times New Roman"/>
          <w:sz w:val="24"/>
          <w:szCs w:val="24"/>
          <w:vertAlign w:val="superscript"/>
          <w:lang w:val="en-GB"/>
        </w:rPr>
        <w:t>2,</w:t>
      </w:r>
      <w:r w:rsidR="00380ED6" w:rsidRPr="005A28F5">
        <w:rPr>
          <w:rFonts w:ascii="Times New Roman" w:hAnsi="Times New Roman" w:cs="Times New Roman"/>
          <w:sz w:val="24"/>
          <w:szCs w:val="24"/>
          <w:vertAlign w:val="superscript"/>
          <w:lang w:val="en-GB"/>
        </w:rPr>
        <w:t>6</w:t>
      </w:r>
      <w:r w:rsidR="003028FB" w:rsidRPr="005A28F5">
        <w:rPr>
          <w:rFonts w:ascii="Times New Roman" w:hAnsi="Times New Roman" w:cs="Times New Roman"/>
          <w:sz w:val="24"/>
          <w:szCs w:val="24"/>
          <w:lang w:val="en-GB"/>
        </w:rPr>
        <w:t>,</w:t>
      </w:r>
    </w:p>
    <w:p w14:paraId="5E584A39" w14:textId="11D21F82" w:rsidR="001E3671" w:rsidRPr="005A28F5" w:rsidRDefault="00BC3B0C" w:rsidP="001A64D3">
      <w:pPr>
        <w:pStyle w:val="BodyA"/>
        <w:spacing w:line="360" w:lineRule="auto"/>
        <w:rPr>
          <w:rFonts w:ascii="Times New Roman" w:hAnsi="Times New Roman" w:cs="Times New Roman"/>
          <w:sz w:val="24"/>
          <w:szCs w:val="24"/>
          <w:lang w:val="en-GB"/>
        </w:rPr>
      </w:pPr>
      <w:r w:rsidRPr="005A28F5">
        <w:rPr>
          <w:rFonts w:ascii="Times New Roman" w:hAnsi="Times New Roman" w:cs="Times New Roman"/>
          <w:sz w:val="24"/>
          <w:szCs w:val="24"/>
          <w:lang w:val="en-GB"/>
        </w:rPr>
        <w:t>Kalyanaraman Kumaran</w:t>
      </w:r>
      <w:r w:rsidR="00380ED6" w:rsidRPr="005A28F5">
        <w:rPr>
          <w:rFonts w:ascii="Times New Roman" w:hAnsi="Times New Roman" w:cs="Times New Roman"/>
          <w:sz w:val="24"/>
          <w:szCs w:val="24"/>
          <w:vertAlign w:val="superscript"/>
          <w:lang w:val="en-GB"/>
        </w:rPr>
        <w:t>7</w:t>
      </w:r>
      <w:r w:rsidR="003534B1" w:rsidRPr="005A28F5">
        <w:rPr>
          <w:rFonts w:ascii="Times New Roman" w:hAnsi="Times New Roman" w:cs="Times New Roman"/>
          <w:sz w:val="24"/>
          <w:szCs w:val="24"/>
          <w:vertAlign w:val="superscript"/>
          <w:lang w:val="en-GB"/>
        </w:rPr>
        <w:t>,</w:t>
      </w:r>
      <w:r w:rsidR="00380ED6" w:rsidRPr="005A28F5">
        <w:rPr>
          <w:rFonts w:ascii="Times New Roman" w:hAnsi="Times New Roman" w:cs="Times New Roman"/>
          <w:sz w:val="24"/>
          <w:szCs w:val="24"/>
          <w:vertAlign w:val="superscript"/>
          <w:lang w:val="en-GB"/>
        </w:rPr>
        <w:t>8</w:t>
      </w:r>
      <w:r w:rsidRPr="005A28F5">
        <w:rPr>
          <w:rFonts w:ascii="Times New Roman" w:hAnsi="Times New Roman" w:cs="Times New Roman"/>
          <w:sz w:val="24"/>
          <w:szCs w:val="24"/>
          <w:lang w:val="en-GB"/>
        </w:rPr>
        <w:t>,</w:t>
      </w:r>
      <w:r w:rsidR="001E3671"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Andrew M</w:t>
      </w:r>
      <w:r w:rsidR="00FD1D8C"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Prentice</w:t>
      </w:r>
      <w:r w:rsidR="003534B1" w:rsidRPr="005A28F5">
        <w:rPr>
          <w:rFonts w:ascii="Times New Roman" w:hAnsi="Times New Roman" w:cs="Times New Roman"/>
          <w:sz w:val="24"/>
          <w:szCs w:val="24"/>
          <w:vertAlign w:val="superscript"/>
          <w:lang w:val="en-GB"/>
        </w:rPr>
        <w:t>1</w:t>
      </w:r>
      <w:r w:rsidR="009166EE" w:rsidRPr="005A28F5">
        <w:rPr>
          <w:rFonts w:ascii="Times New Roman" w:hAnsi="Times New Roman" w:cs="Times New Roman"/>
          <w:sz w:val="24"/>
          <w:szCs w:val="24"/>
          <w:vertAlign w:val="superscript"/>
          <w:lang w:val="en-GB"/>
        </w:rPr>
        <w:t>,4</w:t>
      </w:r>
      <w:r w:rsidRPr="005A28F5">
        <w:rPr>
          <w:rFonts w:ascii="Times New Roman" w:hAnsi="Times New Roman" w:cs="Times New Roman"/>
          <w:sz w:val="24"/>
          <w:szCs w:val="24"/>
          <w:lang w:val="en-GB"/>
        </w:rPr>
        <w:t xml:space="preserve">, Karen </w:t>
      </w:r>
      <w:r w:rsidR="00FD1D8C" w:rsidRPr="005A28F5">
        <w:rPr>
          <w:rFonts w:ascii="Times New Roman" w:hAnsi="Times New Roman" w:cs="Times New Roman"/>
          <w:sz w:val="24"/>
          <w:szCs w:val="24"/>
          <w:lang w:val="en-GB"/>
        </w:rPr>
        <w:t xml:space="preserve">A. </w:t>
      </w:r>
      <w:r w:rsidRPr="005A28F5">
        <w:rPr>
          <w:rFonts w:ascii="Times New Roman" w:hAnsi="Times New Roman" w:cs="Times New Roman"/>
          <w:sz w:val="24"/>
          <w:szCs w:val="24"/>
          <w:lang w:val="en-GB"/>
        </w:rPr>
        <w:t>Lillycrop</w:t>
      </w:r>
      <w:r w:rsidR="00380ED6" w:rsidRPr="005A28F5">
        <w:rPr>
          <w:rFonts w:ascii="Times New Roman" w:hAnsi="Times New Roman" w:cs="Times New Roman"/>
          <w:sz w:val="24"/>
          <w:szCs w:val="24"/>
          <w:vertAlign w:val="superscript"/>
          <w:lang w:val="en-GB"/>
        </w:rPr>
        <w:t>9</w:t>
      </w:r>
      <w:r w:rsidRPr="005A28F5">
        <w:rPr>
          <w:rFonts w:ascii="Times New Roman" w:hAnsi="Times New Roman" w:cs="Times New Roman"/>
          <w:sz w:val="24"/>
          <w:szCs w:val="24"/>
          <w:lang w:val="en-GB"/>
        </w:rPr>
        <w:t xml:space="preserve">, </w:t>
      </w:r>
    </w:p>
    <w:p w14:paraId="198A79D0" w14:textId="77777777" w:rsidR="001E3671" w:rsidRPr="005A28F5" w:rsidRDefault="00BC3B0C" w:rsidP="001A64D3">
      <w:pPr>
        <w:pStyle w:val="BodyA"/>
        <w:spacing w:line="360" w:lineRule="auto"/>
        <w:rPr>
          <w:rFonts w:ascii="Times New Roman" w:hAnsi="Times New Roman" w:cs="Times New Roman"/>
          <w:sz w:val="24"/>
          <w:szCs w:val="24"/>
          <w:lang w:val="en-GB"/>
        </w:rPr>
      </w:pPr>
      <w:r w:rsidRPr="005A28F5">
        <w:rPr>
          <w:rFonts w:ascii="Times New Roman" w:hAnsi="Times New Roman" w:cs="Times New Roman"/>
          <w:sz w:val="24"/>
          <w:szCs w:val="24"/>
          <w:lang w:val="en-GB"/>
        </w:rPr>
        <w:t>Caroline H</w:t>
      </w:r>
      <w:r w:rsidR="00FD1D8C"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D</w:t>
      </w:r>
      <w:r w:rsidR="00FD1D8C"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Fall</w:t>
      </w:r>
      <w:r w:rsidR="00380ED6" w:rsidRPr="005A28F5">
        <w:rPr>
          <w:rFonts w:ascii="Times New Roman" w:hAnsi="Times New Roman" w:cs="Times New Roman"/>
          <w:sz w:val="24"/>
          <w:szCs w:val="24"/>
          <w:vertAlign w:val="superscript"/>
          <w:lang w:val="en-GB"/>
        </w:rPr>
        <w:t>7</w:t>
      </w:r>
      <w:r w:rsidR="009B6EEA" w:rsidRPr="005A28F5">
        <w:rPr>
          <w:rFonts w:ascii="Times New Roman" w:hAnsi="Times New Roman" w:cs="Times New Roman"/>
          <w:sz w:val="24"/>
          <w:szCs w:val="24"/>
          <w:vertAlign w:val="superscript"/>
          <w:lang w:val="en-GB"/>
        </w:rPr>
        <w:t>‡</w:t>
      </w:r>
      <w:r w:rsidRPr="005A28F5">
        <w:rPr>
          <w:rFonts w:ascii="Times New Roman" w:hAnsi="Times New Roman" w:cs="Times New Roman"/>
          <w:sz w:val="24"/>
          <w:szCs w:val="24"/>
          <w:lang w:val="en-GB"/>
        </w:rPr>
        <w:t>, Giriraj R</w:t>
      </w:r>
      <w:r w:rsidR="00FD1D8C"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Chandak</w:t>
      </w:r>
      <w:r w:rsidR="003534B1" w:rsidRPr="005A28F5">
        <w:rPr>
          <w:rFonts w:ascii="Times New Roman" w:hAnsi="Times New Roman" w:cs="Times New Roman"/>
          <w:sz w:val="24"/>
          <w:szCs w:val="24"/>
          <w:vertAlign w:val="superscript"/>
          <w:lang w:val="en-GB"/>
        </w:rPr>
        <w:t>2</w:t>
      </w:r>
      <w:r w:rsidR="009B6EEA" w:rsidRPr="005A28F5">
        <w:rPr>
          <w:rFonts w:ascii="Times New Roman" w:hAnsi="Times New Roman" w:cs="Times New Roman"/>
          <w:sz w:val="24"/>
          <w:szCs w:val="24"/>
          <w:vertAlign w:val="superscript"/>
          <w:lang w:val="en-GB"/>
        </w:rPr>
        <w:t>‡</w:t>
      </w:r>
      <w:r w:rsidRPr="005A28F5">
        <w:rPr>
          <w:rFonts w:ascii="Times New Roman" w:hAnsi="Times New Roman" w:cs="Times New Roman"/>
          <w:sz w:val="24"/>
          <w:szCs w:val="24"/>
          <w:lang w:val="en-GB"/>
        </w:rPr>
        <w:t>, Matt</w:t>
      </w:r>
      <w:r w:rsidR="00965DD4" w:rsidRPr="005A28F5">
        <w:rPr>
          <w:rFonts w:ascii="Times New Roman" w:hAnsi="Times New Roman" w:cs="Times New Roman"/>
          <w:sz w:val="24"/>
          <w:szCs w:val="24"/>
          <w:lang w:val="en-GB"/>
        </w:rPr>
        <w:t xml:space="preserve"> J</w:t>
      </w:r>
      <w:r w:rsidR="00FD1D8C"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Silver</w:t>
      </w:r>
      <w:r w:rsidR="003534B1" w:rsidRPr="005A28F5">
        <w:rPr>
          <w:rFonts w:ascii="Times New Roman" w:hAnsi="Times New Roman" w:cs="Times New Roman"/>
          <w:sz w:val="24"/>
          <w:szCs w:val="24"/>
          <w:vertAlign w:val="superscript"/>
          <w:lang w:val="en-GB"/>
        </w:rPr>
        <w:t>1</w:t>
      </w:r>
      <w:r w:rsidR="009B6EEA" w:rsidRPr="005A28F5">
        <w:rPr>
          <w:rFonts w:ascii="Times New Roman" w:hAnsi="Times New Roman" w:cs="Times New Roman"/>
          <w:sz w:val="24"/>
          <w:szCs w:val="24"/>
          <w:vertAlign w:val="superscript"/>
          <w:lang w:val="en-GB"/>
        </w:rPr>
        <w:t>‡*</w:t>
      </w:r>
      <w:r w:rsidR="0062480D"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w:t>
      </w:r>
    </w:p>
    <w:p w14:paraId="3DCF311A" w14:textId="36A2B0F6" w:rsidR="00C35877" w:rsidRPr="005A28F5" w:rsidRDefault="00BC3B0C" w:rsidP="001A64D3">
      <w:pPr>
        <w:pStyle w:val="BodyA"/>
        <w:spacing w:line="360" w:lineRule="auto"/>
        <w:rPr>
          <w:rFonts w:ascii="Times New Roman" w:hAnsi="Times New Roman" w:cs="Times New Roman"/>
          <w:sz w:val="24"/>
          <w:szCs w:val="24"/>
          <w:lang w:val="en-GB"/>
        </w:rPr>
      </w:pPr>
      <w:r w:rsidRPr="005A28F5">
        <w:rPr>
          <w:rFonts w:ascii="Times New Roman" w:hAnsi="Times New Roman" w:cs="Times New Roman"/>
          <w:sz w:val="24"/>
          <w:szCs w:val="24"/>
          <w:lang w:val="en-GB"/>
        </w:rPr>
        <w:t xml:space="preserve">and the </w:t>
      </w:r>
      <w:r w:rsidR="00765E82" w:rsidRPr="005A28F5">
        <w:rPr>
          <w:rFonts w:ascii="Times New Roman" w:hAnsi="Times New Roman" w:cs="Times New Roman"/>
          <w:sz w:val="24"/>
          <w:szCs w:val="24"/>
          <w:lang w:val="en-GB"/>
        </w:rPr>
        <w:t>EMPHASIS Study Group.</w:t>
      </w:r>
    </w:p>
    <w:p w14:paraId="1A6B8F3B" w14:textId="77777777" w:rsidR="0013425F" w:rsidRPr="005A28F5" w:rsidRDefault="0013425F" w:rsidP="001A64D3">
      <w:pPr>
        <w:pStyle w:val="BodyA"/>
        <w:spacing w:line="360" w:lineRule="auto"/>
        <w:rPr>
          <w:rFonts w:ascii="Times New Roman" w:hAnsi="Times New Roman" w:cs="Times New Roman"/>
          <w:sz w:val="24"/>
          <w:szCs w:val="24"/>
          <w:lang w:val="en-GB"/>
        </w:rPr>
      </w:pPr>
    </w:p>
    <w:p w14:paraId="1B15FD97" w14:textId="77777777" w:rsidR="0013425F" w:rsidRPr="005A28F5" w:rsidRDefault="003534B1" w:rsidP="001A64D3">
      <w:pPr>
        <w:spacing w:line="360" w:lineRule="auto"/>
        <w:rPr>
          <w:color w:val="000000" w:themeColor="text1"/>
          <w:sz w:val="20"/>
          <w:szCs w:val="20"/>
        </w:rPr>
      </w:pPr>
      <w:r w:rsidRPr="005A28F5">
        <w:rPr>
          <w:color w:val="000000" w:themeColor="text1"/>
          <w:sz w:val="20"/>
          <w:szCs w:val="20"/>
          <w:vertAlign w:val="superscript"/>
        </w:rPr>
        <w:t>1</w:t>
      </w:r>
      <w:r w:rsidRPr="005A28F5">
        <w:rPr>
          <w:color w:val="000000" w:themeColor="text1"/>
          <w:spacing w:val="3"/>
          <w:sz w:val="20"/>
          <w:szCs w:val="20"/>
          <w:shd w:val="clear" w:color="auto" w:fill="FFFFFF"/>
        </w:rPr>
        <w:t xml:space="preserve">MRC Unit </w:t>
      </w:r>
      <w:proofErr w:type="gramStart"/>
      <w:r w:rsidRPr="005A28F5">
        <w:rPr>
          <w:color w:val="000000" w:themeColor="text1"/>
          <w:spacing w:val="3"/>
          <w:sz w:val="20"/>
          <w:szCs w:val="20"/>
          <w:shd w:val="clear" w:color="auto" w:fill="FFFFFF"/>
        </w:rPr>
        <w:t>The</w:t>
      </w:r>
      <w:proofErr w:type="gramEnd"/>
      <w:r w:rsidRPr="005A28F5">
        <w:rPr>
          <w:color w:val="000000" w:themeColor="text1"/>
          <w:spacing w:val="3"/>
          <w:sz w:val="20"/>
          <w:szCs w:val="20"/>
          <w:shd w:val="clear" w:color="auto" w:fill="FFFFFF"/>
        </w:rPr>
        <w:t xml:space="preserve"> Gambia at the London School of Hygiene and Tropical Medicine, </w:t>
      </w:r>
      <w:r w:rsidR="00883BE0" w:rsidRPr="005A28F5">
        <w:rPr>
          <w:color w:val="000000" w:themeColor="text1"/>
          <w:spacing w:val="3"/>
          <w:sz w:val="20"/>
          <w:szCs w:val="20"/>
          <w:shd w:val="clear" w:color="auto" w:fill="FFFFFF"/>
        </w:rPr>
        <w:t xml:space="preserve">London, </w:t>
      </w:r>
      <w:r w:rsidRPr="005A28F5">
        <w:rPr>
          <w:color w:val="000000" w:themeColor="text1"/>
          <w:spacing w:val="3"/>
          <w:sz w:val="20"/>
          <w:szCs w:val="20"/>
          <w:shd w:val="clear" w:color="auto" w:fill="FFFFFF"/>
        </w:rPr>
        <w:t>United Kingdom</w:t>
      </w:r>
    </w:p>
    <w:p w14:paraId="26908FCB" w14:textId="77777777" w:rsidR="0013425F" w:rsidRPr="005A28F5" w:rsidRDefault="003534B1" w:rsidP="001A64D3">
      <w:pPr>
        <w:spacing w:line="360" w:lineRule="auto"/>
        <w:rPr>
          <w:color w:val="000000" w:themeColor="text1"/>
          <w:sz w:val="20"/>
          <w:szCs w:val="20"/>
        </w:rPr>
      </w:pPr>
      <w:r w:rsidRPr="005A28F5">
        <w:rPr>
          <w:color w:val="000000" w:themeColor="text1"/>
          <w:spacing w:val="3"/>
          <w:sz w:val="20"/>
          <w:szCs w:val="20"/>
          <w:shd w:val="clear" w:color="auto" w:fill="FFFFFF"/>
          <w:vertAlign w:val="superscript"/>
        </w:rPr>
        <w:t>2</w:t>
      </w:r>
      <w:r w:rsidRPr="005A28F5">
        <w:rPr>
          <w:color w:val="000000" w:themeColor="text1"/>
          <w:spacing w:val="3"/>
          <w:sz w:val="20"/>
          <w:szCs w:val="20"/>
          <w:shd w:val="clear" w:color="auto" w:fill="FFFFFF"/>
        </w:rPr>
        <w:t xml:space="preserve">Genomic Research on Complex diseases (GRC Group), CSIR-Centre for Cellular and Molecular Biology, </w:t>
      </w:r>
      <w:r w:rsidR="00883BE0" w:rsidRPr="005A28F5">
        <w:rPr>
          <w:color w:val="000000" w:themeColor="text1"/>
          <w:spacing w:val="3"/>
          <w:sz w:val="20"/>
          <w:szCs w:val="20"/>
          <w:shd w:val="clear" w:color="auto" w:fill="FFFFFF"/>
        </w:rPr>
        <w:t xml:space="preserve">Hyderabad, </w:t>
      </w:r>
      <w:r w:rsidRPr="005A28F5">
        <w:rPr>
          <w:color w:val="000000" w:themeColor="text1"/>
          <w:spacing w:val="3"/>
          <w:sz w:val="20"/>
          <w:szCs w:val="20"/>
          <w:shd w:val="clear" w:color="auto" w:fill="FFFFFF"/>
        </w:rPr>
        <w:t>India</w:t>
      </w:r>
    </w:p>
    <w:p w14:paraId="15892FC4" w14:textId="77777777" w:rsidR="0013425F" w:rsidRPr="005A28F5" w:rsidRDefault="003534B1" w:rsidP="001A64D3">
      <w:pPr>
        <w:spacing w:line="360" w:lineRule="auto"/>
        <w:rPr>
          <w:color w:val="000000" w:themeColor="text1"/>
          <w:sz w:val="20"/>
          <w:szCs w:val="20"/>
        </w:rPr>
      </w:pPr>
      <w:r w:rsidRPr="005A28F5">
        <w:rPr>
          <w:color w:val="000000" w:themeColor="text1"/>
          <w:spacing w:val="3"/>
          <w:sz w:val="20"/>
          <w:szCs w:val="20"/>
          <w:shd w:val="clear" w:color="auto" w:fill="FFFFFF"/>
          <w:vertAlign w:val="superscript"/>
        </w:rPr>
        <w:t>3</w:t>
      </w:r>
      <w:r w:rsidRPr="005A28F5">
        <w:rPr>
          <w:color w:val="000000" w:themeColor="text1"/>
          <w:spacing w:val="3"/>
          <w:sz w:val="20"/>
          <w:szCs w:val="20"/>
          <w:shd w:val="clear" w:color="auto" w:fill="FFFFFF"/>
        </w:rPr>
        <w:t>School of Basic and Applied Sciences, Dayananda Sagar University,</w:t>
      </w:r>
      <w:r w:rsidR="00160C04" w:rsidRPr="005A28F5">
        <w:rPr>
          <w:color w:val="000000" w:themeColor="text1"/>
          <w:spacing w:val="3"/>
          <w:sz w:val="20"/>
          <w:szCs w:val="20"/>
          <w:shd w:val="clear" w:color="auto" w:fill="FFFFFF"/>
        </w:rPr>
        <w:t xml:space="preserve"> </w:t>
      </w:r>
      <w:r w:rsidR="00883BE0" w:rsidRPr="005A28F5">
        <w:rPr>
          <w:color w:val="000000" w:themeColor="text1"/>
          <w:spacing w:val="3"/>
          <w:sz w:val="20"/>
          <w:szCs w:val="20"/>
          <w:shd w:val="clear" w:color="auto" w:fill="FFFFFF"/>
        </w:rPr>
        <w:t>Bangalore,</w:t>
      </w:r>
      <w:r w:rsidRPr="005A28F5">
        <w:rPr>
          <w:color w:val="000000" w:themeColor="text1"/>
          <w:spacing w:val="3"/>
          <w:sz w:val="20"/>
          <w:szCs w:val="20"/>
          <w:shd w:val="clear" w:color="auto" w:fill="FFFFFF"/>
        </w:rPr>
        <w:t xml:space="preserve"> India</w:t>
      </w:r>
    </w:p>
    <w:p w14:paraId="55BDE961" w14:textId="241014C3" w:rsidR="007C7C5D" w:rsidRDefault="009166EE" w:rsidP="001A64D3">
      <w:pPr>
        <w:spacing w:line="360" w:lineRule="auto"/>
        <w:rPr>
          <w:color w:val="000000" w:themeColor="text1"/>
          <w:sz w:val="20"/>
          <w:szCs w:val="20"/>
        </w:rPr>
      </w:pPr>
      <w:r w:rsidRPr="005A28F5">
        <w:rPr>
          <w:color w:val="000000" w:themeColor="text1"/>
          <w:sz w:val="20"/>
          <w:szCs w:val="20"/>
          <w:vertAlign w:val="superscript"/>
        </w:rPr>
        <w:t>4</w:t>
      </w:r>
      <w:r w:rsidRPr="005A28F5">
        <w:rPr>
          <w:color w:val="000000" w:themeColor="text1"/>
          <w:spacing w:val="3"/>
          <w:sz w:val="20"/>
          <w:szCs w:val="20"/>
          <w:shd w:val="clear" w:color="auto" w:fill="FFFFFF"/>
        </w:rPr>
        <w:t xml:space="preserve">MRC Unit </w:t>
      </w:r>
      <w:proofErr w:type="gramStart"/>
      <w:r w:rsidRPr="005A28F5">
        <w:rPr>
          <w:color w:val="000000" w:themeColor="text1"/>
          <w:spacing w:val="3"/>
          <w:sz w:val="20"/>
          <w:szCs w:val="20"/>
          <w:shd w:val="clear" w:color="auto" w:fill="FFFFFF"/>
        </w:rPr>
        <w:t>The</w:t>
      </w:r>
      <w:proofErr w:type="gramEnd"/>
      <w:r w:rsidRPr="005A28F5">
        <w:rPr>
          <w:color w:val="000000" w:themeColor="text1"/>
          <w:spacing w:val="3"/>
          <w:sz w:val="20"/>
          <w:szCs w:val="20"/>
          <w:shd w:val="clear" w:color="auto" w:fill="FFFFFF"/>
        </w:rPr>
        <w:t xml:space="preserve"> Gambia at the London School of Hygiene and Tropical Medicine, The Gambia</w:t>
      </w:r>
    </w:p>
    <w:p w14:paraId="5C295D8C" w14:textId="0B123D14" w:rsidR="0013425F" w:rsidRPr="005A28F5" w:rsidRDefault="00380ED6" w:rsidP="001A64D3">
      <w:pPr>
        <w:spacing w:line="360" w:lineRule="auto"/>
        <w:rPr>
          <w:color w:val="000000" w:themeColor="text1"/>
          <w:sz w:val="20"/>
          <w:szCs w:val="20"/>
          <w:lang w:val="en-US"/>
        </w:rPr>
      </w:pPr>
      <w:r w:rsidRPr="005A28F5">
        <w:rPr>
          <w:color w:val="000000" w:themeColor="text1"/>
          <w:sz w:val="20"/>
          <w:szCs w:val="20"/>
          <w:vertAlign w:val="superscript"/>
        </w:rPr>
        <w:t>5</w:t>
      </w:r>
      <w:r w:rsidRPr="005A28F5">
        <w:rPr>
          <w:color w:val="000000" w:themeColor="text1"/>
          <w:sz w:val="20"/>
          <w:szCs w:val="20"/>
        </w:rPr>
        <w:t>Centre for the Study of Social Change, Mumbai, India</w:t>
      </w:r>
    </w:p>
    <w:p w14:paraId="09836B00" w14:textId="2C8E989C" w:rsidR="00E27D3C" w:rsidRPr="005A28F5" w:rsidRDefault="00380ED6" w:rsidP="00E27D3C">
      <w:pPr>
        <w:spacing w:line="360" w:lineRule="auto"/>
        <w:rPr>
          <w:color w:val="000000" w:themeColor="text1"/>
          <w:sz w:val="20"/>
          <w:szCs w:val="20"/>
        </w:rPr>
      </w:pPr>
      <w:r w:rsidRPr="00E27D3C">
        <w:rPr>
          <w:color w:val="000000" w:themeColor="text1"/>
          <w:spacing w:val="3"/>
          <w:sz w:val="20"/>
          <w:szCs w:val="20"/>
          <w:shd w:val="clear" w:color="auto" w:fill="FFFFFF"/>
          <w:vertAlign w:val="superscript"/>
        </w:rPr>
        <w:t>6</w:t>
      </w:r>
      <w:r w:rsidR="00E27D3C" w:rsidRPr="00E27D3C">
        <w:rPr>
          <w:color w:val="000000" w:themeColor="text1"/>
          <w:spacing w:val="3"/>
          <w:sz w:val="20"/>
          <w:szCs w:val="20"/>
          <w:shd w:val="clear" w:color="auto" w:fill="FFFFFF"/>
        </w:rPr>
        <w:t>Department of Physiology</w:t>
      </w:r>
      <w:r w:rsidR="00E27D3C">
        <w:rPr>
          <w:color w:val="000000" w:themeColor="text1"/>
          <w:spacing w:val="3"/>
          <w:sz w:val="20"/>
          <w:szCs w:val="20"/>
          <w:shd w:val="clear" w:color="auto" w:fill="FFFFFF"/>
        </w:rPr>
        <w:t xml:space="preserve">, </w:t>
      </w:r>
      <w:r w:rsidR="00E27D3C" w:rsidRPr="00E27D3C">
        <w:rPr>
          <w:color w:val="000000" w:themeColor="text1"/>
          <w:spacing w:val="3"/>
          <w:sz w:val="20"/>
          <w:szCs w:val="20"/>
          <w:shd w:val="clear" w:color="auto" w:fill="FFFFFF"/>
        </w:rPr>
        <w:t>Boston University, School of Medicine</w:t>
      </w:r>
      <w:r w:rsidR="00E27D3C">
        <w:rPr>
          <w:color w:val="000000" w:themeColor="text1"/>
          <w:spacing w:val="3"/>
          <w:sz w:val="20"/>
          <w:szCs w:val="20"/>
          <w:shd w:val="clear" w:color="auto" w:fill="FFFFFF"/>
        </w:rPr>
        <w:t xml:space="preserve">, </w:t>
      </w:r>
      <w:r w:rsidR="00E27D3C" w:rsidRPr="00E27D3C">
        <w:rPr>
          <w:color w:val="000000" w:themeColor="text1"/>
          <w:spacing w:val="3"/>
          <w:sz w:val="20"/>
          <w:szCs w:val="20"/>
          <w:shd w:val="clear" w:color="auto" w:fill="FFFFFF"/>
        </w:rPr>
        <w:t xml:space="preserve">Boston, </w:t>
      </w:r>
      <w:r w:rsidR="00E27D3C">
        <w:rPr>
          <w:color w:val="000000" w:themeColor="text1"/>
          <w:spacing w:val="3"/>
          <w:sz w:val="20"/>
          <w:szCs w:val="20"/>
          <w:shd w:val="clear" w:color="auto" w:fill="FFFFFF"/>
        </w:rPr>
        <w:t>USA</w:t>
      </w:r>
    </w:p>
    <w:p w14:paraId="6CBC5088" w14:textId="77777777" w:rsidR="009C3821" w:rsidRDefault="00380ED6" w:rsidP="001A64D3">
      <w:pPr>
        <w:spacing w:line="360" w:lineRule="auto"/>
        <w:rPr>
          <w:color w:val="000000" w:themeColor="text1"/>
          <w:spacing w:val="3"/>
          <w:sz w:val="20"/>
          <w:szCs w:val="20"/>
          <w:shd w:val="clear" w:color="auto" w:fill="FFFFFF"/>
        </w:rPr>
      </w:pPr>
      <w:r w:rsidRPr="005A28F5">
        <w:rPr>
          <w:color w:val="000000" w:themeColor="text1"/>
          <w:spacing w:val="3"/>
          <w:sz w:val="20"/>
          <w:szCs w:val="20"/>
          <w:shd w:val="clear" w:color="auto" w:fill="FFFFFF"/>
          <w:vertAlign w:val="superscript"/>
        </w:rPr>
        <w:t>7</w:t>
      </w:r>
      <w:r w:rsidR="003534B1" w:rsidRPr="005A28F5">
        <w:rPr>
          <w:color w:val="000000" w:themeColor="text1"/>
          <w:spacing w:val="3"/>
          <w:sz w:val="20"/>
          <w:szCs w:val="20"/>
          <w:shd w:val="clear" w:color="auto" w:fill="FFFFFF"/>
        </w:rPr>
        <w:t xml:space="preserve">MRC Lifecourse Epidemiology Unit, University of Southampton, </w:t>
      </w:r>
      <w:r w:rsidR="00160C04" w:rsidRPr="005A28F5">
        <w:rPr>
          <w:color w:val="000000" w:themeColor="text1"/>
          <w:spacing w:val="3"/>
          <w:sz w:val="20"/>
          <w:szCs w:val="20"/>
          <w:shd w:val="clear" w:color="auto" w:fill="FFFFFF"/>
        </w:rPr>
        <w:t xml:space="preserve">Southampton, </w:t>
      </w:r>
      <w:r w:rsidR="003534B1" w:rsidRPr="005A28F5">
        <w:rPr>
          <w:color w:val="000000" w:themeColor="text1"/>
          <w:spacing w:val="3"/>
          <w:sz w:val="20"/>
          <w:szCs w:val="20"/>
          <w:shd w:val="clear" w:color="auto" w:fill="FFFFFF"/>
        </w:rPr>
        <w:t>United Kingdom</w:t>
      </w:r>
    </w:p>
    <w:p w14:paraId="5642873A" w14:textId="77777777" w:rsidR="002C799E" w:rsidRDefault="00380ED6" w:rsidP="001A64D3">
      <w:pPr>
        <w:spacing w:line="360" w:lineRule="auto"/>
        <w:rPr>
          <w:color w:val="000000" w:themeColor="text1"/>
          <w:sz w:val="20"/>
          <w:szCs w:val="20"/>
        </w:rPr>
      </w:pPr>
      <w:r w:rsidRPr="005A28F5">
        <w:rPr>
          <w:color w:val="000000" w:themeColor="text1"/>
          <w:spacing w:val="3"/>
          <w:sz w:val="20"/>
          <w:szCs w:val="20"/>
          <w:shd w:val="clear" w:color="auto" w:fill="FFFFFF"/>
          <w:vertAlign w:val="superscript"/>
        </w:rPr>
        <w:t>8</w:t>
      </w:r>
      <w:r w:rsidR="003534B1" w:rsidRPr="005A28F5">
        <w:rPr>
          <w:color w:val="000000" w:themeColor="text1"/>
          <w:sz w:val="20"/>
          <w:szCs w:val="20"/>
        </w:rPr>
        <w:t>CSI Holdsworth Memorial Hospital, Mysore, India</w:t>
      </w:r>
      <w:r w:rsidR="003448FA" w:rsidRPr="005A28F5">
        <w:rPr>
          <w:color w:val="000000" w:themeColor="text1"/>
          <w:sz w:val="20"/>
          <w:szCs w:val="20"/>
        </w:rPr>
        <w:t xml:space="preserve">, </w:t>
      </w:r>
    </w:p>
    <w:p w14:paraId="73AB7F6A" w14:textId="754AEBBC" w:rsidR="009166EE" w:rsidRPr="005A28F5" w:rsidRDefault="00FD1D8C" w:rsidP="001A64D3">
      <w:pPr>
        <w:spacing w:line="360" w:lineRule="auto"/>
        <w:rPr>
          <w:color w:val="000000" w:themeColor="text1"/>
          <w:sz w:val="20"/>
          <w:szCs w:val="20"/>
        </w:rPr>
      </w:pPr>
      <w:r w:rsidRPr="005A28F5">
        <w:rPr>
          <w:color w:val="000000" w:themeColor="text1"/>
          <w:sz w:val="20"/>
          <w:szCs w:val="20"/>
          <w:vertAlign w:val="superscript"/>
        </w:rPr>
        <w:t>9</w:t>
      </w:r>
      <w:r w:rsidR="003534B1" w:rsidRPr="005A28F5">
        <w:rPr>
          <w:color w:val="000000" w:themeColor="text1"/>
          <w:sz w:val="20"/>
          <w:szCs w:val="20"/>
        </w:rPr>
        <w:t xml:space="preserve">University of Southampton, </w:t>
      </w:r>
      <w:r w:rsidR="00160C04" w:rsidRPr="005A28F5">
        <w:rPr>
          <w:color w:val="000000" w:themeColor="text1"/>
          <w:sz w:val="20"/>
          <w:szCs w:val="20"/>
        </w:rPr>
        <w:t xml:space="preserve">Southampton, </w:t>
      </w:r>
      <w:r w:rsidR="003534B1" w:rsidRPr="005A28F5">
        <w:rPr>
          <w:color w:val="000000" w:themeColor="text1"/>
          <w:sz w:val="20"/>
          <w:szCs w:val="20"/>
        </w:rPr>
        <w:t>United Kingdom</w:t>
      </w:r>
    </w:p>
    <w:p w14:paraId="5C0EC7BF" w14:textId="64CA0EB2" w:rsidR="003448FA" w:rsidRPr="005A28F5" w:rsidRDefault="0013425F" w:rsidP="001A64D3">
      <w:pPr>
        <w:spacing w:line="360" w:lineRule="auto"/>
        <w:rPr>
          <w:color w:val="000000" w:themeColor="text1"/>
          <w:sz w:val="20"/>
          <w:szCs w:val="20"/>
        </w:rPr>
      </w:pPr>
      <w:r w:rsidRPr="005A28F5">
        <w:rPr>
          <w:color w:val="000000" w:themeColor="text1"/>
          <w:sz w:val="20"/>
          <w:szCs w:val="20"/>
        </w:rPr>
        <w:t>Full list of authors and affiliations for authors belonging to the EMPHASIS Study Group are given at the end of the main text.</w:t>
      </w:r>
    </w:p>
    <w:p w14:paraId="7B1B01D9" w14:textId="77777777" w:rsidR="0013425F" w:rsidRPr="005A28F5" w:rsidRDefault="0013425F" w:rsidP="001A64D3">
      <w:pPr>
        <w:spacing w:line="360" w:lineRule="auto"/>
        <w:rPr>
          <w:color w:val="000000" w:themeColor="text1"/>
          <w:sz w:val="20"/>
          <w:szCs w:val="20"/>
        </w:rPr>
      </w:pPr>
    </w:p>
    <w:p w14:paraId="6E25446D" w14:textId="2AC52FF5" w:rsidR="009B6EEA" w:rsidRPr="005A28F5" w:rsidRDefault="009B6EEA" w:rsidP="001A64D3">
      <w:pPr>
        <w:pStyle w:val="BodyA"/>
        <w:spacing w:line="360" w:lineRule="auto"/>
        <w:rPr>
          <w:rFonts w:ascii="Times New Roman" w:hAnsi="Times New Roman" w:cs="Times New Roman"/>
          <w:sz w:val="20"/>
          <w:szCs w:val="20"/>
          <w:lang w:val="en-GB"/>
        </w:rPr>
      </w:pPr>
      <w:r w:rsidRPr="005A28F5">
        <w:rPr>
          <w:rFonts w:ascii="Times New Roman" w:hAnsi="Times New Roman" w:cs="Times New Roman"/>
          <w:sz w:val="20"/>
          <w:szCs w:val="20"/>
          <w:vertAlign w:val="superscript"/>
          <w:lang w:val="en-GB"/>
        </w:rPr>
        <w:t>†</w:t>
      </w:r>
      <w:r w:rsidRPr="005A28F5">
        <w:rPr>
          <w:rFonts w:ascii="Times New Roman" w:hAnsi="Times New Roman" w:cs="Times New Roman"/>
          <w:sz w:val="20"/>
          <w:szCs w:val="20"/>
          <w:lang w:val="en-GB"/>
        </w:rPr>
        <w:t>joint first authors</w:t>
      </w:r>
      <w:r w:rsidR="004961AF" w:rsidRPr="005A28F5">
        <w:rPr>
          <w:rFonts w:ascii="Times New Roman" w:hAnsi="Times New Roman" w:cs="Times New Roman"/>
          <w:sz w:val="20"/>
          <w:szCs w:val="20"/>
          <w:lang w:val="en-GB"/>
        </w:rPr>
        <w:t xml:space="preserve">; </w:t>
      </w:r>
      <w:r w:rsidRPr="005A28F5">
        <w:rPr>
          <w:rFonts w:ascii="Times New Roman" w:hAnsi="Times New Roman" w:cs="Times New Roman"/>
          <w:sz w:val="20"/>
          <w:szCs w:val="20"/>
          <w:vertAlign w:val="superscript"/>
          <w:lang w:val="en-GB"/>
        </w:rPr>
        <w:t>‡</w:t>
      </w:r>
      <w:r w:rsidRPr="005A28F5">
        <w:rPr>
          <w:rFonts w:ascii="Times New Roman" w:hAnsi="Times New Roman" w:cs="Times New Roman"/>
          <w:sz w:val="20"/>
          <w:szCs w:val="20"/>
          <w:lang w:val="en-GB"/>
        </w:rPr>
        <w:t>joint last authors</w:t>
      </w:r>
      <w:r w:rsidR="007402DD" w:rsidRPr="005A28F5">
        <w:rPr>
          <w:rFonts w:ascii="Times New Roman" w:hAnsi="Times New Roman" w:cs="Times New Roman"/>
          <w:sz w:val="20"/>
          <w:szCs w:val="20"/>
          <w:lang w:val="en-GB"/>
        </w:rPr>
        <w:t xml:space="preserve"> </w:t>
      </w:r>
    </w:p>
    <w:p w14:paraId="4CB57ED1" w14:textId="745DB520" w:rsidR="003448FA" w:rsidRDefault="009B6EEA" w:rsidP="001A64D3">
      <w:pPr>
        <w:pStyle w:val="BodyA"/>
        <w:spacing w:line="360" w:lineRule="auto"/>
        <w:rPr>
          <w:rFonts w:ascii="Times New Roman" w:hAnsi="Times New Roman" w:cs="Times New Roman"/>
          <w:sz w:val="20"/>
          <w:szCs w:val="20"/>
          <w:lang w:val="en-GB"/>
        </w:rPr>
      </w:pPr>
      <w:r w:rsidRPr="005A28F5">
        <w:rPr>
          <w:rFonts w:ascii="Times New Roman" w:hAnsi="Times New Roman" w:cs="Times New Roman"/>
          <w:sz w:val="20"/>
          <w:szCs w:val="20"/>
          <w:vertAlign w:val="superscript"/>
          <w:lang w:val="en-GB"/>
        </w:rPr>
        <w:t>*</w:t>
      </w:r>
      <w:r w:rsidRPr="005A28F5">
        <w:rPr>
          <w:rFonts w:ascii="Times New Roman" w:hAnsi="Times New Roman" w:cs="Times New Roman"/>
          <w:sz w:val="20"/>
          <w:szCs w:val="20"/>
          <w:lang w:val="en-GB"/>
        </w:rPr>
        <w:t xml:space="preserve">corresponding </w:t>
      </w:r>
      <w:proofErr w:type="gramStart"/>
      <w:r w:rsidRPr="005A28F5">
        <w:rPr>
          <w:rFonts w:ascii="Times New Roman" w:hAnsi="Times New Roman" w:cs="Times New Roman"/>
          <w:sz w:val="20"/>
          <w:szCs w:val="20"/>
          <w:lang w:val="en-GB"/>
        </w:rPr>
        <w:t>author :</w:t>
      </w:r>
      <w:proofErr w:type="gramEnd"/>
      <w:r w:rsidRPr="005A28F5">
        <w:rPr>
          <w:rFonts w:ascii="Times New Roman" w:hAnsi="Times New Roman" w:cs="Times New Roman"/>
          <w:sz w:val="20"/>
          <w:szCs w:val="20"/>
          <w:lang w:val="en-GB"/>
        </w:rPr>
        <w:t xml:space="preserve"> </w:t>
      </w:r>
      <w:r w:rsidR="004961AF" w:rsidRPr="005A28F5">
        <w:rPr>
          <w:rFonts w:ascii="Times New Roman" w:hAnsi="Times New Roman" w:cs="Times New Roman"/>
          <w:sz w:val="20"/>
          <w:szCs w:val="20"/>
          <w:lang w:val="en-GB"/>
        </w:rPr>
        <w:t xml:space="preserve">Matt J. Silver, </w:t>
      </w:r>
      <w:r w:rsidR="004961AF" w:rsidRPr="005A28F5">
        <w:rPr>
          <w:rFonts w:ascii="Times New Roman" w:hAnsi="Times New Roman" w:cs="Times New Roman"/>
          <w:sz w:val="20"/>
          <w:szCs w:val="20"/>
        </w:rPr>
        <w:t>Room 139, LSHTM, Keppel Street, London WC1E 7HT, UK</w:t>
      </w:r>
      <w:r w:rsidR="004961AF" w:rsidRPr="005A28F5">
        <w:rPr>
          <w:rFonts w:ascii="Times New Roman" w:hAnsi="Times New Roman" w:cs="Times New Roman"/>
          <w:sz w:val="20"/>
          <w:szCs w:val="20"/>
        </w:rPr>
        <w:br/>
        <w:t xml:space="preserve">Tel. 020 7927 2557. </w:t>
      </w:r>
      <w:hyperlink r:id="rId8" w:history="1">
        <w:r w:rsidR="00A00F4A" w:rsidRPr="00CD30D1">
          <w:rPr>
            <w:rStyle w:val="Hyperlink"/>
            <w:rFonts w:ascii="Times New Roman" w:hAnsi="Times New Roman" w:cs="Times New Roman"/>
            <w:sz w:val="20"/>
            <w:szCs w:val="20"/>
            <w:lang w:val="en-GB"/>
          </w:rPr>
          <w:t>matt.silver@lshtm.ac.uk</w:t>
        </w:r>
      </w:hyperlink>
    </w:p>
    <w:p w14:paraId="642E318C" w14:textId="49FA8D34" w:rsidR="00A00F4A" w:rsidRDefault="00A00F4A" w:rsidP="001A64D3">
      <w:pPr>
        <w:pStyle w:val="BodyA"/>
        <w:spacing w:line="360" w:lineRule="auto"/>
        <w:rPr>
          <w:rFonts w:ascii="Times New Roman" w:hAnsi="Times New Roman" w:cs="Times New Roman"/>
          <w:sz w:val="20"/>
          <w:szCs w:val="20"/>
          <w:lang w:val="en-GB"/>
        </w:rPr>
      </w:pPr>
    </w:p>
    <w:p w14:paraId="77C2DB80" w14:textId="41EF34F3" w:rsidR="00583476" w:rsidRDefault="00A00F4A" w:rsidP="001A64D3">
      <w:pPr>
        <w:pStyle w:val="BodyA"/>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MMNP supported by </w:t>
      </w:r>
      <w:r w:rsidRPr="00A00F4A">
        <w:rPr>
          <w:rFonts w:ascii="Times New Roman" w:hAnsi="Times New Roman" w:cs="Times New Roman"/>
          <w:sz w:val="20"/>
          <w:szCs w:val="20"/>
          <w:lang w:val="en-GB"/>
        </w:rPr>
        <w:t xml:space="preserve">the Wellcome Trust, Parthenon Trust, ICICI Bank </w:t>
      </w:r>
      <w:proofErr w:type="spellStart"/>
      <w:r w:rsidRPr="00A00F4A">
        <w:rPr>
          <w:rFonts w:ascii="Times New Roman" w:hAnsi="Times New Roman" w:cs="Times New Roman"/>
          <w:sz w:val="20"/>
          <w:szCs w:val="20"/>
          <w:lang w:val="en-GB"/>
        </w:rPr>
        <w:t>Ltd.,Mumbai</w:t>
      </w:r>
      <w:proofErr w:type="spellEnd"/>
      <w:r w:rsidRPr="00A00F4A">
        <w:rPr>
          <w:rFonts w:ascii="Times New Roman" w:hAnsi="Times New Roman" w:cs="Times New Roman"/>
          <w:sz w:val="20"/>
          <w:szCs w:val="20"/>
          <w:lang w:val="en-GB"/>
        </w:rPr>
        <w:t xml:space="preserve">, the UK Medical Research Council (MRC) and the UK Department for International Development (DFID) under the MRC/DFID Concordat. </w:t>
      </w:r>
      <w:r>
        <w:rPr>
          <w:rFonts w:ascii="Times New Roman" w:hAnsi="Times New Roman" w:cs="Times New Roman"/>
          <w:sz w:val="20"/>
          <w:szCs w:val="20"/>
          <w:lang w:val="en-GB"/>
        </w:rPr>
        <w:t>C</w:t>
      </w:r>
      <w:r w:rsidRPr="00A00F4A">
        <w:rPr>
          <w:rFonts w:ascii="Times New Roman" w:hAnsi="Times New Roman" w:cs="Times New Roman"/>
          <w:sz w:val="20"/>
          <w:szCs w:val="20"/>
          <w:lang w:val="en-GB"/>
        </w:rPr>
        <w:t>hildren’s follow-up funded by MRC (MR/M005186/1). PMMST supported by MRC (U1232661351, U105960371 and MC-A760-5QX00) and DFID under the MRC/DFID Concordat, and other members of the Gambian team are supported by MRC grants U105960371, U123261351 and MR/M01424X/1. The EMPHASIS study is jointly funded by MRC, DFID and the Department of Biotechnology (DBT), Ministry of Science and Technology, India under the Newton Fund initiative (MRC grant no.: MR/N006208/1 and DBT grant no.: BT/IN/DBT-MRC/DFID/24/GRC/2015–16). The funding bodies played no role in the design of the study and collection, analysis, interpretation of data or writing of the manuscript.</w:t>
      </w:r>
    </w:p>
    <w:p w14:paraId="023A91D7" w14:textId="77777777" w:rsidR="00487097" w:rsidRDefault="00487097" w:rsidP="001A64D3">
      <w:pPr>
        <w:pStyle w:val="BodyA"/>
        <w:spacing w:line="360" w:lineRule="auto"/>
        <w:rPr>
          <w:rFonts w:ascii="Times New Roman" w:hAnsi="Times New Roman" w:cs="Times New Roman"/>
          <w:sz w:val="20"/>
          <w:szCs w:val="20"/>
          <w:lang w:val="en-GB"/>
        </w:rPr>
      </w:pPr>
    </w:p>
    <w:p w14:paraId="69CD8D5F" w14:textId="030432EB" w:rsidR="00583476" w:rsidRDefault="00487097" w:rsidP="00487097">
      <w:pPr>
        <w:pStyle w:val="BodyA"/>
        <w:spacing w:line="360" w:lineRule="auto"/>
        <w:rPr>
          <w:rFonts w:ascii="Times New Roman" w:hAnsi="Times New Roman" w:cs="Times New Roman"/>
          <w:sz w:val="20"/>
          <w:szCs w:val="20"/>
          <w:lang w:val="en-GB"/>
        </w:rPr>
      </w:pPr>
      <w:r w:rsidRPr="00487097">
        <w:rPr>
          <w:rFonts w:ascii="Times New Roman" w:hAnsi="Times New Roman" w:cs="Times New Roman"/>
          <w:sz w:val="20"/>
          <w:szCs w:val="20"/>
          <w:lang w:val="en-GB"/>
        </w:rPr>
        <w:lastRenderedPageBreak/>
        <w:t>EPIC data have been placed on the server of the CSIR</w:t>
      </w:r>
      <w:r w:rsidR="009C3821">
        <w:rPr>
          <w:rFonts w:ascii="Times New Roman" w:hAnsi="Times New Roman" w:cs="Times New Roman"/>
          <w:sz w:val="20"/>
          <w:szCs w:val="20"/>
          <w:lang w:val="en-GB"/>
        </w:rPr>
        <w:t>-</w:t>
      </w:r>
      <w:r w:rsidRPr="00487097">
        <w:rPr>
          <w:rFonts w:ascii="Times New Roman" w:hAnsi="Times New Roman" w:cs="Times New Roman"/>
          <w:sz w:val="20"/>
          <w:szCs w:val="20"/>
          <w:lang w:val="en-GB"/>
        </w:rPr>
        <w:t>Centre for Cellular and Molecular</w:t>
      </w:r>
      <w:r>
        <w:rPr>
          <w:rFonts w:ascii="Times New Roman" w:hAnsi="Times New Roman" w:cs="Times New Roman"/>
          <w:sz w:val="20"/>
          <w:szCs w:val="20"/>
          <w:lang w:val="en-GB"/>
        </w:rPr>
        <w:t xml:space="preserve"> </w:t>
      </w:r>
      <w:r w:rsidRPr="00487097">
        <w:rPr>
          <w:rFonts w:ascii="Times New Roman" w:hAnsi="Times New Roman" w:cs="Times New Roman"/>
          <w:sz w:val="20"/>
          <w:szCs w:val="20"/>
          <w:lang w:val="en-GB"/>
        </w:rPr>
        <w:t>Biology in Hyderabad and can be accessed with permission from the authors.</w:t>
      </w:r>
      <w:r>
        <w:rPr>
          <w:rFonts w:ascii="Times New Roman" w:hAnsi="Times New Roman" w:cs="Times New Roman"/>
          <w:sz w:val="20"/>
          <w:szCs w:val="20"/>
          <w:lang w:val="en-GB"/>
        </w:rPr>
        <w:t xml:space="preserve"> Bespoke </w:t>
      </w:r>
      <w:r w:rsidR="00583476" w:rsidRPr="00583476">
        <w:rPr>
          <w:rFonts w:ascii="Times New Roman" w:hAnsi="Times New Roman" w:cs="Times New Roman"/>
          <w:sz w:val="20"/>
          <w:szCs w:val="20"/>
          <w:lang w:val="en-GB"/>
        </w:rPr>
        <w:t xml:space="preserve">code </w:t>
      </w:r>
      <w:r>
        <w:rPr>
          <w:rFonts w:ascii="Times New Roman" w:hAnsi="Times New Roman" w:cs="Times New Roman"/>
          <w:sz w:val="20"/>
          <w:szCs w:val="20"/>
          <w:lang w:val="en-GB"/>
        </w:rPr>
        <w:t xml:space="preserve">written for the analysis is available at </w:t>
      </w:r>
      <w:hyperlink r:id="rId9" w:history="1">
        <w:r w:rsidR="009C3821" w:rsidRPr="00352F8B">
          <w:rPr>
            <w:rStyle w:val="Hyperlink"/>
            <w:rFonts w:ascii="Times New Roman" w:hAnsi="Times New Roman" w:cs="Times New Roman"/>
            <w:sz w:val="20"/>
            <w:szCs w:val="20"/>
            <w:lang w:val="en-GB"/>
          </w:rPr>
          <w:t>https://github.com/asaffa/EMPHASIS</w:t>
        </w:r>
      </w:hyperlink>
      <w:r>
        <w:rPr>
          <w:rFonts w:ascii="Times New Roman" w:hAnsi="Times New Roman" w:cs="Times New Roman"/>
          <w:sz w:val="20"/>
          <w:szCs w:val="20"/>
          <w:lang w:val="en-GB"/>
        </w:rPr>
        <w:t>.</w:t>
      </w:r>
    </w:p>
    <w:p w14:paraId="33BE91B8" w14:textId="44148A79" w:rsidR="009C3821" w:rsidRDefault="009C3821" w:rsidP="00487097">
      <w:pPr>
        <w:pStyle w:val="BodyA"/>
        <w:spacing w:line="360" w:lineRule="auto"/>
        <w:rPr>
          <w:rFonts w:ascii="Times New Roman" w:hAnsi="Times New Roman" w:cs="Times New Roman"/>
          <w:sz w:val="20"/>
          <w:szCs w:val="20"/>
          <w:lang w:val="en-GB"/>
        </w:rPr>
      </w:pPr>
    </w:p>
    <w:p w14:paraId="63111B52" w14:textId="4C6A234A" w:rsidR="009C3821" w:rsidRPr="00D737ED" w:rsidRDefault="009C3821" w:rsidP="00487097">
      <w:pPr>
        <w:pStyle w:val="BodyA"/>
        <w:spacing w:line="360" w:lineRule="auto"/>
        <w:rPr>
          <w:rFonts w:ascii="Times New Roman" w:hAnsi="Times New Roman" w:cs="Times New Roman"/>
          <w:b/>
          <w:sz w:val="20"/>
          <w:szCs w:val="20"/>
          <w:u w:val="single"/>
          <w:lang w:val="en-GB"/>
        </w:rPr>
      </w:pPr>
      <w:r w:rsidRPr="00D737ED">
        <w:rPr>
          <w:rFonts w:ascii="Times New Roman" w:hAnsi="Times New Roman" w:cs="Times New Roman"/>
          <w:b/>
          <w:sz w:val="20"/>
          <w:szCs w:val="20"/>
          <w:u w:val="single"/>
          <w:lang w:val="en-GB"/>
        </w:rPr>
        <w:t>List of abbreviations</w:t>
      </w:r>
    </w:p>
    <w:p w14:paraId="1ED8B68F" w14:textId="77777777" w:rsidR="009C3821" w:rsidRPr="009C3821" w:rsidRDefault="009C3821" w:rsidP="00487097">
      <w:pPr>
        <w:pStyle w:val="BodyA"/>
        <w:spacing w:line="360" w:lineRule="auto"/>
        <w:rPr>
          <w:rFonts w:ascii="Times New Roman" w:hAnsi="Times New Roman" w:cs="Times New Roman"/>
          <w:sz w:val="20"/>
          <w:szCs w:val="20"/>
          <w:u w:val="single"/>
          <w:lang w:val="en-GB"/>
        </w:rPr>
      </w:pPr>
    </w:p>
    <w:p w14:paraId="27733604"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1-C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One carbon </w:t>
      </w:r>
    </w:p>
    <w:p w14:paraId="09EBF3A0"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AIC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Akaike information criterion</w:t>
      </w:r>
    </w:p>
    <w:p w14:paraId="3BEDEF22" w14:textId="0C40B87C"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BCCs</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Blood </w:t>
      </w:r>
      <w:r>
        <w:rPr>
          <w:rFonts w:ascii="Times New Roman" w:hAnsi="Times New Roman" w:cs="Times New Roman"/>
          <w:sz w:val="20"/>
          <w:szCs w:val="20"/>
          <w:lang w:val="en-GB"/>
        </w:rPr>
        <w:t>c</w:t>
      </w:r>
      <w:r w:rsidRPr="009C3821">
        <w:rPr>
          <w:rFonts w:ascii="Times New Roman" w:hAnsi="Times New Roman" w:cs="Times New Roman"/>
          <w:sz w:val="20"/>
          <w:szCs w:val="20"/>
          <w:lang w:val="en-GB"/>
        </w:rPr>
        <w:t>ell counts</w:t>
      </w:r>
    </w:p>
    <w:p w14:paraId="31FBB30F"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BH</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proofErr w:type="spellStart"/>
      <w:r w:rsidRPr="009C3821">
        <w:rPr>
          <w:rFonts w:ascii="Times New Roman" w:hAnsi="Times New Roman" w:cs="Times New Roman"/>
          <w:sz w:val="20"/>
          <w:szCs w:val="20"/>
          <w:lang w:val="en-GB"/>
        </w:rPr>
        <w:t>Benjamini</w:t>
      </w:r>
      <w:proofErr w:type="spellEnd"/>
      <w:r w:rsidRPr="009C3821">
        <w:rPr>
          <w:rFonts w:ascii="Times New Roman" w:hAnsi="Times New Roman" w:cs="Times New Roman"/>
          <w:sz w:val="20"/>
          <w:szCs w:val="20"/>
          <w:lang w:val="en-GB"/>
        </w:rPr>
        <w:t xml:space="preserve"> - Hochberg </w:t>
      </w:r>
    </w:p>
    <w:p w14:paraId="201119C6"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Buc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Buccal </w:t>
      </w:r>
    </w:p>
    <w:p w14:paraId="4B1673CE" w14:textId="619432BE" w:rsid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CI</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Confidence Interval</w:t>
      </w:r>
    </w:p>
    <w:p w14:paraId="0D6B9D89" w14:textId="0D267F9B" w:rsidR="00167543" w:rsidRPr="009C3821" w:rsidRDefault="00167543" w:rsidP="009C3821">
      <w:pPr>
        <w:pStyle w:val="BodyA"/>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CpG</w:t>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t>Genomic locus where a cytosine base lies adjacent to a Guanine base, connected by a phosphate group</w:t>
      </w:r>
    </w:p>
    <w:p w14:paraId="37658C7D"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CV</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Coefficient of Variation</w:t>
      </w:r>
    </w:p>
    <w:p w14:paraId="4DCB6B67" w14:textId="7FC64966"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DMPs</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Differential</w:t>
      </w:r>
      <w:r>
        <w:rPr>
          <w:rFonts w:ascii="Times New Roman" w:hAnsi="Times New Roman" w:cs="Times New Roman"/>
          <w:sz w:val="20"/>
          <w:szCs w:val="20"/>
          <w:lang w:val="en-GB"/>
        </w:rPr>
        <w:t>ly</w:t>
      </w:r>
      <w:r w:rsidRPr="009C3821">
        <w:rPr>
          <w:rFonts w:ascii="Times New Roman" w:hAnsi="Times New Roman" w:cs="Times New Roman"/>
          <w:sz w:val="20"/>
          <w:szCs w:val="20"/>
          <w:lang w:val="en-GB"/>
        </w:rPr>
        <w:t xml:space="preserve"> </w:t>
      </w:r>
      <w:r>
        <w:rPr>
          <w:rFonts w:ascii="Times New Roman" w:hAnsi="Times New Roman" w:cs="Times New Roman"/>
          <w:sz w:val="20"/>
          <w:szCs w:val="20"/>
          <w:lang w:val="en-GB"/>
        </w:rPr>
        <w:t>M</w:t>
      </w:r>
      <w:r w:rsidRPr="009C3821">
        <w:rPr>
          <w:rFonts w:ascii="Times New Roman" w:hAnsi="Times New Roman" w:cs="Times New Roman"/>
          <w:sz w:val="20"/>
          <w:szCs w:val="20"/>
          <w:lang w:val="en-GB"/>
        </w:rPr>
        <w:t>ethylat</w:t>
      </w:r>
      <w:r>
        <w:rPr>
          <w:rFonts w:ascii="Times New Roman" w:hAnsi="Times New Roman" w:cs="Times New Roman"/>
          <w:sz w:val="20"/>
          <w:szCs w:val="20"/>
          <w:lang w:val="en-GB"/>
        </w:rPr>
        <w:t>ed</w:t>
      </w:r>
      <w:r w:rsidRPr="009C3821">
        <w:rPr>
          <w:rFonts w:ascii="Times New Roman" w:hAnsi="Times New Roman" w:cs="Times New Roman"/>
          <w:sz w:val="20"/>
          <w:szCs w:val="20"/>
          <w:lang w:val="en-GB"/>
        </w:rPr>
        <w:t xml:space="preserve"> Positions </w:t>
      </w:r>
    </w:p>
    <w:p w14:paraId="0FE44003"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DMR</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Differentially Methylated Regions </w:t>
      </w:r>
    </w:p>
    <w:p w14:paraId="427874A7"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DNAm</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DNA Methylation </w:t>
      </w:r>
    </w:p>
    <w:p w14:paraId="22200209" w14:textId="74FAB8D3"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DOHaD</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Pr>
          <w:rFonts w:ascii="Times New Roman" w:hAnsi="Times New Roman" w:cs="Times New Roman"/>
          <w:sz w:val="20"/>
          <w:szCs w:val="20"/>
          <w:lang w:val="en-GB"/>
        </w:rPr>
        <w:tab/>
      </w:r>
      <w:r w:rsidRPr="009C3821">
        <w:rPr>
          <w:rFonts w:ascii="Times New Roman" w:hAnsi="Times New Roman" w:cs="Times New Roman"/>
          <w:sz w:val="20"/>
          <w:szCs w:val="20"/>
          <w:lang w:val="en-GB"/>
        </w:rPr>
        <w:t xml:space="preserve">Developmental Origins of Health and Disease </w:t>
      </w:r>
    </w:p>
    <w:p w14:paraId="40FAE52B" w14:textId="519170B6"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EMPHASIS</w:t>
      </w:r>
      <w:r w:rsidRPr="009C3821">
        <w:rPr>
          <w:rFonts w:ascii="Times New Roman" w:hAnsi="Times New Roman" w:cs="Times New Roman"/>
          <w:sz w:val="20"/>
          <w:szCs w:val="20"/>
          <w:lang w:val="en-GB"/>
        </w:rPr>
        <w:tab/>
      </w:r>
      <w:r>
        <w:rPr>
          <w:rFonts w:ascii="Times New Roman" w:hAnsi="Times New Roman" w:cs="Times New Roman"/>
          <w:sz w:val="20"/>
          <w:szCs w:val="20"/>
          <w:lang w:val="en-GB"/>
        </w:rPr>
        <w:tab/>
      </w:r>
      <w:r w:rsidRPr="009C3821">
        <w:rPr>
          <w:rFonts w:ascii="Times New Roman" w:hAnsi="Times New Roman" w:cs="Times New Roman"/>
          <w:sz w:val="20"/>
          <w:szCs w:val="20"/>
          <w:lang w:val="en-GB"/>
        </w:rPr>
        <w:t xml:space="preserve">Epigenetic Mechanisms linking Pre-conceptional nutrition and Health Assessed in India and Sub- Saharan Africa </w:t>
      </w:r>
    </w:p>
    <w:p w14:paraId="74366A8D" w14:textId="77777777" w:rsidR="009C3821" w:rsidRPr="009C3821" w:rsidRDefault="009C3821" w:rsidP="009C3821">
      <w:pPr>
        <w:pStyle w:val="BodyA"/>
        <w:spacing w:line="360" w:lineRule="auto"/>
        <w:rPr>
          <w:rFonts w:ascii="Times New Roman" w:hAnsi="Times New Roman" w:cs="Times New Roman"/>
          <w:sz w:val="20"/>
          <w:szCs w:val="20"/>
          <w:lang w:val="en-GB"/>
        </w:rPr>
      </w:pPr>
      <w:proofErr w:type="spellStart"/>
      <w:r w:rsidRPr="009C3821">
        <w:rPr>
          <w:rFonts w:ascii="Times New Roman" w:hAnsi="Times New Roman" w:cs="Times New Roman"/>
          <w:sz w:val="20"/>
          <w:szCs w:val="20"/>
          <w:lang w:val="en-GB"/>
        </w:rPr>
        <w:t>eQTL</w:t>
      </w:r>
      <w:proofErr w:type="spellEnd"/>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Expression Quantitative trait loci</w:t>
      </w:r>
    </w:p>
    <w:p w14:paraId="66A28B72"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EWAS</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Epigenome Wide Association Study</w:t>
      </w:r>
    </w:p>
    <w:p w14:paraId="04CC87BC"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FDR</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False Discovery Rate</w:t>
      </w:r>
    </w:p>
    <w:p w14:paraId="357FD951"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GDM</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Gestational Diabetes Mellitus</w:t>
      </w:r>
    </w:p>
    <w:p w14:paraId="04C0BDBD" w14:textId="2463D291"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GEM</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Gene Environment </w:t>
      </w:r>
      <w:r w:rsidR="00681345">
        <w:rPr>
          <w:rFonts w:ascii="Times New Roman" w:hAnsi="Times New Roman" w:cs="Times New Roman"/>
          <w:sz w:val="20"/>
          <w:szCs w:val="20"/>
          <w:lang w:val="en-GB"/>
        </w:rPr>
        <w:t xml:space="preserve">and </w:t>
      </w:r>
      <w:r w:rsidRPr="009C3821">
        <w:rPr>
          <w:rFonts w:ascii="Times New Roman" w:hAnsi="Times New Roman" w:cs="Times New Roman"/>
          <w:sz w:val="20"/>
          <w:szCs w:val="20"/>
          <w:lang w:val="en-GB"/>
        </w:rPr>
        <w:t xml:space="preserve">Methylation </w:t>
      </w:r>
    </w:p>
    <w:p w14:paraId="713BAFCF"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GSA</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Global Screening Array </w:t>
      </w:r>
    </w:p>
    <w:p w14:paraId="19D4823A"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GWAS</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Genome Wide Association Study</w:t>
      </w:r>
    </w:p>
    <w:p w14:paraId="08949F73"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H3K27Ac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Mono-acylation at the 27th lysine residue of the histone H3 protein </w:t>
      </w:r>
    </w:p>
    <w:p w14:paraId="48B5B0FB"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H3K4Me1</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Mono-methylation at the 4th lysine residue of the histone H3 protein </w:t>
      </w:r>
    </w:p>
    <w:p w14:paraId="7D535B7B"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H3K4Me3</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Tri-methylation at the 4th lysine residue of the histone H3 protein </w:t>
      </w:r>
    </w:p>
    <w:p w14:paraId="01E976C6"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HWE</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Hardy Weinberg Equilibrium</w:t>
      </w:r>
    </w:p>
    <w:p w14:paraId="747E2B6B"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ICRs</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Imprinting Control Regions</w:t>
      </w:r>
    </w:p>
    <w:p w14:paraId="2754AF7F"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IQR</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Inter Quartile Range </w:t>
      </w:r>
    </w:p>
    <w:p w14:paraId="76DD5CD9"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ISVA</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Independent Surrogate Variable Analysis </w:t>
      </w:r>
    </w:p>
    <w:p w14:paraId="253FD623" w14:textId="6FA1ACD4"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LD</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Linkage Disequilibrium</w:t>
      </w:r>
    </w:p>
    <w:p w14:paraId="1D06C65F" w14:textId="77777777" w:rsidR="009C3821" w:rsidRPr="009C3821" w:rsidRDefault="009C3821" w:rsidP="009C3821">
      <w:pPr>
        <w:pStyle w:val="BodyA"/>
        <w:spacing w:line="360" w:lineRule="auto"/>
        <w:rPr>
          <w:rFonts w:ascii="Times New Roman" w:hAnsi="Times New Roman" w:cs="Times New Roman"/>
          <w:sz w:val="20"/>
          <w:szCs w:val="20"/>
          <w:lang w:val="en-GB"/>
        </w:rPr>
      </w:pPr>
      <w:proofErr w:type="gramStart"/>
      <w:r w:rsidRPr="009C3821">
        <w:rPr>
          <w:rFonts w:ascii="Times New Roman" w:hAnsi="Times New Roman" w:cs="Times New Roman"/>
          <w:sz w:val="20"/>
          <w:szCs w:val="20"/>
          <w:lang w:val="en-GB"/>
        </w:rPr>
        <w:t>M:F</w:t>
      </w:r>
      <w:proofErr w:type="gramEnd"/>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Male : Female</w:t>
      </w:r>
    </w:p>
    <w:p w14:paraId="27F4F332"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MAF</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Minor Allele Frequency </w:t>
      </w:r>
    </w:p>
    <w:p w14:paraId="7B227FFB"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MEs</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Metastable Epialleles</w:t>
      </w:r>
    </w:p>
    <w:p w14:paraId="7594B093" w14:textId="2870439E"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MMNP</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00D96F4B">
        <w:rPr>
          <w:rFonts w:ascii="Times New Roman" w:hAnsi="Times New Roman" w:cs="Times New Roman"/>
          <w:sz w:val="20"/>
          <w:szCs w:val="20"/>
          <w:lang w:val="en-GB"/>
        </w:rPr>
        <w:tab/>
      </w:r>
      <w:r w:rsidRPr="009C3821">
        <w:rPr>
          <w:rFonts w:ascii="Times New Roman" w:hAnsi="Times New Roman" w:cs="Times New Roman"/>
          <w:sz w:val="20"/>
          <w:szCs w:val="20"/>
          <w:lang w:val="en-GB"/>
        </w:rPr>
        <w:t xml:space="preserve">Mumbai Maternal Nutrition Project </w:t>
      </w:r>
    </w:p>
    <w:p w14:paraId="6446E2EC"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mQTL</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Methylation Quantitative Trait Loci</w:t>
      </w:r>
    </w:p>
    <w:p w14:paraId="0E7C6AC1"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PC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Principal Component</w:t>
      </w:r>
    </w:p>
    <w:p w14:paraId="56181A9F" w14:textId="6E365388"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PMMST</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00D96F4B">
        <w:rPr>
          <w:rFonts w:ascii="Times New Roman" w:hAnsi="Times New Roman" w:cs="Times New Roman"/>
          <w:sz w:val="20"/>
          <w:szCs w:val="20"/>
          <w:lang w:val="en-GB"/>
        </w:rPr>
        <w:tab/>
      </w:r>
      <w:r w:rsidRPr="009C3821">
        <w:rPr>
          <w:rFonts w:ascii="Times New Roman" w:hAnsi="Times New Roman" w:cs="Times New Roman"/>
          <w:sz w:val="20"/>
          <w:szCs w:val="20"/>
          <w:lang w:val="en-GB"/>
        </w:rPr>
        <w:t xml:space="preserve">Periconceptional Multiple Micronutrient Supplementation Trial </w:t>
      </w:r>
    </w:p>
    <w:p w14:paraId="75C21B8D"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lastRenderedPageBreak/>
        <w:t>QC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Quality Control </w:t>
      </w:r>
    </w:p>
    <w:p w14:paraId="32A7EF9A"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QQ</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Quantile </w:t>
      </w:r>
      <w:proofErr w:type="spellStart"/>
      <w:r w:rsidRPr="009C3821">
        <w:rPr>
          <w:rFonts w:ascii="Times New Roman" w:hAnsi="Times New Roman" w:cs="Times New Roman"/>
          <w:sz w:val="20"/>
          <w:szCs w:val="20"/>
          <w:lang w:val="en-GB"/>
        </w:rPr>
        <w:t>Quantile</w:t>
      </w:r>
      <w:proofErr w:type="spellEnd"/>
      <w:r w:rsidRPr="009C3821">
        <w:rPr>
          <w:rFonts w:ascii="Times New Roman" w:hAnsi="Times New Roman" w:cs="Times New Roman"/>
          <w:sz w:val="20"/>
          <w:szCs w:val="20"/>
          <w:lang w:val="en-GB"/>
        </w:rPr>
        <w:t xml:space="preserve"> </w:t>
      </w:r>
    </w:p>
    <w:p w14:paraId="6F9FB8B1"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R</w:t>
      </w:r>
      <w:r w:rsidRPr="00D96F4B">
        <w:rPr>
          <w:rFonts w:ascii="Times New Roman" w:hAnsi="Times New Roman" w:cs="Times New Roman"/>
          <w:sz w:val="20"/>
          <w:szCs w:val="20"/>
          <w:vertAlign w:val="superscript"/>
          <w:lang w:val="en-GB"/>
        </w:rPr>
        <w:t>2</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Coefficient of Determination</w:t>
      </w:r>
    </w:p>
    <w:p w14:paraId="5D7D3EA8"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RCT</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Randomised Controlled Trial</w:t>
      </w:r>
    </w:p>
    <w:p w14:paraId="28D9A3A6"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RNI</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Reference Nutrient Intake</w:t>
      </w:r>
    </w:p>
    <w:p w14:paraId="4067F15E"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SLK</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Stouffer-Liptak-</w:t>
      </w:r>
      <w:proofErr w:type="spellStart"/>
      <w:r w:rsidRPr="009C3821">
        <w:rPr>
          <w:rFonts w:ascii="Times New Roman" w:hAnsi="Times New Roman" w:cs="Times New Roman"/>
          <w:sz w:val="20"/>
          <w:szCs w:val="20"/>
          <w:lang w:val="en-GB"/>
        </w:rPr>
        <w:t>Kechris</w:t>
      </w:r>
      <w:proofErr w:type="spellEnd"/>
      <w:r w:rsidRPr="009C3821">
        <w:rPr>
          <w:rFonts w:ascii="Times New Roman" w:hAnsi="Times New Roman" w:cs="Times New Roman"/>
          <w:sz w:val="20"/>
          <w:szCs w:val="20"/>
          <w:lang w:val="en-GB"/>
        </w:rPr>
        <w:t xml:space="preserve"> </w:t>
      </w:r>
    </w:p>
    <w:p w14:paraId="6EA389B9"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SoC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Season of Conception</w:t>
      </w:r>
    </w:p>
    <w:p w14:paraId="12E7719A"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SVA</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Surrogate Variable Analysis</w:t>
      </w:r>
    </w:p>
    <w:p w14:paraId="53FDC9EE"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TF</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Transcriptional Factor </w:t>
      </w:r>
    </w:p>
    <w:p w14:paraId="4A389703"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TSS</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Transcription start site</w:t>
      </w:r>
    </w:p>
    <w:p w14:paraId="780628FA"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UKBB</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 xml:space="preserve">United Kingdom Biobank </w:t>
      </w:r>
    </w:p>
    <w:p w14:paraId="1F5EE553"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UNIMMAP</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United Nations International Multiple Micronutrient Preparation</w:t>
      </w:r>
    </w:p>
    <w:p w14:paraId="16906737" w14:textId="7FB63636"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UCSC</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University of California, Santa Cruz</w:t>
      </w:r>
    </w:p>
    <w:p w14:paraId="3CD45616" w14:textId="77777777" w:rsidR="009C3821" w:rsidRP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UTR</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Untranslated region</w:t>
      </w:r>
    </w:p>
    <w:p w14:paraId="5DBD380C" w14:textId="46B27435" w:rsidR="009C3821" w:rsidRDefault="009C3821" w:rsidP="009C3821">
      <w:pPr>
        <w:pStyle w:val="BodyA"/>
        <w:spacing w:line="360" w:lineRule="auto"/>
        <w:rPr>
          <w:rFonts w:ascii="Times New Roman" w:hAnsi="Times New Roman" w:cs="Times New Roman"/>
          <w:sz w:val="20"/>
          <w:szCs w:val="20"/>
          <w:lang w:val="en-GB"/>
        </w:rPr>
      </w:pPr>
      <w:r w:rsidRPr="009C3821">
        <w:rPr>
          <w:rFonts w:ascii="Times New Roman" w:hAnsi="Times New Roman" w:cs="Times New Roman"/>
          <w:sz w:val="20"/>
          <w:szCs w:val="20"/>
          <w:lang w:val="en-GB"/>
        </w:rPr>
        <w:t>Wb</w:t>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r>
      <w:r w:rsidRPr="009C3821">
        <w:rPr>
          <w:rFonts w:ascii="Times New Roman" w:hAnsi="Times New Roman" w:cs="Times New Roman"/>
          <w:sz w:val="20"/>
          <w:szCs w:val="20"/>
          <w:lang w:val="en-GB"/>
        </w:rPr>
        <w:tab/>
        <w:t>Whole blood</w:t>
      </w:r>
    </w:p>
    <w:p w14:paraId="0CC02F70" w14:textId="77777777" w:rsidR="00A41B46" w:rsidRDefault="00A41B46" w:rsidP="00A41B46">
      <w:pPr>
        <w:pStyle w:val="BodyA"/>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WHO</w:t>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t>World Health Organization</w:t>
      </w:r>
    </w:p>
    <w:p w14:paraId="540ED0C1" w14:textId="576B567A" w:rsidR="00A53198" w:rsidRDefault="00A53198" w:rsidP="009C3821">
      <w:pPr>
        <w:pStyle w:val="BodyA"/>
        <w:spacing w:line="360" w:lineRule="auto"/>
        <w:rPr>
          <w:rFonts w:ascii="Times New Roman" w:hAnsi="Times New Roman" w:cs="Times New Roman"/>
          <w:sz w:val="20"/>
          <w:szCs w:val="20"/>
          <w:lang w:val="en-GB"/>
        </w:rPr>
      </w:pPr>
    </w:p>
    <w:p w14:paraId="4BE16268" w14:textId="03776AD5" w:rsidR="00A53198" w:rsidRPr="005A28F5" w:rsidRDefault="00A53198" w:rsidP="009C3821">
      <w:pPr>
        <w:pStyle w:val="BodyA"/>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Short running head: EMPHASIS study nutritional intervention EWAS</w:t>
      </w:r>
    </w:p>
    <w:p w14:paraId="203DF06B" w14:textId="77777777" w:rsidR="00A00F4A" w:rsidRDefault="00A00F4A" w:rsidP="00A00F4A">
      <w:pPr>
        <w:pBdr>
          <w:top w:val="nil"/>
          <w:left w:val="nil"/>
          <w:bottom w:val="nil"/>
          <w:right w:val="nil"/>
          <w:between w:val="nil"/>
          <w:bar w:val="nil"/>
        </w:pBdr>
        <w:rPr>
          <w:rFonts w:eastAsia="Arial Unicode MS"/>
          <w:color w:val="000000"/>
          <w:sz w:val="40"/>
          <w:szCs w:val="40"/>
          <w:u w:color="808080"/>
          <w:bdr w:val="nil"/>
          <w:lang w:eastAsia="en-GB"/>
        </w:rPr>
      </w:pPr>
    </w:p>
    <w:p w14:paraId="538AEBDE" w14:textId="77777777" w:rsidR="00A53198" w:rsidRDefault="00A53198" w:rsidP="00A00F4A">
      <w:pPr>
        <w:pBdr>
          <w:top w:val="nil"/>
          <w:left w:val="nil"/>
          <w:bottom w:val="nil"/>
          <w:right w:val="nil"/>
          <w:between w:val="nil"/>
          <w:bar w:val="nil"/>
        </w:pBdr>
        <w:rPr>
          <w:rFonts w:eastAsia="Arial Unicode MS"/>
          <w:color w:val="000000"/>
          <w:sz w:val="40"/>
          <w:szCs w:val="40"/>
          <w:u w:color="808080"/>
          <w:bdr w:val="nil"/>
          <w:lang w:eastAsia="en-GB"/>
        </w:rPr>
      </w:pPr>
    </w:p>
    <w:p w14:paraId="7831F2FB" w14:textId="3E36B357" w:rsidR="00A53198" w:rsidRPr="005A28F5" w:rsidRDefault="00A53198" w:rsidP="00A00F4A">
      <w:pPr>
        <w:pBdr>
          <w:top w:val="nil"/>
          <w:left w:val="nil"/>
          <w:bottom w:val="nil"/>
          <w:right w:val="nil"/>
          <w:between w:val="nil"/>
          <w:bar w:val="nil"/>
        </w:pBdr>
        <w:rPr>
          <w:rFonts w:eastAsia="Arial Unicode MS"/>
          <w:color w:val="000000"/>
          <w:sz w:val="40"/>
          <w:szCs w:val="40"/>
          <w:u w:color="808080"/>
          <w:bdr w:val="nil"/>
          <w:lang w:eastAsia="en-GB"/>
        </w:rPr>
        <w:sectPr w:rsidR="00A53198" w:rsidRPr="005A28F5" w:rsidSect="00487097">
          <w:headerReference w:type="even" r:id="rId10"/>
          <w:headerReference w:type="default" r:id="rId11"/>
          <w:footerReference w:type="even" r:id="rId12"/>
          <w:footerReference w:type="default" r:id="rId13"/>
          <w:headerReference w:type="first" r:id="rId14"/>
          <w:footerReference w:type="first" r:id="rId15"/>
          <w:pgSz w:w="11900" w:h="16840"/>
          <w:pgMar w:top="852" w:right="1440" w:bottom="712" w:left="1440" w:header="720" w:footer="720" w:gutter="0"/>
          <w:cols w:space="720"/>
          <w:docGrid w:linePitch="360"/>
        </w:sectPr>
      </w:pPr>
    </w:p>
    <w:p w14:paraId="77366BE0" w14:textId="44C0537A" w:rsidR="00C83FE4" w:rsidRPr="005A28F5" w:rsidRDefault="00C83FE4" w:rsidP="00C83FE4">
      <w:pPr>
        <w:pStyle w:val="BodyA"/>
        <w:spacing w:line="360" w:lineRule="auto"/>
        <w:outlineLvl w:val="0"/>
        <w:rPr>
          <w:rFonts w:ascii="Times New Roman" w:eastAsia="Arial" w:hAnsi="Times New Roman" w:cs="Times New Roman"/>
          <w:sz w:val="40"/>
          <w:szCs w:val="40"/>
          <w:u w:color="808080"/>
          <w:lang w:val="en-GB"/>
        </w:rPr>
      </w:pPr>
      <w:r w:rsidRPr="005A28F5">
        <w:rPr>
          <w:rFonts w:ascii="Times New Roman" w:hAnsi="Times New Roman" w:cs="Times New Roman"/>
          <w:sz w:val="40"/>
          <w:szCs w:val="40"/>
          <w:u w:color="808080"/>
          <w:lang w:val="en-GB"/>
        </w:rPr>
        <w:lastRenderedPageBreak/>
        <w:t>Abstract</w:t>
      </w:r>
    </w:p>
    <w:p w14:paraId="7DD556A6" w14:textId="77777777" w:rsidR="00C83FE4" w:rsidRPr="005A28F5" w:rsidRDefault="00C83FE4" w:rsidP="00C83FE4">
      <w:pPr>
        <w:pStyle w:val="BodyA"/>
        <w:spacing w:line="360" w:lineRule="auto"/>
        <w:outlineLvl w:val="2"/>
        <w:rPr>
          <w:rFonts w:ascii="Times New Roman" w:hAnsi="Times New Roman" w:cs="Times New Roman"/>
          <w:sz w:val="24"/>
          <w:szCs w:val="24"/>
          <w:lang w:val="en-GB"/>
        </w:rPr>
      </w:pPr>
      <w:r w:rsidRPr="005A28F5">
        <w:rPr>
          <w:rFonts w:ascii="Times New Roman" w:hAnsi="Times New Roman" w:cs="Times New Roman"/>
          <w:b/>
          <w:bCs/>
          <w:sz w:val="24"/>
          <w:szCs w:val="24"/>
          <w:lang w:val="en-GB"/>
        </w:rPr>
        <w:t xml:space="preserve">Background: </w:t>
      </w:r>
      <w:r w:rsidRPr="005A28F5">
        <w:rPr>
          <w:rFonts w:ascii="Times New Roman" w:hAnsi="Times New Roman" w:cs="Times New Roman"/>
          <w:sz w:val="24"/>
          <w:szCs w:val="24"/>
          <w:lang w:val="en-GB"/>
        </w:rPr>
        <w:t xml:space="preserve">Maternal nutrition in pregnancy has been linked to offspring health in early and later life, with changes to DNA methylation (DNAm) proposed as a mediating mechanism. </w:t>
      </w:r>
    </w:p>
    <w:p w14:paraId="7C6A1C41" w14:textId="77777777" w:rsidR="00C83FE4" w:rsidRPr="005A28F5" w:rsidRDefault="00C83FE4" w:rsidP="00C83FE4">
      <w:pPr>
        <w:pStyle w:val="BodyA"/>
        <w:spacing w:line="360" w:lineRule="auto"/>
        <w:outlineLvl w:val="2"/>
        <w:rPr>
          <w:rFonts w:ascii="Times New Roman" w:hAnsi="Times New Roman" w:cs="Times New Roman"/>
          <w:sz w:val="24"/>
          <w:szCs w:val="24"/>
          <w:lang w:val="en-GB"/>
        </w:rPr>
      </w:pPr>
      <w:r w:rsidRPr="005A28F5">
        <w:rPr>
          <w:rFonts w:ascii="Times New Roman" w:hAnsi="Times New Roman" w:cs="Times New Roman"/>
          <w:b/>
          <w:bCs/>
          <w:sz w:val="24"/>
          <w:szCs w:val="24"/>
          <w:lang w:val="en-GB"/>
        </w:rPr>
        <w:t xml:space="preserve">Objective: </w:t>
      </w:r>
      <w:r w:rsidRPr="005A28F5">
        <w:rPr>
          <w:rFonts w:ascii="Times New Roman" w:hAnsi="Times New Roman" w:cs="Times New Roman"/>
          <w:sz w:val="24"/>
          <w:szCs w:val="24"/>
          <w:lang w:val="en-GB"/>
        </w:rPr>
        <w:t xml:space="preserve">We investigated intervention-associated DNAm changes in children whose mothers participated in two randomised controlled trials of micronutrient supplementation before and during pregnancy, as part of the </w:t>
      </w:r>
      <w:r w:rsidRPr="00A83F3A">
        <w:rPr>
          <w:rFonts w:ascii="Times New Roman" w:hAnsi="Times New Roman" w:cs="Times New Roman"/>
          <w:sz w:val="24"/>
          <w:szCs w:val="24"/>
          <w:lang w:val="en-GB"/>
        </w:rPr>
        <w:t xml:space="preserve">EMPHASIS (Epigenetic Mechanisms linking Preconceptional nutrition and Health </w:t>
      </w:r>
      <w:proofErr w:type="spellStart"/>
      <w:r w:rsidRPr="00A83F3A">
        <w:rPr>
          <w:rFonts w:ascii="Times New Roman" w:hAnsi="Times New Roman" w:cs="Times New Roman"/>
          <w:sz w:val="24"/>
          <w:szCs w:val="24"/>
          <w:lang w:val="en-GB"/>
        </w:rPr>
        <w:t>ASsessed</w:t>
      </w:r>
      <w:proofErr w:type="spellEnd"/>
      <w:r w:rsidRPr="00A83F3A">
        <w:rPr>
          <w:rFonts w:ascii="Times New Roman" w:hAnsi="Times New Roman" w:cs="Times New Roman"/>
          <w:sz w:val="24"/>
          <w:szCs w:val="24"/>
          <w:lang w:val="en-GB"/>
        </w:rPr>
        <w:t xml:space="preserve"> in India and sub-Saharan Africa) Study (ISRCTN14266771).</w:t>
      </w:r>
    </w:p>
    <w:p w14:paraId="0DCAF6DB" w14:textId="77777777" w:rsidR="00C83FE4" w:rsidRPr="005A28F5" w:rsidRDefault="00C83FE4" w:rsidP="00C83FE4">
      <w:pPr>
        <w:pStyle w:val="BodyA"/>
        <w:spacing w:line="360" w:lineRule="auto"/>
        <w:outlineLvl w:val="2"/>
        <w:rPr>
          <w:rFonts w:ascii="Times New Roman" w:hAnsi="Times New Roman" w:cs="Times New Roman"/>
          <w:sz w:val="24"/>
          <w:szCs w:val="24"/>
          <w:lang w:val="en-GB"/>
        </w:rPr>
      </w:pPr>
      <w:r w:rsidRPr="005A28F5">
        <w:rPr>
          <w:rFonts w:ascii="Times New Roman" w:hAnsi="Times New Roman" w:cs="Times New Roman"/>
          <w:b/>
          <w:bCs/>
          <w:sz w:val="24"/>
          <w:szCs w:val="24"/>
          <w:lang w:val="en-GB"/>
        </w:rPr>
        <w:t xml:space="preserve">Design: </w:t>
      </w:r>
      <w:r w:rsidRPr="005A28F5">
        <w:rPr>
          <w:rFonts w:ascii="Times New Roman" w:hAnsi="Times New Roman" w:cs="Times New Roman"/>
          <w:sz w:val="24"/>
          <w:szCs w:val="24"/>
          <w:lang w:val="en-GB"/>
        </w:rPr>
        <w:t>We conducted epigenome-wide association studies with blood samples from Indian (n = 698) and Gambian (n = 293) children using the Illumina EPIC array, and a targeted study of selected loci not on the array. The Indian micronutrient intervention was food-based whereas the Gambian intervention was a micronutrient tablet.</w:t>
      </w:r>
    </w:p>
    <w:p w14:paraId="3E6CF22C" w14:textId="6C628F7B" w:rsidR="00C83FE4" w:rsidRPr="005A28F5" w:rsidRDefault="00C83FE4" w:rsidP="00C83FE4">
      <w:pPr>
        <w:pStyle w:val="BodyA"/>
        <w:spacing w:line="360" w:lineRule="auto"/>
        <w:outlineLvl w:val="2"/>
        <w:rPr>
          <w:rFonts w:ascii="Times New Roman" w:hAnsi="Times New Roman" w:cs="Times New Roman"/>
          <w:sz w:val="24"/>
          <w:lang w:val="en-GB"/>
        </w:rPr>
      </w:pPr>
      <w:r w:rsidRPr="005A28F5">
        <w:rPr>
          <w:rFonts w:ascii="Times New Roman" w:hAnsi="Times New Roman" w:cs="Times New Roman"/>
          <w:b/>
          <w:bCs/>
          <w:sz w:val="24"/>
          <w:szCs w:val="24"/>
          <w:lang w:val="en-GB"/>
        </w:rPr>
        <w:t xml:space="preserve">Results: </w:t>
      </w:r>
      <w:r w:rsidRPr="005A28F5">
        <w:rPr>
          <w:rFonts w:ascii="Times New Roman" w:hAnsi="Times New Roman" w:cs="Times New Roman"/>
          <w:sz w:val="24"/>
          <w:szCs w:val="24"/>
          <w:lang w:val="en-GB"/>
        </w:rPr>
        <w:t xml:space="preserve">We identified 6 differentially methylated CpGs in Gambians (2.5 - 5.0% reduction in intervention group, all FDR &lt; 5%), the majority mapping to </w:t>
      </w:r>
      <w:r w:rsidRPr="005A28F5">
        <w:rPr>
          <w:rFonts w:ascii="Times New Roman" w:hAnsi="Times New Roman" w:cs="Times New Roman"/>
          <w:i/>
          <w:sz w:val="24"/>
          <w:szCs w:val="24"/>
          <w:lang w:val="en-GB"/>
        </w:rPr>
        <w:t>ESM1</w:t>
      </w:r>
      <w:r w:rsidRPr="005A28F5">
        <w:rPr>
          <w:rFonts w:ascii="Times New Roman" w:hAnsi="Times New Roman" w:cs="Times New Roman"/>
          <w:sz w:val="24"/>
          <w:szCs w:val="24"/>
          <w:lang w:val="en-GB"/>
        </w:rPr>
        <w:t xml:space="preserve"> which </w:t>
      </w:r>
      <w:r w:rsidR="00E85E86">
        <w:rPr>
          <w:rFonts w:ascii="Times New Roman" w:hAnsi="Times New Roman" w:cs="Times New Roman"/>
          <w:sz w:val="24"/>
          <w:szCs w:val="24"/>
          <w:lang w:val="en-GB"/>
        </w:rPr>
        <w:t xml:space="preserve">also </w:t>
      </w:r>
      <w:r w:rsidRPr="005A28F5">
        <w:rPr>
          <w:rFonts w:ascii="Times New Roman" w:hAnsi="Times New Roman" w:cs="Times New Roman"/>
          <w:sz w:val="24"/>
          <w:szCs w:val="24"/>
          <w:lang w:val="en-GB"/>
        </w:rPr>
        <w:t>represented a strong signal</w:t>
      </w:r>
      <w:r w:rsidR="00E85E86">
        <w:rPr>
          <w:rFonts w:ascii="Times New Roman" w:hAnsi="Times New Roman" w:cs="Times New Roman"/>
          <w:sz w:val="24"/>
          <w:szCs w:val="24"/>
          <w:lang w:val="en-GB"/>
        </w:rPr>
        <w:t xml:space="preserve"> in regional analysis</w:t>
      </w:r>
      <w:r w:rsidRPr="005A28F5">
        <w:rPr>
          <w:rFonts w:ascii="Times New Roman" w:hAnsi="Times New Roman" w:cs="Times New Roman"/>
          <w:sz w:val="24"/>
          <w:szCs w:val="24"/>
          <w:lang w:val="en-GB"/>
        </w:rPr>
        <w:t xml:space="preserve">. </w:t>
      </w:r>
      <w:r w:rsidRPr="005A28F5">
        <w:rPr>
          <w:rFonts w:ascii="Times New Roman" w:hAnsi="Times New Roman" w:cs="Times New Roman"/>
          <w:color w:val="000000" w:themeColor="text1"/>
          <w:sz w:val="24"/>
          <w:szCs w:val="24"/>
          <w:lang w:val="en-GB"/>
        </w:rPr>
        <w:t xml:space="preserve">One CpG passed FDR &lt; 5% in the Indian cohort but overall </w:t>
      </w:r>
      <w:r w:rsidRPr="005A28F5">
        <w:rPr>
          <w:rFonts w:ascii="Times New Roman" w:hAnsi="Times New Roman" w:cs="Times New Roman"/>
          <w:sz w:val="24"/>
          <w:lang w:val="en-GB"/>
        </w:rPr>
        <w:t xml:space="preserve">effect sizes were small (&lt; 1 %) and did not have the characteristics of a robust signature. </w:t>
      </w:r>
      <w:r>
        <w:rPr>
          <w:rFonts w:ascii="Times New Roman" w:hAnsi="Times New Roman" w:cs="Times New Roman"/>
          <w:sz w:val="24"/>
          <w:lang w:val="en-GB"/>
        </w:rPr>
        <w:t xml:space="preserve">We also found strong evidence for enrichment of metastable </w:t>
      </w:r>
      <w:proofErr w:type="spellStart"/>
      <w:r>
        <w:rPr>
          <w:rFonts w:ascii="Times New Roman" w:hAnsi="Times New Roman" w:cs="Times New Roman"/>
          <w:sz w:val="24"/>
          <w:lang w:val="en-GB"/>
        </w:rPr>
        <w:t>epialelles</w:t>
      </w:r>
      <w:proofErr w:type="spellEnd"/>
      <w:r>
        <w:rPr>
          <w:rFonts w:ascii="Times New Roman" w:hAnsi="Times New Roman" w:cs="Times New Roman"/>
          <w:sz w:val="24"/>
          <w:lang w:val="en-GB"/>
        </w:rPr>
        <w:t xml:space="preserve"> amongst sub-threshold signals in the Gambian analysis. This supports the notion that multiple methylation loci are influenced by micronutrient supplementation in the early embryo.</w:t>
      </w:r>
    </w:p>
    <w:p w14:paraId="749347D1" w14:textId="3E9E20EE" w:rsidR="00C83FE4" w:rsidRPr="005A28F5" w:rsidRDefault="00C83FE4" w:rsidP="00C83FE4">
      <w:pPr>
        <w:pStyle w:val="BodyA"/>
        <w:spacing w:line="360" w:lineRule="auto"/>
        <w:outlineLvl w:val="2"/>
        <w:rPr>
          <w:rFonts w:ascii="Times New Roman" w:eastAsia="Cambria" w:hAnsi="Times New Roman" w:cs="Times New Roman"/>
          <w:sz w:val="24"/>
          <w:szCs w:val="24"/>
          <w:lang w:val="en-GB"/>
        </w:rPr>
      </w:pPr>
      <w:r w:rsidRPr="005A28F5">
        <w:rPr>
          <w:rFonts w:ascii="Times New Roman" w:hAnsi="Times New Roman" w:cs="Times New Roman"/>
          <w:b/>
          <w:bCs/>
          <w:sz w:val="24"/>
          <w:lang w:val="en-GB"/>
        </w:rPr>
        <w:t xml:space="preserve">Conclusions: </w:t>
      </w:r>
      <w:r w:rsidRPr="00C83FE4">
        <w:rPr>
          <w:rFonts w:ascii="Times New Roman" w:hAnsi="Times New Roman" w:cs="Times New Roman"/>
          <w:sz w:val="24"/>
          <w:lang w:val="en-GB"/>
        </w:rPr>
        <w:t>Maternal preconceptional and pregnancy</w:t>
      </w:r>
      <w:r>
        <w:rPr>
          <w:rFonts w:ascii="Times New Roman" w:hAnsi="Times New Roman" w:cs="Times New Roman"/>
          <w:b/>
          <w:bCs/>
          <w:sz w:val="24"/>
          <w:lang w:val="en-GB"/>
        </w:rPr>
        <w:t xml:space="preserve"> </w:t>
      </w:r>
      <w:r>
        <w:rPr>
          <w:rFonts w:ascii="Times New Roman" w:hAnsi="Times New Roman" w:cs="Times New Roman"/>
          <w:sz w:val="24"/>
          <w:szCs w:val="24"/>
          <w:lang w:val="en-GB"/>
        </w:rPr>
        <w:t>m</w:t>
      </w:r>
      <w:r w:rsidRPr="005A28F5">
        <w:rPr>
          <w:rFonts w:ascii="Times New Roman" w:hAnsi="Times New Roman" w:cs="Times New Roman"/>
          <w:sz w:val="24"/>
          <w:szCs w:val="24"/>
          <w:lang w:val="en-GB"/>
        </w:rPr>
        <w:t xml:space="preserve">icronutrient supplementation may alter DNAm </w:t>
      </w:r>
      <w:r>
        <w:rPr>
          <w:rFonts w:ascii="Times New Roman" w:hAnsi="Times New Roman" w:cs="Times New Roman"/>
          <w:sz w:val="24"/>
          <w:szCs w:val="24"/>
          <w:lang w:val="en-GB"/>
        </w:rPr>
        <w:t xml:space="preserve">in children </w:t>
      </w:r>
      <w:r w:rsidRPr="005A28F5">
        <w:rPr>
          <w:rFonts w:ascii="Times New Roman" w:hAnsi="Times New Roman" w:cs="Times New Roman"/>
          <w:sz w:val="24"/>
          <w:szCs w:val="24"/>
          <w:lang w:val="en-GB"/>
        </w:rPr>
        <w:t>measured at 7-9 years. Multiple factors including differences between the nature of the intervention</w:t>
      </w:r>
      <w:r>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 xml:space="preserve">participants and settings are likely to have contributed to the </w:t>
      </w:r>
      <w:r>
        <w:rPr>
          <w:rFonts w:ascii="Times New Roman" w:hAnsi="Times New Roman" w:cs="Times New Roman"/>
          <w:sz w:val="24"/>
          <w:szCs w:val="24"/>
          <w:lang w:val="en-GB"/>
        </w:rPr>
        <w:t xml:space="preserve">lack of replication </w:t>
      </w:r>
      <w:r w:rsidRPr="005A28F5">
        <w:rPr>
          <w:rFonts w:ascii="Times New Roman" w:hAnsi="Times New Roman" w:cs="Times New Roman"/>
          <w:sz w:val="24"/>
          <w:szCs w:val="24"/>
          <w:lang w:val="en-GB"/>
        </w:rPr>
        <w:t xml:space="preserve">in the Indian cohort. </w:t>
      </w:r>
      <w:r w:rsidRPr="005A28F5">
        <w:rPr>
          <w:rFonts w:ascii="Times New Roman" w:hAnsi="Times New Roman" w:cs="Times New Roman"/>
          <w:color w:val="000000" w:themeColor="text1"/>
          <w:sz w:val="24"/>
          <w:szCs w:val="24"/>
          <w:lang w:val="en-GB"/>
        </w:rPr>
        <w:t>Potential links to phenotypic outcomes will be explored in the next stage of the EMPHASIS study.</w:t>
      </w:r>
    </w:p>
    <w:p w14:paraId="513701DA" w14:textId="77777777" w:rsidR="00C83FE4" w:rsidRPr="005A28F5" w:rsidRDefault="00C83FE4" w:rsidP="00C83FE4">
      <w:pPr>
        <w:pStyle w:val="BodyA"/>
        <w:spacing w:line="360" w:lineRule="auto"/>
        <w:outlineLvl w:val="0"/>
        <w:rPr>
          <w:rFonts w:ascii="Times New Roman" w:eastAsia="Cambria" w:hAnsi="Times New Roman" w:cs="Times New Roman"/>
          <w:b/>
          <w:bCs/>
          <w:sz w:val="24"/>
          <w:szCs w:val="24"/>
          <w:u w:color="808080"/>
          <w:lang w:val="en-GB"/>
        </w:rPr>
      </w:pPr>
    </w:p>
    <w:p w14:paraId="464EFBCF" w14:textId="4BC54424" w:rsidR="00C83FE4" w:rsidRDefault="00C83FE4" w:rsidP="00C83FE4">
      <w:pPr>
        <w:pStyle w:val="BodyA"/>
        <w:spacing w:line="360" w:lineRule="auto"/>
        <w:outlineLvl w:val="0"/>
        <w:rPr>
          <w:rFonts w:ascii="Times New Roman" w:eastAsia="Cambria" w:hAnsi="Times New Roman" w:cs="Times New Roman"/>
          <w:sz w:val="24"/>
          <w:szCs w:val="24"/>
          <w:u w:color="808080"/>
          <w:lang w:val="en-GB"/>
        </w:rPr>
      </w:pPr>
      <w:r w:rsidRPr="005A28F5">
        <w:rPr>
          <w:rFonts w:ascii="Times New Roman" w:eastAsia="Cambria" w:hAnsi="Times New Roman" w:cs="Times New Roman"/>
          <w:b/>
          <w:bCs/>
          <w:sz w:val="24"/>
          <w:szCs w:val="24"/>
          <w:u w:color="808080"/>
          <w:lang w:val="en-GB"/>
        </w:rPr>
        <w:t xml:space="preserve">Keywords: </w:t>
      </w:r>
      <w:r w:rsidRPr="005A28F5">
        <w:rPr>
          <w:rFonts w:ascii="Times New Roman" w:eastAsia="Cambria" w:hAnsi="Times New Roman" w:cs="Times New Roman"/>
          <w:sz w:val="24"/>
          <w:szCs w:val="24"/>
          <w:u w:color="808080"/>
          <w:lang w:val="en-GB"/>
        </w:rPr>
        <w:t>DNA methylation; micronutrient intervention; epigenetics; epigenome wide association study; DOHaD; RCT</w:t>
      </w:r>
    </w:p>
    <w:p w14:paraId="5D7DEBFA" w14:textId="77777777" w:rsidR="005A28F5" w:rsidRPr="005A28F5" w:rsidRDefault="005A28F5">
      <w:pPr>
        <w:pBdr>
          <w:top w:val="nil"/>
          <w:left w:val="nil"/>
          <w:bottom w:val="nil"/>
          <w:right w:val="nil"/>
          <w:between w:val="nil"/>
          <w:bar w:val="nil"/>
        </w:pBdr>
        <w:rPr>
          <w:rFonts w:eastAsia="Cambria"/>
          <w:color w:val="000000"/>
          <w:u w:color="808080"/>
          <w:bdr w:val="nil"/>
          <w:lang w:eastAsia="en-GB"/>
        </w:rPr>
      </w:pPr>
      <w:r w:rsidRPr="005A28F5">
        <w:rPr>
          <w:rFonts w:eastAsia="Cambria"/>
          <w:u w:color="808080"/>
        </w:rPr>
        <w:br w:type="page"/>
      </w:r>
    </w:p>
    <w:p w14:paraId="24A0CD9A" w14:textId="6514D389" w:rsidR="002F5A59" w:rsidRPr="005A28F5" w:rsidRDefault="002F5A59" w:rsidP="001A64D3">
      <w:pPr>
        <w:pStyle w:val="BodyA"/>
        <w:spacing w:line="360" w:lineRule="auto"/>
        <w:outlineLvl w:val="0"/>
        <w:rPr>
          <w:rFonts w:ascii="Times New Roman" w:hAnsi="Times New Roman" w:cs="Times New Roman"/>
          <w:lang w:val="en-GB"/>
        </w:rPr>
      </w:pPr>
      <w:r w:rsidRPr="005A28F5">
        <w:rPr>
          <w:rFonts w:ascii="Times New Roman" w:hAnsi="Times New Roman" w:cs="Times New Roman"/>
          <w:sz w:val="40"/>
          <w:szCs w:val="40"/>
          <w:u w:color="808080"/>
          <w:lang w:val="en-GB"/>
        </w:rPr>
        <w:lastRenderedPageBreak/>
        <w:t>Introduction</w:t>
      </w:r>
    </w:p>
    <w:p w14:paraId="61DB0E30" w14:textId="20F3EA84" w:rsidR="00E01BB2" w:rsidRPr="005A28F5" w:rsidRDefault="00BC3B0C" w:rsidP="001A64D3">
      <w:pPr>
        <w:pStyle w:val="BodyB"/>
        <w:spacing w:line="360" w:lineRule="auto"/>
        <w:rPr>
          <w:rFonts w:eastAsia="Cambria" w:cs="Times New Roman"/>
          <w:u w:color="0066C5"/>
          <w:lang w:val="en-GB"/>
        </w:rPr>
      </w:pPr>
      <w:r w:rsidRPr="005A28F5">
        <w:rPr>
          <w:rFonts w:cs="Times New Roman"/>
          <w:lang w:val="en-GB"/>
        </w:rPr>
        <w:t xml:space="preserve">Maternal nutrition around the time of conception and throughout pregnancy can influence offspring health across the lifecourse </w:t>
      </w:r>
      <w:r w:rsidR="00024728" w:rsidRPr="005A28F5">
        <w:rPr>
          <w:rFonts w:cs="Times New Roman"/>
          <w:lang w:val="en-GB"/>
        </w:rPr>
        <w:fldChar w:fldCharType="begin" w:fldLock="1"/>
      </w:r>
      <w:r w:rsidR="001754FE">
        <w:rPr>
          <w:rFonts w:cs="Times New Roman"/>
          <w:lang w:val="en-GB"/>
        </w:rPr>
        <w:instrText>ADDIN CSL_CITATION {"citationItems":[{"id":"ITEM-1","itemData":{"DOI":"10.1016/S0140-6736(18)30312-X","ISSN":"01406736","PMID":"29673874","author":[{"dropping-particle":"","family":"Fleming","given":"Tom P","non-dropping-particle":"","parse-names":false,"suffix":""},{"dropping-particle":"","family":"Watkins","given":"Adam J","non-dropping-particle":"","parse-names":false,"suffix":""},{"dropping-particle":"","family":"Velazquez","given":"Miguel A","non-dropping-particle":"","parse-names":false,"suffix":""},{"dropping-particle":"","family":"Mathers","given":"John C","non-dropping-particle":"","parse-names":false,"suffix":""},{"dropping-particle":"","family":"Prentice","given":"Andrew M","non-dropping-particle":"","parse-names":false,"suffix":""},{"dropping-particle":"","family":"Stephenson","given":"Judith","non-dropping-particle":"","parse-names":false,"suffix":""},{"dropping-particle":"","family":"Barker","given":"Mary","non-dropping-particle":"","parse-names":false,"suffix":""},{"dropping-particle":"","family":"Saffery","given":"Richard","non-dropping-particle":"","parse-names":false,"suffix":""},{"dropping-particle":"","family":"Yajnik","given":"Chittaranjan S","non-dropping-particle":"","parse-names":false,"suffix":""},{"dropping-particle":"","family":"Eckert","given":"Judith J","non-dropping-particle":"","parse-names":false,"suffix":""},{"dropping-particle":"","family":"Hanson","given":"Mark A","non-dropping-particle":"","parse-names":false,"suffix":""},{"dropping-particle":"","family":"Forrester","given":"Terrence","non-dropping-particle":"","parse-names":false,"suffix":""},{"dropping-particle":"","family":"Gluckman","given":"Peter D","non-dropping-particle":"","parse-names":false,"suffix":""},{"dropping-particle":"","family":"Godfrey","given":"Keith M","non-dropping-particle":"","parse-names":false,"suffix":""}],"container-title":"The Lancet","id":"ITEM-1","issue":"10132","issued":{"date-parts":[["2018"]]},"page":"1842-1852","publisher":"Elsevier Ltd","title":"Origins of lifetime health around the time of conception: causes and consequences","type":"article-journal","volume":"391"},"uris":["http://www.mendeley.com/documents/?uuid=e50bef8c-f7f3-40ab-8552-2e58f678fe12"]},{"id":"ITEM-2","itemData":{"DOI":"10.1016/S0140-6736(18)30311-8","ISSN":"01406736","PMID":"29673873","abstract":"A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author":[{"dropping-particle":"","family":"Stephenson","given":"Judith","non-dropping-particle":"","parse-names":false,"suffix":""},{"dropping-particle":"","family":"Heslehurst","given":"Nicola","non-dropping-particle":"","parse-names":false,"suffix":""},{"dropping-particle":"","family":"Hall","given":"Jennifer","non-dropping-particle":"","parse-names":false,"suffix":""},{"dropping-particle":"","family":"Schoenaker","given":"Danielle A J M","non-dropping-particle":"","parse-names":false,"suffix":""},{"dropping-particle":"","family":"Hutchinson","given":"Jayne","non-dropping-particle":"","parse-names":false,"suffix":""},{"dropping-particle":"","family":"Cade","given":"Janet E.","non-dropping-particle":"","parse-names":false,"suffix":""},{"dropping-particle":"","family":"Poston","given":"Lucilla","non-dropping-particle":"","parse-names":false,"suffix":""},{"dropping-particle":"","family":"Barrett","given":"Geraldine","non-dropping-particle":"","parse-names":false,"suffix":""},{"dropping-particle":"","family":"Crozier","given":"Sarah R.","non-dropping-particle":"","parse-names":false,"suffix":""},{"dropping-particle":"","family":"Barker","given":"Mary","non-dropping-particle":"","parse-names":false,"suffix":""},{"dropping-particle":"","family":"Kumaran","given":"Kalyanaraman","non-dropping-particle":"","parse-names":false,"suffix":""},{"dropping-particle":"","family":"Yajnik","given":"Chittaranjan S.","non-dropping-particle":"","parse-names":false,"suffix":""},{"dropping-particle":"","family":"Baird","given":"Janis","non-dropping-particle":"","parse-names":false,"suffix":""},{"dropping-particle":"","family":"Mishra","given":"Gita D.","non-dropping-particle":"","parse-names":false,"suffix":""}],"container-title":"The Lancet","id":"ITEM-2","issue":"10132","issued":{"date-parts":[["2018","5"]]},"page":"1830-1841","publisher":"Elsevier Ltd","title":"Before the beginning: nutrition and lifestyle in the preconception period and its importance for future health","type":"article-journal","volume":"391"},"uris":["http://www.mendeley.com/documents/?uuid=fc87b385-a8e1-4fdd-8f74-87cc58750663"]}],"mendeley":{"formattedCitation":"(1,2)","plainTextFormattedCitation":"(1,2)","previouslyFormattedCitation":"(1,2)"},"properties":{"noteIndex":0},"schema":"https://github.com/citation-style-language/schema/raw/master/csl-citation.json"}</w:instrText>
      </w:r>
      <w:r w:rsidR="00024728" w:rsidRPr="005A28F5">
        <w:rPr>
          <w:rFonts w:cs="Times New Roman"/>
          <w:lang w:val="en-GB"/>
        </w:rPr>
        <w:fldChar w:fldCharType="separate"/>
      </w:r>
      <w:r w:rsidR="00453860" w:rsidRPr="00453860">
        <w:rPr>
          <w:rFonts w:cs="Times New Roman"/>
          <w:noProof/>
          <w:lang w:val="en-GB"/>
        </w:rPr>
        <w:t>(1,2)</w:t>
      </w:r>
      <w:r w:rsidR="00024728" w:rsidRPr="005A28F5">
        <w:rPr>
          <w:rFonts w:cs="Times New Roman"/>
          <w:lang w:val="en-GB"/>
        </w:rPr>
        <w:fldChar w:fldCharType="end"/>
      </w:r>
      <w:r w:rsidR="00024728" w:rsidRPr="005A28F5">
        <w:rPr>
          <w:rFonts w:cs="Times New Roman"/>
          <w:lang w:val="en-GB"/>
        </w:rPr>
        <w:t xml:space="preserve">. </w:t>
      </w:r>
      <w:r w:rsidRPr="005A28F5">
        <w:rPr>
          <w:rFonts w:cs="Times New Roman"/>
          <w:lang w:val="en-GB"/>
        </w:rPr>
        <w:t xml:space="preserve">A micronutrient deficient maternal diet has been associated with increased risk of birth defects </w:t>
      </w:r>
      <w:r w:rsidR="00292A6D" w:rsidRPr="005A28F5">
        <w:rPr>
          <w:rFonts w:cs="Times New Roman"/>
          <w:lang w:val="en-GB"/>
        </w:rPr>
        <w:fldChar w:fldCharType="begin" w:fldLock="1"/>
      </w:r>
      <w:r w:rsidR="001754FE">
        <w:rPr>
          <w:rFonts w:cs="Times New Roman"/>
          <w:lang w:val="en-GB"/>
        </w:rPr>
        <w:instrText>ADDIN CSL_CITATION {"citationItems":[{"id":"ITEM-1","itemData":{"DOI":"10.1186/1471-2393-14-166","ISBN":"1471-2393","ISSN":"1471-2393","PMID":"24884885","abstract":"BACKGROUND: In 2010 a Cochrane review confirmed that folic acid (FA) supplementation prevents the first- and second-time occurrence of neural tube defects (NTDs). At present some evidence from observational studies supports the hypothesis that FA supplementation can reduce the risk of all congenital malformations (CMs) or the risk of a specific and selected group of them, namely cardiac defects and oral clefts. Furthermore, the effects on the prevention of prematurity, foetal growth retardation and pre-eclampsia are unclear.Although the most common recommendation is to take 0.4 mg/day, the problem of the most appropriate dose of FA is still open.The aim of this project is to assess the effect a higher dose of peri-conceptional FA supplementation on reducing the occurrence of all CMs. Other aims include the promotion of pre-conceptional counselling, comparing rates of selected CMs, miscarriage, pre-eclampsia, preterm birth, small for gestational age, abruptio placentae.\\n\\nMETHODS/DESIGN: This project is a joint effort by research groups in Italy and the Netherlands. Women of childbearing age, who intend to become pregnant within 12 months are eligible for the studies. Women are randomly assigned to receive 4 mg of FA (treatment in study) or 0.4 mg of FA (referent treatment) daily. Information on pregnancy outcomes are derived from women-and-physician information.We foresee to analyze the data considering all the adverse outcomes of pregnancy taken together in a global end point (e.g.: CMs, miscarriage, pre-eclampsia, preterm birth, small for gestational age). A total of about 1,000 pregnancies need to be evaluated to detect an absolute reduction of the frequency of 8%. Since the sample size needed for studying outcomes separately is large, this project also promotes an international prospective meta-analysis.\\n\\nDISCUSSION: The rationale of these randomized clinical trials (RCTs) is the hypothesis that a higher intake of FA is related to a higher risk reduction of NTDs, other CMs and other adverse pregnancy outcomes. Our hope is that these trials will act as catalysers, and lead to other large RCTs studying the effects of this supplementation on CMs and other infant and maternal outcomes.\\n\\nTRIAL REGISTRATION: Italian trial: ClinicalTrials.gov Identifier: NCT01244347.Dutch trial: Dutch Trial Register ID: NTR3161.","author":[{"dropping-particle":"","family":"Bortolus","given":"Renata","non-dropping-particle":"","parse-names":false,"suffix":""},{"dropping-particle":"","family":"Blom","given":"Fenneke","non-dropping-particle":"","parse-names":false,"suffix":""},{"dropping-particle":"","family":"Filippini","given":"Francesca","non-dropping-particle":"","parse-names":false,"suffix":""},{"dropping-particle":"","family":"Poppel","given":"Mireille N.M.","non-dropping-particle":"van","parse-names":false,"suffix":""},{"dropping-particle":"","family":"Leoncini","given":"Emanuele","non-dropping-particle":"","parse-names":false,"suffix":""},{"dropping-particle":"","family":"Smit","given":"Denhard J.","non-dropping-particle":"de","parse-names":false,"suffix":""},{"dropping-particle":"","family":"Benetollo","given":"Pier Paolo","non-dropping-particle":"","parse-names":false,"suffix":""},{"dropping-particle":"","family":"Cornel","given":"Martina C.","non-dropping-particle":"","parse-names":false,"suffix":""},{"dropping-particle":"","family":"Walle","given":"Hermien E.K.","non-dropping-particle":"de","parse-names":false,"suffix":""},{"dropping-particle":"","family":"Mastroiacovo","given":"Pierpaolo","non-dropping-particle":"","parse-names":false,"suffix":""}],"container-title":"BMC Pregnancy and Childbirth","id":"ITEM-1","issue":"1","issued":{"date-parts":[["2014","12"]]},"page":"166","title":"Prevention of congenital malformations and other adverse pregnancy outcomes with 4.0 mg of folic acid: community-based randomized clinical trial in Italy and the Netherlands","type":"article-journal","volume":"14"},"uris":["http://www.mendeley.com/documents/?uuid=5b848068-def7-4659-9384-bd6fe22c0bd2"]}],"mendeley":{"formattedCitation":"(3)","plainTextFormattedCitation":"(3)","previouslyFormattedCitation":"(3)"},"properties":{"noteIndex":0},"schema":"https://github.com/citation-style-language/schema/raw/master/csl-citation.json"}</w:instrText>
      </w:r>
      <w:r w:rsidR="00292A6D" w:rsidRPr="005A28F5">
        <w:rPr>
          <w:rFonts w:cs="Times New Roman"/>
          <w:lang w:val="en-GB"/>
        </w:rPr>
        <w:fldChar w:fldCharType="separate"/>
      </w:r>
      <w:r w:rsidR="0063572E" w:rsidRPr="00453860">
        <w:rPr>
          <w:rFonts w:cs="Times New Roman"/>
          <w:noProof/>
          <w:lang w:val="en-GB"/>
        </w:rPr>
        <w:t>(3)</w:t>
      </w:r>
      <w:r w:rsidR="00292A6D" w:rsidRPr="005A28F5">
        <w:rPr>
          <w:rFonts w:cs="Times New Roman"/>
          <w:lang w:val="en-GB"/>
        </w:rPr>
        <w:fldChar w:fldCharType="end"/>
      </w:r>
      <w:r w:rsidRPr="005A28F5">
        <w:rPr>
          <w:rFonts w:cs="Times New Roman"/>
          <w:lang w:val="en-GB"/>
        </w:rPr>
        <w:t xml:space="preserve">, childhood growth stunting </w:t>
      </w:r>
      <w:r w:rsidR="00292A6D" w:rsidRPr="005A28F5">
        <w:rPr>
          <w:rFonts w:cs="Times New Roman"/>
          <w:lang w:val="en-GB"/>
        </w:rPr>
        <w:fldChar w:fldCharType="begin" w:fldLock="1"/>
      </w:r>
      <w:r w:rsidR="001754FE">
        <w:rPr>
          <w:rFonts w:cs="Times New Roman"/>
          <w:lang w:val="en-GB"/>
        </w:rPr>
        <w:instrText>ADDIN CSL_CITATION {"citationItems":[{"id":"ITEM-1","itemData":{"DOI":"10.1159/000066397","ISBN":"0250-6807 (Print)","ISSN":"0250-6807","PMID":"12428076","abstract":"Stunting is a process that can affect the development of a child from the early stages of conception and until the third or fourth year of life, when the nutrition of the mother and the child are essential determinants of growth. Failure to meet micronutrient requirements, a challenging environment and the inadequate provision of care, are all factors responsible for this condition that affects almost 200 million children under 5 years of age. The timing and duration of the nutritional insult leads to different physiological consequences. Growth retardation is however just one feature of a complex syndrome including developmental delay, impaired immune function, reduced cognitive function and metabolic disturbances leading to increased prospective risk of obesity and hypertension. Prevention is possible by undertaking interventions at all stages of the life cycle, and mainly involves the promotion of exclusive breast-feeding until the age of 6 months and the provision of complementary foods and family foods with adequate micronutrient density. Treatment is possible, at least until the age of 5, and can lead to reversal of all the symptoms, although further research is required to clarify whether accelerating growth velocity might also lead to an increased risk of metabolic syndrome.","author":[{"dropping-particle":"","family":"Branca","given":"F.","non-dropping-particle":"","parse-names":false,"suffix":""},{"dropping-particle":"","family":"Ferrari","given":"M.","non-dropping-particle":"","parse-names":false,"suffix":""}],"container-title":"Annals of Nutrition and Metabolism","id":"ITEM-1","issue":"1","issued":{"date-parts":[["2002"]]},"page":"8-17","title":"Impact of Micronutrient Deficiencies on Growth: The Stunting Syndrome","type":"article-journal","volume":"46"},"uris":["http://www.mendeley.com/documents/?uuid=6d6fe4cc-d11d-4f6f-ac3c-0892320aa7e3"]}],"mendeley":{"formattedCitation":"(4)","plainTextFormattedCitation":"(4)","previouslyFormattedCitation":"(4)"},"properties":{"noteIndex":0},"schema":"https://github.com/citation-style-language/schema/raw/master/csl-citation.json"}</w:instrText>
      </w:r>
      <w:r w:rsidR="00292A6D" w:rsidRPr="005A28F5">
        <w:rPr>
          <w:rFonts w:cs="Times New Roman"/>
          <w:lang w:val="en-GB"/>
        </w:rPr>
        <w:fldChar w:fldCharType="separate"/>
      </w:r>
      <w:r w:rsidR="0063572E" w:rsidRPr="00453860">
        <w:rPr>
          <w:rFonts w:cs="Times New Roman"/>
          <w:noProof/>
          <w:lang w:val="en-GB"/>
        </w:rPr>
        <w:t>(4)</w:t>
      </w:r>
      <w:r w:rsidR="00292A6D" w:rsidRPr="005A28F5">
        <w:rPr>
          <w:rFonts w:cs="Times New Roman"/>
          <w:lang w:val="en-GB"/>
        </w:rPr>
        <w:fldChar w:fldCharType="end"/>
      </w:r>
      <w:r w:rsidRPr="005A28F5">
        <w:rPr>
          <w:rFonts w:cs="Times New Roman"/>
          <w:lang w:val="en-GB"/>
        </w:rPr>
        <w:t xml:space="preserve">, obesity </w:t>
      </w:r>
      <w:r w:rsidR="00292A6D" w:rsidRPr="005A28F5">
        <w:rPr>
          <w:rFonts w:cs="Times New Roman"/>
          <w:color w:val="000000" w:themeColor="text1"/>
          <w:lang w:val="en-GB"/>
        </w:rPr>
        <w:fldChar w:fldCharType="begin" w:fldLock="1"/>
      </w:r>
      <w:r w:rsidR="001754FE">
        <w:rPr>
          <w:rFonts w:cs="Times New Roman"/>
          <w:color w:val="000000" w:themeColor="text1"/>
          <w:lang w:val="en-GB"/>
        </w:rPr>
        <w:instrText>ADDIN CSL_CITATION {"citationItems":[{"id":"ITEM-1","itemData":{"DOI":"10.1038/ejcn.2013.76","ISBN":"1476-5640 (Electronic)\\r0954-3007 (Linking)","ISSN":"09543007","PMID":"23612514","abstract":"BACKGROUND/OBJECTIVES: Animal models have demonstrated that maternal overnutrition during pregnancy influences offspring adiposity. Few human studies of normal pregnancy have replicated these findings. We examined the association between child body mass index at age 5 years and maternal nutrient intake during pregnancy and 5 years postpartum.\\n\\nSUBJECTS/METHODS: Five-year-old children (n=585) and their mothers were recruited during pregnancy from two maternity hospitals in Ireland. Data are from the Lifeways Cross-Generation Cohort study with detailed dietary information obtained during pregnancy and postpartum using a food frequency questionnaire. Nutrient intake was adjusted for energy intake (EI) and expressed in quartiles. Heights and weights were measured when the children were aged 5 years. We performed multivariate logistic regression analyses to examine the independent associations of macronutrients (protein, fat and carbohydrate) and their components (saturated fatty acid (SFA)/monounsaturated fatty acid/polyunsaturated fatty acid and sugar/starch) with child overweight/obesity. Associations were examined for nutrient intake during pregnancy (T1), at 5 years postpartum (T2) and the change in nutrient intake between T1 and T2.\\n\\nRESULTS: Total mean (s.d.) EI was significantly higher during pregnancy (2548 ± 1239 kcal) than 5 years postpartum (2084 ± 718 kcal). Increased odds of overweight/obesity were found in mothers with higher intakes of sugar at T1 (Q4 odds ratio (OR): 4.57, 95% confidence interval (CI): 1.01-20.69) and high intakes of SFA at T2 (Q4 OR: 3.35, 95% CI: 0.97-11.57). Mothers with persistently high intakes of SFA and those who reduce their sugar intake between T1 and T2 were more likely to have overweight/obese children.\\n\\nCONCLUSION: Maternal prenatal sugar and pre/postnatal SFA was associated with offspring adiposity.","author":[{"dropping-particle":"","family":"Murrin","given":"C.","non-dropping-particle":"","parse-names":false,"suffix":""},{"dropping-particle":"","family":"Shrivastava","given":"A.","non-dropping-particle":"","parse-names":false,"suffix":""},{"dropping-particle":"","family":"Kelleher","given":"C. C.","non-dropping-particle":"","parse-names":false,"suffix":""}],"container-title":"European Journal of Clinical Nutrition","id":"ITEM-1","issue":"6","issued":{"date-parts":[["2013"]]},"page":"670-679","title":"Maternal macronutrient intake during pregnancy and 5 years postpartum and associations with child weight status aged five","type":"article-journal","volume":"67"},"uris":["http://www.mendeley.com/documents/?uuid=52336765-b48b-4874-9cdf-6e9172bb9c58"]}],"mendeley":{"formattedCitation":"(5)","plainTextFormattedCitation":"(5)","previouslyFormattedCitation":"(5)"},"properties":{"noteIndex":0},"schema":"https://github.com/citation-style-language/schema/raw/master/csl-citation.json"}</w:instrText>
      </w:r>
      <w:r w:rsidR="00292A6D" w:rsidRPr="005A28F5">
        <w:rPr>
          <w:rFonts w:cs="Times New Roman"/>
          <w:color w:val="000000" w:themeColor="text1"/>
          <w:lang w:val="en-GB"/>
        </w:rPr>
        <w:fldChar w:fldCharType="separate"/>
      </w:r>
      <w:r w:rsidR="0063572E" w:rsidRPr="00453860">
        <w:rPr>
          <w:rFonts w:cs="Times New Roman"/>
          <w:noProof/>
          <w:color w:val="000000" w:themeColor="text1"/>
          <w:lang w:val="en-GB"/>
        </w:rPr>
        <w:t>(5)</w:t>
      </w:r>
      <w:r w:rsidR="00292A6D" w:rsidRPr="005A28F5">
        <w:rPr>
          <w:rFonts w:cs="Times New Roman"/>
          <w:color w:val="000000" w:themeColor="text1"/>
          <w:lang w:val="en-GB"/>
        </w:rPr>
        <w:fldChar w:fldCharType="end"/>
      </w:r>
      <w:r w:rsidRPr="005A28F5">
        <w:rPr>
          <w:rFonts w:cs="Times New Roman"/>
          <w:lang w:val="en-GB"/>
        </w:rPr>
        <w:t xml:space="preserve">, impaired cognitive development </w:t>
      </w:r>
      <w:r w:rsidR="00292A6D" w:rsidRPr="005A28F5">
        <w:rPr>
          <w:rFonts w:cs="Times New Roman"/>
          <w:lang w:val="en-GB"/>
        </w:rPr>
        <w:fldChar w:fldCharType="begin" w:fldLock="1"/>
      </w:r>
      <w:r w:rsidR="001754FE">
        <w:rPr>
          <w:rFonts w:cs="Times New Roman"/>
          <w:lang w:val="en-GB"/>
        </w:rPr>
        <w:instrText>ADDIN CSL_CITATION {"citationItems":[{"id":"ITEM-1","itemData":{"DOI":"10.1017/S0029665114001554","ISBN":"1475-2719","ISSN":"0029-6651","PMID":"25371067","abstract":"Nutrition plays a fundamental role in supporting the structural and functional development of the human brain from conception, throughout early infancy and extending into later life. A growing body of evidence suggests that folate and the metabolically related B-vitamins are essential for brain health across all age groups, owing to their specific roles in C1 metabolism and particularly in the production of S-adenosylmethionine, a universal methyl donor essential for the production of neurotransmitters. Emerging, though not entirely consistent, evidence suggests that maternal folate status throughout pregnancy may influence neurodevelopment and behaviour of the offspring. Furthermore optimal B-vitamin status is associated with better cognitive health in ageing. Of note, a recent clinical trial provided evidence that supplementation with folic acid and related B-vitamins over a 2-year-period reduced global and regional brain atrophy, as measured by MRI scan in older adults. In terms of potential mechanisms, the effects of these B-vitamins on cognitive health may be independent or may be mediated by nutrient-nutrient and/or relevant gene-nutrient interactions. Furthermore, a new area of research suggests that the in utero environment influences health in later life. Folate, an important cofactor in C1 metabolism, is indirectly involved in DNA methylation, which in turn is considered to be one of the epigenetic mechanisms that may underlie fetal programming and brain development. The present review will explore the evidence that supports a role for folate and the related B-vitamins in brain health across the lifecycle, and potential mechanisms to explain such effects.","author":[{"dropping-particle":"","family":"McGarel","given":"C.","non-dropping-particle":"","parse-names":false,"suffix":""},{"dropping-particle":"","family":"Pentieva","given":"K.","non-dropping-particle":"","parse-names":false,"suffix":""},{"dropping-particle":"","family":"Strain","given":"J. J.","non-dropping-particle":"","parse-names":false,"suffix":""},{"dropping-particle":"","family":"McNulty","given":"H.","non-dropping-particle":"","parse-names":false,"suffix":""}],"container-title":"Proceedings of the Nutrition Society","id":"ITEM-1","issue":"01","issued":{"date-parts":[["2015","2"]]},"page":"46-55","title":"Emerging roles for folate and related B-vitamins in brain health across the lifecycle","type":"article-journal","volume":"74"},"uris":["http://www.mendeley.com/documents/?uuid=6bfe1a8f-7266-4d15-8655-d6fce30347cb"]}],"mendeley":{"formattedCitation":"(6)","plainTextFormattedCitation":"(6)","previouslyFormattedCitation":"(6)"},"properties":{"noteIndex":0},"schema":"https://github.com/citation-style-language/schema/raw/master/csl-citation.json"}</w:instrText>
      </w:r>
      <w:r w:rsidR="00292A6D" w:rsidRPr="005A28F5">
        <w:rPr>
          <w:rFonts w:cs="Times New Roman"/>
          <w:lang w:val="en-GB"/>
        </w:rPr>
        <w:fldChar w:fldCharType="separate"/>
      </w:r>
      <w:r w:rsidR="0063572E" w:rsidRPr="00453860">
        <w:rPr>
          <w:rFonts w:cs="Times New Roman"/>
          <w:noProof/>
          <w:lang w:val="en-GB"/>
        </w:rPr>
        <w:t>(6)</w:t>
      </w:r>
      <w:r w:rsidR="00292A6D" w:rsidRPr="005A28F5">
        <w:rPr>
          <w:rFonts w:cs="Times New Roman"/>
          <w:lang w:val="en-GB"/>
        </w:rPr>
        <w:fldChar w:fldCharType="end"/>
      </w:r>
      <w:r w:rsidR="00D83EA8" w:rsidRPr="005A28F5">
        <w:rPr>
          <w:rFonts w:cs="Times New Roman"/>
          <w:color w:val="000000" w:themeColor="text1"/>
          <w:lang w:val="en-GB"/>
        </w:rPr>
        <w:t xml:space="preserve">, </w:t>
      </w:r>
      <w:r w:rsidRPr="005A28F5">
        <w:rPr>
          <w:rFonts w:cs="Times New Roman"/>
          <w:lang w:val="en-GB"/>
        </w:rPr>
        <w:t xml:space="preserve">and susceptibility to </w:t>
      </w:r>
      <w:r w:rsidRPr="005A28F5">
        <w:rPr>
          <w:rFonts w:cs="Times New Roman"/>
          <w:u w:color="FF644E"/>
          <w:lang w:val="en-GB"/>
        </w:rPr>
        <w:t xml:space="preserve">diabetes </w:t>
      </w:r>
      <w:r w:rsidR="00292A6D" w:rsidRPr="005A28F5">
        <w:rPr>
          <w:rFonts w:cs="Times New Roman"/>
          <w:color w:val="000000" w:themeColor="text1"/>
          <w:u w:color="FF644E"/>
          <w:lang w:val="en-GB"/>
        </w:rPr>
        <w:fldChar w:fldCharType="begin" w:fldLock="1"/>
      </w:r>
      <w:r w:rsidR="001754FE">
        <w:rPr>
          <w:rFonts w:cs="Times New Roman"/>
          <w:color w:val="000000" w:themeColor="text1"/>
          <w:u w:color="FF644E"/>
          <w:lang w:val="en-GB"/>
        </w:rPr>
        <w:instrText>ADDIN CSL_CITATION {"citationItems":[{"id":"ITEM-1","itemData":{"DOI":"10.1007/s00125-007-0793-y","ISBN":"0012-186X","ISSN":"0012-186X","PMID":"17851649","abstract":"AIMS/HYPOTHESIS: Raised maternal plasma total homocysteine (tHcy) concentrations predict small size at birth, which is a risk factor for type 2 diabetes mellitus. We studied the association between maternal vitamin B12, folate and tHcy status during pregnancy, and offspring adiposity and insulin resistance at 6 years.\\n\\nMETHODS: In the Pune Maternal Nutrition Study we studied 700 consecutive eligible pregnant women in six villages. We measured maternal nutritional intake and circulating concentrations of folate, vitamin B12, tHcy and methylmalonic acid (MMA) at 18 and 28 weeks of gestation. These were correlated with offspring anthropometry, body composition (dual-energy X-ray absorptiometry scan) and insulin resistance (homeostatic model assessment of insulin resistance [HOMA-R]) at 6 years.\\n\\nRESULTS: Two-thirds of mothers had low vitamin B12 (&lt;150 pmol/l), 90% had high MMA (&gt;0.26 micromol/l) and 30% had raised tHcy concentrations (&gt;10 micromol/l); only one had a low erythrocyte folate concentration. Although short and thin (BMI), the 6-year-old children were relatively adipose compared with the UK standards (skinfold thicknesses). Higher maternal erythrocyte folate concentrations at 28 weeks predicted higher offspring adiposity and higher HOMA-R (both p &lt; 0.01). Low maternal vitamin B12 (18 weeks; p = 0.03) predicted higher HOMA-R in the children. The offspring of mothers with a combination of high folate and low vitamin B12 concentrations were the most insulin resistant.\\n\\nCONCLUSIONS/INTERPRETATION: Low maternal vitamin B12 and high folate status may contribute to the epidemic of adiposity and type 2 diabetes in India.","author":[{"dropping-particle":"","family":"Yajnik","given":"C. S.","non-dropping-particle":"","parse-names":false,"suffix":""},{"dropping-particle":"","family":"Deshpande","given":"S. S.","non-dropping-particle":"","parse-names":false,"suffix":""},{"dropping-particle":"","family":"Jackson","given":"A. A.","non-dropping-particle":"","parse-names":false,"suffix":""},{"dropping-particle":"","family":"Refsum","given":"H.","non-dropping-particle":"","parse-names":false,"suffix":""},{"dropping-particle":"","family":"Rao","given":"S.","non-dropping-particle":"","parse-names":false,"suffix":""},{"dropping-particle":"","family":"Fisher","given":"D. J.","non-dropping-particle":"","parse-names":false,"suffix":""},{"dropping-particle":"","family":"Bhat","given":"D. S.","non-dropping-particle":"","parse-names":false,"suffix":""},{"dropping-particle":"","family":"Naik","given":"S. S.","non-dropping-particle":"","parse-names":false,"suffix":""},{"dropping-particle":"","family":"Coyaji","given":"K. J.","non-dropping-particle":"","parse-names":false,"suffix":""},{"dropping-particle":"V.","family":"Joglekar","given":"C.","non-dropping-particle":"","parse-names":false,"suffix":""},{"dropping-particle":"","family":"Joshi","given":"N.","non-dropping-particle":"","parse-names":false,"suffix":""},{"dropping-particle":"","family":"Lubree","given":"H. G.","non-dropping-particle":"","parse-names":false,"suffix":""},{"dropping-particle":"","family":"Deshpande","given":"V. U.","non-dropping-particle":"","parse-names":false,"suffix":""},{"dropping-particle":"","family":"Rege","given":"S. S.","non-dropping-particle":"","parse-names":false,"suffix":""},{"dropping-particle":"","family":"Fall","given":"C. H D","non-dropping-particle":"","parse-names":false,"suffix":""}],"container-title":"Diabetologia","id":"ITEM-1","issue":"1","issued":{"date-parts":[["2007","11"]]},"page":"29-38","title":"Vitamin B12 and folate concentrations during pregnancy and insulin resistance in the offspring: the Pune Maternal Nutrition Study","type":"article-journal","volume":"51"},"uris":["http://www.mendeley.com/documents/?uuid=f126ed2c-c454-44e7-a36b-f283643bf11a"]}],"mendeley":{"formattedCitation":"(7)","plainTextFormattedCitation":"(7)","previouslyFormattedCitation":"(7)"},"properties":{"noteIndex":0},"schema":"https://github.com/citation-style-language/schema/raw/master/csl-citation.json"}</w:instrText>
      </w:r>
      <w:r w:rsidR="00292A6D" w:rsidRPr="005A28F5">
        <w:rPr>
          <w:rFonts w:cs="Times New Roman"/>
          <w:color w:val="000000" w:themeColor="text1"/>
          <w:u w:color="FF644E"/>
          <w:lang w:val="en-GB"/>
        </w:rPr>
        <w:fldChar w:fldCharType="separate"/>
      </w:r>
      <w:r w:rsidR="0063572E" w:rsidRPr="00453860">
        <w:rPr>
          <w:rFonts w:cs="Times New Roman"/>
          <w:noProof/>
          <w:color w:val="000000" w:themeColor="text1"/>
          <w:u w:color="FF644E"/>
          <w:lang w:val="en-GB"/>
        </w:rPr>
        <w:t>(7)</w:t>
      </w:r>
      <w:r w:rsidR="00292A6D" w:rsidRPr="005A28F5">
        <w:rPr>
          <w:rFonts w:cs="Times New Roman"/>
          <w:color w:val="000000" w:themeColor="text1"/>
          <w:u w:color="FF644E"/>
          <w:lang w:val="en-GB"/>
        </w:rPr>
        <w:fldChar w:fldCharType="end"/>
      </w:r>
      <w:r w:rsidRPr="005A28F5">
        <w:rPr>
          <w:rFonts w:cs="Times New Roman"/>
          <w:u w:color="FF644E"/>
          <w:lang w:val="en-GB"/>
        </w:rPr>
        <w:t xml:space="preserve"> in later life</w:t>
      </w:r>
      <w:r w:rsidRPr="005A28F5">
        <w:rPr>
          <w:rFonts w:cs="Times New Roman"/>
          <w:lang w:val="en-GB"/>
        </w:rPr>
        <w:t xml:space="preserve">. </w:t>
      </w:r>
      <w:r w:rsidR="001F3FCD" w:rsidRPr="005A28F5">
        <w:rPr>
          <w:rFonts w:cs="Times New Roman"/>
          <w:lang w:val="en-GB"/>
        </w:rPr>
        <w:t>I</w:t>
      </w:r>
      <w:r w:rsidRPr="005A28F5">
        <w:rPr>
          <w:rFonts w:cs="Times New Roman"/>
          <w:lang w:val="en-GB"/>
        </w:rPr>
        <w:t xml:space="preserve">n low and </w:t>
      </w:r>
      <w:r w:rsidRPr="005A28F5">
        <w:rPr>
          <w:rFonts w:cs="Times New Roman"/>
          <w:u w:color="0066C5"/>
          <w:lang w:val="en-GB"/>
        </w:rPr>
        <w:t>middle-income countries many women of reproductive age are deficient in</w:t>
      </w:r>
      <w:r w:rsidR="00292A6D" w:rsidRPr="005A28F5">
        <w:rPr>
          <w:rFonts w:cs="Times New Roman"/>
          <w:u w:color="0066C5"/>
          <w:lang w:val="en-GB"/>
        </w:rPr>
        <w:t xml:space="preserve"> a number of key micronutrients </w:t>
      </w:r>
      <w:r w:rsidR="00292A6D" w:rsidRPr="005A28F5">
        <w:rPr>
          <w:rFonts w:cs="Times New Roman"/>
          <w:u w:color="0066C5"/>
          <w:lang w:val="en-GB"/>
        </w:rPr>
        <w:fldChar w:fldCharType="begin" w:fldLock="1"/>
      </w:r>
      <w:r w:rsidR="001754FE">
        <w:rPr>
          <w:rFonts w:cs="Times New Roman"/>
          <w:u w:color="0066C5"/>
          <w:lang w:val="en-GB"/>
        </w:rPr>
        <w:instrText>ADDIN CSL_CITATION {"citationItems":[{"id":"ITEM-1","itemData":{"DOI":"10.1016/S0140-6736(18)30311-8","ISSN":"01406736","PMID":"29673873","abstract":"A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author":[{"dropping-particle":"","family":"Stephenson","given":"Judith","non-dropping-particle":"","parse-names":false,"suffix":""},{"dropping-particle":"","family":"Heslehurst","given":"Nicola","non-dropping-particle":"","parse-names":false,"suffix":""},{"dropping-particle":"","family":"Hall","given":"Jennifer","non-dropping-particle":"","parse-names":false,"suffix":""},{"dropping-particle":"","family":"Schoenaker","given":"Danielle A J M","non-dropping-particle":"","parse-names":false,"suffix":""},{"dropping-particle":"","family":"Hutchinson","given":"Jayne","non-dropping-particle":"","parse-names":false,"suffix":""},{"dropping-particle":"","family":"Cade","given":"Janet E.","non-dropping-particle":"","parse-names":false,"suffix":""},{"dropping-particle":"","family":"Poston","given":"Lucilla","non-dropping-particle":"","parse-names":false,"suffix":""},{"dropping-particle":"","family":"Barrett","given":"Geraldine","non-dropping-particle":"","parse-names":false,"suffix":""},{"dropping-particle":"","family":"Crozier","given":"Sarah R.","non-dropping-particle":"","parse-names":false,"suffix":""},{"dropping-particle":"","family":"Barker","given":"Mary","non-dropping-particle":"","parse-names":false,"suffix":""},{"dropping-particle":"","family":"Kumaran","given":"Kalyanaraman","non-dropping-particle":"","parse-names":false,"suffix":""},{"dropping-particle":"","family":"Yajnik","given":"Chittaranjan S.","non-dropping-particle":"","parse-names":false,"suffix":""},{"dropping-particle":"","family":"Baird","given":"Janis","non-dropping-particle":"","parse-names":false,"suffix":""},{"dropping-particle":"","family":"Mishra","given":"Gita D.","non-dropping-particle":"","parse-names":false,"suffix":""}],"container-title":"The Lancet","id":"ITEM-1","issue":"10132","issued":{"date-parts":[["2018","5"]]},"page":"1830-1841","publisher":"Elsevier Ltd","title":"Before the beginning: nutrition and lifestyle in the preconception period and its importance for future health","type":"article-journal","volume":"391"},"uris":["http://www.mendeley.com/documents/?uuid=fc87b385-a8e1-4fdd-8f74-87cc58750663"]}],"mendeley":{"formattedCitation":"(2)","plainTextFormattedCitation":"(2)","previouslyFormattedCitation":"(2)"},"properties":{"noteIndex":0},"schema":"https://github.com/citation-style-language/schema/raw/master/csl-citation.json"}</w:instrText>
      </w:r>
      <w:r w:rsidR="00292A6D" w:rsidRPr="005A28F5">
        <w:rPr>
          <w:rFonts w:cs="Times New Roman"/>
          <w:u w:color="0066C5"/>
          <w:lang w:val="en-GB"/>
        </w:rPr>
        <w:fldChar w:fldCharType="separate"/>
      </w:r>
      <w:r w:rsidR="0063572E" w:rsidRPr="00453860">
        <w:rPr>
          <w:rFonts w:cs="Times New Roman"/>
          <w:noProof/>
          <w:u w:color="0066C5"/>
          <w:lang w:val="en-GB"/>
        </w:rPr>
        <w:t>(2)</w:t>
      </w:r>
      <w:r w:rsidR="00292A6D" w:rsidRPr="005A28F5">
        <w:rPr>
          <w:rFonts w:cs="Times New Roman"/>
          <w:u w:color="0066C5"/>
          <w:lang w:val="en-GB"/>
        </w:rPr>
        <w:fldChar w:fldCharType="end"/>
      </w:r>
      <w:r w:rsidRPr="005A28F5">
        <w:rPr>
          <w:rFonts w:cs="Times New Roman"/>
          <w:u w:color="0066C5"/>
          <w:lang w:val="en-GB"/>
        </w:rPr>
        <w:t xml:space="preserve">. Early nutritional intervention may therefore provide an effective means for improving maternal and child health </w:t>
      </w:r>
      <w:r w:rsidR="00814B37" w:rsidRPr="005A28F5">
        <w:rPr>
          <w:rFonts w:cs="Times New Roman"/>
          <w:u w:color="0066C5"/>
          <w:lang w:val="en-GB"/>
        </w:rPr>
        <w:t>a</w:t>
      </w:r>
      <w:r w:rsidRPr="005A28F5">
        <w:rPr>
          <w:rFonts w:cs="Times New Roman"/>
          <w:u w:color="0066C5"/>
          <w:lang w:val="en-GB"/>
        </w:rPr>
        <w:t xml:space="preserve">s well as reducing the future burden of non-communicable </w:t>
      </w:r>
      <w:r w:rsidR="004057BE" w:rsidRPr="005A28F5">
        <w:rPr>
          <w:rFonts w:cs="Times New Roman"/>
          <w:u w:color="0066C5"/>
          <w:lang w:val="en-GB"/>
        </w:rPr>
        <w:t>diseases</w:t>
      </w:r>
      <w:r w:rsidR="002B3429" w:rsidRPr="005A28F5">
        <w:rPr>
          <w:rFonts w:cs="Times New Roman"/>
          <w:u w:color="0066C5"/>
          <w:lang w:val="en-GB"/>
        </w:rPr>
        <w:t xml:space="preserve"> </w:t>
      </w:r>
      <w:r w:rsidR="002B3429" w:rsidRPr="005A28F5">
        <w:rPr>
          <w:rFonts w:cs="Times New Roman"/>
          <w:u w:color="0066C5"/>
          <w:lang w:val="en-GB"/>
        </w:rPr>
        <w:fldChar w:fldCharType="begin" w:fldLock="1"/>
      </w:r>
      <w:r w:rsidR="001754FE">
        <w:rPr>
          <w:rFonts w:cs="Times New Roman"/>
          <w:u w:color="0066C5"/>
          <w:lang w:val="en-GB"/>
        </w:rPr>
        <w:instrText>ADDIN CSL_CITATION {"citationItems":[{"id":"ITEM-1","itemData":{"DOI":"10.1016/S0140-6736(18)30311-8","ISSN":"01406736","PMID":"29673873","abstract":"A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author":[{"dropping-particle":"","family":"Stephenson","given":"Judith","non-dropping-particle":"","parse-names":false,"suffix":""},{"dropping-particle":"","family":"Heslehurst","given":"Nicola","non-dropping-particle":"","parse-names":false,"suffix":""},{"dropping-particle":"","family":"Hall","given":"Jennifer","non-dropping-particle":"","parse-names":false,"suffix":""},{"dropping-particle":"","family":"Schoenaker","given":"Danielle A J M","non-dropping-particle":"","parse-names":false,"suffix":""},{"dropping-particle":"","family":"Hutchinson","given":"Jayne","non-dropping-particle":"","parse-names":false,"suffix":""},{"dropping-particle":"","family":"Cade","given":"Janet E.","non-dropping-particle":"","parse-names":false,"suffix":""},{"dropping-particle":"","family":"Poston","given":"Lucilla","non-dropping-particle":"","parse-names":false,"suffix":""},{"dropping-particle":"","family":"Barrett","given":"Geraldine","non-dropping-particle":"","parse-names":false,"suffix":""},{"dropping-particle":"","family":"Crozier","given":"Sarah R.","non-dropping-particle":"","parse-names":false,"suffix":""},{"dropping-particle":"","family":"Barker","given":"Mary","non-dropping-particle":"","parse-names":false,"suffix":""},{"dropping-particle":"","family":"Kumaran","given":"Kalyanaraman","non-dropping-particle":"","parse-names":false,"suffix":""},{"dropping-particle":"","family":"Yajnik","given":"Chittaranjan S.","non-dropping-particle":"","parse-names":false,"suffix":""},{"dropping-particle":"","family":"Baird","given":"Janis","non-dropping-particle":"","parse-names":false,"suffix":""},{"dropping-particle":"","family":"Mishra","given":"Gita D.","non-dropping-particle":"","parse-names":false,"suffix":""}],"container-title":"The Lancet","id":"ITEM-1","issue":"10132","issued":{"date-parts":[["2018","5"]]},"page":"1830-1841","publisher":"Elsevier Ltd","title":"Before the beginning: nutrition and lifestyle in the preconception period and its importance for future health","type":"article-journal","volume":"391"},"uris":["http://www.mendeley.com/documents/?uuid=fc87b385-a8e1-4fdd-8f74-87cc58750663"]}],"mendeley":{"formattedCitation":"(2)","plainTextFormattedCitation":"(2)","previouslyFormattedCitation":"(2)"},"properties":{"noteIndex":0},"schema":"https://github.com/citation-style-language/schema/raw/master/csl-citation.json"}</w:instrText>
      </w:r>
      <w:r w:rsidR="002B3429" w:rsidRPr="005A28F5">
        <w:rPr>
          <w:rFonts w:cs="Times New Roman"/>
          <w:u w:color="0066C5"/>
          <w:lang w:val="en-GB"/>
        </w:rPr>
        <w:fldChar w:fldCharType="separate"/>
      </w:r>
      <w:r w:rsidR="0063572E" w:rsidRPr="00453860">
        <w:rPr>
          <w:rFonts w:cs="Times New Roman"/>
          <w:noProof/>
          <w:u w:color="0066C5"/>
          <w:lang w:val="en-GB"/>
        </w:rPr>
        <w:t>(2)</w:t>
      </w:r>
      <w:r w:rsidR="002B3429" w:rsidRPr="005A28F5">
        <w:rPr>
          <w:rFonts w:cs="Times New Roman"/>
          <w:u w:color="0066C5"/>
          <w:lang w:val="en-GB"/>
        </w:rPr>
        <w:fldChar w:fldCharType="end"/>
      </w:r>
      <w:r w:rsidR="002B3429" w:rsidRPr="005A28F5">
        <w:rPr>
          <w:rFonts w:cs="Times New Roman"/>
          <w:u w:color="0066C5"/>
          <w:lang w:val="en-GB"/>
        </w:rPr>
        <w:t>.</w:t>
      </w:r>
    </w:p>
    <w:p w14:paraId="2BBC356F" w14:textId="77777777" w:rsidR="00E01BB2" w:rsidRPr="005A28F5" w:rsidRDefault="00E01BB2" w:rsidP="001A64D3">
      <w:pPr>
        <w:pStyle w:val="BodyB"/>
        <w:spacing w:line="360" w:lineRule="auto"/>
        <w:rPr>
          <w:rFonts w:eastAsia="Cambria" w:cs="Times New Roman"/>
          <w:u w:color="0066C5"/>
          <w:lang w:val="en-GB"/>
        </w:rPr>
      </w:pPr>
    </w:p>
    <w:p w14:paraId="6E5AAFAC" w14:textId="452C9EAE" w:rsidR="00E01BB2" w:rsidRPr="005A28F5" w:rsidRDefault="00BC3B0C" w:rsidP="001A64D3">
      <w:pPr>
        <w:pStyle w:val="BodyB"/>
        <w:spacing w:line="360" w:lineRule="auto"/>
        <w:rPr>
          <w:rFonts w:eastAsia="Cambria" w:cs="Times New Roman"/>
          <w:lang w:val="en-GB"/>
        </w:rPr>
      </w:pPr>
      <w:r w:rsidRPr="005A28F5">
        <w:rPr>
          <w:rFonts w:cs="Times New Roman"/>
          <w:lang w:val="en-GB"/>
        </w:rPr>
        <w:t xml:space="preserve">Epigenetic modification has emerged as a plausible mechanism through which early environmental factors including nutrition could induce persistent changes in gene expression patterns </w:t>
      </w:r>
      <w:r w:rsidR="001F3FCD" w:rsidRPr="005A28F5">
        <w:rPr>
          <w:rFonts w:cs="Times New Roman"/>
          <w:lang w:val="en-GB"/>
        </w:rPr>
        <w:t xml:space="preserve">leading to physiological changes </w:t>
      </w:r>
      <w:r w:rsidR="002967FF" w:rsidRPr="005A28F5">
        <w:rPr>
          <w:rFonts w:cs="Times New Roman"/>
          <w:lang w:val="en-GB"/>
        </w:rPr>
        <w:fldChar w:fldCharType="begin" w:fldLock="1"/>
      </w:r>
      <w:r w:rsidR="001754FE">
        <w:rPr>
          <w:rFonts w:cs="Times New Roman"/>
          <w:lang w:val="en-GB"/>
        </w:rPr>
        <w:instrText>ADDIN CSL_CITATION {"citationItems":[{"id":"ITEM-1","itemData":{"DOI":"10.1146/annurev.nutr.27.061406.093705","ISSN":"0199-9885","PMID":"17465856","abstract":"Extensive human epidemiologic and animal model data indicate that during critical periods of prenatal and postnatal mammalian development, nutrition and other environmental stimuli influence developmental pathways and thereby induce permanent changes in metabolism and chronic disease susceptibility. The biologic mechanisms underlying this \"developmental origins hypothesis\" are poorly understood. This review focuses on the likely involvement of epigenetic mechanisms in the developmental origins of health and disease (DOHaD). We describe permanent effects of transient environmental influences on the developmental establishment of epigenetic gene regulation and evidence linking epigenetic dysregulation with human disease. We propose a definition of \"epigenetic epidemiology\" and delineate how this emerging field provides a basis from which to explore the role of epigenetic mechanisms in DOHaD. We suggest strategies for future human epidemiologic studies to identify causal associations between early exposures, long-term changes in epigenetic regulation, and disease, which may ultimately enable specific early-life interventions to improve human health.","author":[{"dropping-particle":"","family":"Waterland","given":"Robert A","non-dropping-particle":"","parse-names":false,"suffix":""},{"dropping-particle":"","family":"Michels","given":"Karin B","non-dropping-particle":"","parse-names":false,"suffix":""}],"container-title":"Annual review of nutrition","id":"ITEM-1","issued":{"date-parts":[["2007","1","7"]]},"language":"en","page":"363-88","publisher":"Annual Reviews","title":"Epigenetic epidemiology of the developmental origins hypothesis.","type":"article-journal","volume":"27"},"uris":["http://www.mendeley.com/documents/?uuid=e3b3783d-49b6-43ad-88a8-8eb625183afe"]}],"mendeley":{"formattedCitation":"(8)","plainTextFormattedCitation":"(8)","previouslyFormattedCitation":"(8)"},"properties":{"noteIndex":0},"schema":"https://github.com/citation-style-language/schema/raw/master/csl-citation.json"}</w:instrText>
      </w:r>
      <w:r w:rsidR="002967FF" w:rsidRPr="005A28F5">
        <w:rPr>
          <w:rFonts w:cs="Times New Roman"/>
          <w:lang w:val="en-GB"/>
        </w:rPr>
        <w:fldChar w:fldCharType="separate"/>
      </w:r>
      <w:r w:rsidR="0063572E" w:rsidRPr="00453860">
        <w:rPr>
          <w:rFonts w:cs="Times New Roman"/>
          <w:noProof/>
          <w:lang w:val="en-GB"/>
        </w:rPr>
        <w:t>(8)</w:t>
      </w:r>
      <w:r w:rsidR="002967FF" w:rsidRPr="005A28F5">
        <w:rPr>
          <w:rFonts w:cs="Times New Roman"/>
          <w:lang w:val="en-GB"/>
        </w:rPr>
        <w:fldChar w:fldCharType="end"/>
      </w:r>
      <w:r w:rsidRPr="005A28F5">
        <w:rPr>
          <w:rFonts w:cs="Times New Roman"/>
          <w:lang w:val="en-GB"/>
        </w:rPr>
        <w:t xml:space="preserve">. In the context of nutrition, DNA methylation (DNAm) has received particular attention </w:t>
      </w:r>
      <w:r w:rsidR="00842CEC" w:rsidRPr="005A28F5">
        <w:rPr>
          <w:rFonts w:cs="Times New Roman"/>
          <w:lang w:val="en-GB"/>
        </w:rPr>
        <w:fldChar w:fldCharType="begin" w:fldLock="1"/>
      </w:r>
      <w:r w:rsidR="001754FE">
        <w:rPr>
          <w:rFonts w:cs="Times New Roman"/>
          <w:lang w:val="en-GB"/>
        </w:rPr>
        <w:instrText>ADDIN CSL_CITATION {"citationItems":[{"id":"ITEM-1","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Epidemiology","id":"ITEM-1","issue":"August","issued":{"date-parts":[["2018","8","17"]]},"page":"1-28","title":"Candidate genes linking maternal nutrient exposure to offspring health via DNA methylation: a review of existing evidence in humans with specific focus on one-carbon metabolism","type":"article-journal"},"uris":["http://www.mendeley.com/documents/?uuid=444e4c97-0b67-4638-8308-cf6d2307c1b0"]}],"mendeley":{"formattedCitation":"(9)","plainTextFormattedCitation":"(9)","previouslyFormattedCitation":"(9)"},"properties":{"noteIndex":0},"schema":"https://github.com/citation-style-language/schema/raw/master/csl-citation.json"}</w:instrText>
      </w:r>
      <w:r w:rsidR="00842CEC" w:rsidRPr="005A28F5">
        <w:rPr>
          <w:rFonts w:cs="Times New Roman"/>
          <w:lang w:val="en-GB"/>
        </w:rPr>
        <w:fldChar w:fldCharType="separate"/>
      </w:r>
      <w:r w:rsidR="0063572E" w:rsidRPr="00453860">
        <w:rPr>
          <w:rFonts w:cs="Times New Roman"/>
          <w:noProof/>
          <w:lang w:val="en-GB"/>
        </w:rPr>
        <w:t>(9)</w:t>
      </w:r>
      <w:r w:rsidR="00842CEC" w:rsidRPr="005A28F5">
        <w:rPr>
          <w:rFonts w:cs="Times New Roman"/>
          <w:lang w:val="en-GB"/>
        </w:rPr>
        <w:fldChar w:fldCharType="end"/>
      </w:r>
      <w:r w:rsidRPr="005A28F5">
        <w:rPr>
          <w:rFonts w:cs="Times New Roman"/>
          <w:lang w:val="en-GB"/>
        </w:rPr>
        <w:t xml:space="preserve">. Firstly, DNAm plays a crucial role in the establishment and maintenance of cell, tissue, and parent-of-origin specific gene expression during embryonic and fetal development </w:t>
      </w:r>
      <w:r w:rsidR="002967FF" w:rsidRPr="005A28F5">
        <w:rPr>
          <w:rFonts w:cs="Times New Roman"/>
          <w:lang w:val="en-GB"/>
        </w:rPr>
        <w:fldChar w:fldCharType="begin" w:fldLock="1"/>
      </w:r>
      <w:r w:rsidR="001754FE">
        <w:rPr>
          <w:rFonts w:cs="Times New Roman"/>
          <w:lang w:val="en-GB"/>
        </w:rPr>
        <w:instrText>ADDIN CSL_CITATION {"citationItems":[{"id":"ITEM-1","itemData":{"DOI":"10.1038/nrg3354","ISBN":"1471-0064 (Electronic)\\r1471-0056 (Linking)","ISSN":"1471-0056","PMID":"23400093","abstract":"DNA methylation is among the best studied epigenetic modifications and is essential to mammalian development. Although the methylation status of most CpG dinucleotides in the genome is stably propagated through mitosis, improvements to methods for measuring methylation have identified numerous regions in which it is dynamically regulated. In this Review, we discuss key concepts in the function of DNA methylation in mammals, stemming from more than two decades of research, including many recent studies that have elucidated when and where DNA methylation has a regulatory role in the genome. We include insights from early development, embryonic stem cells and adult lineages, particularly haematopoiesis, to highlight the general features of this modification as it participates in both global and localized epigenetic regulation.","author":[{"dropping-particle":"","family":"Smith","given":"Zachary D.","non-dropping-particle":"","parse-names":false,"suffix":""},{"dropping-particle":"","family":"Meissner","given":"Alexander","non-dropping-particle":"","parse-names":false,"suffix":""}],"container-title":"Nature Reviews Genetics","id":"ITEM-1","issue":"3","issued":{"date-parts":[["2013","3","12"]]},"page":"204-220","title":"DNA methylation: roles in mammalian development","type":"article-journal","volume":"14"},"uris":["http://www.mendeley.com/documents/?uuid=5fe00d74-3310-4293-9f72-6c345061e381"]}],"mendeley":{"formattedCitation":"(10)","plainTextFormattedCitation":"(10)","previouslyFormattedCitation":"(10)"},"properties":{"noteIndex":0},"schema":"https://github.com/citation-style-language/schema/raw/master/csl-citation.json"}</w:instrText>
      </w:r>
      <w:r w:rsidR="002967FF" w:rsidRPr="005A28F5">
        <w:rPr>
          <w:rFonts w:cs="Times New Roman"/>
          <w:lang w:val="en-GB"/>
        </w:rPr>
        <w:fldChar w:fldCharType="separate"/>
      </w:r>
      <w:r w:rsidR="0063572E" w:rsidRPr="00453860">
        <w:rPr>
          <w:rFonts w:cs="Times New Roman"/>
          <w:noProof/>
          <w:lang w:val="en-GB"/>
        </w:rPr>
        <w:t>(10)</w:t>
      </w:r>
      <w:r w:rsidR="002967FF" w:rsidRPr="005A28F5">
        <w:rPr>
          <w:rFonts w:cs="Times New Roman"/>
          <w:lang w:val="en-GB"/>
        </w:rPr>
        <w:fldChar w:fldCharType="end"/>
      </w:r>
      <w:r w:rsidRPr="005A28F5">
        <w:rPr>
          <w:rFonts w:cs="Times New Roman"/>
          <w:lang w:val="en-GB"/>
        </w:rPr>
        <w:t xml:space="preserve">. Secondly, evidence from animal and human studies suggests that DNAm is sensitive to early environmental factors including maternal diet </w:t>
      </w:r>
      <w:r w:rsidR="007E66F4" w:rsidRPr="005A28F5">
        <w:rPr>
          <w:rFonts w:cs="Times New Roman"/>
          <w:lang w:val="en-GB"/>
        </w:rPr>
        <w:fldChar w:fldCharType="begin" w:fldLock="1"/>
      </w:r>
      <w:r w:rsidR="001754FE">
        <w:rPr>
          <w:rFonts w:cs="Times New Roman"/>
          <w:lang w:val="en-GB"/>
        </w:rPr>
        <w:instrText>ADDIN CSL_CITATION {"citationItems":[{"id":"ITEM-1","itemData":{"DOI":"10.1146/annurev-publhealth-040617-014629","ISSN":"0163-7525","abstract":"DNA methylation is the most well studied of the epigenetic regulators in relation to environmental exposures. To date, numerous studies have detailed the manner by which DNA methylation is influenced by the environment, resulting in altered global and gene-specific DNA methylation. These studies have focused on prenatal, early-life, and adult exposure scenarios. The present review summarizes currently available literature that demonstrates a relationship between DNA methylation and environmental exposures. It includes studies on aflatoxin B, air pollution, arsenic, bisphenol A, cadmium, chromium, lead, mercury, polycyclic aromatic hydrocarbons, persistent organic pollutants, tobacco smoke, and nutritional factors. It also addresses gaps in the literature and future directions for research. These gaps include studies of mixtures, sexual dimorphisms with respect to environmentally associated methylation changes, tissue specificity, and temporal stability of the methylation marks.","author":[{"dropping-particle":"","family":"Martin","given":"Elizabeth M.","non-dropping-particle":"","parse-names":false,"suffix":""},{"dropping-particle":"","family":"Fry","given":"Rebecca C.","non-dropping-particle":"","parse-names":false,"suffix":""}],"container-title":"Annual Review of Public Health","id":"ITEM-1","issue":"1","issued":{"date-parts":[["2018","4"]]},"page":"309-333","title":"Environmental Influences on the Epigenome: Exposure- Associated DNA Methylation in Human Populations","type":"article-journal","volume":"39"},"uris":["http://www.mendeley.com/documents/?uuid=bba2e3b9-29da-4e1c-ac6f-21c1008e19ea"]}],"mendeley":{"formattedCitation":"(11)","plainTextFormattedCitation":"(11)","previouslyFormattedCitation":"(11)"},"properties":{"noteIndex":0},"schema":"https://github.com/citation-style-language/schema/raw/master/csl-citation.json"}</w:instrText>
      </w:r>
      <w:r w:rsidR="007E66F4" w:rsidRPr="005A28F5">
        <w:rPr>
          <w:rFonts w:cs="Times New Roman"/>
          <w:lang w:val="en-GB"/>
        </w:rPr>
        <w:fldChar w:fldCharType="separate"/>
      </w:r>
      <w:r w:rsidR="0063572E" w:rsidRPr="00453860">
        <w:rPr>
          <w:rFonts w:cs="Times New Roman"/>
          <w:noProof/>
          <w:lang w:val="en-GB"/>
        </w:rPr>
        <w:t>(11)</w:t>
      </w:r>
      <w:r w:rsidR="007E66F4" w:rsidRPr="005A28F5">
        <w:rPr>
          <w:rFonts w:cs="Times New Roman"/>
          <w:lang w:val="en-GB"/>
        </w:rPr>
        <w:fldChar w:fldCharType="end"/>
      </w:r>
      <w:r w:rsidRPr="005A28F5">
        <w:rPr>
          <w:rFonts w:cs="Times New Roman"/>
          <w:lang w:val="en-GB"/>
        </w:rPr>
        <w:t xml:space="preserve">. In rodent models, protein restriction during pregnancy is linked to altered DNAm in the offspring </w:t>
      </w:r>
      <w:r w:rsidR="00F15BAA" w:rsidRPr="005A28F5">
        <w:rPr>
          <w:rFonts w:cs="Times New Roman"/>
          <w:lang w:val="en-GB"/>
        </w:rPr>
        <w:t xml:space="preserve">and </w:t>
      </w:r>
      <w:r w:rsidRPr="005A28F5">
        <w:rPr>
          <w:rFonts w:cs="Times New Roman"/>
          <w:lang w:val="en-GB"/>
        </w:rPr>
        <w:t>induced DNAm modifications are associated with physiological changes including increased blood pressure</w:t>
      </w:r>
      <w:r w:rsidR="007E66F4" w:rsidRPr="005A28F5">
        <w:rPr>
          <w:rStyle w:val="None"/>
          <w:rFonts w:cs="Times New Roman"/>
          <w:lang w:val="en-GB"/>
        </w:rPr>
        <w:t xml:space="preserve"> </w:t>
      </w:r>
      <w:r w:rsidRPr="005A28F5">
        <w:rPr>
          <w:rFonts w:cs="Times New Roman"/>
          <w:lang w:val="en-GB"/>
        </w:rPr>
        <w:t xml:space="preserve">and impaired lipid and carbohydrate metabolism </w:t>
      </w:r>
      <w:r w:rsidR="00F15BAA" w:rsidRPr="005A28F5">
        <w:rPr>
          <w:rFonts w:cs="Times New Roman"/>
          <w:lang w:val="en-GB"/>
        </w:rPr>
        <w:t xml:space="preserve">that </w:t>
      </w:r>
      <w:r w:rsidRPr="005A28F5">
        <w:rPr>
          <w:rFonts w:cs="Times New Roman"/>
          <w:lang w:val="en-GB"/>
        </w:rPr>
        <w:t xml:space="preserve">are reversed by supplementation with </w:t>
      </w:r>
      <w:r w:rsidR="00D83EA8" w:rsidRPr="005A28F5">
        <w:rPr>
          <w:rFonts w:cs="Times New Roman"/>
          <w:lang w:val="en-GB"/>
        </w:rPr>
        <w:t xml:space="preserve">glycine or </w:t>
      </w:r>
      <w:r w:rsidRPr="005A28F5">
        <w:rPr>
          <w:rFonts w:cs="Times New Roman"/>
          <w:lang w:val="en-GB"/>
        </w:rPr>
        <w:t>folate</w:t>
      </w:r>
      <w:r w:rsidR="002B46E8" w:rsidRPr="005A28F5">
        <w:rPr>
          <w:rFonts w:cs="Times New Roman"/>
          <w:lang w:val="en-GB"/>
        </w:rPr>
        <w:t xml:space="preserve"> </w:t>
      </w:r>
      <w:r w:rsidR="002B46E8" w:rsidRPr="005A28F5">
        <w:rPr>
          <w:rStyle w:val="None"/>
          <w:rFonts w:cs="Times New Roman"/>
          <w:lang w:val="en-GB"/>
        </w:rPr>
        <w:fldChar w:fldCharType="begin" w:fldLock="1"/>
      </w:r>
      <w:r w:rsidR="001754FE">
        <w:rPr>
          <w:rStyle w:val="None"/>
          <w:rFonts w:cs="Times New Roman"/>
          <w:lang w:val="en-GB"/>
        </w:rPr>
        <w:instrText>ADDIN CSL_CITATION {"citationItems":[{"id":"ITEM-1","itemData":{"DOI":"10.1042/","ISBN":"0143-5221 (Print)\\r0143-5221 (Linking)","ISSN":"0143-5221","PMID":"12444916","abstract":"When rat dams consume a diet low in protein during pregnancy, their offspring develop high blood pressure. On a low-protein diet, the endogenous formation of the amino acid glycine is thought to become constrained. Glycine may become conditionally essential, as its rate of endogenous formation is inadequate to meet metabolic needs, and may be limiting for the normal development of the fetus. In the present study, five groups of Wistar rats were provided during pregnancy with one of five diets: a control diet containing 18% (w/w) casein (CON), a low-protein diet containing 9% casein (MLP), or the low-protein diet supplemented with 3% glycine (MLPG), alanine (MLPA) or urea (MLPU). The offspring were weaned on to standard laboratory chow, and blood pressure was measured at 4 weeks of age. Blood pressure was significantly increased in the MLP, MLPA and MLPU groups compared with the CON group, but for the MLPG group blood pressure was not significantly different from CON. Compared with the CON group, body weight was significantly reduced for the MLP, MLPA and MLPG groups, but for the MLPU group body weight was not different from CON. These data show that different forms of non-essential dietary nitrogen, when consumed during pregnancy, exert different effects upon the growth and function of the offspring. The availability of glycine appears to be of critical importance for normal cardiovascular development.","author":[{"dropping-particle":"","family":"Jackson","given":"A A","non-dropping-particle":"","parse-names":false,"suffix":""},{"dropping-particle":"","family":"Dunn","given":"R L","non-dropping-particle":"","parse-names":false,"suffix":""},{"dropping-particle":"","family":"Marchand","given":"M C","non-dropping-particle":"","parse-names":false,"suffix":""},{"dropping-particle":"","family":"Langley-Evans","given":"S C","non-dropping-particle":"","parse-names":false,"suffix":""}],"container-title":"Clin.Sci.(Lond)","id":"ITEM-1","issue":"6","issued":{"date-parts":[["2002"]]},"page":"633-639","publisher":"Portland Press Limited","title":"Increased systolic blood pressure in rats induced by a maternal low-protein diet is reversed by dietary supplementation with glycine","type":"article-journal","volume":"103"},"uris":["http://www.mendeley.com/documents/?uuid=7ca40c4a-7449-4772-a1ee-f5a76deeb5d7"]},{"id":"ITEM-2","itemData":{"DOI":"10.1093/jn/135.6.1382","ISBN":"0022-3166 (Print)","ISSN":"0022-3166","PMID":"15930441","abstract":"Environmental constraints during early life result in phenotypic changes that can be associated with increased disease risk in later life. This suggests persistent alteration of gene transcription. DNA methylation, which is largely established in utero, provides a causal mechanism by which unbalanced prenatal nutrition results in such altered gene expression. We investigated the effect of unbalanced maternal nutrition on the methylation status and expression of the glucocorticoid receptor (GR) and peroxisomal proliferator-activated receptor (PPAR) genes in rat offspring after weaning. Dams were fed a control protein (C; 180 g/kg protein plus 1 mg/kg folic acid), restricted protein (R; 90 g/kg casein plus 1 mg/kg folic acid), or restricted protein plus 5 mg/kg folic acid (RF) diet throughout pregnancy. Pups were killed 6 d after weaning (n = 10 per group). Gene methylation was determined by methylation-sensitive PCR and mRNA expression by semiquantitative RT-PCR. PPARalpha gene methylation was 20.6% lower (P &lt; 0.001) and expression 10.5-fold higher in R compared with C pups. GR gene methylation was 22.8% lower (P &lt; 0.05) and expression 200% higher (P &lt; 0.01) in R pups than in C pups. The RF diet prevented these changes. PPARgamma methylation status and expression did not differ among the groups. Acyl-CoA oxidase expression followed that of PPARalpha. These results show that unbalanced prenatal nutrition induces persistent, gene-specific epigenetic changes that alter mRNA expression. Epigenetic regulation of gene transcription provides a strong candidate mechanism for fetal programming.","author":[{"dropping-particle":"","family":"Lillycrop","given":"Karen A","non-dropping-particle":"","parse-names":false,"suffix":""},{"dropping-particle":"","family":"Phillips","given":"Emma S","non-dropping-particle":"","parse-names":false,"suffix":""},{"dropping-particle":"","family":"Jackson","given":"Alan A","non-dropping-particle":"","parse-names":false,"suffix":""},{"dropping-particle":"","family":"Hanson","given":"Mark A","non-dropping-particle":"","parse-names":false,"suffix":""},{"dropping-particle":"","family":"Burdge","given":"Graham C","non-dropping-particle":"","parse-names":false,"suffix":""}],"container-title":"The Journal of nutrition","id":"ITEM-2","issue":"6","issued":{"date-parts":[["2005"]]},"page":"1382-6","title":"Dietary protein restriction of pregnant rats induces and folic acid supplementation prevents epigenetic modification of hepatic gene expression in the offspring.","type":"article-journal","volume":"135"},"uris":["http://www.mendeley.com/documents/?uuid=a1e79ac8-84e4-4b22-b400-e735c9a31853"]}],"mendeley":{"formattedCitation":"(12,13)","plainTextFormattedCitation":"(12,13)","previouslyFormattedCitation":"(12,13)"},"properties":{"noteIndex":0},"schema":"https://github.com/citation-style-language/schema/raw/master/csl-citation.json"}</w:instrText>
      </w:r>
      <w:r w:rsidR="002B46E8" w:rsidRPr="005A28F5">
        <w:rPr>
          <w:rStyle w:val="None"/>
          <w:rFonts w:cs="Times New Roman"/>
          <w:lang w:val="en-GB"/>
        </w:rPr>
        <w:fldChar w:fldCharType="separate"/>
      </w:r>
      <w:r w:rsidR="00453860" w:rsidRPr="00453860">
        <w:rPr>
          <w:rStyle w:val="None"/>
          <w:rFonts w:cs="Times New Roman"/>
          <w:noProof/>
          <w:lang w:val="en-GB"/>
        </w:rPr>
        <w:t>(12,13)</w:t>
      </w:r>
      <w:r w:rsidR="002B46E8" w:rsidRPr="005A28F5">
        <w:rPr>
          <w:rStyle w:val="None"/>
          <w:rFonts w:cs="Times New Roman"/>
          <w:lang w:val="en-GB"/>
        </w:rPr>
        <w:fldChar w:fldCharType="end"/>
      </w:r>
      <w:r w:rsidRPr="005A28F5">
        <w:rPr>
          <w:rFonts w:cs="Times New Roman"/>
          <w:lang w:val="en-GB"/>
        </w:rPr>
        <w:t xml:space="preserve">, suggesting an important role for one-carbon (1-C) </w:t>
      </w:r>
      <w:r w:rsidR="002B46E8" w:rsidRPr="005A28F5">
        <w:rPr>
          <w:rFonts w:cs="Times New Roman"/>
          <w:lang w:val="en-GB"/>
        </w:rPr>
        <w:t>metabolites</w:t>
      </w:r>
      <w:r w:rsidRPr="005A28F5">
        <w:rPr>
          <w:rFonts w:cs="Times New Roman"/>
          <w:lang w:val="en-GB"/>
        </w:rPr>
        <w:t>. In humans, observational studies have examined the effect of</w:t>
      </w:r>
      <w:r w:rsidRPr="005A28F5">
        <w:rPr>
          <w:rFonts w:cs="Times New Roman"/>
          <w:u w:color="0066C5"/>
          <w:lang w:val="en-GB"/>
        </w:rPr>
        <w:t xml:space="preserve"> maternal f</w:t>
      </w:r>
      <w:r w:rsidR="004D06E2" w:rsidRPr="005A28F5">
        <w:rPr>
          <w:rFonts w:cs="Times New Roman"/>
          <w:u w:color="0066C5"/>
          <w:lang w:val="en-GB"/>
        </w:rPr>
        <w:t>actors such as low maternal pre-</w:t>
      </w:r>
      <w:r w:rsidRPr="005A28F5">
        <w:rPr>
          <w:rFonts w:cs="Times New Roman"/>
          <w:u w:color="0066C5"/>
          <w:lang w:val="en-GB"/>
        </w:rPr>
        <w:t xml:space="preserve">pregnancy </w:t>
      </w:r>
      <w:r w:rsidR="00C9036E" w:rsidRPr="005A28F5">
        <w:rPr>
          <w:rFonts w:cs="Times New Roman"/>
          <w:u w:color="0066C5"/>
          <w:lang w:val="en-GB"/>
        </w:rPr>
        <w:t>body mass index (</w:t>
      </w:r>
      <w:r w:rsidRPr="005A28F5">
        <w:rPr>
          <w:rFonts w:cs="Times New Roman"/>
          <w:u w:color="0066C5"/>
          <w:lang w:val="en-GB"/>
        </w:rPr>
        <w:t>BMI</w:t>
      </w:r>
      <w:r w:rsidR="00C9036E" w:rsidRPr="005A28F5">
        <w:rPr>
          <w:rFonts w:cs="Times New Roman"/>
          <w:u w:color="0066C5"/>
          <w:lang w:val="en-GB"/>
        </w:rPr>
        <w:t>)</w:t>
      </w:r>
      <w:r w:rsidRPr="005A28F5">
        <w:rPr>
          <w:rFonts w:cs="Times New Roman"/>
          <w:u w:color="0066C5"/>
          <w:lang w:val="en-GB"/>
        </w:rPr>
        <w:t xml:space="preserve"> and maternal diet on </w:t>
      </w:r>
      <w:r w:rsidR="00E11FE3" w:rsidRPr="005A28F5">
        <w:rPr>
          <w:rFonts w:cs="Times New Roman"/>
          <w:u w:color="0066C5"/>
          <w:lang w:val="en-GB"/>
        </w:rPr>
        <w:t>DNAm</w:t>
      </w:r>
      <w:r w:rsidRPr="005A28F5">
        <w:rPr>
          <w:rFonts w:cs="Times New Roman"/>
          <w:u w:color="0066C5"/>
          <w:lang w:val="en-GB"/>
        </w:rPr>
        <w:t xml:space="preserve"> in offspring. Maternal micronutrient status has been linked to methylation differences at a number of genes including </w:t>
      </w:r>
      <w:r w:rsidRPr="005A28F5">
        <w:rPr>
          <w:rFonts w:cs="Times New Roman"/>
          <w:i/>
          <w:u w:color="0066C5"/>
          <w:lang w:val="en-GB"/>
        </w:rPr>
        <w:t>H19</w:t>
      </w:r>
      <w:r w:rsidRPr="005A28F5">
        <w:rPr>
          <w:rFonts w:cs="Times New Roman"/>
          <w:u w:color="0066C5"/>
          <w:lang w:val="en-GB"/>
        </w:rPr>
        <w:t>/</w:t>
      </w:r>
      <w:r w:rsidRPr="005A28F5">
        <w:rPr>
          <w:rFonts w:cs="Times New Roman"/>
          <w:i/>
          <w:u w:color="0066C5"/>
          <w:lang w:val="en-GB"/>
        </w:rPr>
        <w:t>IGF2</w:t>
      </w:r>
      <w:r w:rsidRPr="005A28F5">
        <w:rPr>
          <w:rFonts w:cs="Times New Roman"/>
          <w:u w:color="0066C5"/>
          <w:lang w:val="en-GB"/>
        </w:rPr>
        <w:t xml:space="preserve"> </w:t>
      </w:r>
      <w:r w:rsidR="007E66F4" w:rsidRPr="005A28F5">
        <w:rPr>
          <w:rStyle w:val="None"/>
          <w:rFonts w:cs="Times New Roman"/>
          <w:color w:val="000000" w:themeColor="text1"/>
          <w:u w:color="0066C5"/>
          <w:lang w:val="en-GB"/>
        </w:rPr>
        <w:fldChar w:fldCharType="begin" w:fldLock="1"/>
      </w:r>
      <w:r w:rsidR="001754FE">
        <w:rPr>
          <w:rStyle w:val="None"/>
          <w:rFonts w:cs="Times New Roman"/>
          <w:color w:val="000000" w:themeColor="text1"/>
          <w:u w:color="0066C5"/>
          <w:lang w:val="en-GB"/>
        </w:rPr>
        <w:instrText>ADDIN CSL_CITATION {"citationItems":[{"id":"ITEM-1","itemData":{"DOI":"10.4161/epi.29332","ISSN":"1559-2308","PMID":"24874916","abstract":"Epigenetic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(β = 143.2, se = 63.2, P = 0.02), third (β = 117.3, se = 64.0, P = 0.07), and fourth (β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development.","author":[{"dropping-particle":"","family":"Hoyo","given":"Cathrine","non-dropping-particle":"","parse-names":false,"suffix":""},{"dropping-particle":"","family":"Daltveit","given":"Anne Kjersti","non-dropping-particle":"","parse-names":false,"suffix":""},{"dropping-particle":"","family":"Iversen","given":"Edwin","non-dropping-particle":"","parse-names":false,"suffix":""},{"dropping-particle":"","family":"Benjamin-Neelon","given":"Sara E","non-dropping-particle":"","parse-names":false,"suffix":""},{"dropping-particle":"","family":"Fuemmeler","given":"Bernard","non-dropping-particle":"","parse-names":false,"suffix":""},{"dropping-particle":"","family":"Schildkraut","given":"Joellen","non-dropping-particle":"","parse-names":false,"suffix":""},{"dropping-particle":"","family":"Murtha","given":"Amy P.","non-dropping-particle":"","parse-names":false,"suffix":""},{"dropping-particle":"","family":"Overcash","given":"Francine","non-dropping-particle":"","parse-names":false,"suffix":""},{"dropping-particle":"","family":"Vidal","given":"Adriana C","non-dropping-particle":"","parse-names":false,"suffix":""},{"dropping-particle":"","family":"Wang","given":"Frances","non-dropping-particle":"","parse-names":false,"suffix":""},{"dropping-particle":"","family":"Huang","given":"Zhiqing","non-dropping-particle":"","parse-names":false,"suffix":""},{"dropping-particle":"","family":"Kurtzberg","given":"Joanne","non-dropping-particle":"","parse-names":false,"suffix":""},{"dropping-particle":"","family":"Seewaldt","given":"Victoria","non-dropping-particle":"","parse-names":false,"suffix":""},{"dropping-particle":"","family":"Forman","given":"Michele","non-dropping-particle":"","parse-names":false,"suffix":""},{"dropping-particle":"","family":"Jirtle","given":"Randy L.","non-dropping-particle":"","parse-names":false,"suffix":""},{"dropping-particle":"","family":"Murphy","given":"Susan K.","non-dropping-particle":"","parse-names":false,"suffix":""}],"container-title":"Epigenetics","id":"ITEM-1","issue":"8","issued":{"date-parts":[["2014","8"]]},"language":"en","page":"1120-30","publisher":"Taylor &amp; Francis","title":"Erythrocyte folate concentrations, CpG methylation at genomically imprinted domains, and birth weight in a multiethnic newborn cohort.","type":"article-journal","volume":"9"},"uris":["http://www.mendeley.com/documents/?uuid=533d82a6-79f4-4648-8a6f-f7fbb92819d3"]},{"id":"ITEM-2","itemData":{"DOI":"10.1371/journal.pone.0007845","ISSN":"1932-6203","PMID":"19924280","abstract":"BACKGROUND: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use.","author":[{"dropping-particle":"","family":"Steegers-Theunissen","given":"Régine P","non-dropping-particle":"","parse-names":false,"suffix":""},{"dropping-particle":"","family":"Obermann-Borst","given":"Sylvia A","non-dropping-particle":"","parse-names":false,"suffix":""},{"dropping-particle":"","family":"Kremer","given":"Dennis","non-dropping-particle":"","parse-names":false,"suffix":""},{"dropping-particle":"","family":"Lindemans","given":"Jan","non-dropping-particle":"","parse-names":false,"suffix":""},{"dropping-particle":"","family":"Siebel","given":"Cissy","non-dropping-particle":"","parse-names":false,"suffix":""},{"dropping-particle":"","family":"Steegers","given":"Eric A","non-dropping-particle":"","parse-names":false,"suffix":""},{"dropping-particle":"","family":"Slagboom","given":"P Eline","non-dropping-particle":"","parse-names":false,"suffix":""},{"dropping-particle":"","family":"Heijmans","given":"Bastiaan T","non-dropping-particle":"","parse-names":false,"suffix":""}],"container-title":"PloS one","editor":[{"dropping-particle":"","family":"Zhang","given":"Cuilin","non-dropping-particle":"","parse-names":false,"suffix":""}],"id":"ITEM-2","issue":"11","issued":{"date-parts":[["2009","1"]]},"page":"e7845","publisher":"Public Library of Science","title":"Periconceptional maternal folic acid use of 400 microg per day is related to increased methylation of the IGF2 gene in the very young child.","type":"article-journal","volume":"4"},"uris":["http://www.mendeley.com/documents/?uuid=444ef330-8b5c-440b-a10c-e4eb1b33410c"]}],"mendeley":{"formattedCitation":"(14,15)","plainTextFormattedCitation":"(14,15)","previouslyFormattedCitation":"(14,15)"},"properties":{"noteIndex":0},"schema":"https://github.com/citation-style-language/schema/raw/master/csl-citation.json"}</w:instrText>
      </w:r>
      <w:r w:rsidR="007E66F4" w:rsidRPr="005A28F5">
        <w:rPr>
          <w:rStyle w:val="None"/>
          <w:rFonts w:cs="Times New Roman"/>
          <w:color w:val="000000" w:themeColor="text1"/>
          <w:u w:color="0066C5"/>
          <w:lang w:val="en-GB"/>
        </w:rPr>
        <w:fldChar w:fldCharType="separate"/>
      </w:r>
      <w:r w:rsidR="00453860" w:rsidRPr="00453860">
        <w:rPr>
          <w:rStyle w:val="None"/>
          <w:rFonts w:cs="Times New Roman"/>
          <w:noProof/>
          <w:color w:val="000000" w:themeColor="text1"/>
          <w:u w:color="0066C5"/>
          <w:lang w:val="en-GB"/>
        </w:rPr>
        <w:t>(14,15)</w:t>
      </w:r>
      <w:r w:rsidR="007E66F4" w:rsidRPr="005A28F5">
        <w:rPr>
          <w:rStyle w:val="None"/>
          <w:rFonts w:cs="Times New Roman"/>
          <w:color w:val="000000" w:themeColor="text1"/>
          <w:u w:color="0066C5"/>
          <w:lang w:val="en-GB"/>
        </w:rPr>
        <w:fldChar w:fldCharType="end"/>
      </w:r>
      <w:r w:rsidR="00DB2D11" w:rsidRPr="005A28F5">
        <w:rPr>
          <w:rFonts w:cs="Times New Roman"/>
          <w:u w:color="0066C5"/>
          <w:lang w:val="en-GB"/>
        </w:rPr>
        <w:t xml:space="preserve"> and </w:t>
      </w:r>
      <w:r w:rsidRPr="005A28F5">
        <w:rPr>
          <w:rFonts w:cs="Times New Roman"/>
          <w:i/>
          <w:u w:color="0066C5"/>
          <w:lang w:val="en-GB"/>
        </w:rPr>
        <w:t>MEG3</w:t>
      </w:r>
      <w:r w:rsidRPr="005A28F5">
        <w:rPr>
          <w:rFonts w:cs="Times New Roman"/>
          <w:u w:color="0066C5"/>
          <w:lang w:val="en-GB"/>
        </w:rPr>
        <w:t xml:space="preserve"> </w:t>
      </w:r>
      <w:r w:rsidR="007E66F4" w:rsidRPr="005A28F5">
        <w:rPr>
          <w:rStyle w:val="None"/>
          <w:rFonts w:cs="Times New Roman"/>
          <w:i/>
          <w:color w:val="000000" w:themeColor="text1"/>
          <w:u w:color="0066C5"/>
          <w:lang w:val="en-GB"/>
        </w:rPr>
        <w:fldChar w:fldCharType="begin" w:fldLock="1"/>
      </w:r>
      <w:r w:rsidR="001754FE">
        <w:rPr>
          <w:rStyle w:val="None"/>
          <w:rFonts w:cs="Times New Roman"/>
          <w:i/>
          <w:color w:val="000000" w:themeColor="text1"/>
          <w:u w:color="0066C5"/>
          <w:lang w:val="en-GB"/>
        </w:rPr>
        <w:instrText>ADDIN CSL_CITATION {"citationItems":[{"id":"ITEM-1","itemData":{"DOI":"10.4161/epi.29332","ISSN":"1559-2308","PMID":"24874916","abstract":"Epigenetic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(β = 143.2, se = 63.2, P = 0.02), third (β = 117.3, se = 64.0, P = 0.07), and fourth (β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development.","author":[{"dropping-particle":"","family":"Hoyo","given":"Cathrine","non-dropping-particle":"","parse-names":false,"suffix":""},{"dropping-particle":"","family":"Daltveit","given":"Anne Kjersti","non-dropping-particle":"","parse-names":false,"suffix":""},{"dropping-particle":"","family":"Iversen","given":"Edwin","non-dropping-particle":"","parse-names":false,"suffix":""},{"dropping-particle":"","family":"Benjamin-Neelon","given":"Sara E","non-dropping-particle":"","parse-names":false,"suffix":""},{"dropping-particle":"","family":"Fuemmeler","given":"Bernard","non-dropping-particle":"","parse-names":false,"suffix":""},{"dropping-particle":"","family":"Schildkraut","given":"Joellen","non-dropping-particle":"","parse-names":false,"suffix":""},{"dropping-particle":"","family":"Murtha","given":"Amy P.","non-dropping-particle":"","parse-names":false,"suffix":""},{"dropping-particle":"","family":"Overcash","given":"Francine","non-dropping-particle":"","parse-names":false,"suffix":""},{"dropping-particle":"","family":"Vidal","given":"Adriana C","non-dropping-particle":"","parse-names":false,"suffix":""},{"dropping-particle":"","family":"Wang","given":"Frances","non-dropping-particle":"","parse-names":false,"suffix":""},{"dropping-particle":"","family":"Huang","given":"Zhiqing","non-dropping-particle":"","parse-names":false,"suffix":""},{"dropping-particle":"","family":"Kurtzberg","given":"Joanne","non-dropping-particle":"","parse-names":false,"suffix":""},{"dropping-particle":"","family":"Seewaldt","given":"Victoria","non-dropping-particle":"","parse-names":false,"suffix":""},{"dropping-particle":"","family":"Forman","given":"Michele","non-dropping-particle":"","parse-names":false,"suffix":""},{"dropping-particle":"","family":"Jirtle","given":"Randy L.","non-dropping-particle":"","parse-names":false,"suffix":""},{"dropping-particle":"","family":"Murphy","given":"Susan K.","non-dropping-particle":"","parse-names":false,"suffix":""}],"container-title":"Epigenetics","id":"ITEM-1","issue":"8","issued":{"date-parts":[["2014","8"]]},"language":"en","page":"1120-30","publisher":"Taylor &amp; Francis","title":"Erythrocyte folate concentrations, CpG methylation at genomically imprinted domains, and birth weight in a multiethnic newborn cohort.","type":"article-journal","volume":"9"},"uris":["http://www.mendeley.com/documents/?uuid=533d82a6-79f4-4648-8a6f-f7fbb92819d3"]}],"mendeley":{"formattedCitation":"(14)","plainTextFormattedCitation":"(14)","previouslyFormattedCitation":"(14)"},"properties":{"noteIndex":0},"schema":"https://github.com/citation-style-language/schema/raw/master/csl-citation.json"}</w:instrText>
      </w:r>
      <w:r w:rsidR="007E66F4" w:rsidRPr="005A28F5">
        <w:rPr>
          <w:rStyle w:val="None"/>
          <w:rFonts w:cs="Times New Roman"/>
          <w:i/>
          <w:color w:val="000000" w:themeColor="text1"/>
          <w:u w:color="0066C5"/>
          <w:lang w:val="en-GB"/>
        </w:rPr>
        <w:fldChar w:fldCharType="separate"/>
      </w:r>
      <w:r w:rsidR="0063572E" w:rsidRPr="00453860">
        <w:rPr>
          <w:rStyle w:val="None"/>
          <w:rFonts w:cs="Times New Roman"/>
          <w:noProof/>
          <w:color w:val="000000" w:themeColor="text1"/>
          <w:u w:color="0066C5"/>
          <w:lang w:val="en-GB"/>
        </w:rPr>
        <w:t>(14)</w:t>
      </w:r>
      <w:r w:rsidR="007E66F4" w:rsidRPr="005A28F5">
        <w:rPr>
          <w:rStyle w:val="None"/>
          <w:rFonts w:cs="Times New Roman"/>
          <w:i/>
          <w:color w:val="000000" w:themeColor="text1"/>
          <w:u w:color="0066C5"/>
          <w:lang w:val="en-GB"/>
        </w:rPr>
        <w:fldChar w:fldCharType="end"/>
      </w:r>
      <w:r w:rsidRPr="005A28F5">
        <w:rPr>
          <w:rFonts w:cs="Times New Roman"/>
          <w:u w:color="0066C5"/>
          <w:lang w:val="en-GB"/>
        </w:rPr>
        <w:t xml:space="preserve"> which are associated with outcomes including birthweight </w:t>
      </w:r>
      <w:r w:rsidR="007E66F4" w:rsidRPr="005A28F5">
        <w:rPr>
          <w:rStyle w:val="None"/>
          <w:rFonts w:cs="Times New Roman"/>
          <w:color w:val="000000" w:themeColor="text1"/>
          <w:u w:color="0066C5"/>
          <w:lang w:val="en-GB"/>
        </w:rPr>
        <w:fldChar w:fldCharType="begin" w:fldLock="1"/>
      </w:r>
      <w:r w:rsidR="001754FE">
        <w:rPr>
          <w:rStyle w:val="None"/>
          <w:rFonts w:cs="Times New Roman"/>
          <w:color w:val="000000" w:themeColor="text1"/>
          <w:u w:color="0066C5"/>
          <w:lang w:val="en-GB"/>
        </w:rPr>
        <w:instrText>ADDIN CSL_CITATION {"citationItems":[{"id":"ITEM-1","itemData":{"DOI":"10.4161/epi.27387","ISBN":"10.4161/epi.27387","ISSN":"1559-2294","author":[{"dropping-particle":"","family":"Azzi","given":"Salah","non-dropping-particle":"","parse-names":false,"suffix":""},{"dropping-particle":"","family":"Sas","given":"Theo CJ","non-dropping-particle":"","parse-names":false,"suffix":""},{"dropping-particle":"","family":"Koudou","given":"Yves","non-dropping-particle":"","parse-names":false,"suffix":""},{"dropping-particle":"","family":"Bouc","given":"Yves","non-dropping-particle":"Le","parse-names":false,"suffix":""},{"dropping-particle":"","family":"Souberbielle","given":"Jean-Claude","non-dropping-particle":"","parse-names":false,"suffix":""},{"dropping-particle":"","family":"Dargent-Molina","given":"Patricia","non-dropping-particle":"","parse-names":false,"suffix":""},{"dropping-particle":"","family":"Netchine","given":"Irène","non-dropping-particle":"","parse-names":false,"suffix":""},{"dropping-particle":"","family":"Charles","given":"Marie-Aline","non-dropping-particle":"","parse-names":false,"suffix":""}],"container-title":"Epigenetics","id":"ITEM-1","issue":"3","issued":{"date-parts":[["2014","3","1"]]},"page":"338-345","publisher":"Landes Bioscience","title":"Degree of methylation of ZAC1 (PLAGL1) is associated with prenatal and post-natal growth in healthy infants of the EDEN mother child cohort","type":"article-journal","volume":"9"},"uris":["http://www.mendeley.com/documents/?uuid=d3faeeef-0d5b-4d65-a1c5-0b2932415e67"]},{"id":"ITEM-2","itemData":{"DOI":"10.4161/epi.29332","ISSN":"1559-2308","PMID":"24874916","abstract":"Epigenetic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(β = 143.2, se = 63.2, P = 0.02), third (β = 117.3, se = 64.0, P = 0.07), and fourth (β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development.","author":[{"dropping-particle":"","family":"Hoyo","given":"Cathrine","non-dropping-particle":"","parse-names":false,"suffix":""},{"dropping-particle":"","family":"Daltveit","given":"Anne Kjersti","non-dropping-particle":"","parse-names":false,"suffix":""},{"dropping-particle":"","family":"Iversen","given":"Edwin","non-dropping-particle":"","parse-names":false,"suffix":""},{"dropping-particle":"","family":"Benjamin-Neelon","given":"Sara E","non-dropping-particle":"","parse-names":false,"suffix":""},{"dropping-particle":"","family":"Fuemmeler","given":"Bernard","non-dropping-particle":"","parse-names":false,"suffix":""},{"dropping-particle":"","family":"Schildkraut","given":"Joellen","non-dropping-particle":"","parse-names":false,"suffix":""},{"dropping-particle":"","family":"Murtha","given":"Amy P.","non-dropping-particle":"","parse-names":false,"suffix":""},{"dropping-particle":"","family":"Overcash","given":"Francine","non-dropping-particle":"","parse-names":false,"suffix":""},{"dropping-particle":"","family":"Vidal","given":"Adriana C","non-dropping-particle":"","parse-names":false,"suffix":""},{"dropping-particle":"","family":"Wang","given":"Frances","non-dropping-particle":"","parse-names":false,"suffix":""},{"dropping-particle":"","family":"Huang","given":"Zhiqing","non-dropping-particle":"","parse-names":false,"suffix":""},{"dropping-particle":"","family":"Kurtzberg","given":"Joanne","non-dropping-particle":"","parse-names":false,"suffix":""},{"dropping-particle":"","family":"Seewaldt","given":"Victoria","non-dropping-particle":"","parse-names":false,"suffix":""},{"dropping-particle":"","family":"Forman","given":"Michele","non-dropping-particle":"","parse-names":false,"suffix":""},{"dropping-particle":"","family":"Jirtle","given":"Randy L.","non-dropping-particle":"","parse-names":false,"suffix":""},{"dropping-particle":"","family":"Murphy","given":"Susan K.","non-dropping-particle":"","parse-names":false,"suffix":""}],"container-title":"Epigenetics","id":"ITEM-2","issue":"8","issued":{"date-parts":[["2014","8"]]},"language":"en","page":"1120-30","publisher":"Taylor &amp; Francis","title":"Erythrocyte folate concentrations, CpG methylation at genomically imprinted domains, and birth weight in a multiethnic newborn cohort.","type":"article-journal","volume":"9"},"uris":["http://www.mendeley.com/documents/?uuid=533d82a6-79f4-4648-8a6f-f7fbb92819d3"]},{"id":"ITEM-3","itemData":{"DOI":"10.1371/journal.pone.0007845","ISSN":"1932-6203","PMID":"19924280","abstract":"BACKGROUND: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use.","author":[{"dropping-particle":"","family":"Steegers-Theunissen","given":"Régine P","non-dropping-particle":"","parse-names":false,"suffix":""},{"dropping-particle":"","family":"Obermann-Borst","given":"Sylvia A","non-dropping-particle":"","parse-names":false,"suffix":""},{"dropping-particle":"","family":"Kremer","given":"Dennis","non-dropping-particle":"","parse-names":false,"suffix":""},{"dropping-particle":"","family":"Lindemans","given":"Jan","non-dropping-particle":"","parse-names":false,"suffix":""},{"dropping-particle":"","family":"Siebel","given":"Cissy","non-dropping-particle":"","parse-names":false,"suffix":""},{"dropping-particle":"","family":"Steegers","given":"Eric A","non-dropping-particle":"","parse-names":false,"suffix":""},{"dropping-particle":"","family":"Slagboom","given":"P Eline","non-dropping-particle":"","parse-names":false,"suffix":""},{"dropping-particle":"","family":"Heijmans","given":"Bastiaan T","non-dropping-particle":"","parse-names":false,"suffix":""}],"container-title":"PloS one","editor":[{"dropping-particle":"","family":"Zhang","given":"Cuilin","non-dropping-particle":"","parse-names":false,"suffix":""}],"id":"ITEM-3","issue":"11","issued":{"date-parts":[["2009","1"]]},"page":"e7845","publisher":"Public Library of Science","title":"Periconceptional maternal folic acid use of 400 microg per day is related to increased methylation of the IGF2 gene in the very young child.","type":"article-journal","volume":"4"},"uris":["http://www.mendeley.com/documents/?uuid=444ef330-8b5c-440b-a10c-e4eb1b33410c"]}],"mendeley":{"formattedCitation":"(14–16)","plainTextFormattedCitation":"(14–16)","previouslyFormattedCitation":"(14–16)"},"properties":{"noteIndex":0},"schema":"https://github.com/citation-style-language/schema/raw/master/csl-citation.json"}</w:instrText>
      </w:r>
      <w:r w:rsidR="007E66F4" w:rsidRPr="005A28F5">
        <w:rPr>
          <w:rStyle w:val="None"/>
          <w:rFonts w:cs="Times New Roman"/>
          <w:color w:val="000000" w:themeColor="text1"/>
          <w:u w:color="0066C5"/>
          <w:lang w:val="en-GB"/>
        </w:rPr>
        <w:fldChar w:fldCharType="separate"/>
      </w:r>
      <w:r w:rsidR="0063572E" w:rsidRPr="00453860">
        <w:rPr>
          <w:rStyle w:val="None"/>
          <w:rFonts w:cs="Times New Roman"/>
          <w:noProof/>
          <w:color w:val="000000" w:themeColor="text1"/>
          <w:u w:color="0066C5"/>
          <w:lang w:val="en-GB"/>
        </w:rPr>
        <w:t>(14–16)</w:t>
      </w:r>
      <w:r w:rsidR="007E66F4" w:rsidRPr="005A28F5">
        <w:rPr>
          <w:rStyle w:val="None"/>
          <w:rFonts w:cs="Times New Roman"/>
          <w:color w:val="000000" w:themeColor="text1"/>
          <w:u w:color="0066C5"/>
          <w:lang w:val="en-GB"/>
        </w:rPr>
        <w:fldChar w:fldCharType="end"/>
      </w:r>
      <w:r w:rsidRPr="005A28F5">
        <w:rPr>
          <w:rFonts w:cs="Times New Roman"/>
          <w:u w:color="0066C5"/>
          <w:lang w:val="en-GB"/>
        </w:rPr>
        <w:t xml:space="preserve">.  Maternal 1-C metabolites in plasma measured at conception have been associated with methylation differences at </w:t>
      </w:r>
      <w:r w:rsidR="00E84262" w:rsidRPr="005A28F5">
        <w:rPr>
          <w:rFonts w:cs="Times New Roman"/>
          <w:u w:color="0066C5"/>
          <w:lang w:val="en-GB"/>
        </w:rPr>
        <w:t xml:space="preserve">several </w:t>
      </w:r>
      <w:r w:rsidR="00790B1D" w:rsidRPr="005A28F5">
        <w:rPr>
          <w:rFonts w:cs="Times New Roman"/>
          <w:u w:color="0066C5"/>
          <w:lang w:val="en-GB"/>
        </w:rPr>
        <w:t xml:space="preserve">genes </w:t>
      </w:r>
      <w:r w:rsidR="00F038DF" w:rsidRPr="005A28F5">
        <w:rPr>
          <w:rFonts w:cs="Times New Roman"/>
          <w:u w:color="0066C5"/>
          <w:lang w:val="en-GB"/>
        </w:rPr>
        <w:fldChar w:fldCharType="begin" w:fldLock="1"/>
      </w:r>
      <w:r w:rsidR="001754FE">
        <w:rPr>
          <w:rFonts w:cs="Times New Roman"/>
          <w:u w:color="0066C5"/>
          <w:lang w:val="en-GB"/>
        </w:rPr>
        <w:instrText>ADDIN CSL_CITATION {"citationItems":[{"id":"ITEM-1","itemData":{"DOI":"10.1186/s13059-015-0660-y","ISSN":"1465-6906","PMID":"26062908","abstract":"Matt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Biology","id":"ITEM-1","issue":"1","issued":{"date-parts":[["2015","6","11"]]},"page":"118","title":"Independent genomewide screens identify the tumor suppressor VTRNA2-1 as a human epiallele responsive to periconceptional environment","type":"article-journal","volume":"16"},"uris":["http://www.mendeley.com/documents/?uuid=db7922a2-ba21-4a5a-bf94-b08008d95786"]},{"id":"ITEM-2","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Communications","id":"ITEM-2","issued":{"date-parts":[["2014","4","29"]]},"language":"en","page":"1-7","publisher":"Nature Publishing Group","title":"Maternal nutrition at conception modulates DNA methylation of human metastable epialleles","type":"article-journal","volume":"5"},"uris":["http://www.mendeley.com/documents/?uuid=6b5f8d86-1622-402c-bdf7-397885c014d1"]}],"mendeley":{"formattedCitation":"(17,18)","plainTextFormattedCitation":"(17,18)","previouslyFormattedCitation":"(17,18)"},"properties":{"noteIndex":0},"schema":"https://github.com/citation-style-language/schema/raw/master/csl-citation.json"}</w:instrText>
      </w:r>
      <w:r w:rsidR="00F038DF" w:rsidRPr="005A28F5">
        <w:rPr>
          <w:rFonts w:cs="Times New Roman"/>
          <w:u w:color="0066C5"/>
          <w:lang w:val="en-GB"/>
        </w:rPr>
        <w:fldChar w:fldCharType="separate"/>
      </w:r>
      <w:r w:rsidR="00453860" w:rsidRPr="00453860">
        <w:rPr>
          <w:rFonts w:cs="Times New Roman"/>
          <w:noProof/>
          <w:u w:color="0066C5"/>
          <w:lang w:val="en-GB"/>
        </w:rPr>
        <w:t>(17,18)</w:t>
      </w:r>
      <w:r w:rsidR="00F038DF" w:rsidRPr="005A28F5">
        <w:rPr>
          <w:rFonts w:cs="Times New Roman"/>
          <w:u w:color="0066C5"/>
          <w:lang w:val="en-GB"/>
        </w:rPr>
        <w:fldChar w:fldCharType="end"/>
      </w:r>
      <w:r w:rsidR="00790B1D" w:rsidRPr="005A28F5">
        <w:rPr>
          <w:rFonts w:cs="Times New Roman"/>
          <w:u w:color="0066C5"/>
          <w:lang w:val="en-GB"/>
        </w:rPr>
        <w:t xml:space="preserve">, including </w:t>
      </w:r>
      <w:r w:rsidRPr="005A28F5">
        <w:rPr>
          <w:rFonts w:cs="Times New Roman"/>
          <w:i/>
          <w:u w:color="0066C5"/>
          <w:lang w:val="en-GB"/>
        </w:rPr>
        <w:t>POMC</w:t>
      </w:r>
      <w:r w:rsidRPr="005A28F5">
        <w:rPr>
          <w:rFonts w:cs="Times New Roman"/>
          <w:u w:color="0066C5"/>
          <w:lang w:val="en-GB"/>
        </w:rPr>
        <w:t>, which ha</w:t>
      </w:r>
      <w:r w:rsidR="00790B1D" w:rsidRPr="005A28F5">
        <w:rPr>
          <w:rFonts w:cs="Times New Roman"/>
          <w:u w:color="0066C5"/>
          <w:lang w:val="en-GB"/>
        </w:rPr>
        <w:t>s</w:t>
      </w:r>
      <w:r w:rsidRPr="005A28F5">
        <w:rPr>
          <w:rFonts w:cs="Times New Roman"/>
          <w:u w:color="0066C5"/>
          <w:lang w:val="en-GB"/>
        </w:rPr>
        <w:t xml:space="preserve"> been linked to obesity in children and adults </w:t>
      </w:r>
      <w:r w:rsidR="007E66F4" w:rsidRPr="005A28F5">
        <w:rPr>
          <w:rStyle w:val="None"/>
          <w:rFonts w:cs="Times New Roman"/>
          <w:color w:val="000000" w:themeColor="text1"/>
          <w:u w:color="0066C5"/>
          <w:lang w:val="en-GB"/>
        </w:rPr>
        <w:fldChar w:fldCharType="begin" w:fldLock="1"/>
      </w:r>
      <w:r w:rsidR="001754FE">
        <w:rPr>
          <w:rStyle w:val="None"/>
          <w:rFonts w:cs="Times New Roman"/>
          <w:color w:val="000000" w:themeColor="text1"/>
          <w:u w:color="0066C5"/>
          <w:lang w:val="en-GB"/>
        </w:rPr>
        <w:instrText>ADDIN CSL_CITATION {"citationItems":[{"id":"ITEM-1","itemData":{"DOI":"10.1016/j.cmet.2016.08.001","ISSN":"15504131","author":[{"dropping-particle":"","family":"Kühnen","given":"Peter","non-dropping-particle":"","parse-names":false,"suffix":""},{"dropping-particle":"","family":"Handke","given":"Daniela","non-dropping-particle":"","parse-names":false,"suffix":""},{"dropping-particle":"","family":"Waterland","given":"Robert A.","non-dropping-particle":"","parse-names":false,"suffix":""},{"dropping-particle":"","family":"Hennig","given":"Branwen J.","non-dropping-particle":"","parse-names":false,"suffix":""},{"dropping-particle":"","family":"Silver","given":"Matt","non-dropping-particle":"","parse-names":false,"suffix":""},{"dropping-particle":"","family":"Fulford","given":"Anthony J.","non-dropping-particle":"","parse-names":false,"suffix":""},{"dropping-particle":"","family":"Dominguez-Salas","given":"Paula","non-dropping-particle":"","parse-names":false,"suffix":""},{"dropping-particle":"","family":"Moore","given":"Sophie E.","non-dropping-particle":"","parse-names":false,"suffix":""},{"dropping-particle":"","family":"Prentice","given":"Andrew M.","non-dropping-particle":"","parse-names":false,"suffix":""},{"dropping-particle":"","family":"Spranger","given":"Joachim","non-dropping-particle":"","parse-names":false,"suffix":""},{"dropping-particle":"","family":"Hinney","given":"Anke","non-dropping-particle":"","parse-names":false,"suffix":""},{"dropping-particle":"","family":"Hebebrand","given":"Johannes","non-dropping-particle":"","parse-names":false,"suffix":""},{"dropping-particle":"","family":"Heppner","given":"Frank L.","non-dropping-particle":"","parse-names":false,"suffix":""},{"dropping-particle":"","family":"Walzer","given":"Lena","non-dropping-particle":"","parse-names":false,"suffix":""},{"dropping-particle":"","family":"Grötzinger","given":"Carsten","non-dropping-particle":"","parse-names":false,"suffix":""},{"dropping-particle":"","family":"Gromoll","given":"Jörg","non-dropping-particle":"","parse-names":false,"suffix":""},{"dropping-particle":"","family":"Wiegand","given":"Susanna","non-dropping-particle":"","parse-names":false,"suffix":""},{"dropping-particle":"","family":"Grüters","given":"Annette","non-dropping-particle":"","parse-names":false,"suffix":""},{"dropping-particle":"","family":"Krude","given":"Heiko","non-dropping-particle":"","parse-names":false,"suffix":""}],"container-title":"Cell Metabolism","id":"ITEM-1","issue":"3","issued":{"date-parts":[["2016","9"]]},"page":"502-509","title":"Interindividual Variation in DNA Methylation at a Putative POMC Metastable Epiallele Is Associated with Obesity","type":"article-journal","volume":"24"},"uris":["http://www.mendeley.com/documents/?uuid=2b167132-b9ba-4273-a154-dc9f654fccde"]}],"mendeley":{"formattedCitation":"(19)","plainTextFormattedCitation":"(19)","previouslyFormattedCitation":"(19)"},"properties":{"noteIndex":0},"schema":"https://github.com/citation-style-language/schema/raw/master/csl-citation.json"}</w:instrText>
      </w:r>
      <w:r w:rsidR="007E66F4" w:rsidRPr="005A28F5">
        <w:rPr>
          <w:rStyle w:val="None"/>
          <w:rFonts w:cs="Times New Roman"/>
          <w:color w:val="000000" w:themeColor="text1"/>
          <w:u w:color="0066C5"/>
          <w:lang w:val="en-GB"/>
        </w:rPr>
        <w:fldChar w:fldCharType="separate"/>
      </w:r>
      <w:r w:rsidR="0063572E" w:rsidRPr="00453860">
        <w:rPr>
          <w:rStyle w:val="None"/>
          <w:rFonts w:cs="Times New Roman"/>
          <w:noProof/>
          <w:color w:val="000000" w:themeColor="text1"/>
          <w:u w:color="0066C5"/>
          <w:lang w:val="en-GB"/>
        </w:rPr>
        <w:t>(19)</w:t>
      </w:r>
      <w:r w:rsidR="007E66F4" w:rsidRPr="005A28F5">
        <w:rPr>
          <w:rStyle w:val="None"/>
          <w:rFonts w:cs="Times New Roman"/>
          <w:color w:val="000000" w:themeColor="text1"/>
          <w:u w:color="0066C5"/>
          <w:lang w:val="en-GB"/>
        </w:rPr>
        <w:fldChar w:fldCharType="end"/>
      </w:r>
      <w:r w:rsidRPr="005A28F5">
        <w:rPr>
          <w:rFonts w:cs="Times New Roman"/>
          <w:u w:color="0066C5"/>
          <w:lang w:val="en-GB"/>
        </w:rPr>
        <w:t>.</w:t>
      </w:r>
    </w:p>
    <w:p w14:paraId="28125D36" w14:textId="77777777" w:rsidR="00E01BB2" w:rsidRPr="005A28F5" w:rsidRDefault="00E01BB2" w:rsidP="001A64D3">
      <w:pPr>
        <w:pStyle w:val="BodyB"/>
        <w:spacing w:line="360" w:lineRule="auto"/>
        <w:rPr>
          <w:rFonts w:eastAsia="Cambria" w:cs="Times New Roman"/>
          <w:u w:color="0066C5"/>
          <w:lang w:val="en-GB"/>
        </w:rPr>
      </w:pPr>
    </w:p>
    <w:p w14:paraId="1ED227D2" w14:textId="08573498" w:rsidR="006510E0" w:rsidRDefault="00BC3B0C" w:rsidP="001A64D3">
      <w:pPr>
        <w:pStyle w:val="BodyB"/>
        <w:spacing w:line="360" w:lineRule="auto"/>
        <w:rPr>
          <w:rFonts w:cs="Times New Roman"/>
          <w:u w:color="0432FF"/>
          <w:lang w:val="en-GB"/>
        </w:rPr>
      </w:pPr>
      <w:r w:rsidRPr="005A28F5">
        <w:rPr>
          <w:rFonts w:cs="Times New Roman"/>
          <w:lang w:val="en-GB"/>
        </w:rPr>
        <w:t xml:space="preserve">Periconception, spanning the weeks before and after conception, represents a sensitive window </w:t>
      </w:r>
      <w:r w:rsidR="007B3DF7" w:rsidRPr="005A28F5">
        <w:rPr>
          <w:rFonts w:cs="Times New Roman"/>
          <w:lang w:val="en-GB"/>
        </w:rPr>
        <w:t xml:space="preserve">in which </w:t>
      </w:r>
      <w:r w:rsidRPr="005A28F5">
        <w:rPr>
          <w:rFonts w:cs="Times New Roman"/>
          <w:lang w:val="en-GB"/>
        </w:rPr>
        <w:t xml:space="preserve">differences in the </w:t>
      </w:r>
      <w:r w:rsidR="000F4A77" w:rsidRPr="005A28F5">
        <w:rPr>
          <w:rFonts w:cs="Times New Roman"/>
          <w:lang w:val="en-GB"/>
        </w:rPr>
        <w:t xml:space="preserve">parental </w:t>
      </w:r>
      <w:r w:rsidRPr="005A28F5">
        <w:rPr>
          <w:rFonts w:cs="Times New Roman"/>
          <w:lang w:val="en-GB"/>
        </w:rPr>
        <w:t xml:space="preserve">nutritional milieu have the potential to induce persistent gene regulatory changes in the offspring, with implications for organ development and later health </w:t>
      </w:r>
      <w:r w:rsidR="002F27A0" w:rsidRPr="005A28F5">
        <w:rPr>
          <w:rStyle w:val="None"/>
          <w:rFonts w:cs="Times New Roman"/>
          <w:lang w:val="en-GB"/>
        </w:rPr>
        <w:fldChar w:fldCharType="begin" w:fldLock="1"/>
      </w:r>
      <w:r w:rsidR="001754FE">
        <w:rPr>
          <w:rStyle w:val="None"/>
          <w:rFonts w:cs="Times New Roman"/>
          <w:lang w:val="en-GB"/>
        </w:rPr>
        <w:instrText>ADDIN CSL_CITATION {"citationItems":[{"id":"ITEM-1","itemData":{"DOI":"10.1016/S0140-6736(18)30312-X","ISSN":"01406736","PMID":"29673874","author":[{"dropping-particle":"","family":"Fleming","given":"Tom P","non-dropping-particle":"","parse-names":false,"suffix":""},{"dropping-particle":"","family":"Watkins","given":"Adam J","non-dropping-particle":"","parse-names":false,"suffix":""},{"dropping-particle":"","family":"Velazquez","given":"Miguel A","non-dropping-particle":"","parse-names":false,"suffix":""},{"dropping-particle":"","family":"Mathers","given":"John C","non-dropping-particle":"","parse-names":false,"suffix":""},{"dropping-particle":"","family":"Prentice","given":"Andrew M","non-dropping-particle":"","parse-names":false,"suffix":""},{"dropping-particle":"","family":"Stephenson","given":"Judith","non-dropping-particle":"","parse-names":false,"suffix":""},{"dropping-particle":"","family":"Barker","given":"Mary","non-dropping-particle":"","parse-names":false,"suffix":""},{"dropping-particle":"","family":"Saffery","given":"Richard","non-dropping-particle":"","parse-names":false,"suffix":""},{"dropping-particle":"","family":"Yajnik","given":"Chittaranjan S","non-dropping-particle":"","parse-names":false,"suffix":""},{"dropping-particle":"","family":"Eckert","given":"Judith J","non-dropping-particle":"","parse-names":false,"suffix":""},{"dropping-particle":"","family":"Hanson","given":"Mark A","non-dropping-particle":"","parse-names":false,"suffix":""},{"dropping-particle":"","family":"Forrester","given":"Terrence","non-dropping-particle":"","parse-names":false,"suffix":""},{"dropping-particle":"","family":"Gluckman","given":"Peter D","non-dropping-particle":"","parse-names":false,"suffix":""},{"dropping-particle":"","family":"Godfrey","given":"Keith M","non-dropping-particle":"","parse-names":false,"suffix":""}],"container-title":"The Lancet","id":"ITEM-1","issue":"10132","issued":{"date-parts":[["2018"]]},"page":"1842-1852","publisher":"Elsevier Ltd","title":"Origins of lifetime health around the time of conception: causes and consequences","type":"article-journal","volume":"391"},"uris":["http://www.mendeley.com/documents/?uuid=e50bef8c-f7f3-40ab-8552-2e58f678fe12"]}],"mendeley":{"formattedCitation":"(1)","plainTextFormattedCitation":"(1)","previouslyFormattedCitation":"(1)"},"properties":{"noteIndex":0},"schema":"https://github.com/citation-style-language/schema/raw/master/csl-citation.json"}</w:instrText>
      </w:r>
      <w:r w:rsidR="002F27A0" w:rsidRPr="005A28F5">
        <w:rPr>
          <w:rStyle w:val="None"/>
          <w:rFonts w:cs="Times New Roman"/>
          <w:lang w:val="en-GB"/>
        </w:rPr>
        <w:fldChar w:fldCharType="separate"/>
      </w:r>
      <w:r w:rsidR="0063572E" w:rsidRPr="00453860">
        <w:rPr>
          <w:rStyle w:val="None"/>
          <w:rFonts w:cs="Times New Roman"/>
          <w:noProof/>
          <w:lang w:val="en-GB"/>
        </w:rPr>
        <w:t>(1)</w:t>
      </w:r>
      <w:r w:rsidR="002F27A0" w:rsidRPr="005A28F5">
        <w:rPr>
          <w:rStyle w:val="None"/>
          <w:rFonts w:cs="Times New Roman"/>
          <w:lang w:val="en-GB"/>
        </w:rPr>
        <w:fldChar w:fldCharType="end"/>
      </w:r>
      <w:r w:rsidRPr="005A28F5">
        <w:rPr>
          <w:rFonts w:cs="Times New Roman"/>
          <w:lang w:val="en-GB"/>
        </w:rPr>
        <w:t xml:space="preserve">. </w:t>
      </w:r>
      <w:r w:rsidRPr="005A28F5">
        <w:rPr>
          <w:rFonts w:cs="Times New Roman"/>
          <w:u w:color="0432FF"/>
          <w:lang w:val="en-GB"/>
        </w:rPr>
        <w:t xml:space="preserve">The </w:t>
      </w:r>
      <w:r w:rsidR="00C9036E" w:rsidRPr="005A28F5">
        <w:rPr>
          <w:rFonts w:cs="Times New Roman"/>
          <w:u w:color="0432FF"/>
          <w:lang w:val="en-GB"/>
        </w:rPr>
        <w:t>1-C</w:t>
      </w:r>
      <w:r w:rsidRPr="005A28F5">
        <w:rPr>
          <w:rFonts w:cs="Times New Roman"/>
          <w:u w:color="0432FF"/>
          <w:lang w:val="en-GB"/>
        </w:rPr>
        <w:t xml:space="preserve"> metabolic pathway</w:t>
      </w:r>
      <w:r w:rsidRPr="005A28F5">
        <w:rPr>
          <w:rFonts w:cs="Times New Roman"/>
          <w:lang w:val="en-GB"/>
        </w:rPr>
        <w:t xml:space="preserve"> links maternal (and paternal) micronutrient status </w:t>
      </w:r>
      <w:r w:rsidRPr="005A28F5">
        <w:rPr>
          <w:rFonts w:cs="Times New Roman"/>
          <w:lang w:val="en-GB"/>
        </w:rPr>
        <w:lastRenderedPageBreak/>
        <w:t xml:space="preserve">with the gametic and embryonic </w:t>
      </w:r>
      <w:proofErr w:type="spellStart"/>
      <w:r w:rsidRPr="005A28F5">
        <w:rPr>
          <w:rFonts w:cs="Times New Roman"/>
          <w:lang w:val="en-GB"/>
        </w:rPr>
        <w:t>mileu</w:t>
      </w:r>
      <w:proofErr w:type="spellEnd"/>
      <w:r w:rsidRPr="005A28F5">
        <w:rPr>
          <w:rFonts w:cs="Times New Roman"/>
          <w:lang w:val="en-GB"/>
        </w:rPr>
        <w:t xml:space="preserve">, and the developing embryonic epigenome </w:t>
      </w:r>
      <w:r w:rsidR="002F27A0" w:rsidRPr="005A28F5">
        <w:rPr>
          <w:rStyle w:val="None"/>
          <w:rFonts w:cs="Times New Roman"/>
          <w:lang w:val="en-GB"/>
        </w:rPr>
        <w:fldChar w:fldCharType="begin" w:fldLock="1"/>
      </w:r>
      <w:r w:rsidR="001754FE">
        <w:rPr>
          <w:rStyle w:val="None"/>
          <w:rFonts w:cs="Times New Roman"/>
          <w:lang w:val="en-GB"/>
        </w:rPr>
        <w:instrText>ADDIN CSL_CITATION {"citationItems":[{"id":"ITEM-1","itemData":{"DOI":"10.1093/humupd/dmt041","ISBN":"3110703688","ISSN":"13554786","PMID":"23959022","abstract":"BACKGROUND Most reproductive failures originate during the periconceptional period and are influenced by the age and the lifestyle of parents-to-be. We advance the hypothesis that these failures can arise as a partial consequence of derangements to one-carbon (1-C) metabolism (i.e. metabolic pathways that utilize substrates/cofactors such as methionine, vitamin B12, folate). 1-C metabolic pathways drive the synthesis of proteins, biogenic amines and lipids required for early growth, together with the synthesis and methylation of DNA and histones essential for the regulation of gene expression. We review how deficiencies in periconceptional 1-C metabolism affect fertility and development together with underlying mechanisms derived from animal studies. METHODS A literature search was performed using PubMed and bibliographies of all relevant original research articles and reviews. RESULTS We define 'periconception' as a 5-6-month period in women embracing oocyte growth, fertilization, conceptus formation and development to Week 10 of gestation (coinciding with the closure of the secondary palate in the embryo). During this period significant epigenetic modifications to chromatin occur that correspond with normal development. Subtle variations in 1-C metabolism genes and deficiencies in 1-C substrates/cofactors together with poor lifestyle, such as smoking and alcohol consumption, disturb 1-C metabolism and contribute to subfertility and early miscarriage and compromise offspring health. Procedures used in assisted reproduction can also disturb these metabolic pathways and contribute to poor pregnancy outcomes. CONCLUSIONS Evidence presented indicates that parental nutrition and other lifestyle factors during the periconceptional period can affect reproductive performance via 1-C metabolic pathways. This knowledge provides opportunities for treatment and prevention of reproductive failures and future non-communicable diseases.","author":[{"dropping-particle":"","family":"Steegers-Theunissen","given":"Régine P M","non-dropping-particle":"","parse-names":false,"suffix":""},{"dropping-particle":"","family":"Twigt","given":"John","non-dropping-particle":"","parse-names":false,"suffix":""},{"dropping-particle":"","family":"Pestinger","given":"Valerie","non-dropping-particle":"","parse-names":false,"suffix":""},{"dropping-particle":"","family":"Sinclair","given":"Kevin D.","non-dropping-particle":"","parse-names":false,"suffix":""}],"container-title":"Human Reproduction Update","id":"ITEM-1","issue":"6","issued":{"date-parts":[["2013"]]},"page":"640-655","title":"The periconceptional period, reproduction and long-term health of offspring: The importance of one-carbon metabolism","type":"article-journal","volume":"19"},"uris":["http://www.mendeley.com/documents/?uuid=4f6baa27-da9b-4e5c-a1b1-a1f48e646967"]}],"mendeley":{"formattedCitation":"(20)","plainTextFormattedCitation":"(20)","previouslyFormattedCitation":"(20)"},"properties":{"noteIndex":0},"schema":"https://github.com/citation-style-language/schema/raw/master/csl-citation.json"}</w:instrText>
      </w:r>
      <w:r w:rsidR="002F27A0" w:rsidRPr="005A28F5">
        <w:rPr>
          <w:rStyle w:val="None"/>
          <w:rFonts w:cs="Times New Roman"/>
          <w:lang w:val="en-GB"/>
        </w:rPr>
        <w:fldChar w:fldCharType="separate"/>
      </w:r>
      <w:r w:rsidR="0063572E" w:rsidRPr="00453860">
        <w:rPr>
          <w:rStyle w:val="None"/>
          <w:rFonts w:cs="Times New Roman"/>
          <w:noProof/>
          <w:lang w:val="en-GB"/>
        </w:rPr>
        <w:t>(20)</w:t>
      </w:r>
      <w:r w:rsidR="002F27A0" w:rsidRPr="005A28F5">
        <w:rPr>
          <w:rStyle w:val="None"/>
          <w:rFonts w:cs="Times New Roman"/>
          <w:lang w:val="en-GB"/>
        </w:rPr>
        <w:fldChar w:fldCharType="end"/>
      </w:r>
      <w:r w:rsidRPr="005A28F5">
        <w:rPr>
          <w:rFonts w:cs="Times New Roman"/>
          <w:u w:color="0432FF"/>
          <w:lang w:val="en-GB"/>
        </w:rPr>
        <w:t xml:space="preserve">. Micronutrients </w:t>
      </w:r>
      <w:r w:rsidR="006510E0" w:rsidRPr="005A28F5">
        <w:rPr>
          <w:rFonts w:cs="Times New Roman"/>
          <w:u w:color="0432FF"/>
          <w:lang w:val="en-GB"/>
        </w:rPr>
        <w:t xml:space="preserve">play an essential role in the 1-C pathways involved in </w:t>
      </w:r>
      <w:r w:rsidR="00E11FE3" w:rsidRPr="005A28F5">
        <w:rPr>
          <w:rFonts w:cs="Times New Roman"/>
          <w:u w:color="0432FF"/>
          <w:lang w:val="en-GB"/>
        </w:rPr>
        <w:t>DNAm</w:t>
      </w:r>
      <w:r w:rsidR="006510E0" w:rsidRPr="005A28F5">
        <w:rPr>
          <w:rFonts w:cs="Times New Roman"/>
          <w:u w:color="0432FF"/>
          <w:lang w:val="en-GB"/>
        </w:rPr>
        <w:t xml:space="preserve">, either providing methyl </w:t>
      </w:r>
      <w:r w:rsidRPr="005A28F5">
        <w:rPr>
          <w:rFonts w:cs="Times New Roman"/>
          <w:u w:color="0432FF"/>
          <w:lang w:val="en-GB"/>
        </w:rPr>
        <w:t xml:space="preserve">groups </w:t>
      </w:r>
      <w:r w:rsidR="006510E0" w:rsidRPr="005A28F5">
        <w:rPr>
          <w:rFonts w:cs="Times New Roman"/>
          <w:u w:color="0432FF"/>
          <w:lang w:val="en-GB"/>
        </w:rPr>
        <w:t xml:space="preserve">(e.g. folate, betaine, methionine, serine) or </w:t>
      </w:r>
      <w:r w:rsidR="00C9036E" w:rsidRPr="005A28F5">
        <w:rPr>
          <w:rFonts w:cs="Times New Roman"/>
          <w:u w:color="0432FF"/>
          <w:lang w:val="en-GB"/>
        </w:rPr>
        <w:t>acting as</w:t>
      </w:r>
      <w:r w:rsidR="006510E0" w:rsidRPr="005A28F5">
        <w:rPr>
          <w:rFonts w:cs="Times New Roman"/>
          <w:u w:color="0432FF"/>
          <w:lang w:val="en-GB"/>
        </w:rPr>
        <w:t xml:space="preserve"> cofactors (e.g. vitamins B2, B6, B12) </w:t>
      </w:r>
      <w:r w:rsidR="00DA03BE" w:rsidRPr="005A28F5">
        <w:rPr>
          <w:rStyle w:val="None"/>
          <w:rFonts w:cs="Times New Roman"/>
          <w:color w:val="000000" w:themeColor="text1"/>
          <w:u w:color="0432FF"/>
          <w:lang w:val="en-GB"/>
        </w:rPr>
        <w:fldChar w:fldCharType="begin" w:fldLock="1"/>
      </w:r>
      <w:r w:rsidR="001754FE">
        <w:rPr>
          <w:rStyle w:val="None"/>
          <w:rFonts w:cs="Times New Roman"/>
          <w:color w:val="000000" w:themeColor="text1"/>
          <w:u w:color="0432FF"/>
          <w:lang w:val="en-GB"/>
        </w:rPr>
        <w:instrText>ADDIN CSL_CITATION {"citationItems":[{"id":"ITEM-1","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Epidemiology","id":"ITEM-1","issue":"August","issued":{"date-parts":[["2018","8","17"]]},"page":"1-28","title":"Candidate genes linking maternal nutrient exposure to offspring health via DNA methylation: a review of existing evidence in humans with specific focus on one-carbon metabolism","type":"article-journal"},"uris":["http://www.mendeley.com/documents/?uuid=444e4c97-0b67-4638-8308-cf6d2307c1b0"]}],"mendeley":{"formattedCitation":"(9)","plainTextFormattedCitation":"(9)","previouslyFormattedCitation":"(9)"},"properties":{"noteIndex":0},"schema":"https://github.com/citation-style-language/schema/raw/master/csl-citation.json"}</w:instrText>
      </w:r>
      <w:r w:rsidR="00DA03BE" w:rsidRPr="005A28F5">
        <w:rPr>
          <w:rStyle w:val="None"/>
          <w:rFonts w:cs="Times New Roman"/>
          <w:color w:val="000000" w:themeColor="text1"/>
          <w:u w:color="0432FF"/>
          <w:lang w:val="en-GB"/>
        </w:rPr>
        <w:fldChar w:fldCharType="separate"/>
      </w:r>
      <w:r w:rsidR="0063572E" w:rsidRPr="00453860">
        <w:rPr>
          <w:rStyle w:val="None"/>
          <w:rFonts w:cs="Times New Roman"/>
          <w:noProof/>
          <w:color w:val="000000" w:themeColor="text1"/>
          <w:u w:color="0432FF"/>
          <w:lang w:val="en-GB"/>
        </w:rPr>
        <w:t>(9)</w:t>
      </w:r>
      <w:r w:rsidR="00DA03BE" w:rsidRPr="005A28F5">
        <w:rPr>
          <w:rStyle w:val="None"/>
          <w:rFonts w:cs="Times New Roman"/>
          <w:color w:val="000000" w:themeColor="text1"/>
          <w:u w:color="0432FF"/>
          <w:lang w:val="en-GB"/>
        </w:rPr>
        <w:fldChar w:fldCharType="end"/>
      </w:r>
      <w:r w:rsidRPr="005A28F5">
        <w:rPr>
          <w:rFonts w:cs="Times New Roman"/>
          <w:u w:color="0432FF"/>
          <w:lang w:val="en-GB"/>
        </w:rPr>
        <w:t xml:space="preserve">. </w:t>
      </w:r>
      <w:r w:rsidR="006510E0" w:rsidRPr="005A28F5">
        <w:rPr>
          <w:rFonts w:cs="Times New Roman"/>
          <w:u w:color="0432FF"/>
          <w:lang w:val="en-GB"/>
        </w:rPr>
        <w:t>Taken together, the</w:t>
      </w:r>
      <w:r w:rsidRPr="005A28F5">
        <w:rPr>
          <w:rFonts w:cs="Times New Roman"/>
          <w:u w:color="0432FF"/>
          <w:lang w:val="en-GB"/>
        </w:rPr>
        <w:t xml:space="preserve"> evidence suggests that alterations to one</w:t>
      </w:r>
      <w:r w:rsidR="00842252" w:rsidRPr="005A28F5">
        <w:rPr>
          <w:rFonts w:cs="Times New Roman"/>
          <w:u w:color="0432FF"/>
          <w:lang w:val="en-GB"/>
        </w:rPr>
        <w:t>-</w:t>
      </w:r>
      <w:r w:rsidRPr="005A28F5">
        <w:rPr>
          <w:rFonts w:cs="Times New Roman"/>
          <w:u w:color="0432FF"/>
          <w:lang w:val="en-GB"/>
        </w:rPr>
        <w:t>carbon pathways present a plausible link between early maternal nutrition and offspring hea</w:t>
      </w:r>
      <w:r w:rsidR="00C9036E" w:rsidRPr="005A28F5">
        <w:rPr>
          <w:rFonts w:cs="Times New Roman"/>
          <w:u w:color="0432FF"/>
          <w:lang w:val="en-GB"/>
        </w:rPr>
        <w:t>lth, via DNAm</w:t>
      </w:r>
      <w:r w:rsidR="00790B1D" w:rsidRPr="005A28F5">
        <w:rPr>
          <w:rFonts w:cs="Times New Roman"/>
          <w:u w:color="0432FF"/>
          <w:lang w:val="en-GB"/>
        </w:rPr>
        <w:t xml:space="preserve"> changes</w:t>
      </w:r>
      <w:r w:rsidR="00C9036E" w:rsidRPr="005A28F5">
        <w:rPr>
          <w:rFonts w:cs="Times New Roman"/>
          <w:u w:color="0432FF"/>
          <w:lang w:val="en-GB"/>
        </w:rPr>
        <w:t>.</w:t>
      </w:r>
      <w:r w:rsidRPr="005A28F5">
        <w:rPr>
          <w:rFonts w:cs="Times New Roman"/>
          <w:u w:color="0432FF"/>
          <w:lang w:val="en-GB"/>
        </w:rPr>
        <w:t xml:space="preserve"> </w:t>
      </w:r>
    </w:p>
    <w:p w14:paraId="51BC9B75" w14:textId="77777777" w:rsidR="001754FE" w:rsidRPr="005A28F5" w:rsidRDefault="001754FE" w:rsidP="001A64D3">
      <w:pPr>
        <w:pStyle w:val="BodyB"/>
        <w:spacing w:line="360" w:lineRule="auto"/>
        <w:rPr>
          <w:rFonts w:cs="Times New Roman"/>
          <w:u w:color="0432FF"/>
          <w:lang w:val="en-GB"/>
        </w:rPr>
      </w:pPr>
    </w:p>
    <w:p w14:paraId="36D694BB" w14:textId="074CE076" w:rsidR="00761CB7" w:rsidRDefault="001754FE" w:rsidP="001A64D3">
      <w:pPr>
        <w:pStyle w:val="BodyB"/>
        <w:spacing w:line="360" w:lineRule="auto"/>
        <w:rPr>
          <w:rFonts w:cs="Times New Roman"/>
          <w:u w:color="0432FF"/>
          <w:lang w:val="en-GB"/>
        </w:rPr>
      </w:pPr>
      <w:r w:rsidRPr="001754FE">
        <w:rPr>
          <w:u w:color="0432FF"/>
        </w:rPr>
        <w:t xml:space="preserve">Opportunities to study links </w:t>
      </w:r>
      <w:r>
        <w:rPr>
          <w:u w:color="0432FF"/>
        </w:rPr>
        <w:t xml:space="preserve">between early nutrition and DNAm </w:t>
      </w:r>
      <w:r w:rsidRPr="001754FE">
        <w:rPr>
          <w:u w:color="0432FF"/>
        </w:rPr>
        <w:t>in countries with a high burden of disease and in the context of a randomised preconceptional nutritional intervention are extremely rare.</w:t>
      </w:r>
      <w:r w:rsidRPr="001754FE">
        <w:rPr>
          <w:b/>
          <w:bCs/>
          <w:u w:color="0432FF"/>
        </w:rPr>
        <w:t xml:space="preserve"> </w:t>
      </w:r>
      <w:r>
        <w:rPr>
          <w:u w:color="0432FF"/>
        </w:rPr>
        <w:t>T</w:t>
      </w:r>
      <w:r w:rsidRPr="001754FE">
        <w:rPr>
          <w:u w:color="0432FF"/>
        </w:rPr>
        <w:t xml:space="preserve">he few </w:t>
      </w:r>
      <w:r w:rsidR="007446F9">
        <w:rPr>
          <w:u w:color="0432FF"/>
        </w:rPr>
        <w:t>randomised controlled trials (</w:t>
      </w:r>
      <w:r w:rsidRPr="001754FE">
        <w:rPr>
          <w:u w:color="0432FF"/>
        </w:rPr>
        <w:t>RCTs</w:t>
      </w:r>
      <w:r w:rsidR="007446F9">
        <w:rPr>
          <w:u w:color="0432FF"/>
        </w:rPr>
        <w:t>)</w:t>
      </w:r>
      <w:r w:rsidRPr="001754FE">
        <w:rPr>
          <w:u w:color="0432FF"/>
        </w:rPr>
        <w:t xml:space="preserve"> that have been conducted (see for example </w:t>
      </w:r>
      <w:r w:rsidRPr="001754FE">
        <w:rPr>
          <w:u w:color="0432FF"/>
        </w:rPr>
        <w:fldChar w:fldCharType="begin" w:fldLock="1"/>
      </w:r>
      <w:r w:rsidR="00897103">
        <w:rPr>
          <w:u w:color="0432FF"/>
        </w:rPr>
        <w:instrText>ADDIN CSL_CITATION {"citationItems":[{"id":"ITEM-1","itemData":{"DOI":"10.1093/ije/dyy032","ISSN":"0300-5771","author":[{"dropping-particle":"","family":"Richmond","given":"Rebecca","non-dropping-particle":"","parse-names":false,"suffix":""},{"dropping-particle":"","family":"Sharp","given":"Gemma","non-dropping-particle":"","parse-names":false,"suffix":""},{"dropping-particle":"","family":"Herbert","given":"Georgia","non-dropping-particle":"","parse-names":false,"suffix":""},{"dropping-particle":"","family":"Atkinson","given":"Charlotte","non-dropping-particle":"","parse-names":false,"suffix":""},{"dropping-particle":"","family":"Taylor","given":"Caroline","non-dropping-particle":"","parse-names":false,"suffix":""},{"dropping-particle":"","family":"Bhattachrya","given":"Sohinee","non-dropping-particle":"","parse-names":false,"suffix":""},{"dropping-particle":"","family":"Campbell","given":"Doris","non-dropping-particle":"","parse-names":false,"suffix":""},{"dropping-particle":"","family":"Hall","given":"Marion","non-dropping-particle":"","parse-names":false,"suffix":""},{"dropping-particle":"","family":"Kazmi","given":"Nabila","non-dropping-particle":"","parse-names":false,"suffix":""},{"dropping-particle":"","family":"Gaunt","given":"Tom","non-dropping-particle":"","parse-names":false,"suffix":""},{"dropping-particle":"","family":"McArdle","given":"Wendy","non-dropping-particle":"","parse-names":false,"suffix":""},{"dropping-particle":"","family":"Ring","given":"Susan","non-dropping-particle":"","parse-names":false,"suffix":""},{"dropping-particle":"","family":"Davey Smith","given":"George","non-dropping-particle":"","parse-names":false,"suffix":""},{"dropping-particle":"","family":"Ness","given":"Andrew R","non-dropping-particle":"","parse-names":false,"suffix":""},{"dropping-particle":"","family":"Relton","given":"Caroline","non-dropping-particle":"","parse-names":false,"suffix":""}],"container-title":"International Journal of Epidemiology","id":"ITEM-1","issue":"March","issued":{"date-parts":[["2018"]]},"page":"1-10","title":"The long-term impact of folic acid in pregnancy on offspring DNA methylation : follow-up of the Aberdeen folic acid supplementation trial (AFAST)","type":"article-journal","volume":"In Press"},"uris":["http://www.mendeley.com/documents/?uuid=93f5d468-36a2-4e1e-b9ea-ff893b299d8e"]},{"id":"ITEM-2","itemData":{"DOI":"10.1093/ajcn/nqx069","ISSN":"0002-9165","PMID":"29635492","abstract":"Background: Emerging evidence suggests that maternal folate status can impact cognitive development in childhood. Folate-dependent DNA methylation may provide a biological mechanism to link fo-late status during pregnancy with cognition in the offspring. Objective: The objective was to investigate the effect of continued folic acid (FA) supplementation beyond the first trimester of preg-nancy on DNA methylation in cord blood of epigenetically controlled genes related to brain development and function. Design: Using available cord blood samples (n = 86) from the Folic Acid Supplementation in the Second and Third Trimesters (FASSTT) trial in pregnancy, we applied pyrosequencing techniques to analyze cord blood DNA at 9 candidate loci known to be regulated by methy-lation, including some previously implicated in observational stud-ies: the widely dispersed retrotransposon long interspersed nuclear element-1 (LINE-1) and 8 single-copy loci (RBM46, PEG3, IGF2, GRB10, BDNF, GRIN3B, OPCML, and APC2). Results: The newborns of mothers who received ongoing FA (400 µg/d) through the second and third trimesters, compared with placebo, had significantly lower overall DNA methylation levels at LINE-1 (56.3% ± 1.7% compared with 57.2% ± 2.1%; P = 0.024), IFG2 (48.9% ± 4.4% compared with 51.2% ± 5.1%; P = 0.021), and BDNF (2.7% ± 0.7% compared with 3.1% ± 0.8%; P = 0.003). The effect of FA treatment on DNA methylation was significant only in female offspring for IGF2 (P = 0.028) and only in males for BDNF (P = 0.012). For GRB10 and GRIN3B, we detected no ef-fect on overall methylation; however, individual cytosine-phosphate-guanine sites showed significant DNA methylation changes in response to FA. Conclusions: Continued supplementation with FA through trimesters 2 and 3 of pregnancy results in significant changes in DNA methylation in cord blood of genes related to brain devel-opment. The findings offer a potential biological mechanism linking maternal folate status with neurodevelopment of the offspring, but this requires further investigation using a genome-wide approach. This trial was registered at www.isrctn.com as ISRCTN19917787. Am J Clin Nutr 2018;107:566–575.","author":[{"dropping-particle":"","family":"Caffrey","given":"Aoife","non-dropping-particle":"","parse-names":false,"suffix":""},{"dropping-particle":"","family":"Irwin","given":"Rachelle E","non-dropping-particle":"","parse-names":false,"suffix":""},{"dropping-particle":"","family":"McNulty","given":"Helene","non-dropping-particle":"","parse-names":false,"suffix":""},{"dropping-particle":"","family":"Strain","given":"J J","non-dropping-particle":"","parse-names":false,"suffix":""},{"dropping-particle":"","family":"Lees-Murdock","given":"Diane J","non-dropping-particle":"","parse-names":false,"suffix":""},{"dropping-particle":"","family":"McNulty","given":"Breige A","non-dropping-particle":"","parse-names":false,"suffix":""},{"dropping-particle":"","family":"Ward","given":"Mary","non-dropping-particle":"","parse-names":false,"suffix":""},{"dropping-particle":"","family":"Walsh","given":"Colum P","non-dropping-particle":"","parse-names":false,"suffix":""},{"dropping-particle":"","family":"Pentieva","given":"Kristina","non-dropping-particle":"","parse-names":false,"suffix":""}],"container-title":"The American Journal of Clinical Nutrition","id":"ITEM-2","issue":"4","issued":{"date-parts":[["2018"]]},"page":"566-575","title":"Gene-specific DNA methylation in newborns in response to folic acid supplementation during the second and third trimesters of pregnancy: epigenetic analysis from a randomized controlled trial","type":"article-journal","volume":"107"},"uris":["http://www.mendeley.com/documents/?uuid=d0886c78-ac04-4ca7-8eea-eaee9a3a2c58"]},{"id":"ITEM-3","itemData":{"DOI":"10.3390/nu10040455","ISSN":"20726643","abstract":"The epigenetic profile of the developing fetus is sensitive to environmental influence. Maternal diet has been shown to influence DNA methylation patterns in offspring, but research in humans is limited. We investigated the impact of a low glycaemic index dietary intervention during pregnancy on offspring DNA methylation patterns using a genome-wide methylation approach. Sixty neonates were selected from the ROLO (Randomised cOntrol trial of LOw glycaemic index diet to prevent macrosomia) study: 30 neonates from the low glycaemic index intervention arm and 30 from the control, whose mothers received no specific dietary advice. DNA methylation was investigated in 771,484 CpG sites in free DNA from cord blood serum. Principal component analysis and linear regression were carried out comparing the intervention and control groups. Gene clustering and pathway analysis were also explored. Widespread variation was identified in the newborns exposed to the dietary intervention, accounting for 11% of the total level of DNA methylation variation within the dataset. No association was found with maternal early-pregnancy body mass index (BMI), infant sex, or birthweight. Pathway analysis identified common influences of the intervention on gene clusters plausibly linked to pathways targeted by the intervention, including cardiac and immune functioning. Analysis in 60 additional samples from the ROLO study failed to replicate the original findings. Using a modest-sized discovery sample, we identified preliminary evidence of differential methylation in progeny of mothers exposed to a dietary intervention during pregnancy.","author":[{"dropping-particle":"","family":"Geraghty","given":"Aisling A.","non-dropping-particle":"","parse-names":false,"suffix":""},{"dropping-particle":"","family":"Sexton-Oates","given":"Alexandra","non-dropping-particle":"","parse-names":false,"suffix":""},{"dropping-particle":"","family":"O’Brien","given":"Eileen C.","non-dropping-particle":"","parse-names":false,"suffix":""},{"dropping-particle":"","family":"Alberdi","given":"Goiuri","non-dropping-particle":"","parse-names":false,"suffix":""},{"dropping-particle":"","family":"Fransquet","given":"Peter","non-dropping-particle":"","parse-names":false,"suffix":""},{"dropping-particle":"","family":"Saffery","given":"Richard","non-dropping-particle":"","parse-names":false,"suffix":""},{"dropping-particle":"","family":"McAuliffe","given":"Fionnuala M.","non-dropping-particle":"","parse-names":false,"suffix":""}],"container-title":"Nutrients","id":"ITEM-3","issue":"4","issued":{"date-parts":[["2018"]]},"page":"1-14","title":"A low glycaemic index diet in pregnancy induces DNA methylation variation in blood of newborns: Results from the ROLO randomised controlled trial","type":"article-journal","volume":"10"},"uris":["http://www.mendeley.com/documents/?uuid=5fdfca47-52c4-4edd-aa04-ad78ec36f7c3"]}],"mendeley":{"formattedCitation":"(21–23)","plainTextFormattedCitation":"(21–23)","previouslyFormattedCitation":"(21–23)"},"properties":{"noteIndex":0},"schema":"https://github.com/citation-style-language/schema/raw/master/csl-citation.json"}</w:instrText>
      </w:r>
      <w:r w:rsidRPr="001754FE">
        <w:rPr>
          <w:u w:color="0432FF"/>
        </w:rPr>
        <w:fldChar w:fldCharType="separate"/>
      </w:r>
      <w:r w:rsidRPr="001754FE">
        <w:rPr>
          <w:noProof/>
          <w:u w:color="0432FF"/>
        </w:rPr>
        <w:t>(21–23)</w:t>
      </w:r>
      <w:r w:rsidRPr="001754FE">
        <w:rPr>
          <w:u w:color="0432FF"/>
        </w:rPr>
        <w:fldChar w:fldCharType="end"/>
      </w:r>
      <w:r w:rsidRPr="001754FE">
        <w:rPr>
          <w:u w:color="0432FF"/>
        </w:rPr>
        <w:t xml:space="preserve">) </w:t>
      </w:r>
      <w:r>
        <w:rPr>
          <w:u w:color="0432FF"/>
        </w:rPr>
        <w:t xml:space="preserve">have not </w:t>
      </w:r>
      <w:r w:rsidRPr="001754FE">
        <w:rPr>
          <w:u w:color="0432FF"/>
        </w:rPr>
        <w:t>involved supplementation in the pre/periconceptional period</w:t>
      </w:r>
      <w:r>
        <w:rPr>
          <w:u w:color="0432FF"/>
        </w:rPr>
        <w:t xml:space="preserve">, and </w:t>
      </w:r>
      <w:r w:rsidRPr="001754FE">
        <w:rPr>
          <w:u w:color="0432FF"/>
        </w:rPr>
        <w:t xml:space="preserve">have been carried out in high income countries where </w:t>
      </w:r>
      <w:r w:rsidR="00CE6779">
        <w:rPr>
          <w:u w:color="0432FF"/>
        </w:rPr>
        <w:t xml:space="preserve">health outcomes and </w:t>
      </w:r>
      <w:r w:rsidRPr="001754FE">
        <w:rPr>
          <w:u w:color="0432FF"/>
        </w:rPr>
        <w:t xml:space="preserve">nutritional </w:t>
      </w:r>
      <w:r w:rsidR="00CE6779">
        <w:rPr>
          <w:u w:color="0432FF"/>
        </w:rPr>
        <w:t xml:space="preserve">intakes are </w:t>
      </w:r>
      <w:r w:rsidRPr="001754FE">
        <w:rPr>
          <w:u w:color="0432FF"/>
        </w:rPr>
        <w:t xml:space="preserve">very different to those experienced in </w:t>
      </w:r>
      <w:r w:rsidR="007446F9">
        <w:rPr>
          <w:u w:color="0432FF"/>
        </w:rPr>
        <w:t>low and middle-income countries</w:t>
      </w:r>
      <w:r w:rsidRPr="001754FE">
        <w:rPr>
          <w:u w:color="0432FF"/>
        </w:rPr>
        <w:t xml:space="preserve">. </w:t>
      </w:r>
    </w:p>
    <w:p w14:paraId="1B212DAF" w14:textId="77777777" w:rsidR="001754FE" w:rsidRPr="005A28F5" w:rsidRDefault="001754FE" w:rsidP="001A64D3">
      <w:pPr>
        <w:pStyle w:val="BodyB"/>
        <w:spacing w:line="360" w:lineRule="auto"/>
        <w:rPr>
          <w:rFonts w:cs="Times New Roman"/>
          <w:u w:color="0432FF"/>
          <w:lang w:val="en-GB"/>
        </w:rPr>
      </w:pPr>
    </w:p>
    <w:p w14:paraId="6DE11427" w14:textId="7D9213BD" w:rsidR="00E01BB2" w:rsidRPr="005A28F5" w:rsidRDefault="00BC3B0C" w:rsidP="001A64D3">
      <w:pPr>
        <w:pStyle w:val="BodyB"/>
        <w:spacing w:line="360" w:lineRule="auto"/>
        <w:rPr>
          <w:rFonts w:cs="Times New Roman"/>
          <w:lang w:val="en-GB"/>
        </w:rPr>
      </w:pPr>
      <w:r w:rsidRPr="005A28F5">
        <w:rPr>
          <w:rFonts w:cs="Times New Roman"/>
          <w:lang w:val="en-GB"/>
        </w:rPr>
        <w:t xml:space="preserve">The EMPHASIS study (Epigenetic Mechanisms linking </w:t>
      </w:r>
      <w:r w:rsidR="007059D6" w:rsidRPr="005A28F5">
        <w:rPr>
          <w:rFonts w:cs="Times New Roman"/>
          <w:lang w:val="en-GB"/>
        </w:rPr>
        <w:t>Preconception</w:t>
      </w:r>
      <w:r w:rsidRPr="005A28F5">
        <w:rPr>
          <w:rFonts w:cs="Times New Roman"/>
          <w:lang w:val="en-GB"/>
        </w:rPr>
        <w:t xml:space="preserve">al nutrition and Health </w:t>
      </w:r>
      <w:proofErr w:type="spellStart"/>
      <w:r w:rsidRPr="005A28F5">
        <w:rPr>
          <w:rFonts w:cs="Times New Roman"/>
          <w:lang w:val="en-GB"/>
        </w:rPr>
        <w:t>ASsessed</w:t>
      </w:r>
      <w:proofErr w:type="spellEnd"/>
      <w:r w:rsidRPr="005A28F5">
        <w:rPr>
          <w:rFonts w:cs="Times New Roman"/>
          <w:lang w:val="en-GB"/>
        </w:rPr>
        <w:t xml:space="preserve"> in India and sub-Saharan Africa; ISRCTN14266771) </w:t>
      </w:r>
      <w:r w:rsidR="00CE6779">
        <w:rPr>
          <w:rFonts w:cs="Times New Roman"/>
          <w:lang w:val="en-GB"/>
        </w:rPr>
        <w:t xml:space="preserve">was established to </w:t>
      </w:r>
      <w:r w:rsidRPr="005A28F5">
        <w:rPr>
          <w:rFonts w:cs="Times New Roman"/>
          <w:lang w:val="en-GB"/>
        </w:rPr>
        <w:t>examine the ef</w:t>
      </w:r>
      <w:r w:rsidR="004D06E2" w:rsidRPr="005A28F5">
        <w:rPr>
          <w:rFonts w:cs="Times New Roman"/>
          <w:lang w:val="en-GB"/>
        </w:rPr>
        <w:t>fects of maternal pre and peri</w:t>
      </w:r>
      <w:r w:rsidRPr="005A28F5">
        <w:rPr>
          <w:rFonts w:cs="Times New Roman"/>
          <w:lang w:val="en-GB"/>
        </w:rPr>
        <w:t>conceptional nutrition on genome</w:t>
      </w:r>
      <w:r w:rsidR="00842252" w:rsidRPr="005A28F5">
        <w:rPr>
          <w:rFonts w:cs="Times New Roman"/>
          <w:lang w:val="en-GB"/>
        </w:rPr>
        <w:t>-</w:t>
      </w:r>
      <w:r w:rsidRPr="005A28F5">
        <w:rPr>
          <w:rFonts w:cs="Times New Roman"/>
          <w:lang w:val="en-GB"/>
        </w:rPr>
        <w:t xml:space="preserve">wide </w:t>
      </w:r>
      <w:r w:rsidR="00E11FE3" w:rsidRPr="005A28F5">
        <w:rPr>
          <w:rFonts w:cs="Times New Roman"/>
          <w:lang w:val="en-GB"/>
        </w:rPr>
        <w:t>DNAm</w:t>
      </w:r>
      <w:r w:rsidRPr="005A28F5">
        <w:rPr>
          <w:rFonts w:cs="Times New Roman"/>
          <w:lang w:val="en-GB"/>
        </w:rPr>
        <w:t xml:space="preserve"> in children in a </w:t>
      </w:r>
      <w:r w:rsidR="00CE6779">
        <w:rPr>
          <w:rFonts w:cs="Times New Roman"/>
          <w:color w:val="000000" w:themeColor="text1"/>
          <w:lang w:val="en-GB"/>
        </w:rPr>
        <w:t xml:space="preserve">RCT </w:t>
      </w:r>
      <w:r w:rsidRPr="005A28F5">
        <w:rPr>
          <w:rFonts w:cs="Times New Roman"/>
          <w:color w:val="000000" w:themeColor="text1"/>
          <w:lang w:val="en-GB"/>
        </w:rPr>
        <w:t xml:space="preserve">setting, and to relate nutrition-related DNAm </w:t>
      </w:r>
      <w:r w:rsidR="00CE6779">
        <w:rPr>
          <w:rFonts w:cs="Times New Roman"/>
          <w:color w:val="000000" w:themeColor="text1"/>
          <w:lang w:val="en-GB"/>
        </w:rPr>
        <w:t xml:space="preserve">changes </w:t>
      </w:r>
      <w:r w:rsidRPr="005A28F5">
        <w:rPr>
          <w:rFonts w:cs="Times New Roman"/>
          <w:color w:val="000000" w:themeColor="text1"/>
          <w:lang w:val="en-GB"/>
        </w:rPr>
        <w:t xml:space="preserve">to a range of health outcomes </w:t>
      </w:r>
      <w:r w:rsidR="00A462B7" w:rsidRPr="005A28F5">
        <w:rPr>
          <w:rStyle w:val="None"/>
          <w:rFonts w:cs="Times New Roman"/>
          <w:color w:val="000000" w:themeColor="text1"/>
          <w:lang w:val="en-GB"/>
        </w:rPr>
        <w:fldChar w:fldCharType="begin" w:fldLock="1"/>
      </w:r>
      <w:r w:rsidR="00897103">
        <w:rPr>
          <w:rStyle w:val="None"/>
          <w:rFonts w:cs="Times New Roman"/>
          <w:color w:val="000000" w:themeColor="text1"/>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00A462B7" w:rsidRPr="005A28F5">
        <w:rPr>
          <w:rStyle w:val="None"/>
          <w:rFonts w:cs="Times New Roman"/>
          <w:color w:val="000000" w:themeColor="text1"/>
          <w:lang w:val="en-GB"/>
        </w:rPr>
        <w:fldChar w:fldCharType="separate"/>
      </w:r>
      <w:r w:rsidR="001754FE" w:rsidRPr="001754FE">
        <w:rPr>
          <w:rStyle w:val="None"/>
          <w:rFonts w:cs="Times New Roman"/>
          <w:noProof/>
          <w:color w:val="000000" w:themeColor="text1"/>
          <w:lang w:val="en-GB"/>
        </w:rPr>
        <w:t>(24)</w:t>
      </w:r>
      <w:r w:rsidR="00A462B7" w:rsidRPr="005A28F5">
        <w:rPr>
          <w:rStyle w:val="None"/>
          <w:rFonts w:cs="Times New Roman"/>
          <w:color w:val="000000" w:themeColor="text1"/>
          <w:lang w:val="en-GB"/>
        </w:rPr>
        <w:fldChar w:fldCharType="end"/>
      </w:r>
      <w:r w:rsidRPr="005A28F5">
        <w:rPr>
          <w:rFonts w:cs="Times New Roman"/>
          <w:color w:val="000000" w:themeColor="text1"/>
          <w:lang w:val="en-GB"/>
        </w:rPr>
        <w:t xml:space="preserve">. </w:t>
      </w:r>
      <w:r w:rsidR="003F6823" w:rsidRPr="005A28F5">
        <w:rPr>
          <w:rFonts w:cs="Times New Roman"/>
          <w:color w:val="000000" w:themeColor="text1"/>
          <w:lang w:val="en-GB"/>
        </w:rPr>
        <w:t xml:space="preserve">The </w:t>
      </w:r>
      <w:r w:rsidR="00701E9F">
        <w:rPr>
          <w:rFonts w:cs="Times New Roman"/>
          <w:color w:val="000000" w:themeColor="text1"/>
          <w:lang w:val="en-GB"/>
        </w:rPr>
        <w:t>original intervention trials</w:t>
      </w:r>
      <w:r w:rsidR="003F6823" w:rsidRPr="005A28F5">
        <w:rPr>
          <w:rFonts w:cs="Times New Roman"/>
          <w:color w:val="000000" w:themeColor="text1"/>
          <w:lang w:val="en-GB"/>
        </w:rPr>
        <w:t>, one in India and one in sub-Saharan West Africa</w:t>
      </w:r>
      <w:r w:rsidR="00A93057" w:rsidRPr="005A28F5">
        <w:rPr>
          <w:rFonts w:cs="Times New Roman"/>
          <w:color w:val="000000" w:themeColor="text1"/>
          <w:lang w:val="en-GB"/>
        </w:rPr>
        <w:t>,</w:t>
      </w:r>
      <w:r w:rsidR="00701E9F">
        <w:rPr>
          <w:rFonts w:cs="Times New Roman"/>
          <w:color w:val="000000" w:themeColor="text1"/>
          <w:lang w:val="en-GB"/>
        </w:rPr>
        <w:t xml:space="preserve"> were planned independently and neither were designed with a follow-up epigenetic study in mind. </w:t>
      </w:r>
      <w:r w:rsidR="003F6823" w:rsidRPr="005A28F5">
        <w:rPr>
          <w:rFonts w:cs="Times New Roman"/>
          <w:color w:val="000000" w:themeColor="text1"/>
          <w:lang w:val="en-GB"/>
        </w:rPr>
        <w:t xml:space="preserve"> </w:t>
      </w:r>
      <w:r w:rsidR="00701E9F">
        <w:rPr>
          <w:rFonts w:cs="Times New Roman"/>
          <w:color w:val="000000" w:themeColor="text1"/>
          <w:lang w:val="en-GB"/>
        </w:rPr>
        <w:t xml:space="preserve">Each </w:t>
      </w:r>
      <w:r w:rsidR="003F6823" w:rsidRPr="005A28F5">
        <w:rPr>
          <w:rFonts w:cs="Times New Roman"/>
          <w:color w:val="000000" w:themeColor="text1"/>
          <w:lang w:val="en-GB"/>
        </w:rPr>
        <w:t xml:space="preserve">involved </w:t>
      </w:r>
      <w:r w:rsidR="00701E9F">
        <w:rPr>
          <w:rFonts w:cs="Times New Roman"/>
          <w:color w:val="000000" w:themeColor="text1"/>
          <w:lang w:val="en-GB"/>
        </w:rPr>
        <w:t>a different nutritional intervention (</w:t>
      </w:r>
      <w:r w:rsidR="003F6823" w:rsidRPr="005A28F5">
        <w:rPr>
          <w:rFonts w:cs="Times New Roman"/>
          <w:color w:val="000000" w:themeColor="text1"/>
          <w:lang w:val="en-GB"/>
        </w:rPr>
        <w:t xml:space="preserve">food-based </w:t>
      </w:r>
      <w:r w:rsidR="00701E9F">
        <w:rPr>
          <w:rFonts w:cs="Times New Roman"/>
          <w:color w:val="000000" w:themeColor="text1"/>
          <w:lang w:val="en-GB"/>
        </w:rPr>
        <w:t xml:space="preserve">in the Indian cohort; </w:t>
      </w:r>
      <w:r w:rsidR="003F6823" w:rsidRPr="005A28F5">
        <w:rPr>
          <w:rFonts w:cs="Times New Roman"/>
          <w:color w:val="000000" w:themeColor="text1"/>
          <w:lang w:val="en-GB"/>
        </w:rPr>
        <w:t xml:space="preserve">micronutrient pill-based </w:t>
      </w:r>
      <w:r w:rsidR="00701E9F">
        <w:rPr>
          <w:rFonts w:cs="Times New Roman"/>
          <w:color w:val="000000" w:themeColor="text1"/>
          <w:lang w:val="en-GB"/>
        </w:rPr>
        <w:t>in The Gambia</w:t>
      </w:r>
      <w:r w:rsidR="001B1292">
        <w:rPr>
          <w:rFonts w:cs="Times New Roman"/>
          <w:color w:val="000000" w:themeColor="text1"/>
          <w:lang w:val="en-GB"/>
        </w:rPr>
        <w:t>n</w:t>
      </w:r>
      <w:r w:rsidR="00701E9F">
        <w:rPr>
          <w:rFonts w:cs="Times New Roman"/>
          <w:color w:val="000000" w:themeColor="text1"/>
          <w:lang w:val="en-GB"/>
        </w:rPr>
        <w:t>)</w:t>
      </w:r>
      <w:r w:rsidR="003F6823" w:rsidRPr="005A28F5">
        <w:rPr>
          <w:rFonts w:cs="Times New Roman"/>
          <w:color w:val="000000" w:themeColor="text1"/>
          <w:lang w:val="en-GB"/>
        </w:rPr>
        <w:t xml:space="preserve">, and differed in other respects including age and nutritional and genetic backgrounds. </w:t>
      </w:r>
      <w:r w:rsidR="00A660FD">
        <w:rPr>
          <w:rFonts w:cs="Times New Roman"/>
          <w:color w:val="000000" w:themeColor="text1"/>
          <w:lang w:val="en-GB"/>
        </w:rPr>
        <w:t>T</w:t>
      </w:r>
      <w:r w:rsidR="00A43C6F">
        <w:rPr>
          <w:rFonts w:cs="Times New Roman"/>
          <w:color w:val="000000" w:themeColor="text1"/>
          <w:lang w:val="en-GB"/>
        </w:rPr>
        <w:t>h</w:t>
      </w:r>
      <w:r w:rsidR="00A660FD">
        <w:rPr>
          <w:rFonts w:cs="Times New Roman"/>
          <w:color w:val="000000" w:themeColor="text1"/>
          <w:lang w:val="en-GB"/>
        </w:rPr>
        <w:t>e</w:t>
      </w:r>
      <w:r w:rsidR="00A43C6F">
        <w:rPr>
          <w:rFonts w:cs="Times New Roman"/>
          <w:color w:val="000000" w:themeColor="text1"/>
          <w:lang w:val="en-GB"/>
        </w:rPr>
        <w:t xml:space="preserve"> </w:t>
      </w:r>
      <w:r w:rsidR="003F6823" w:rsidRPr="005A28F5">
        <w:rPr>
          <w:rFonts w:cs="Times New Roman"/>
          <w:color w:val="000000" w:themeColor="text1"/>
          <w:lang w:val="en-GB"/>
        </w:rPr>
        <w:t xml:space="preserve">study </w:t>
      </w:r>
      <w:r w:rsidR="00A660FD">
        <w:rPr>
          <w:rFonts w:cs="Times New Roman"/>
          <w:color w:val="000000" w:themeColor="text1"/>
          <w:lang w:val="en-GB"/>
        </w:rPr>
        <w:t xml:space="preserve">therefore presents </w:t>
      </w:r>
      <w:r w:rsidR="003F6823" w:rsidRPr="005A28F5">
        <w:rPr>
          <w:rFonts w:cs="Times New Roman"/>
          <w:color w:val="000000" w:themeColor="text1"/>
          <w:lang w:val="en-GB"/>
        </w:rPr>
        <w:t xml:space="preserve">an opportunity to compare and contrast </w:t>
      </w:r>
      <w:r w:rsidR="00A43C6F">
        <w:rPr>
          <w:rFonts w:cs="Times New Roman"/>
          <w:color w:val="000000" w:themeColor="text1"/>
          <w:lang w:val="en-GB"/>
        </w:rPr>
        <w:t xml:space="preserve">the effect of different interventions on </w:t>
      </w:r>
      <w:r w:rsidR="002B4D4B" w:rsidRPr="005A28F5">
        <w:rPr>
          <w:rFonts w:cs="Times New Roman"/>
          <w:color w:val="000000" w:themeColor="text1"/>
          <w:lang w:val="en-GB"/>
        </w:rPr>
        <w:t xml:space="preserve">diverse cohorts that nonetheless endure a </w:t>
      </w:r>
      <w:r w:rsidR="00D33559" w:rsidRPr="005A28F5">
        <w:rPr>
          <w:rFonts w:cs="Times New Roman"/>
          <w:color w:val="000000" w:themeColor="text1"/>
          <w:lang w:val="en-GB"/>
        </w:rPr>
        <w:t xml:space="preserve">relatively </w:t>
      </w:r>
      <w:r w:rsidR="002B4D4B" w:rsidRPr="005A28F5">
        <w:rPr>
          <w:rFonts w:cs="Times New Roman"/>
          <w:color w:val="000000" w:themeColor="text1"/>
          <w:lang w:val="en-GB"/>
        </w:rPr>
        <w:t xml:space="preserve">high burden of disease. </w:t>
      </w:r>
      <w:r w:rsidR="00842252" w:rsidRPr="005A28F5">
        <w:rPr>
          <w:rFonts w:cs="Times New Roman"/>
          <w:color w:val="000000" w:themeColor="text1"/>
          <w:lang w:val="en-GB"/>
        </w:rPr>
        <w:t>In the first stage of the study</w:t>
      </w:r>
      <w:r w:rsidR="00711662" w:rsidRPr="005A28F5">
        <w:rPr>
          <w:rFonts w:cs="Times New Roman"/>
          <w:color w:val="000000" w:themeColor="text1"/>
          <w:lang w:val="en-GB"/>
        </w:rPr>
        <w:t xml:space="preserve"> presented here</w:t>
      </w:r>
      <w:r w:rsidR="00B038F6" w:rsidRPr="005A28F5">
        <w:rPr>
          <w:rFonts w:cs="Times New Roman"/>
          <w:color w:val="000000" w:themeColor="text1"/>
          <w:lang w:val="en-GB"/>
        </w:rPr>
        <w:t xml:space="preserve">, we </w:t>
      </w:r>
      <w:r w:rsidR="00A43C6F">
        <w:rPr>
          <w:rFonts w:cs="Times New Roman"/>
          <w:color w:val="000000" w:themeColor="text1"/>
          <w:lang w:val="en-GB"/>
        </w:rPr>
        <w:t xml:space="preserve">report results from our </w:t>
      </w:r>
      <w:r w:rsidR="00842252" w:rsidRPr="005A28F5">
        <w:rPr>
          <w:rFonts w:cs="Times New Roman"/>
          <w:color w:val="000000" w:themeColor="text1"/>
          <w:lang w:val="en-GB"/>
        </w:rPr>
        <w:t>investigat</w:t>
      </w:r>
      <w:r w:rsidR="00A43C6F">
        <w:rPr>
          <w:rFonts w:cs="Times New Roman"/>
          <w:color w:val="000000" w:themeColor="text1"/>
          <w:lang w:val="en-GB"/>
        </w:rPr>
        <w:t>ion of</w:t>
      </w:r>
      <w:r w:rsidR="00842252" w:rsidRPr="005A28F5">
        <w:rPr>
          <w:rFonts w:cs="Times New Roman"/>
          <w:color w:val="000000" w:themeColor="text1"/>
          <w:lang w:val="en-GB"/>
        </w:rPr>
        <w:t xml:space="preserve"> </w:t>
      </w:r>
      <w:r w:rsidR="00842252" w:rsidRPr="005A28F5">
        <w:rPr>
          <w:rFonts w:cs="Times New Roman"/>
          <w:lang w:val="en-GB"/>
        </w:rPr>
        <w:t xml:space="preserve">the influence of </w:t>
      </w:r>
      <w:r w:rsidR="00B038F6" w:rsidRPr="005A28F5">
        <w:rPr>
          <w:rFonts w:cs="Times New Roman"/>
          <w:lang w:val="en-GB"/>
        </w:rPr>
        <w:t xml:space="preserve">maternal </w:t>
      </w:r>
      <w:r w:rsidR="00842252" w:rsidRPr="005A28F5">
        <w:rPr>
          <w:rFonts w:cs="Times New Roman"/>
          <w:lang w:val="en-GB"/>
        </w:rPr>
        <w:t>nutritional intervention on DNAm in offspring</w:t>
      </w:r>
      <w:r w:rsidR="00B038F6" w:rsidRPr="005A28F5">
        <w:rPr>
          <w:rFonts w:cs="Times New Roman"/>
          <w:lang w:val="en-GB"/>
        </w:rPr>
        <w:t>. W</w:t>
      </w:r>
      <w:r w:rsidR="00842252" w:rsidRPr="005A28F5">
        <w:rPr>
          <w:rFonts w:cs="Times New Roman"/>
          <w:lang w:val="en-GB"/>
        </w:rPr>
        <w:t>e conducted an epigenome-wide association study (EWAS) using the Infinium MethylationEPIC array</w:t>
      </w:r>
      <w:r w:rsidR="00B038F6" w:rsidRPr="005A28F5">
        <w:rPr>
          <w:rFonts w:cs="Times New Roman"/>
          <w:lang w:val="en-GB"/>
        </w:rPr>
        <w:t xml:space="preserve">, and </w:t>
      </w:r>
      <w:r w:rsidR="00842252" w:rsidRPr="005A28F5">
        <w:rPr>
          <w:rFonts w:cs="Times New Roman"/>
          <w:lang w:val="en-GB"/>
        </w:rPr>
        <w:t xml:space="preserve">a candidate gene study at selected loci not present on the EPIC array and previously associated with early nutritional exposures and/or later outcomes of interest </w:t>
      </w:r>
      <w:r w:rsidR="00A462B7" w:rsidRPr="005A28F5">
        <w:rPr>
          <w:rStyle w:val="None"/>
          <w:rFonts w:cs="Times New Roman"/>
          <w:lang w:val="en-GB"/>
        </w:rPr>
        <w:fldChar w:fldCharType="begin" w:fldLock="1"/>
      </w:r>
      <w:r w:rsidR="00897103">
        <w:rPr>
          <w:rStyle w:val="None"/>
          <w:rFonts w:cs="Times New Roman"/>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00A462B7" w:rsidRPr="005A28F5">
        <w:rPr>
          <w:rStyle w:val="None"/>
          <w:rFonts w:cs="Times New Roman"/>
          <w:lang w:val="en-GB"/>
        </w:rPr>
        <w:fldChar w:fldCharType="separate"/>
      </w:r>
      <w:r w:rsidR="001754FE" w:rsidRPr="001754FE">
        <w:rPr>
          <w:rStyle w:val="None"/>
          <w:rFonts w:cs="Times New Roman"/>
          <w:noProof/>
          <w:lang w:val="en-GB"/>
        </w:rPr>
        <w:t>(24)</w:t>
      </w:r>
      <w:r w:rsidR="00A462B7" w:rsidRPr="005A28F5">
        <w:rPr>
          <w:rStyle w:val="None"/>
          <w:rFonts w:cs="Times New Roman"/>
          <w:lang w:val="en-GB"/>
        </w:rPr>
        <w:fldChar w:fldCharType="end"/>
      </w:r>
      <w:r w:rsidR="00842252" w:rsidRPr="005A28F5">
        <w:rPr>
          <w:rFonts w:cs="Times New Roman"/>
          <w:lang w:val="en-GB"/>
        </w:rPr>
        <w:t xml:space="preserve">. </w:t>
      </w:r>
      <w:r w:rsidR="00897103" w:rsidRPr="00897103">
        <w:rPr>
          <w:rFonts w:cs="Times New Roman"/>
          <w:lang w:val="en-GB"/>
        </w:rPr>
        <w:t>The second stage of the study which is currently underway will consider links between DNAm and various phenotypic outcomes in the children</w:t>
      </w:r>
      <w:r w:rsidR="00A43C6F">
        <w:rPr>
          <w:rFonts w:cs="Times New Roman"/>
          <w:lang w:val="en-GB"/>
        </w:rPr>
        <w:t xml:space="preserve"> </w:t>
      </w:r>
      <w:r w:rsidR="00897103">
        <w:rPr>
          <w:rFonts w:cs="Times New Roman"/>
          <w:lang w:val="en-GB"/>
        </w:rPr>
        <w:fldChar w:fldCharType="begin" w:fldLock="1"/>
      </w:r>
      <w:r w:rsidR="00B31D0B">
        <w:rPr>
          <w:rFonts w:cs="Times New Roman"/>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00897103">
        <w:rPr>
          <w:rFonts w:cs="Times New Roman"/>
          <w:lang w:val="en-GB"/>
        </w:rPr>
        <w:fldChar w:fldCharType="separate"/>
      </w:r>
      <w:r w:rsidR="00897103" w:rsidRPr="00897103">
        <w:rPr>
          <w:rFonts w:cs="Times New Roman"/>
          <w:noProof/>
          <w:lang w:val="en-GB"/>
        </w:rPr>
        <w:t>(24)</w:t>
      </w:r>
      <w:r w:rsidR="00897103">
        <w:rPr>
          <w:rFonts w:cs="Times New Roman"/>
          <w:lang w:val="en-GB"/>
        </w:rPr>
        <w:fldChar w:fldCharType="end"/>
      </w:r>
      <w:r w:rsidR="00897103" w:rsidRPr="00897103">
        <w:rPr>
          <w:rFonts w:cs="Times New Roman"/>
          <w:lang w:val="en-GB"/>
        </w:rPr>
        <w:t>.</w:t>
      </w:r>
    </w:p>
    <w:p w14:paraId="1B8B605E" w14:textId="77777777" w:rsidR="00D47D99" w:rsidRPr="005A28F5" w:rsidRDefault="00D47D99" w:rsidP="001A64D3">
      <w:pPr>
        <w:pStyle w:val="BodyB"/>
        <w:spacing w:line="360" w:lineRule="auto"/>
        <w:rPr>
          <w:rFonts w:cs="Times New Roman"/>
          <w:u w:color="0432FF"/>
          <w:lang w:val="en-GB"/>
        </w:rPr>
      </w:pPr>
    </w:p>
    <w:p w14:paraId="39472C8F" w14:textId="77777777" w:rsidR="00971E40" w:rsidRDefault="00971E40" w:rsidP="00CA247D">
      <w:pPr>
        <w:pStyle w:val="BodyA"/>
        <w:spacing w:line="360" w:lineRule="auto"/>
        <w:outlineLvl w:val="0"/>
        <w:rPr>
          <w:rFonts w:ascii="Times New Roman" w:hAnsi="Times New Roman" w:cs="Times New Roman"/>
          <w:sz w:val="32"/>
          <w:szCs w:val="32"/>
          <w:lang w:val="en-GB"/>
        </w:rPr>
      </w:pPr>
    </w:p>
    <w:p w14:paraId="6684B7BF" w14:textId="7F1DA176" w:rsidR="00CA247D" w:rsidRPr="00D96F4B" w:rsidRDefault="00CA247D" w:rsidP="00CA247D">
      <w:pPr>
        <w:pStyle w:val="BodyA"/>
        <w:spacing w:line="360" w:lineRule="auto"/>
        <w:outlineLvl w:val="0"/>
        <w:rPr>
          <w:rFonts w:ascii="Times New Roman" w:eastAsia="Cambria" w:hAnsi="Times New Roman" w:cs="Times New Roman"/>
          <w:sz w:val="40"/>
          <w:szCs w:val="40"/>
          <w:lang w:val="en-GB"/>
        </w:rPr>
      </w:pPr>
      <w:r w:rsidRPr="00D96F4B">
        <w:rPr>
          <w:rFonts w:ascii="Times New Roman" w:hAnsi="Times New Roman" w:cs="Times New Roman"/>
          <w:sz w:val="40"/>
          <w:szCs w:val="40"/>
          <w:lang w:val="en-GB"/>
        </w:rPr>
        <w:lastRenderedPageBreak/>
        <w:t>Methods</w:t>
      </w:r>
    </w:p>
    <w:p w14:paraId="0C8A13ED" w14:textId="77777777" w:rsidR="00CA247D" w:rsidRPr="005A28F5" w:rsidRDefault="00CA247D" w:rsidP="00CA247D">
      <w:pPr>
        <w:pStyle w:val="BodyA"/>
        <w:spacing w:line="360" w:lineRule="auto"/>
        <w:outlineLvl w:val="0"/>
        <w:rPr>
          <w:rFonts w:ascii="Times New Roman" w:eastAsia="Cambria" w:hAnsi="Times New Roman" w:cs="Times New Roman"/>
          <w:sz w:val="28"/>
          <w:szCs w:val="28"/>
          <w:lang w:val="en-GB"/>
        </w:rPr>
      </w:pPr>
      <w:r w:rsidRPr="005A28F5">
        <w:rPr>
          <w:rFonts w:ascii="Times New Roman" w:hAnsi="Times New Roman" w:cs="Times New Roman"/>
          <w:sz w:val="28"/>
          <w:szCs w:val="28"/>
          <w:lang w:val="en-GB"/>
        </w:rPr>
        <w:t>Study cohorts and design</w:t>
      </w:r>
    </w:p>
    <w:p w14:paraId="282B100A" w14:textId="213204CF" w:rsidR="00CA247D" w:rsidRPr="00FC3ACB" w:rsidRDefault="00CA247D" w:rsidP="00CA247D">
      <w:pPr>
        <w:pStyle w:val="Default"/>
        <w:spacing w:after="240" w:line="360" w:lineRule="auto"/>
        <w:rPr>
          <w:rFonts w:ascii="Times New Roman" w:eastAsia="Cambria" w:hAnsi="Times New Roman" w:cs="Times New Roman"/>
          <w:color w:val="FF644E"/>
          <w:sz w:val="24"/>
          <w:szCs w:val="24"/>
          <w:u w:color="FF644E"/>
          <w:lang w:val="en-GB"/>
        </w:rPr>
      </w:pPr>
      <w:r w:rsidRPr="00FC3ACB">
        <w:rPr>
          <w:rFonts w:ascii="Times New Roman" w:hAnsi="Times New Roman" w:cs="Times New Roman"/>
          <w:sz w:val="24"/>
          <w:szCs w:val="24"/>
          <w:lang w:val="en-GB"/>
        </w:rPr>
        <w:t xml:space="preserve">The EMPHASIS study follows up two cohorts of children born to mothers who took part in separate randomized controlled trials of nutritional supplementation before and during pregnancy </w:t>
      </w:r>
      <w:r w:rsidRPr="00FC3ACB">
        <w:rPr>
          <w:rFonts w:ascii="Times New Roman" w:hAnsi="Times New Roman" w:cs="Times New Roman"/>
          <w:sz w:val="24"/>
          <w:szCs w:val="24"/>
          <w:lang w:val="en-GB"/>
        </w:rPr>
        <w:fldChar w:fldCharType="begin" w:fldLock="1"/>
      </w:r>
      <w:r w:rsidR="00897103">
        <w:rPr>
          <w:rFonts w:ascii="Times New Roman" w:hAnsi="Times New Roman" w:cs="Times New Roman"/>
          <w:sz w:val="24"/>
          <w:szCs w:val="24"/>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Pr="00FC3ACB">
        <w:rPr>
          <w:rFonts w:ascii="Times New Roman" w:hAnsi="Times New Roman" w:cs="Times New Roman"/>
          <w:sz w:val="24"/>
          <w:szCs w:val="24"/>
          <w:lang w:val="en-GB"/>
        </w:rPr>
        <w:fldChar w:fldCharType="separate"/>
      </w:r>
      <w:r w:rsidR="001754FE" w:rsidRPr="001754FE">
        <w:rPr>
          <w:rFonts w:ascii="Times New Roman" w:hAnsi="Times New Roman" w:cs="Times New Roman"/>
          <w:noProof/>
          <w:sz w:val="24"/>
          <w:szCs w:val="24"/>
          <w:lang w:val="en-GB"/>
        </w:rPr>
        <w:t>(24)</w:t>
      </w:r>
      <w:r w:rsidRPr="00FC3ACB">
        <w:rPr>
          <w:rFonts w:ascii="Times New Roman" w:hAnsi="Times New Roman" w:cs="Times New Roman"/>
          <w:sz w:val="24"/>
          <w:szCs w:val="24"/>
          <w:lang w:val="en-GB"/>
        </w:rPr>
        <w:fldChar w:fldCharType="end"/>
      </w:r>
      <w:r w:rsidRPr="00FC3ACB">
        <w:rPr>
          <w:rFonts w:ascii="Times New Roman" w:hAnsi="Times New Roman" w:cs="Times New Roman"/>
          <w:sz w:val="24"/>
          <w:szCs w:val="24"/>
          <w:lang w:val="en-GB"/>
        </w:rPr>
        <w:t xml:space="preserve">. The original trials were 1) the Mumbai Maternal Nutrition Project (MMNP) (also known as project SARAS - ISRCTN62811278) among women living in slums in the city of Mumbai, India </w:t>
      </w:r>
      <w:r w:rsidRPr="00FC3ACB">
        <w:rPr>
          <w:rStyle w:val="None"/>
          <w:rFonts w:ascii="Times New Roman" w:hAnsi="Times New Roman" w:cs="Times New Roman"/>
          <w:sz w:val="24"/>
          <w:szCs w:val="24"/>
          <w:lang w:val="en-GB"/>
        </w:rPr>
        <w:fldChar w:fldCharType="begin" w:fldLock="1"/>
      </w:r>
      <w:r w:rsidR="00897103">
        <w:rPr>
          <w:rStyle w:val="None"/>
          <w:rFonts w:ascii="Times New Roman" w:hAnsi="Times New Roman" w:cs="Times New Roman"/>
          <w:sz w:val="24"/>
          <w:szCs w:val="24"/>
          <w:lang w:val="en-GB"/>
        </w:rPr>
        <w:instrText>ADDIN CSL_CITATION {"citationItems":[{"id":"ITEM-1","itemData":{"DOI":"10.3945/ajcn.114.084921.1","ISBN":"0002-9165","ISSN":"1938-3207","PMID":"25332324","author":[{"dropping-particle":"","family":"Potdar","given":"Ramesh D","non-dropping-particle":"","parse-names":false,"suffix":""},{"dropping-particle":"","family":"Sahariah","given":"Sirazul a","non-dropping-particle":"","parse-names":false,"suffix":""},{"dropping-particle":"","family":"Gandhi","given":"Meera","non-dropping-particle":"","parse-names":false,"suffix":""},{"dropping-particle":"","family":"Kehoe","given":"Sarah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Dayama","given":"Monika","non-dropping-particle":"","parse-names":false,"suffix":""},{"dropping-particle":"","family":"Jha","given":"Swati","non-dropping-particle":"","parse-names":false,"suffix":""},{"dropping-particle":"","family":"Lawande","given":"Ashwin","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hheda-gala","given":"Purvi","non-dropping-particle":"","parse-names":false,"suffix":""},{"dropping-particle":"","family":"Muley-lotankar","given":"Priyadarshini","non-dropping-particle":"","parse-names":false,"suffix":""},{"dropping-particle":"","family":"Subbulakshmi","given":"G","non-dropping-particle":"","parse-names":false,"suffix":""},{"dropping-particle":"","family":"Wills","given":"Andrew K","non-dropping-particle":"","parse-names":false,"suffix":""},{"dropping-particle":"","family":"Cox","given":"Vanessa a","non-dropping-particle":"","parse-names":false,"suffix":""},{"dropping-particle":"","family":"Taskar","given":"Vijaya","non-dropping-particle":"","parse-names":false,"suffix":""},{"dropping-particle":"","family":"Barker","given":"David J P","non-dropping-particle":"","parse-names":false,"suffix":""},{"dropping-particle":"","family":"Jackson","given":"Alan a","non-dropping-particle":"","parse-names":false,"suffix":""},{"dropping-particle":"","family":"Margetts","given":"Barrie M","non-dropping-particle":"","parse-names":false,"suffix":""},{"dropping-particle":"","family":"Fall","given":"Caroline H D","non-dropping-particle":"","parse-names":false,"suffix":""}],"container-title":"Am J Clin Nutr","id":"ITEM-1","issued":{"date-parts":[["2014"]]},"page":"1257-1268","title":"Improving women’ s diet quality preconceptionally and during gestation: effects on birth weight and prevalence of low birth weight-a randomized controlled efficacy trial in India (Mumbai Maternal Nutrition Project)","type":"article-journal","volume":"100"},"uris":["http://www.mendeley.com/documents/?uuid=1c2ece84-83d3-4ec1-bab4-c98da6f5350c"]}],"mendeley":{"formattedCitation":"(25)","plainTextFormattedCitation":"(25)","previouslyFormattedCitation":"(25)"},"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1754FE" w:rsidRPr="001754FE">
        <w:rPr>
          <w:rStyle w:val="None"/>
          <w:rFonts w:ascii="Times New Roman" w:hAnsi="Times New Roman" w:cs="Times New Roman"/>
          <w:noProof/>
          <w:sz w:val="24"/>
          <w:szCs w:val="24"/>
          <w:lang w:val="en-GB"/>
        </w:rPr>
        <w:t>(25)</w:t>
      </w:r>
      <w:r w:rsidRPr="00FC3ACB">
        <w:rPr>
          <w:rStyle w:val="None"/>
          <w:rFonts w:ascii="Times New Roman" w:hAnsi="Times New Roman" w:cs="Times New Roman"/>
          <w:sz w:val="24"/>
          <w:szCs w:val="24"/>
          <w:lang w:val="en-GB"/>
        </w:rPr>
        <w:fldChar w:fldCharType="end"/>
      </w:r>
      <w:r w:rsidRPr="00FC3ACB">
        <w:rPr>
          <w:rFonts w:ascii="Times New Roman" w:hAnsi="Times New Roman" w:cs="Times New Roman"/>
          <w:sz w:val="24"/>
          <w:szCs w:val="24"/>
          <w:lang w:val="en-GB"/>
        </w:rPr>
        <w:t xml:space="preserve">, and 2) Periconceptional Multiple Micronutrient Supplementation Trial (PMMST - ISRCTN13687662) among women living in rural West Kiang, The Gambia </w:t>
      </w:r>
      <w:r w:rsidRPr="00FC3ACB">
        <w:rPr>
          <w:rStyle w:val="None"/>
          <w:rFonts w:ascii="Times New Roman" w:hAnsi="Times New Roman" w:cs="Times New Roman"/>
          <w:sz w:val="24"/>
          <w:szCs w:val="24"/>
          <w:lang w:val="en-GB"/>
        </w:rPr>
        <w:fldChar w:fldCharType="begin" w:fldLock="1"/>
      </w:r>
      <w:r w:rsidR="00897103">
        <w:rPr>
          <w:rStyle w:val="None"/>
          <w:rFonts w:ascii="Times New Roman" w:hAnsi="Times New Roman" w:cs="Times New Roman"/>
          <w:sz w:val="24"/>
          <w:szCs w:val="24"/>
          <w:lang w:val="en-GB"/>
        </w:rPr>
        <w:instrText>ADDIN CSL_CITATION {"citationItems":[{"id":"ITEM-1","itemData":{"DOI":"10.3945/ajcn.113.072413","ISBN":"1938-3207 (electronic) 0002-9165","ISSN":"19383207","PMID":"26561613","abstract":"Background: Maternal micronutrient deficiencies are commonly associated with clinical indicators of placental dysfunction. Objective: We tested the hypothesis that periconceptional multiplemicronutrient supplementation (MMS) affects placental function. Design: We conducted a double-blind, randomized, placebo-controlled trial of MMS in 17- to 45-y-old Gambian women who were menstruating regularly and within the previous 3 mo. Eligible subjects were pre- randomly assigned to supplementation with the UNICEF/WHO/United Nations University multiple micronutrient preparation (UNIMMAP) or placebo on recruitment and until they reached their first antenatal checkup or for 1 y if they failed to conceive. Primary outcome measures were midgestational indexes of utero-placental vascular-endothelial function [ratio of plasminogen-activator inhibitor (PAI) 1 to PAI-2 and mean uterine-artery resistance index (UtARI)] and placental active transport capacity at delivery [fetal to maternal measles antibody (MMA) ratio]. Results: We recruited 1156 women who yielded 415 pregnancies, of which 376 met all of the inclusion criteria. With adjustment for gestational age at sampling, there were no differences in PAI-1 to PAI-2 or MMA ratios between trial arms, but there was a 0.02-unit reduction in UtARI between 18 and 32 wk of gestation (95% CI: 20.03, 20.00; P = 0.040) in women taking UNIMMAP. Conclusions: Placental vascular function was modifiable by periconceptional micronutrient supplementation. However, the effect was small and supplementation did not further affect other variables of placental function. This trial was registered at www.controlled-trials. com as ISRCTN 13687662.","author":[{"dropping-particle":"","family":"Owens","given":"Stephen","non-dropping-particle":"","parse-names":false,"suffix":""},{"dropping-particle":"","family":"Gulati","given":"Ruchi","non-dropping-particle":"","parse-names":false,"suffix":""},{"dropping-particle":"","family":"Fulford","given":"Anthony J","non-dropping-particle":"","parse-names":false,"suffix":""},{"dropping-particle":"","family":"Sosseh","given":"Fatou","non-dropping-particle":"","parse-names":false,"suffix":""},{"dropping-particle":"","family":"Denison","given":"Fiona C","non-dropping-particle":"","parse-names":false,"suffix":""},{"dropping-particle":"","family":"Brabin","given":"Bernard J","non-dropping-particle":"","parse-names":false,"suffix":""},{"dropping-particle":"","family":"Prentice","given":"Andrew M","non-dropping-particle":"","parse-names":false,"suffix":""}],"container-title":"American Journal of Clinical Nutrition","id":"ITEM-1","issue":"6","issued":{"date-parts":[["2015"]]},"page":"1450-1459","title":"Periconceptional multiple-micronutrient supplementation and placental function in rural Gambian women: A double-blind, randomized, placebo-controlled trial","type":"article-journal","volume":"102"},"uris":["http://www.mendeley.com/documents/?uuid=c7dffdda-f57b-4236-9f8c-64ed6bbb9386"]}],"mendeley":{"formattedCitation":"(26)","plainTextFormattedCitation":"(26)","previouslyFormattedCitation":"(26)"},"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1754FE" w:rsidRPr="001754FE">
        <w:rPr>
          <w:rStyle w:val="None"/>
          <w:rFonts w:ascii="Times New Roman" w:hAnsi="Times New Roman" w:cs="Times New Roman"/>
          <w:noProof/>
          <w:sz w:val="24"/>
          <w:szCs w:val="24"/>
          <w:lang w:val="en-GB"/>
        </w:rPr>
        <w:t>(26)</w:t>
      </w:r>
      <w:r w:rsidRPr="00FC3ACB">
        <w:rPr>
          <w:rStyle w:val="None"/>
          <w:rFonts w:ascii="Times New Roman" w:hAnsi="Times New Roman" w:cs="Times New Roman"/>
          <w:sz w:val="24"/>
          <w:szCs w:val="24"/>
          <w:lang w:val="en-GB"/>
        </w:rPr>
        <w:fldChar w:fldCharType="end"/>
      </w:r>
      <w:r w:rsidRPr="00FC3ACB">
        <w:rPr>
          <w:rFonts w:ascii="Times New Roman" w:hAnsi="Times New Roman" w:cs="Times New Roman"/>
          <w:sz w:val="24"/>
          <w:szCs w:val="24"/>
          <w:lang w:val="en-GB"/>
        </w:rPr>
        <w:t xml:space="preserve">. </w:t>
      </w:r>
    </w:p>
    <w:p w14:paraId="1713182B" w14:textId="3518076F" w:rsidR="00CA247D" w:rsidRPr="00FC3ACB" w:rsidRDefault="00CA247D" w:rsidP="00CA247D">
      <w:pPr>
        <w:pStyle w:val="BodyC"/>
        <w:spacing w:line="360" w:lineRule="auto"/>
        <w:rPr>
          <w:rFonts w:cs="Times New Roman"/>
          <w:lang w:val="en-GB"/>
        </w:rPr>
      </w:pPr>
      <w:r w:rsidRPr="00FC3ACB">
        <w:rPr>
          <w:rFonts w:cs="Times New Roman"/>
          <w:lang w:val="en-GB"/>
        </w:rPr>
        <w:t xml:space="preserve">In the Mumbai trial, the intervention was a daily snack, eaten in addition to normal diet, made from naturally micronutrient-rich local foods. </w:t>
      </w:r>
      <w:r w:rsidR="00D02F28">
        <w:rPr>
          <w:rFonts w:cs="Times New Roman"/>
          <w:u w:color="0432FF"/>
          <w:lang w:val="en-GB"/>
        </w:rPr>
        <w:t xml:space="preserve">The aim was to increase women’s frequency of intake of particular foods (green leafy  vegetables, fruit and milk) rather than a specific amount of nutrients, motivated by an earlier Indian observational study that showed that maternal intakes of these foods during pregnancy were low, and directly related to newborn size </w:t>
      </w:r>
      <w:r w:rsidR="002A7D5D">
        <w:rPr>
          <w:rFonts w:cs="Times New Roman"/>
          <w:u w:color="0432FF"/>
          <w:lang w:val="en-GB"/>
        </w:rPr>
        <w:fldChar w:fldCharType="begin" w:fldLock="1"/>
      </w:r>
      <w:r w:rsidR="000C3130">
        <w:rPr>
          <w:rFonts w:cs="Times New Roman"/>
          <w:u w:color="0432FF"/>
          <w:lang w:val="en-GB"/>
        </w:rPr>
        <w:instrText>ADDIN CSL_CITATION {"citationItems":[{"id":"ITEM-1","itemData":{"DOI":"10.1093/jn/131.4.1217","ISSN":"0022-3166","abstract":"One third of the Indian babies are of low birth weight (&lt;2.5 kg), and this is attributed to maternal undernutrition. We therefore examined the relationship between maternal nutrition and birth size in a prospective study of 797 rural Indian women, focusing on macronutrient intakes, dietary quality and micronutrient status. Maternal intakes (24-h recall and food frequency questionnaire) and erythrocyte folate, serum ferritin and vitamin C concentrations were measured at 18 ? 2 and 28 ? 2 wk gestation. Mothers were short (151.9 ? 5.1 cm) and underweight (41.7 ? 5.1 kg) and had low energy and protein intakes at 18 wk (7.4 ? 2.1 MJ and 45.4 ? 14.1 g) and 28 wk (7.0 ? 2.0 MJ and 43.5 ? 13.5 g) of gestation. Mean birth weight and length of term babies were also low (2665 ? 358 g and 47.8 ? 2.0 cm, respectively). Energy and protein intakes were not associated with birth size, but higher fat intake at wk 18 was associated with neonatal length (P &lt; 0.001), birth weight (P &lt; 0.05) and triceps skinfold thickness (P &lt; 0.05) when adjusted for sex, parity and gestation. However, birth size was strongly associated with the consumption of milk at wk 18 (P &lt; 0.05) and of green leafy vegetables (P &lt; 0.001) and fruits (P &lt; 0.01) at wk 28 of gestation even after adjustment for potentially confounding variables. Erythrocyte folate at 28 wk gestation was positively associated with birth weight (P &lt; 0.001). The lack of association between size at birth and maternal energy and protein intake but strong associations with folate status and with intakes of foods rich in micronutrients suggest that micronutrients may be important limiting factors for fetal growth in this undernourished community.","author":[{"dropping-particle":"","family":"Rao","given":"Shobha","non-dropping-particle":"","parse-names":false,"suffix":""},{"dropping-particle":"","family":"Yajnik","given":"Chittaranjan S.","non-dropping-particle":"","parse-names":false,"suffix":""},{"dropping-particle":"","family":"Kanade","given":"Asawari","non-dropping-particle":"","parse-names":false,"suffix":""},{"dropping-particle":"","family":"Fall","given":"Caroline H. D.","non-dropping-particle":"","parse-names":false,"suffix":""},{"dropping-particle":"","family":"Margetts","given":"Barrie M.","non-dropping-particle":"","parse-names":false,"suffix":""},{"dropping-particle":"","family":"Jackson","given":"Alan A","non-dropping-particle":"","parse-names":false,"suffix":""},{"dropping-particle":"","family":"Shier","given":"Rosaleen","non-dropping-particle":"","parse-names":false,"suffix":""},{"dropping-particle":"","family":"Joshi","given":"Sadhana","non-dropping-particle":"","parse-names":false,"suffix":""},{"dropping-particle":"","family":"Rege","given":"Sonali","non-dropping-particle":"","parse-names":false,"suffix":""},{"dropping-particle":"","family":"Lubree","given":"Himangi","non-dropping-particle":"","parse-names":false,"suffix":""},{"dropping-particle":"","family":"Desai","given":"Bhavna","non-dropping-particle":"","parse-names":false,"suffix":""}],"container-title":"The Journal of Nutrition","id":"ITEM-1","issue":"4","issued":{"date-parts":[["2001","4","1"]]},"page":"1217-1224","title":"Intake of Micronutrient-Rich Foods in Rural Indian Mothers Is Associated with the Size of Their Babies at Birth: Pune Maternal Nutrition Study","type":"article-journal","volume":"131"},"uris":["http://www.mendeley.com/documents/?uuid=83bd71c4-6bc7-4fbc-bf9a-ca002122142f"]}],"mendeley":{"formattedCitation":"(27)","plainTextFormattedCitation":"(27)","previouslyFormattedCitation":"(27)"},"properties":{"noteIndex":0},"schema":"https://github.com/citation-style-language/schema/raw/master/csl-citation.json"}</w:instrText>
      </w:r>
      <w:r w:rsidR="002A7D5D">
        <w:rPr>
          <w:rFonts w:cs="Times New Roman"/>
          <w:u w:color="0432FF"/>
          <w:lang w:val="en-GB"/>
        </w:rPr>
        <w:fldChar w:fldCharType="separate"/>
      </w:r>
      <w:r w:rsidR="002A7D5D" w:rsidRPr="002A7D5D">
        <w:rPr>
          <w:rFonts w:cs="Times New Roman"/>
          <w:noProof/>
          <w:u w:color="0432FF"/>
          <w:lang w:val="en-GB"/>
        </w:rPr>
        <w:t>(27)</w:t>
      </w:r>
      <w:r w:rsidR="002A7D5D">
        <w:rPr>
          <w:rFonts w:cs="Times New Roman"/>
          <w:u w:color="0432FF"/>
          <w:lang w:val="en-GB"/>
        </w:rPr>
        <w:fldChar w:fldCharType="end"/>
      </w:r>
      <w:r w:rsidR="002A7D5D">
        <w:rPr>
          <w:rFonts w:cs="Times New Roman"/>
          <w:u w:color="0432FF"/>
          <w:lang w:val="en-GB"/>
        </w:rPr>
        <w:t>.</w:t>
      </w:r>
      <w:r w:rsidR="00D02F28">
        <w:rPr>
          <w:rFonts w:cs="Times New Roman"/>
          <w:u w:color="0432FF"/>
          <w:lang w:val="en-GB"/>
        </w:rPr>
        <w:t xml:space="preserve"> </w:t>
      </w:r>
      <w:r w:rsidR="00D02F28" w:rsidRPr="00FC3ACB">
        <w:rPr>
          <w:rFonts w:cs="Times New Roman"/>
          <w:lang w:val="en-GB"/>
        </w:rPr>
        <w:t xml:space="preserve">Women were randomised to receive either one intervention or one control snack daily, on 6 days per week, and intake was observed and recorded. </w:t>
      </w:r>
      <w:r w:rsidRPr="00FC3ACB">
        <w:rPr>
          <w:rFonts w:cs="Times New Roman"/>
          <w:lang w:val="en-GB"/>
        </w:rPr>
        <w:t xml:space="preserve">Control snacks contained foods of low micronutrient content (e.g. potato, onion). </w:t>
      </w:r>
      <w:r w:rsidR="005758E8">
        <w:rPr>
          <w:rFonts w:cs="Times New Roman"/>
          <w:lang w:val="en-GB"/>
        </w:rPr>
        <w:t>Laboratory analysis (</w:t>
      </w:r>
      <w:r w:rsidR="00EE1DBD">
        <w:rPr>
          <w:rFonts w:cs="Times New Roman"/>
          <w:lang w:val="en-GB"/>
        </w:rPr>
        <w:t xml:space="preserve">carried out on 5-6 snacks approximately 6 monthly during the trial by </w:t>
      </w:r>
      <w:r w:rsidR="005758E8" w:rsidRPr="00EE1DBD">
        <w:rPr>
          <w:rFonts w:cs="Times New Roman"/>
          <w:lang w:val="en-GB"/>
        </w:rPr>
        <w:t>Eclipse</w:t>
      </w:r>
      <w:r w:rsidR="00EE1DBD">
        <w:rPr>
          <w:rFonts w:cs="Times New Roman"/>
          <w:lang w:val="en-GB"/>
        </w:rPr>
        <w:t xml:space="preserve"> Scientific Group, UK</w:t>
      </w:r>
      <w:r w:rsidR="005758E8">
        <w:rPr>
          <w:rFonts w:cs="Times New Roman"/>
          <w:lang w:val="en-GB"/>
        </w:rPr>
        <w:t>) showed that i</w:t>
      </w:r>
      <w:r w:rsidRPr="00FC3ACB">
        <w:rPr>
          <w:rFonts w:cs="Times New Roman"/>
          <w:lang w:val="en-GB"/>
        </w:rPr>
        <w:t xml:space="preserve">ntervention snacks contained </w:t>
      </w:r>
      <w:r w:rsidR="005758E8">
        <w:rPr>
          <w:rFonts w:cs="Times New Roman"/>
          <w:lang w:val="en-GB"/>
        </w:rPr>
        <w:t xml:space="preserve">on average </w:t>
      </w:r>
      <w:r w:rsidRPr="00FC3ACB">
        <w:rPr>
          <w:rFonts w:cs="Times New Roman"/>
          <w:lang w:val="en-GB"/>
        </w:rPr>
        <w:t>10-23% of the WHO Reference Nutrient Intake (RNI) for β-carotene, vitamins B2,</w:t>
      </w:r>
      <w:r w:rsidR="00DE62F4">
        <w:rPr>
          <w:rFonts w:cs="Times New Roman"/>
          <w:lang w:val="en-GB"/>
        </w:rPr>
        <w:t xml:space="preserve"> </w:t>
      </w:r>
      <w:r w:rsidRPr="00FC3ACB">
        <w:rPr>
          <w:rFonts w:cs="Times New Roman"/>
          <w:lang w:val="en-GB"/>
        </w:rPr>
        <w:t xml:space="preserve">B12, folate, calcium, iron, 0.7 MJ of energy, and 6 g of protein, compared with 0-7% RNI for the micronutrients, 0.4 MJ of energy and 2 g of protein in control snacks </w:t>
      </w:r>
      <w:r w:rsidRPr="00FC3ACB">
        <w:rPr>
          <w:rStyle w:val="None"/>
          <w:rFonts w:cs="Times New Roman"/>
          <w:lang w:val="en-GB"/>
        </w:rPr>
        <w:fldChar w:fldCharType="begin" w:fldLock="1"/>
      </w:r>
      <w:r w:rsidR="00897103">
        <w:rPr>
          <w:rStyle w:val="None"/>
          <w:rFonts w:cs="Times New Roman"/>
          <w:lang w:val="en-GB"/>
        </w:rPr>
        <w:instrText>ADDIN CSL_CITATION {"citationItems":[{"id":"ITEM-1","itemData":{"DOI":"10.3945/ajcn.114.084921.1","ISBN":"0002-9165","ISSN":"1938-3207","PMID":"25332324","author":[{"dropping-particle":"","family":"Potdar","given":"Ramesh D","non-dropping-particle":"","parse-names":false,"suffix":""},{"dropping-particle":"","family":"Sahariah","given":"Sirazul a","non-dropping-particle":"","parse-names":false,"suffix":""},{"dropping-particle":"","family":"Gandhi","given":"Meera","non-dropping-particle":"","parse-names":false,"suffix":""},{"dropping-particle":"","family":"Kehoe","given":"Sarah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Dayama","given":"Monika","non-dropping-particle":"","parse-names":false,"suffix":""},{"dropping-particle":"","family":"Jha","given":"Swati","non-dropping-particle":"","parse-names":false,"suffix":""},{"dropping-particle":"","family":"Lawande","given":"Ashwin","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hheda-gala","given":"Purvi","non-dropping-particle":"","parse-names":false,"suffix":""},{"dropping-particle":"","family":"Muley-lotankar","given":"Priyadarshini","non-dropping-particle":"","parse-names":false,"suffix":""},{"dropping-particle":"","family":"Subbulakshmi","given":"G","non-dropping-particle":"","parse-names":false,"suffix":""},{"dropping-particle":"","family":"Wills","given":"Andrew K","non-dropping-particle":"","parse-names":false,"suffix":""},{"dropping-particle":"","family":"Cox","given":"Vanessa a","non-dropping-particle":"","parse-names":false,"suffix":""},{"dropping-particle":"","family":"Taskar","given":"Vijaya","non-dropping-particle":"","parse-names":false,"suffix":""},{"dropping-particle":"","family":"Barker","given":"David J P","non-dropping-particle":"","parse-names":false,"suffix":""},{"dropping-particle":"","family":"Jackson","given":"Alan a","non-dropping-particle":"","parse-names":false,"suffix":""},{"dropping-particle":"","family":"Margetts","given":"Barrie M","non-dropping-particle":"","parse-names":false,"suffix":""},{"dropping-particle":"","family":"Fall","given":"Caroline H D","non-dropping-particle":"","parse-names":false,"suffix":""}],"container-title":"Am J Clin Nutr","id":"ITEM-1","issued":{"date-parts":[["2014"]]},"page":"1257-1268","title":"Improving women’ s diet quality preconceptionally and during gestation: effects on birth weight and prevalence of low birth weight-a randomized controlled efficacy trial in India (Mumbai Maternal Nutrition Project)","type":"article-journal","volume":"100"},"uris":["http://www.mendeley.com/documents/?uuid=1c2ece84-83d3-4ec1-bab4-c98da6f5350c"]}],"mendeley":{"formattedCitation":"(25)","plainTextFormattedCitation":"(25)","previouslyFormattedCitation":"(25)"},"properties":{"noteIndex":0},"schema":"https://github.com/citation-style-language/schema/raw/master/csl-citation.json"}</w:instrText>
      </w:r>
      <w:r w:rsidRPr="00FC3ACB">
        <w:rPr>
          <w:rStyle w:val="None"/>
          <w:rFonts w:cs="Times New Roman"/>
          <w:lang w:val="en-GB"/>
        </w:rPr>
        <w:fldChar w:fldCharType="separate"/>
      </w:r>
      <w:r w:rsidR="001754FE" w:rsidRPr="001754FE">
        <w:rPr>
          <w:rStyle w:val="None"/>
          <w:rFonts w:cs="Times New Roman"/>
          <w:noProof/>
          <w:lang w:val="en-GB"/>
        </w:rPr>
        <w:t>(25)</w:t>
      </w:r>
      <w:r w:rsidRPr="00FC3ACB">
        <w:rPr>
          <w:rStyle w:val="None"/>
          <w:rFonts w:cs="Times New Roman"/>
          <w:lang w:val="en-GB"/>
        </w:rPr>
        <w:fldChar w:fldCharType="end"/>
      </w:r>
      <w:r w:rsidRPr="00FC3ACB">
        <w:rPr>
          <w:rFonts w:cs="Times New Roman"/>
          <w:lang w:val="en-GB"/>
        </w:rPr>
        <w:t>. Non-pregnant women were recruited (N=6,513) in order to ensure supplementation during the periconceptional period. Women who became pregnant continued to be offered supplementation until delivery, and were also supplied with routine iron (100 mg) and folic acid (500 µg) supplements once pregnancy was diagnosed.</w:t>
      </w:r>
    </w:p>
    <w:p w14:paraId="5292D681" w14:textId="77777777" w:rsidR="00CA247D" w:rsidRPr="00FC3ACB" w:rsidRDefault="00CA247D" w:rsidP="00CA247D">
      <w:pPr>
        <w:pStyle w:val="BodyC"/>
        <w:spacing w:line="360" w:lineRule="auto"/>
        <w:rPr>
          <w:rFonts w:eastAsia="Cambria" w:cs="Times New Roman"/>
          <w:lang w:val="en-GB"/>
        </w:rPr>
      </w:pPr>
    </w:p>
    <w:p w14:paraId="22D23420" w14:textId="5CC2586E" w:rsidR="00CA247D" w:rsidRPr="00FC3ACB" w:rsidRDefault="00FE5284" w:rsidP="00CA247D">
      <w:pPr>
        <w:pStyle w:val="BodyC"/>
        <w:spacing w:line="360" w:lineRule="auto"/>
        <w:rPr>
          <w:rFonts w:eastAsia="Cambria" w:cs="Times New Roman"/>
          <w:lang w:val="en-GB"/>
        </w:rPr>
      </w:pPr>
      <w:r>
        <w:rPr>
          <w:rFonts w:cs="Times New Roman"/>
          <w:u w:color="0432FF"/>
          <w:lang w:val="en-GB"/>
        </w:rPr>
        <w:t xml:space="preserve">The ‘dose’ of the food supplement in the Mumbai trial was designed to increase women’s intake of these foods by one portion every alternate day, over and above their habitual diet. </w:t>
      </w:r>
      <w:r w:rsidR="00CA247D" w:rsidRPr="00910423">
        <w:rPr>
          <w:rFonts w:cs="Times New Roman"/>
          <w:lang w:val="en-GB"/>
        </w:rPr>
        <w:t>Full compliance</w:t>
      </w:r>
      <w:r w:rsidR="009060D8">
        <w:rPr>
          <w:rFonts w:cs="Times New Roman"/>
          <w:lang w:val="en-GB"/>
        </w:rPr>
        <w:t xml:space="preserve"> was</w:t>
      </w:r>
      <w:r w:rsidR="00CA247D" w:rsidRPr="00910423">
        <w:rPr>
          <w:rFonts w:cs="Times New Roman"/>
          <w:lang w:val="en-GB"/>
        </w:rPr>
        <w:t xml:space="preserve"> </w:t>
      </w:r>
      <w:r w:rsidR="00981D86">
        <w:rPr>
          <w:rFonts w:cs="Times New Roman"/>
          <w:lang w:val="en-GB"/>
        </w:rPr>
        <w:t xml:space="preserve">therefore </w:t>
      </w:r>
      <w:r w:rsidR="00CA247D" w:rsidRPr="00910423">
        <w:rPr>
          <w:rFonts w:cs="Times New Roman"/>
          <w:lang w:val="en-GB"/>
        </w:rPr>
        <w:t>defined as consuming at least 3 snacks per week</w:t>
      </w:r>
      <w:r w:rsidR="00910423">
        <w:rPr>
          <w:rFonts w:cs="Times New Roman"/>
          <w:lang w:val="en-GB"/>
        </w:rPr>
        <w:t xml:space="preserve"> during the peri-conceptional period (from 3 months before to 2 we</w:t>
      </w:r>
      <w:r w:rsidR="00F40176">
        <w:rPr>
          <w:rFonts w:cs="Times New Roman"/>
          <w:lang w:val="en-GB"/>
        </w:rPr>
        <w:t>e</w:t>
      </w:r>
      <w:r w:rsidR="00910423">
        <w:rPr>
          <w:rFonts w:cs="Times New Roman"/>
          <w:lang w:val="en-GB"/>
        </w:rPr>
        <w:t>ks after conception).</w:t>
      </w:r>
      <w:r w:rsidR="00CA247D" w:rsidRPr="00910423">
        <w:rPr>
          <w:rFonts w:cs="Times New Roman"/>
          <w:lang w:val="en-GB"/>
        </w:rPr>
        <w:t xml:space="preserve"> </w:t>
      </w:r>
      <w:r w:rsidR="00910423">
        <w:rPr>
          <w:rFonts w:cs="Times New Roman"/>
          <w:lang w:val="en-GB"/>
        </w:rPr>
        <w:t xml:space="preserve">Only </w:t>
      </w:r>
      <w:r w:rsidR="00CA247D" w:rsidRPr="00910423">
        <w:rPr>
          <w:rFonts w:cs="Times New Roman"/>
          <w:lang w:val="en-GB"/>
        </w:rPr>
        <w:t xml:space="preserve">43% in the intervention group and 58% in the control group </w:t>
      </w:r>
      <w:r w:rsidR="00910423">
        <w:rPr>
          <w:rFonts w:cs="Times New Roman"/>
          <w:lang w:val="en-GB"/>
        </w:rPr>
        <w:t xml:space="preserve">achieved this, while </w:t>
      </w:r>
      <w:proofErr w:type="spellStart"/>
      <w:r w:rsidR="00910423">
        <w:rPr>
          <w:rFonts w:cs="Times New Roman"/>
          <w:lang w:val="en-GB"/>
        </w:rPr>
        <w:t>aproximately</w:t>
      </w:r>
      <w:proofErr w:type="spellEnd"/>
      <w:r w:rsidR="00910423">
        <w:rPr>
          <w:rFonts w:cs="Times New Roman"/>
          <w:lang w:val="en-GB"/>
        </w:rPr>
        <w:t xml:space="preserve"> two thirds of women had at least 2 per week and three quarters </w:t>
      </w:r>
      <w:r w:rsidR="001B1292">
        <w:rPr>
          <w:rFonts w:cs="Times New Roman"/>
          <w:lang w:val="en-GB"/>
        </w:rPr>
        <w:t xml:space="preserve">had </w:t>
      </w:r>
      <w:r w:rsidR="00910423">
        <w:rPr>
          <w:rFonts w:cs="Times New Roman"/>
          <w:lang w:val="en-GB"/>
        </w:rPr>
        <w:t xml:space="preserve">one per week </w:t>
      </w:r>
      <w:r w:rsidR="00910423">
        <w:rPr>
          <w:rFonts w:cs="Times New Roman"/>
          <w:lang w:val="en-GB"/>
        </w:rPr>
        <w:fldChar w:fldCharType="begin" w:fldLock="1"/>
      </w:r>
      <w:r w:rsidR="002A7D5D">
        <w:rPr>
          <w:rFonts w:cs="Times New Roman"/>
          <w:lang w:val="en-GB"/>
        </w:rPr>
        <w:instrText>ADDIN CSL_CITATION {"citationItems":[{"id":"ITEM-1","itemData":{"DOI":"10.3945/ajcn.114.084921.1","ISBN":"0002-9165","ISSN":"1938-3207","PMID":"25332324","author":[{"dropping-particle":"","family":"Potdar","given":"Ramesh D","non-dropping-particle":"","parse-names":false,"suffix":""},{"dropping-particle":"","family":"Sahariah","given":"Sirazul a","non-dropping-particle":"","parse-names":false,"suffix":""},{"dropping-particle":"","family":"Gandhi","given":"Meera","non-dropping-particle":"","parse-names":false,"suffix":""},{"dropping-particle":"","family":"Kehoe","given":"Sarah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Dayama","given":"Monika","non-dropping-particle":"","parse-names":false,"suffix":""},{"dropping-particle":"","family":"Jha","given":"Swati","non-dropping-particle":"","parse-names":false,"suffix":""},{"dropping-particle":"","family":"Lawande","given":"Ashwin","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hheda-gala","given":"Purvi","non-dropping-particle":"","parse-names":false,"suffix":""},{"dropping-particle":"","family":"Muley-lotankar","given":"Priyadarshini","non-dropping-particle":"","parse-names":false,"suffix":""},{"dropping-particle":"","family":"Subbulakshmi","given":"G","non-dropping-particle":"","parse-names":false,"suffix":""},{"dropping-particle":"","family":"Wills","given":"Andrew K","non-dropping-particle":"","parse-names":false,"suffix":""},{"dropping-particle":"","family":"Cox","given":"Vanessa a","non-dropping-particle":"","parse-names":false,"suffix":""},{"dropping-particle":"","family":"Taskar","given":"Vijaya","non-dropping-particle":"","parse-names":false,"suffix":""},{"dropping-particle":"","family":"Barker","given":"David J P","non-dropping-particle":"","parse-names":false,"suffix":""},{"dropping-particle":"","family":"Jackson","given":"Alan a","non-dropping-particle":"","parse-names":false,"suffix":""},{"dropping-particle":"","family":"Margetts","given":"Barrie M","non-dropping-particle":"","parse-names":false,"suffix":""},{"dropping-particle":"","family":"Fall","given":"Caroline H D","non-dropping-particle":"","parse-names":false,"suffix":""}],"container-title":"Am J Clin Nutr","id":"ITEM-1","issued":{"date-parts":[["2014"]]},"page":"1257-1268","title":"Improving women’ s diet quality preconceptionally and during gestation: effects on birth weight and prevalence of low birth weight-a randomized controlled efficacy trial in India (Mumbai Maternal Nutrition Project)","type":"article-journal","volume":"100"},"uris":["http://www.mendeley.com/documents/?uuid=1c2ece84-83d3-4ec1-bab4-c98da6f5350c"]}],"mendeley":{"formattedCitation":"(25)","plainTextFormattedCitation":"(25)","previouslyFormattedCitation":"(25)"},"properties":{"noteIndex":0},"schema":"https://github.com/citation-style-language/schema/raw/master/csl-citation.json"}</w:instrText>
      </w:r>
      <w:r w:rsidR="00910423">
        <w:rPr>
          <w:rFonts w:cs="Times New Roman"/>
          <w:lang w:val="en-GB"/>
        </w:rPr>
        <w:fldChar w:fldCharType="separate"/>
      </w:r>
      <w:r w:rsidR="00910423" w:rsidRPr="00910423">
        <w:rPr>
          <w:rFonts w:cs="Times New Roman"/>
          <w:noProof/>
          <w:lang w:val="en-GB"/>
        </w:rPr>
        <w:t>(25)</w:t>
      </w:r>
      <w:r w:rsidR="00910423">
        <w:rPr>
          <w:rFonts w:cs="Times New Roman"/>
          <w:lang w:val="en-GB"/>
        </w:rPr>
        <w:fldChar w:fldCharType="end"/>
      </w:r>
      <w:r w:rsidR="00910423">
        <w:rPr>
          <w:rFonts w:cs="Times New Roman"/>
          <w:lang w:val="en-GB"/>
        </w:rPr>
        <w:t xml:space="preserve">. </w:t>
      </w:r>
      <w:r w:rsidR="00CA247D" w:rsidRPr="00FC3ACB">
        <w:rPr>
          <w:rFonts w:cs="Times New Roman"/>
          <w:lang w:val="en-GB"/>
        </w:rPr>
        <w:t xml:space="preserve">There were 1,962 singleton live births between 2006 and 2012, of whom 1,526 were born to mothers who </w:t>
      </w:r>
      <w:r w:rsidR="00CA247D" w:rsidRPr="00FC3ACB">
        <w:rPr>
          <w:rFonts w:cs="Times New Roman"/>
          <w:lang w:val="en-GB"/>
        </w:rPr>
        <w:lastRenderedPageBreak/>
        <w:t xml:space="preserve">started supplementation at least 3 months prior to conception. Supplementation stopped on delivery of the child. </w:t>
      </w:r>
      <w:r w:rsidR="000A73B0" w:rsidRPr="00BE30BD">
        <w:rPr>
          <w:rFonts w:cs="Times New Roman"/>
          <w:lang w:val="en-GB"/>
        </w:rPr>
        <w:t xml:space="preserve">The median duration of supplementation up to </w:t>
      </w:r>
      <w:r w:rsidR="000A73B0">
        <w:rPr>
          <w:rFonts w:cs="Times New Roman"/>
          <w:lang w:val="en-GB"/>
        </w:rPr>
        <w:t>last menstrual period</w:t>
      </w:r>
      <w:r w:rsidR="000A73B0" w:rsidRPr="00BE30BD">
        <w:rPr>
          <w:rFonts w:cs="Times New Roman"/>
          <w:lang w:val="en-GB"/>
        </w:rPr>
        <w:t xml:space="preserve"> in the Mumbai study was 46.1 </w:t>
      </w:r>
      <w:r w:rsidR="000A73B0">
        <w:rPr>
          <w:rFonts w:cs="Times New Roman"/>
          <w:lang w:val="en-GB"/>
        </w:rPr>
        <w:t xml:space="preserve">weeks </w:t>
      </w:r>
      <w:r w:rsidR="000A73B0" w:rsidRPr="00BE30BD">
        <w:rPr>
          <w:rFonts w:cs="Times New Roman"/>
          <w:lang w:val="en-GB"/>
        </w:rPr>
        <w:t>(</w:t>
      </w:r>
      <w:r w:rsidR="000A73B0">
        <w:rPr>
          <w:rFonts w:cs="Times New Roman"/>
          <w:lang w:val="en-GB"/>
        </w:rPr>
        <w:t xml:space="preserve">interquartile range, IQR: </w:t>
      </w:r>
      <w:r w:rsidR="000A73B0" w:rsidRPr="00BE30BD">
        <w:rPr>
          <w:rFonts w:cs="Times New Roman"/>
          <w:lang w:val="en-GB"/>
        </w:rPr>
        <w:t>25.9, 85.0 weeks</w:t>
      </w:r>
      <w:r w:rsidR="000A73B0">
        <w:rPr>
          <w:rFonts w:cs="Times New Roman"/>
          <w:lang w:val="en-GB"/>
        </w:rPr>
        <w:t>)</w:t>
      </w:r>
      <w:r w:rsidR="000A73B0" w:rsidRPr="00BE30BD">
        <w:rPr>
          <w:rFonts w:cs="Times New Roman"/>
          <w:lang w:val="en-GB"/>
        </w:rPr>
        <w:t xml:space="preserve">. </w:t>
      </w:r>
      <w:r w:rsidR="00E01D64">
        <w:rPr>
          <w:rFonts w:cs="Times New Roman"/>
          <w:lang w:val="en-GB"/>
        </w:rPr>
        <w:t>Despite low compliance, t</w:t>
      </w:r>
      <w:r w:rsidR="00CA247D" w:rsidRPr="00FC3ACB">
        <w:rPr>
          <w:rFonts w:cs="Times New Roman"/>
          <w:lang w:val="en-GB"/>
        </w:rPr>
        <w:t xml:space="preserve">he intervention increased birthweight among women who started supplementation at least three months prior to conception; there was also an interaction between intervention group and maternal pre-pregnant body mass index (BMI) such that the effect of supplementation on birth weight was greater among women of higher BMI </w:t>
      </w:r>
      <w:r w:rsidR="00CA247D" w:rsidRPr="00FC3ACB">
        <w:rPr>
          <w:rStyle w:val="None"/>
          <w:rFonts w:cs="Times New Roman"/>
          <w:lang w:val="en-GB"/>
        </w:rPr>
        <w:fldChar w:fldCharType="begin" w:fldLock="1"/>
      </w:r>
      <w:r w:rsidR="00897103">
        <w:rPr>
          <w:rStyle w:val="None"/>
          <w:rFonts w:cs="Times New Roman"/>
          <w:lang w:val="en-GB"/>
        </w:rPr>
        <w:instrText>ADDIN CSL_CITATION {"citationItems":[{"id":"ITEM-1","itemData":{"DOI":"10.3945/ajcn.114.084921.1","ISBN":"0002-9165","ISSN":"1938-3207","PMID":"25332324","author":[{"dropping-particle":"","family":"Potdar","given":"Ramesh D","non-dropping-particle":"","parse-names":false,"suffix":""},{"dropping-particle":"","family":"Sahariah","given":"Sirazul a","non-dropping-particle":"","parse-names":false,"suffix":""},{"dropping-particle":"","family":"Gandhi","given":"Meera","non-dropping-particle":"","parse-names":false,"suffix":""},{"dropping-particle":"","family":"Kehoe","given":"Sarah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Dayama","given":"Monika","non-dropping-particle":"","parse-names":false,"suffix":""},{"dropping-particle":"","family":"Jha","given":"Swati","non-dropping-particle":"","parse-names":false,"suffix":""},{"dropping-particle":"","family":"Lawande","given":"Ashwin","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hheda-gala","given":"Purvi","non-dropping-particle":"","parse-names":false,"suffix":""},{"dropping-particle":"","family":"Muley-lotankar","given":"Priyadarshini","non-dropping-particle":"","parse-names":false,"suffix":""},{"dropping-particle":"","family":"Subbulakshmi","given":"G","non-dropping-particle":"","parse-names":false,"suffix":""},{"dropping-particle":"","family":"Wills","given":"Andrew K","non-dropping-particle":"","parse-names":false,"suffix":""},{"dropping-particle":"","family":"Cox","given":"Vanessa a","non-dropping-particle":"","parse-names":false,"suffix":""},{"dropping-particle":"","family":"Taskar","given":"Vijaya","non-dropping-particle":"","parse-names":false,"suffix":""},{"dropping-particle":"","family":"Barker","given":"David J P","non-dropping-particle":"","parse-names":false,"suffix":""},{"dropping-particle":"","family":"Jackson","given":"Alan a","non-dropping-particle":"","parse-names":false,"suffix":""},{"dropping-particle":"","family":"Margetts","given":"Barrie M","non-dropping-particle":"","parse-names":false,"suffix":""},{"dropping-particle":"","family":"Fall","given":"Caroline H D","non-dropping-particle":"","parse-names":false,"suffix":""}],"container-title":"Am J Clin Nutr","id":"ITEM-1","issued":{"date-parts":[["2014"]]},"page":"1257-1268","title":"Improving women’ s diet quality preconceptionally and during gestation: effects on birth weight and prevalence of low birth weight-a randomized controlled efficacy trial in India (Mumbai Maternal Nutrition Project)","type":"article-journal","volume":"100"},"uris":["http://www.mendeley.com/documents/?uuid=1c2ece84-83d3-4ec1-bab4-c98da6f5350c"]}],"mendeley":{"formattedCitation":"(25)","plainTextFormattedCitation":"(25)","previouslyFormattedCitation":"(25)"},"properties":{"noteIndex":0},"schema":"https://github.com/citation-style-language/schema/raw/master/csl-citation.json"}</w:instrText>
      </w:r>
      <w:r w:rsidR="00CA247D" w:rsidRPr="00FC3ACB">
        <w:rPr>
          <w:rStyle w:val="None"/>
          <w:rFonts w:cs="Times New Roman"/>
          <w:lang w:val="en-GB"/>
        </w:rPr>
        <w:fldChar w:fldCharType="separate"/>
      </w:r>
      <w:r w:rsidR="001754FE" w:rsidRPr="001754FE">
        <w:rPr>
          <w:rStyle w:val="None"/>
          <w:rFonts w:cs="Times New Roman"/>
          <w:noProof/>
          <w:lang w:val="en-GB"/>
        </w:rPr>
        <w:t>(25)</w:t>
      </w:r>
      <w:r w:rsidR="00CA247D" w:rsidRPr="00FC3ACB">
        <w:rPr>
          <w:rStyle w:val="None"/>
          <w:rFonts w:cs="Times New Roman"/>
          <w:lang w:val="en-GB"/>
        </w:rPr>
        <w:fldChar w:fldCharType="end"/>
      </w:r>
      <w:r w:rsidR="00CA247D" w:rsidRPr="00FC3ACB">
        <w:rPr>
          <w:rFonts w:cs="Times New Roman"/>
          <w:lang w:val="en-GB"/>
        </w:rPr>
        <w:t xml:space="preserve">.  The intervention also reduced the incidence of gestational diabetes </w:t>
      </w:r>
      <w:r w:rsidR="00CA247D" w:rsidRPr="00FC3ACB">
        <w:rPr>
          <w:rFonts w:cs="Times New Roman"/>
          <w:lang w:val="en-GB"/>
        </w:rPr>
        <w:fldChar w:fldCharType="begin" w:fldLock="1"/>
      </w:r>
      <w:r w:rsidR="000C3130">
        <w:rPr>
          <w:rFonts w:cs="Times New Roman"/>
          <w:lang w:val="en-GB"/>
        </w:rPr>
        <w:instrText>ADDIN CSL_CITATION {"citationItems":[{"id":"ITEM-1","itemData":{"DOI":"10.3945/jn.115.223461","ISBN":"1541-6100","ISSN":"0022-3166","PMID":"27281802","abstract":"BACKGROUND Prospective observational studies suggest that maternal diets rich in leafy green vegetables and fruit may help prevent gestational diabetes mellitus (GDM). OBJECTIVE Our objective was to test whether increasing women's dietary intake of leafy green vegetables, fruit, and milk before conception and throughout pregnancy reduced their risk of GDM. METHODS Project SARAS (\"excellent\") (2006-2012) was a nonblinded, individually randomized, controlled trial in women living in slums in the city of Mumbai, India. The interventions included a daily snack made from leafy green vegetables, fruit, and milk for the treatment group or low-micronutrient vegetables (e.g., potato and onion) for the control group, in addition to the usual diet. Results for the primary outcome, birth weight, have been reported. Women were invited to take an oral-glucose-tolerance test (OGTT) at 28-32 wk gestation to screen for GDM (WHO 1999 criteria). The prevalence of GDM was compared between the intervention and control groups, and Kernel density analysis was used to compare distributions of 120-min plasma glucose concentrations between groups. RESULTS Of 6513 women randomly assigned, 2291 became pregnant; of these, 2028 reached a gestation of 28 wk, 1008 (50%) attended for an OGTT, and 100 (9.9%) had GDM. In an intention-to-treat analysis, the prevalence of GDM was reduced in the treatment group (7.3% compared with 12.4% in controls; OR: 0.56; 95% CI: 0.36, 0.86; P = 0.008). The reduction in GDM remained significant after adjusting for prepregnancy adiposity and fat or weight gain during pregnancy. Kernel density analysis showed that this was explained by the fact that fewer women in the treatment group had a 2-h glucose concentration in the range 7.5-10.0 mmol/L. CONCLUSIONS In low-income settings, in which women have a low intake of micronutrient-rich foods, improving dietary micronutrient quality by increasing intake of leafy green vegetables, fruit, and/or milk may have an important protective effect against the development of GDM. This trial was registered at www.controlled-trials.com as ISRCTN62811278.","author":[{"dropping-particle":"","family":"Sahariah","given":"Sirazul A.","non-dropping-particle":"","parse-names":false,"suffix":""},{"dropping-particle":"","family":"Potdar","given":"Ramesh D.","non-dropping-particle":"","parse-names":false,"suffix":""},{"dropping-particle":"","family":"Gandhi","given":"Meera","non-dropping-particle":"","parse-names":false,"suffix":""},{"dropping-particle":"","family":"Kehoe","given":"Sarah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ox","given":"Vanessa A.","non-dropping-particle":"","parse-names":false,"suffix":""},{"dropping-particle":"","family":"Jackson","given":"Alan A.","non-dropping-particle":"","parse-names":false,"suffix":""},{"dropping-particle":"","family":"Margetts","given":"Barrie M.","non-dropping-particle":"","parse-names":false,"suffix":""},{"dropping-particle":"","family":"Fall","given":"Caroline HD","non-dropping-particle":"","parse-names":false,"suffix":""}],"container-title":"The Journal of Nutrition","id":"ITEM-1","issue":"7","issued":{"date-parts":[["2016","7"]]},"page":"1453S-1460S","title":"A Daily Snack Containing Leafy Green Vegetables, Fruit, and Milk before and during Pregnancy Prevents Gestational Diabetes in a Randomized, Controlled Trial in Mumbai, India","type":"article-journal","volume":"146"},"uris":["http://www.mendeley.com/documents/?uuid=c77783a3-14d3-46de-9147-85a4c3180be3"]}],"mendeley":{"formattedCitation":"(28)","plainTextFormattedCitation":"(28)","previouslyFormattedCitation":"(28)"},"properties":{"noteIndex":0},"schema":"https://github.com/citation-style-language/schema/raw/master/csl-citation.json"}</w:instrText>
      </w:r>
      <w:r w:rsidR="00CA247D" w:rsidRPr="00FC3ACB">
        <w:rPr>
          <w:rFonts w:cs="Times New Roman"/>
          <w:lang w:val="en-GB"/>
        </w:rPr>
        <w:fldChar w:fldCharType="separate"/>
      </w:r>
      <w:r w:rsidR="002A7D5D" w:rsidRPr="002A7D5D">
        <w:rPr>
          <w:rFonts w:cs="Times New Roman"/>
          <w:noProof/>
          <w:lang w:val="en-GB"/>
        </w:rPr>
        <w:t>(28)</w:t>
      </w:r>
      <w:r w:rsidR="00CA247D" w:rsidRPr="00FC3ACB">
        <w:rPr>
          <w:rFonts w:cs="Times New Roman"/>
          <w:lang w:val="en-GB"/>
        </w:rPr>
        <w:fldChar w:fldCharType="end"/>
      </w:r>
      <w:r w:rsidR="00CA247D" w:rsidRPr="00FC3ACB">
        <w:rPr>
          <w:rFonts w:cs="Times New Roman"/>
          <w:lang w:val="en-GB"/>
        </w:rPr>
        <w:t>.</w:t>
      </w:r>
    </w:p>
    <w:p w14:paraId="505BCDD0" w14:textId="77777777" w:rsidR="00B83E31" w:rsidRDefault="00B83E31" w:rsidP="00CA247D">
      <w:pPr>
        <w:pStyle w:val="BodyC"/>
        <w:spacing w:line="360" w:lineRule="auto"/>
        <w:rPr>
          <w:rFonts w:cs="Times New Roman"/>
          <w:lang w:val="en-GB"/>
        </w:rPr>
      </w:pPr>
    </w:p>
    <w:p w14:paraId="7526833E" w14:textId="48C0EEF8" w:rsidR="00CA247D" w:rsidRPr="00FC3ACB" w:rsidRDefault="000C71D4" w:rsidP="00CA247D">
      <w:pPr>
        <w:pStyle w:val="BodyC"/>
        <w:spacing w:line="360" w:lineRule="auto"/>
        <w:rPr>
          <w:rFonts w:eastAsia="Calibri" w:cs="Times New Roman"/>
          <w:lang w:val="en-GB"/>
        </w:rPr>
      </w:pPr>
      <w:r>
        <w:rPr>
          <w:rFonts w:cs="Times New Roman"/>
          <w:lang w:val="en-GB"/>
        </w:rPr>
        <w:t>In contrast to the Indian study, t</w:t>
      </w:r>
      <w:r w:rsidRPr="000C71D4">
        <w:rPr>
          <w:rFonts w:cs="Times New Roman"/>
          <w:lang w:val="en-GB"/>
        </w:rPr>
        <w:t xml:space="preserve">he intervention in the Gambian trial was designed to provide one WHO RNI of the full range of known vitamins and important minerals (in other words 100% RNI), a more commonly used approach and a dose considered safe in pregnancy. </w:t>
      </w:r>
      <w:r w:rsidR="00CA247D" w:rsidRPr="00FC3ACB">
        <w:rPr>
          <w:rFonts w:cs="Times New Roman"/>
          <w:lang w:val="en-GB"/>
        </w:rPr>
        <w:t xml:space="preserve">In </w:t>
      </w:r>
      <w:r w:rsidR="007F48E6">
        <w:rPr>
          <w:rFonts w:cs="Times New Roman"/>
          <w:lang w:val="en-GB"/>
        </w:rPr>
        <w:t xml:space="preserve">this </w:t>
      </w:r>
      <w:r w:rsidR="00CA247D" w:rsidRPr="00FC3ACB">
        <w:rPr>
          <w:rFonts w:cs="Times New Roman"/>
          <w:lang w:val="en-GB"/>
        </w:rPr>
        <w:t>trial the intervention was a daily multiple micronutrient tablet (</w:t>
      </w:r>
      <w:r w:rsidR="001B1292" w:rsidRPr="00AD2117">
        <w:rPr>
          <w:rFonts w:cs="Times New Roman"/>
          <w:lang w:val="en-GB"/>
        </w:rPr>
        <w:t>United Nations International Multiple Micronutrient Preparation;</w:t>
      </w:r>
      <w:r w:rsidR="001B1292" w:rsidRPr="00FC3ACB">
        <w:rPr>
          <w:rFonts w:cs="Times New Roman"/>
          <w:lang w:val="en-GB"/>
        </w:rPr>
        <w:t xml:space="preserve"> </w:t>
      </w:r>
      <w:r w:rsidR="00CA247D" w:rsidRPr="00FC3ACB">
        <w:rPr>
          <w:rFonts w:cs="Times New Roman"/>
          <w:lang w:val="en-GB"/>
        </w:rPr>
        <w:t xml:space="preserve">UNIMMAP) providing one RNI of vitamins A, B1, B2, niacin, B6, folic acid, B12, C, D and E and iron, zinc, copper, selenium and iodine. Women randomised to the control group received placebo tablets. Non-pregnant women were recruited (N=1,156), as in Mumbai. </w:t>
      </w:r>
      <w:r w:rsidR="00CA247D" w:rsidRPr="00965C8E">
        <w:rPr>
          <w:rFonts w:cs="Times New Roman"/>
          <w:lang w:val="en-GB"/>
        </w:rPr>
        <w:t xml:space="preserve">Compliance with supplementation was assessed by fortnightly tablet </w:t>
      </w:r>
      <w:r w:rsidR="00CA247D" w:rsidRPr="00132905">
        <w:rPr>
          <w:rFonts w:cs="Times New Roman"/>
          <w:lang w:val="en-GB"/>
        </w:rPr>
        <w:t>counts (ratio of number of tablets apparently consumed to number of days enrolled in study) and was estimated to be 88% in the UNIMMAP arm and 86% in the placebo arm. Women stopped</w:t>
      </w:r>
      <w:r w:rsidR="00CA247D" w:rsidRPr="00FC3ACB">
        <w:rPr>
          <w:rFonts w:cs="Times New Roman"/>
          <w:lang w:val="en-GB"/>
        </w:rPr>
        <w:t xml:space="preserve"> the supplement when they became pregnant, confirmed by pregnancy test or ultrasound (approximately 12 weeks gestation). The median time on supplementation before positive pregnancy test was 24.1 </w:t>
      </w:r>
      <w:r w:rsidR="00CA247D" w:rsidRPr="00182961">
        <w:rPr>
          <w:rFonts w:cs="Times New Roman"/>
          <w:lang w:val="en-GB"/>
        </w:rPr>
        <w:t>weeks</w:t>
      </w:r>
      <w:r w:rsidR="00BE30BD" w:rsidRPr="00182961">
        <w:rPr>
          <w:rFonts w:cs="Times New Roman"/>
          <w:lang w:val="en-GB"/>
        </w:rPr>
        <w:t xml:space="preserve"> </w:t>
      </w:r>
      <w:r w:rsidR="00BE30BD" w:rsidRPr="00D737ED">
        <w:rPr>
          <w:color w:val="000000" w:themeColor="text1"/>
        </w:rPr>
        <w:t>(IQR: 13.1, 43.1</w:t>
      </w:r>
      <w:r w:rsidR="00185B64">
        <w:rPr>
          <w:color w:val="000000" w:themeColor="text1"/>
        </w:rPr>
        <w:t xml:space="preserve"> weeks</w:t>
      </w:r>
      <w:r w:rsidR="00BE30BD" w:rsidRPr="00D737ED">
        <w:rPr>
          <w:color w:val="000000" w:themeColor="text1"/>
        </w:rPr>
        <w:t>)</w:t>
      </w:r>
      <w:r w:rsidR="00CA247D" w:rsidRPr="00182961">
        <w:rPr>
          <w:rFonts w:cs="Times New Roman"/>
          <w:lang w:val="en-GB"/>
        </w:rPr>
        <w:t>,</w:t>
      </w:r>
      <w:r w:rsidR="00CA247D" w:rsidRPr="00FC3ACB">
        <w:rPr>
          <w:rFonts w:cs="Times New Roman"/>
          <w:lang w:val="en-GB"/>
        </w:rPr>
        <w:t xml:space="preserve"> after which the intervention was stopped and replaced with routine iron (60 mg) and folic acid (250 µg) supplements and anti-malarial prophylaxis. There were 376 singleton live births between 2007-2008. </w:t>
      </w:r>
      <w:r w:rsidR="00CA247D" w:rsidRPr="00FC3ACB">
        <w:rPr>
          <w:rFonts w:eastAsia="Calibri" w:cs="Times New Roman"/>
          <w:lang w:val="en-GB"/>
        </w:rPr>
        <w:t xml:space="preserve">The intervention reduced uterine artery resistance index between 18 and 32 weeks of gestation; it had no effect on birth weight </w:t>
      </w:r>
      <w:r w:rsidR="00CA247D" w:rsidRPr="00FC3ACB">
        <w:rPr>
          <w:rFonts w:eastAsia="Calibri" w:cs="Times New Roman"/>
          <w:lang w:val="en-GB"/>
        </w:rPr>
        <w:fldChar w:fldCharType="begin" w:fldLock="1"/>
      </w:r>
      <w:r w:rsidR="00897103">
        <w:rPr>
          <w:rFonts w:eastAsia="Calibri" w:cs="Times New Roman"/>
          <w:lang w:val="en-GB"/>
        </w:rPr>
        <w:instrText>ADDIN CSL_CITATION {"citationItems":[{"id":"ITEM-1","itemData":{"DOI":"10.3945/ajcn.113.072413","ISBN":"1938-3207 (electronic) 0002-9165","ISSN":"19383207","PMID":"26561613","abstract":"Background: Maternal micronutrient deficiencies are commonly associated with clinical indicators of placental dysfunction. Objective: We tested the hypothesis that periconceptional multiplemicronutrient supplementation (MMS) affects placental function. Design: We conducted a double-blind, randomized, placebo-controlled trial of MMS in 17- to 45-y-old Gambian women who were menstruating regularly and within the previous 3 mo. Eligible subjects were pre- randomly assigned to supplementation with the UNICEF/WHO/United Nations University multiple micronutrient preparation (UNIMMAP) or placebo on recruitment and until they reached their first antenatal checkup or for 1 y if they failed to conceive. Primary outcome measures were midgestational indexes of utero-placental vascular-endothelial function [ratio of plasminogen-activator inhibitor (PAI) 1 to PAI-2 and mean uterine-artery resistance index (UtARI)] and placental active transport capacity at delivery [fetal to maternal measles antibody (MMA) ratio]. Results: We recruited 1156 women who yielded 415 pregnancies, of which 376 met all of the inclusion criteria. With adjustment for gestational age at sampling, there were no differences in PAI-1 to PAI-2 or MMA ratios between trial arms, but there was a 0.02-unit reduction in UtARI between 18 and 32 wk of gestation (95% CI: 20.03, 20.00; P = 0.040) in women taking UNIMMAP. Conclusions: Placental vascular function was modifiable by periconceptional micronutrient supplementation. However, the effect was small and supplementation did not further affect other variables of placental function. This trial was registered at www.controlled-trials. com as ISRCTN 13687662.","author":[{"dropping-particle":"","family":"Owens","given":"Stephen","non-dropping-particle":"","parse-names":false,"suffix":""},{"dropping-particle":"","family":"Gulati","given":"Ruchi","non-dropping-particle":"","parse-names":false,"suffix":""},{"dropping-particle":"","family":"Fulford","given":"Anthony J","non-dropping-particle":"","parse-names":false,"suffix":""},{"dropping-particle":"","family":"Sosseh","given":"Fatou","non-dropping-particle":"","parse-names":false,"suffix":""},{"dropping-particle":"","family":"Denison","given":"Fiona C","non-dropping-particle":"","parse-names":false,"suffix":""},{"dropping-particle":"","family":"Brabin","given":"Bernard J","non-dropping-particle":"","parse-names":false,"suffix":""},{"dropping-particle":"","family":"Prentice","given":"Andrew M","non-dropping-particle":"","parse-names":false,"suffix":""}],"container-title":"American Journal of Clinical Nutrition","id":"ITEM-1","issue":"6","issued":{"date-parts":[["2015"]]},"page":"1450-1459","title":"Periconceptional multiple-micronutrient supplementation and placental function in rural Gambian women: A double-blind, randomized, placebo-controlled trial","type":"article-journal","volume":"102"},"uris":["http://www.mendeley.com/documents/?uuid=c7dffdda-f57b-4236-9f8c-64ed6bbb9386"]}],"mendeley":{"formattedCitation":"(26)","plainTextFormattedCitation":"(26)","previouslyFormattedCitation":"(26)"},"properties":{"noteIndex":0},"schema":"https://github.com/citation-style-language/schema/raw/master/csl-citation.json"}</w:instrText>
      </w:r>
      <w:r w:rsidR="00CA247D" w:rsidRPr="00FC3ACB">
        <w:rPr>
          <w:rFonts w:eastAsia="Calibri" w:cs="Times New Roman"/>
          <w:lang w:val="en-GB"/>
        </w:rPr>
        <w:fldChar w:fldCharType="separate"/>
      </w:r>
      <w:r w:rsidR="001754FE" w:rsidRPr="001754FE">
        <w:rPr>
          <w:rFonts w:eastAsia="Calibri" w:cs="Times New Roman"/>
          <w:noProof/>
          <w:lang w:val="en-GB"/>
        </w:rPr>
        <w:t>(26)</w:t>
      </w:r>
      <w:r w:rsidR="00CA247D" w:rsidRPr="00FC3ACB">
        <w:rPr>
          <w:rFonts w:eastAsia="Calibri" w:cs="Times New Roman"/>
          <w:lang w:val="en-GB"/>
        </w:rPr>
        <w:fldChar w:fldCharType="end"/>
      </w:r>
      <w:r w:rsidR="00CA247D" w:rsidRPr="00FC3ACB">
        <w:rPr>
          <w:rFonts w:eastAsia="Calibri" w:cs="Times New Roman"/>
          <w:lang w:val="en-GB"/>
        </w:rPr>
        <w:t>.</w:t>
      </w:r>
    </w:p>
    <w:p w14:paraId="6185D6A2" w14:textId="598AC4C7" w:rsidR="00CA247D" w:rsidRPr="00D15EBE" w:rsidRDefault="00CA247D" w:rsidP="00CA247D">
      <w:pPr>
        <w:pStyle w:val="BodyC"/>
        <w:spacing w:line="360" w:lineRule="auto"/>
        <w:rPr>
          <w:rFonts w:cs="Times New Roman"/>
          <w:i/>
          <w:lang w:val="en-GB"/>
        </w:rPr>
      </w:pPr>
    </w:p>
    <w:p w14:paraId="66880175" w14:textId="2C9C82C7" w:rsidR="00CA247D" w:rsidRPr="00FC3ACB" w:rsidRDefault="00CA247D" w:rsidP="00CA247D">
      <w:pPr>
        <w:pStyle w:val="BodyC"/>
        <w:spacing w:line="360" w:lineRule="auto"/>
        <w:rPr>
          <w:rFonts w:cs="Times New Roman"/>
          <w:lang w:val="en-GB"/>
        </w:rPr>
      </w:pPr>
      <w:r w:rsidRPr="00FC3ACB">
        <w:rPr>
          <w:rFonts w:cs="Times New Roman"/>
          <w:color w:val="000000" w:themeColor="text1"/>
          <w:lang w:val="en-GB"/>
        </w:rPr>
        <w:t>For this analysis, the Mumbai children have been followed up at 5-7 years of age (“SARAS KIDS” study)</w:t>
      </w:r>
      <w:r w:rsidR="00026159">
        <w:rPr>
          <w:rFonts w:cs="Times New Roman"/>
          <w:color w:val="000000" w:themeColor="text1"/>
          <w:lang w:val="en-GB"/>
        </w:rPr>
        <w:t>,</w:t>
      </w:r>
      <w:r w:rsidRPr="00FC3ACB">
        <w:rPr>
          <w:rFonts w:cs="Times New Roman"/>
          <w:color w:val="000000" w:themeColor="text1"/>
          <w:lang w:val="en-GB"/>
        </w:rPr>
        <w:t xml:space="preserve"> and data and samples for the first 700 children studied</w:t>
      </w:r>
      <w:r w:rsidR="0073126A">
        <w:rPr>
          <w:rFonts w:cs="Times New Roman"/>
          <w:color w:val="000000" w:themeColor="text1"/>
          <w:lang w:val="en-GB"/>
        </w:rPr>
        <w:t xml:space="preserve"> </w:t>
      </w:r>
      <w:r w:rsidR="008A3AEC">
        <w:rPr>
          <w:rFonts w:cs="Times New Roman"/>
          <w:color w:val="000000" w:themeColor="text1"/>
          <w:lang w:val="en-GB"/>
        </w:rPr>
        <w:t xml:space="preserve">who were </w:t>
      </w:r>
      <w:r w:rsidR="0073126A">
        <w:rPr>
          <w:rFonts w:cs="Times New Roman"/>
          <w:color w:val="000000" w:themeColor="text1"/>
          <w:lang w:val="en-GB"/>
        </w:rPr>
        <w:t>born to women who started supplementation at least 3 months prior to conception</w:t>
      </w:r>
      <w:r w:rsidRPr="00FC3ACB">
        <w:rPr>
          <w:rFonts w:cs="Times New Roman"/>
          <w:color w:val="000000" w:themeColor="text1"/>
          <w:lang w:val="en-GB"/>
        </w:rPr>
        <w:t xml:space="preserve"> have been used in </w:t>
      </w:r>
      <w:r w:rsidRPr="00FC3ACB">
        <w:rPr>
          <w:rFonts w:cs="Times New Roman"/>
          <w:lang w:val="en-GB"/>
        </w:rPr>
        <w:t xml:space="preserve">EMPHASIS. The Gambian children were followed up aged 7-9 years in 2016; all 299 Gambian children retraced from the PMMST group were selected for this first stage of the EMPHASIS study. </w:t>
      </w:r>
      <w:r w:rsidR="004E229F">
        <w:rPr>
          <w:rFonts w:cs="Times New Roman"/>
          <w:lang w:val="en-GB"/>
        </w:rPr>
        <w:t>Cohort</w:t>
      </w:r>
      <w:r w:rsidR="008968BC" w:rsidRPr="00FC3ACB">
        <w:rPr>
          <w:rFonts w:cs="Times New Roman"/>
          <w:lang w:val="en-GB"/>
        </w:rPr>
        <w:t xml:space="preserve"> characteristics are summarized in Table 1. </w:t>
      </w:r>
      <w:r w:rsidR="00A83F3A">
        <w:rPr>
          <w:rFonts w:cs="Times New Roman"/>
          <w:lang w:val="en-GB"/>
        </w:rPr>
        <w:t>CONSORT</w:t>
      </w:r>
      <w:r w:rsidR="00A83F3A" w:rsidRPr="00FC3ACB">
        <w:rPr>
          <w:rFonts w:cs="Times New Roman"/>
          <w:lang w:val="en-GB"/>
        </w:rPr>
        <w:t xml:space="preserve"> </w:t>
      </w:r>
      <w:r w:rsidR="00DA72E4" w:rsidRPr="00FC3ACB">
        <w:rPr>
          <w:rFonts w:cs="Times New Roman"/>
          <w:lang w:val="en-GB"/>
        </w:rPr>
        <w:t xml:space="preserve">flowcharts </w:t>
      </w:r>
      <w:r w:rsidR="00195ABA">
        <w:rPr>
          <w:rFonts w:cs="Times New Roman"/>
          <w:lang w:val="en-GB"/>
        </w:rPr>
        <w:t>for each cohort are presented in Supplemental Figure 1. F</w:t>
      </w:r>
      <w:r w:rsidRPr="00FC3ACB">
        <w:rPr>
          <w:rFonts w:cs="Times New Roman"/>
          <w:lang w:val="en-GB"/>
        </w:rPr>
        <w:t xml:space="preserve">urther details on maternal and child </w:t>
      </w:r>
      <w:r w:rsidRPr="00FC3ACB">
        <w:rPr>
          <w:rFonts w:cs="Times New Roman"/>
          <w:lang w:val="en-GB"/>
        </w:rPr>
        <w:lastRenderedPageBreak/>
        <w:t>characteristics</w:t>
      </w:r>
      <w:r w:rsidR="00DA72E4" w:rsidRPr="00FC3ACB">
        <w:rPr>
          <w:rFonts w:cs="Times New Roman"/>
          <w:lang w:val="en-GB"/>
        </w:rPr>
        <w:t xml:space="preserve"> </w:t>
      </w:r>
      <w:r w:rsidR="00FE2531" w:rsidRPr="00FC3ACB">
        <w:rPr>
          <w:rFonts w:cs="Times New Roman"/>
          <w:lang w:val="en-GB"/>
        </w:rPr>
        <w:t>of</w:t>
      </w:r>
      <w:r w:rsidR="00DA72E4" w:rsidRPr="00FC3ACB">
        <w:rPr>
          <w:rFonts w:cs="Times New Roman"/>
          <w:lang w:val="en-GB"/>
        </w:rPr>
        <w:t xml:space="preserve"> EMPHASIS part</w:t>
      </w:r>
      <w:r w:rsidR="008A6E40" w:rsidRPr="00FC3ACB">
        <w:rPr>
          <w:rFonts w:cs="Times New Roman"/>
          <w:lang w:val="en-GB"/>
        </w:rPr>
        <w:t>i</w:t>
      </w:r>
      <w:r w:rsidR="00DA72E4" w:rsidRPr="00FC3ACB">
        <w:rPr>
          <w:rFonts w:cs="Times New Roman"/>
          <w:lang w:val="en-GB"/>
        </w:rPr>
        <w:t>cipants are included in the EMPHASIS protocol paper</w:t>
      </w:r>
      <w:r w:rsidR="005374AC">
        <w:rPr>
          <w:rFonts w:cs="Times New Roman"/>
          <w:lang w:val="en-GB"/>
        </w:rPr>
        <w:t xml:space="preserve"> </w:t>
      </w:r>
      <w:r w:rsidR="00DA72E4" w:rsidRPr="00FC3ACB">
        <w:rPr>
          <w:rFonts w:cs="Times New Roman"/>
          <w:lang w:val="en-GB"/>
        </w:rPr>
        <w:fldChar w:fldCharType="begin" w:fldLock="1"/>
      </w:r>
      <w:r w:rsidR="00897103">
        <w:rPr>
          <w:rFonts w:cs="Times New Roman"/>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00DA72E4" w:rsidRPr="00FC3ACB">
        <w:rPr>
          <w:rFonts w:cs="Times New Roman"/>
          <w:lang w:val="en-GB"/>
        </w:rPr>
        <w:fldChar w:fldCharType="separate"/>
      </w:r>
      <w:r w:rsidR="001754FE" w:rsidRPr="001754FE">
        <w:rPr>
          <w:rFonts w:cs="Times New Roman"/>
          <w:noProof/>
          <w:lang w:val="en-GB"/>
        </w:rPr>
        <w:t>(24)</w:t>
      </w:r>
      <w:r w:rsidR="00DA72E4" w:rsidRPr="00FC3ACB">
        <w:rPr>
          <w:rFonts w:cs="Times New Roman"/>
          <w:lang w:val="en-GB"/>
        </w:rPr>
        <w:fldChar w:fldCharType="end"/>
      </w:r>
      <w:r w:rsidR="00DA72E4" w:rsidRPr="00FC3ACB">
        <w:rPr>
          <w:rFonts w:cs="Times New Roman"/>
          <w:lang w:val="en-GB"/>
        </w:rPr>
        <w:t xml:space="preserve">. </w:t>
      </w:r>
    </w:p>
    <w:p w14:paraId="0AACC1F8" w14:textId="77777777" w:rsidR="00CA247D" w:rsidRPr="005A28F5" w:rsidRDefault="00CA247D" w:rsidP="00CA247D">
      <w:pPr>
        <w:pStyle w:val="BodyA"/>
        <w:spacing w:line="360" w:lineRule="auto"/>
        <w:outlineLvl w:val="0"/>
        <w:rPr>
          <w:rFonts w:ascii="Times New Roman" w:hAnsi="Times New Roman" w:cs="Times New Roman"/>
          <w:sz w:val="28"/>
          <w:szCs w:val="28"/>
          <w:lang w:val="en-GB"/>
        </w:rPr>
      </w:pPr>
    </w:p>
    <w:p w14:paraId="209A001E" w14:textId="77777777" w:rsidR="00CA247D" w:rsidRPr="005A28F5" w:rsidRDefault="00CA247D" w:rsidP="00CA247D">
      <w:pPr>
        <w:pStyle w:val="BodyA"/>
        <w:spacing w:line="360" w:lineRule="auto"/>
        <w:outlineLvl w:val="0"/>
        <w:rPr>
          <w:rFonts w:ascii="Times New Roman" w:eastAsia="Cambria" w:hAnsi="Times New Roman" w:cs="Times New Roman"/>
          <w:sz w:val="28"/>
          <w:szCs w:val="28"/>
          <w:lang w:val="en-GB"/>
        </w:rPr>
      </w:pPr>
      <w:r w:rsidRPr="005A28F5">
        <w:rPr>
          <w:rFonts w:ascii="Times New Roman" w:hAnsi="Times New Roman" w:cs="Times New Roman"/>
          <w:sz w:val="28"/>
          <w:szCs w:val="28"/>
          <w:lang w:val="en-GB"/>
        </w:rPr>
        <w:t>Ethics and consent</w:t>
      </w:r>
    </w:p>
    <w:p w14:paraId="4F033B24" w14:textId="15A2B851" w:rsidR="00CA247D" w:rsidRDefault="00CA247D" w:rsidP="00CA247D">
      <w:pPr>
        <w:pStyle w:val="BodyC"/>
        <w:spacing w:line="360" w:lineRule="auto"/>
        <w:rPr>
          <w:rFonts w:eastAsia="Cambria" w:cs="Times New Roman"/>
          <w:lang w:val="en-GB"/>
        </w:rPr>
      </w:pPr>
      <w:r w:rsidRPr="005A28F5">
        <w:rPr>
          <w:rFonts w:ascii="Calibri" w:eastAsia="Cambria" w:hAnsi="Calibri" w:cs="Calibri"/>
          <w:sz w:val="21"/>
          <w:szCs w:val="21"/>
          <w:lang w:val="en-GB"/>
        </w:rPr>
        <w:t>﻿</w:t>
      </w:r>
      <w:r w:rsidRPr="00FC3ACB">
        <w:rPr>
          <w:rFonts w:eastAsia="Cambria" w:cs="Times New Roman"/>
          <w:lang w:val="en-GB"/>
        </w:rPr>
        <w:t xml:space="preserve">MMNP (ISRCTN62811278) was approved by the ethics committees of BYL Nair and TN Medical College, Grant Medical College, and Sir JJ Group of Hospitals, Mumbai. PMMST (ISRCTN13687662) was approved by the joint Gambia Government / MRC Unit </w:t>
      </w:r>
      <w:proofErr w:type="gramStart"/>
      <w:r w:rsidRPr="00FC3ACB">
        <w:rPr>
          <w:rFonts w:eastAsia="Cambria" w:cs="Times New Roman"/>
          <w:lang w:val="en-GB"/>
        </w:rPr>
        <w:t>The</w:t>
      </w:r>
      <w:proofErr w:type="gramEnd"/>
      <w:r w:rsidRPr="00FC3ACB">
        <w:rPr>
          <w:rFonts w:eastAsia="Cambria" w:cs="Times New Roman"/>
          <w:lang w:val="en-GB"/>
        </w:rPr>
        <w:t xml:space="preserve"> Gambia’s Ethics Committee. Ethics approval for the follow-up of the children in Mumbai (‘SARAS KIDS’) was obtained from the Intersystem </w:t>
      </w:r>
      <w:proofErr w:type="spellStart"/>
      <w:r w:rsidRPr="00FC3ACB">
        <w:rPr>
          <w:rFonts w:eastAsia="Cambria" w:cs="Times New Roman"/>
          <w:lang w:val="en-GB"/>
        </w:rPr>
        <w:t>Biomedica</w:t>
      </w:r>
      <w:proofErr w:type="spellEnd"/>
      <w:r w:rsidRPr="00FC3ACB">
        <w:rPr>
          <w:rFonts w:eastAsia="Cambria" w:cs="Times New Roman"/>
          <w:lang w:val="en-GB"/>
        </w:rPr>
        <w:t xml:space="preserve"> Ethics Committee, Mumbai on 31st May 2013 (Serial no. ISBEC/NR-54/KM/JVJ/2013). Ethics approval for the EMPHASIS study in the Gambia, was obtained from the joint Gambia Government/MRC Unit </w:t>
      </w:r>
      <w:proofErr w:type="gramStart"/>
      <w:r w:rsidRPr="00FC3ACB">
        <w:rPr>
          <w:rFonts w:eastAsia="Cambria" w:cs="Times New Roman"/>
          <w:lang w:val="en-GB"/>
        </w:rPr>
        <w:t>The</w:t>
      </w:r>
      <w:proofErr w:type="gramEnd"/>
      <w:r w:rsidRPr="00FC3ACB">
        <w:rPr>
          <w:rFonts w:eastAsia="Cambria" w:cs="Times New Roman"/>
          <w:lang w:val="en-GB"/>
        </w:rPr>
        <w:t xml:space="preserve"> Gambia’s Ethics Committee on 19th October 2015 (Serial no. SCC 1441). The EMPHASIS study is registered as ISRCTN14266771. Signed informed consent was obtained from parents, and verbal assent from the children.</w:t>
      </w:r>
    </w:p>
    <w:p w14:paraId="1E85C5FB" w14:textId="77777777" w:rsidR="003E596F" w:rsidRPr="00FC3ACB" w:rsidRDefault="003E596F" w:rsidP="00CA247D">
      <w:pPr>
        <w:pStyle w:val="BodyC"/>
        <w:spacing w:line="360" w:lineRule="auto"/>
        <w:rPr>
          <w:rFonts w:eastAsia="Cambria" w:cs="Times New Roman"/>
          <w:lang w:val="en-GB"/>
        </w:rPr>
      </w:pPr>
    </w:p>
    <w:p w14:paraId="3F0F821A" w14:textId="51297115" w:rsidR="00316204" w:rsidRDefault="00316204" w:rsidP="00CA247D">
      <w:pPr>
        <w:pStyle w:val="BodyC"/>
        <w:spacing w:line="360" w:lineRule="auto"/>
        <w:rPr>
          <w:rFonts w:cs="Times New Roman"/>
          <w:sz w:val="28"/>
          <w:szCs w:val="28"/>
          <w:lang w:val="en-GB"/>
        </w:rPr>
      </w:pPr>
      <w:r w:rsidRPr="00316204">
        <w:rPr>
          <w:rFonts w:cs="Times New Roman"/>
          <w:sz w:val="28"/>
          <w:szCs w:val="28"/>
          <w:lang w:val="en-GB"/>
        </w:rPr>
        <w:t>Sample preparation, methylation profiling and quality control</w:t>
      </w:r>
    </w:p>
    <w:p w14:paraId="17565F76" w14:textId="10498602" w:rsidR="00CA247D" w:rsidRPr="00316204" w:rsidRDefault="00CA247D" w:rsidP="00CA247D">
      <w:pPr>
        <w:pStyle w:val="BodyC"/>
        <w:spacing w:line="360" w:lineRule="auto"/>
        <w:rPr>
          <w:rFonts w:eastAsia="Cambria" w:cs="Times New Roman"/>
          <w:i/>
          <w:iCs/>
          <w:sz w:val="20"/>
          <w:szCs w:val="20"/>
          <w:lang w:val="en-GB"/>
        </w:rPr>
      </w:pPr>
      <w:r w:rsidRPr="00316204">
        <w:rPr>
          <w:rFonts w:cs="Times New Roman"/>
          <w:i/>
          <w:iCs/>
          <w:lang w:val="en-GB"/>
        </w:rPr>
        <w:t>Sample</w:t>
      </w:r>
      <w:r w:rsidR="00316204" w:rsidRPr="00316204">
        <w:rPr>
          <w:rFonts w:cs="Times New Roman"/>
          <w:i/>
          <w:iCs/>
          <w:lang w:val="en-GB"/>
        </w:rPr>
        <w:t xml:space="preserve"> preparation</w:t>
      </w:r>
    </w:p>
    <w:p w14:paraId="6798DF32" w14:textId="77777777" w:rsidR="00CA247D" w:rsidRPr="00FC3ACB" w:rsidRDefault="00CA247D" w:rsidP="00CA247D">
      <w:pPr>
        <w:pStyle w:val="BodyBA"/>
        <w:spacing w:line="360" w:lineRule="auto"/>
        <w:rPr>
          <w:rFonts w:eastAsia="Cambria" w:cs="Times New Roman"/>
          <w:lang w:val="en-GB"/>
        </w:rPr>
      </w:pPr>
      <w:r w:rsidRPr="00FC3ACB">
        <w:rPr>
          <w:rFonts w:cs="Times New Roman"/>
          <w:lang w:val="en-GB"/>
        </w:rPr>
        <w:t xml:space="preserve">Peripheral blood samples from the children were collected and stored in EDTA-containing vacutainer tubes at −80°C until required. DNA was extracted using the </w:t>
      </w:r>
      <w:proofErr w:type="spellStart"/>
      <w:r w:rsidRPr="00FC3ACB">
        <w:rPr>
          <w:rFonts w:cs="Times New Roman"/>
          <w:lang w:val="en-GB"/>
        </w:rPr>
        <w:t>QIAamp</w:t>
      </w:r>
      <w:proofErr w:type="spellEnd"/>
      <w:r w:rsidRPr="00FC3ACB">
        <w:rPr>
          <w:rFonts w:cs="Times New Roman"/>
          <w:lang w:val="en-GB"/>
        </w:rPr>
        <w:t xml:space="preserve"> Midi DNA isolation kit (Qiagen, Hilde, Germany) according to the manufacturer’s protocol. DNA quality and quantity was assessed using Invitrogen Quant-</w:t>
      </w:r>
      <w:proofErr w:type="spellStart"/>
      <w:r w:rsidRPr="00FC3ACB">
        <w:rPr>
          <w:rFonts w:cs="Times New Roman"/>
          <w:lang w:val="en-GB"/>
        </w:rPr>
        <w:t>iT</w:t>
      </w:r>
      <w:proofErr w:type="spellEnd"/>
      <w:r w:rsidRPr="00FC3ACB">
        <w:rPr>
          <w:rFonts w:cs="Times New Roman"/>
          <w:lang w:val="en-GB"/>
        </w:rPr>
        <w:t xml:space="preserve"> </w:t>
      </w:r>
      <w:proofErr w:type="spellStart"/>
      <w:r w:rsidRPr="00FC3ACB">
        <w:rPr>
          <w:rFonts w:cs="Times New Roman"/>
          <w:lang w:val="en-GB"/>
        </w:rPr>
        <w:t>PicoGreen</w:t>
      </w:r>
      <w:proofErr w:type="spellEnd"/>
      <w:r w:rsidRPr="00FC3ACB">
        <w:rPr>
          <w:rFonts w:cs="Times New Roman"/>
          <w:lang w:val="en-GB"/>
        </w:rPr>
        <w:t xml:space="preserve"> (Invitrogen, California, USA) and Nanodrop 1000 Spectrophotometer (Thermo Fisher Scientific, Massachusetts, USA). Samples with low quality and /or low quantity DNA were excluded. Buccal DNA extraction was also </w:t>
      </w:r>
      <w:proofErr w:type="spellStart"/>
      <w:r w:rsidRPr="00FC3ACB">
        <w:rPr>
          <w:rFonts w:cs="Times New Roman"/>
          <w:lang w:val="en-GB"/>
        </w:rPr>
        <w:t>perfomed</w:t>
      </w:r>
      <w:proofErr w:type="spellEnd"/>
      <w:r w:rsidRPr="00FC3ACB">
        <w:rPr>
          <w:rFonts w:cs="Times New Roman"/>
          <w:lang w:val="en-GB"/>
        </w:rPr>
        <w:t xml:space="preserve"> using the </w:t>
      </w:r>
      <w:proofErr w:type="spellStart"/>
      <w:r w:rsidRPr="00FC3ACB">
        <w:rPr>
          <w:rFonts w:cs="Times New Roman"/>
          <w:lang w:val="en-GB"/>
        </w:rPr>
        <w:t>QIAamp</w:t>
      </w:r>
      <w:proofErr w:type="spellEnd"/>
      <w:r w:rsidRPr="00FC3ACB">
        <w:rPr>
          <w:rFonts w:cs="Times New Roman"/>
          <w:lang w:val="en-GB"/>
        </w:rPr>
        <w:t xml:space="preserve"> DNA mini kit.</w:t>
      </w:r>
    </w:p>
    <w:p w14:paraId="6EB77D3E" w14:textId="77777777" w:rsidR="00CA247D" w:rsidRPr="005A28F5" w:rsidRDefault="00CA247D" w:rsidP="00CA247D">
      <w:pPr>
        <w:pStyle w:val="BodyBA"/>
        <w:spacing w:line="360" w:lineRule="auto"/>
        <w:rPr>
          <w:rFonts w:eastAsia="Cambria" w:cs="Times New Roman"/>
          <w:sz w:val="21"/>
          <w:szCs w:val="21"/>
          <w:lang w:val="en-GB"/>
        </w:rPr>
      </w:pPr>
    </w:p>
    <w:p w14:paraId="104CABF0" w14:textId="77777777" w:rsidR="00CA247D" w:rsidRPr="00316204" w:rsidRDefault="00CA247D" w:rsidP="00CA247D">
      <w:pPr>
        <w:pStyle w:val="BodyBA"/>
        <w:spacing w:line="360" w:lineRule="auto"/>
        <w:rPr>
          <w:rFonts w:eastAsia="Cambria" w:cs="Times New Roman"/>
          <w:i/>
          <w:iCs/>
          <w:sz w:val="20"/>
          <w:szCs w:val="20"/>
          <w:lang w:val="en-GB"/>
        </w:rPr>
      </w:pPr>
      <w:r w:rsidRPr="00316204">
        <w:rPr>
          <w:rFonts w:cs="Times New Roman"/>
          <w:i/>
          <w:iCs/>
          <w:lang w:val="en-GB"/>
        </w:rPr>
        <w:t>Epigenome-wide DNA methylation profiling</w:t>
      </w:r>
    </w:p>
    <w:p w14:paraId="686CC5C4" w14:textId="52AE75E8" w:rsidR="00CA247D" w:rsidRPr="00FC3ACB" w:rsidRDefault="00CA247D" w:rsidP="00CA247D">
      <w:pPr>
        <w:pStyle w:val="BodyA"/>
        <w:tabs>
          <w:tab w:val="left" w:pos="720"/>
        </w:tabs>
        <w:spacing w:line="360" w:lineRule="auto"/>
        <w:outlineLvl w:val="0"/>
        <w:rPr>
          <w:rFonts w:ascii="Times New Roman" w:eastAsia="Cambria" w:hAnsi="Times New Roman" w:cs="Times New Roman"/>
          <w:color w:val="FF644E"/>
          <w:sz w:val="24"/>
          <w:szCs w:val="24"/>
          <w:u w:color="FF644E"/>
          <w:lang w:val="en-GB"/>
        </w:rPr>
      </w:pPr>
      <w:r w:rsidRPr="00FC3ACB">
        <w:rPr>
          <w:rFonts w:ascii="Times New Roman" w:hAnsi="Times New Roman" w:cs="Times New Roman"/>
          <w:sz w:val="24"/>
          <w:szCs w:val="24"/>
          <w:lang w:val="en-GB"/>
        </w:rPr>
        <w:t xml:space="preserve">Epigenome-wide DNAm profiling was performed for a total of 698 Indian and 293 Gambian samples using the Illumina MethylationEPIC BeadChip platform (Illumina Inc., San Diego, USA). The EPIC array covers &gt; 850,000 CpGs genome-wide in a variety of contexts including gene promoters, intra and intergenic regions, enhancer regions, and transcription factor binding sites. </w:t>
      </w:r>
      <w:proofErr w:type="spellStart"/>
      <w:r w:rsidRPr="00FC3ACB">
        <w:rPr>
          <w:rFonts w:ascii="Times New Roman" w:hAnsi="Times New Roman" w:cs="Times New Roman"/>
          <w:sz w:val="24"/>
          <w:szCs w:val="24"/>
          <w:lang w:val="en-GB"/>
        </w:rPr>
        <w:t>Beadchips</w:t>
      </w:r>
      <w:proofErr w:type="spellEnd"/>
      <w:r w:rsidRPr="00FC3ACB">
        <w:rPr>
          <w:rFonts w:ascii="Times New Roman" w:hAnsi="Times New Roman" w:cs="Times New Roman"/>
          <w:sz w:val="24"/>
          <w:szCs w:val="24"/>
          <w:lang w:val="en-GB"/>
        </w:rPr>
        <w:t xml:space="preserve"> were processed following the manufacturer’s guidelines. To reduce the potential for confounding by batch effects, </w:t>
      </w:r>
      <w:r w:rsidRPr="00FC3ACB">
        <w:rPr>
          <w:rFonts w:ascii="Times New Roman" w:hAnsi="Times New Roman" w:cs="Times New Roman"/>
          <w:sz w:val="24"/>
          <w:szCs w:val="24"/>
          <w:u w:color="FF644E"/>
          <w:lang w:val="en-GB"/>
        </w:rPr>
        <w:t>s</w:t>
      </w:r>
      <w:r w:rsidRPr="00FC3ACB">
        <w:rPr>
          <w:rFonts w:ascii="Times New Roman" w:hAnsi="Times New Roman" w:cs="Times New Roman"/>
          <w:sz w:val="24"/>
          <w:szCs w:val="24"/>
          <w:lang w:val="en-GB"/>
        </w:rPr>
        <w:t xml:space="preserve">amples were distributed on the plates following a balanced, randomised design, specified in advance. Further details on the lab protocol </w:t>
      </w:r>
      <w:r w:rsidRPr="00FC3ACB">
        <w:rPr>
          <w:rFonts w:ascii="Times New Roman" w:hAnsi="Times New Roman" w:cs="Times New Roman"/>
          <w:sz w:val="24"/>
          <w:szCs w:val="24"/>
          <w:lang w:val="en-GB"/>
        </w:rPr>
        <w:lastRenderedPageBreak/>
        <w:t xml:space="preserve">are given in the </w:t>
      </w:r>
      <w:r w:rsidR="00C10299">
        <w:rPr>
          <w:rFonts w:ascii="Times New Roman" w:hAnsi="Times New Roman" w:cs="Times New Roman"/>
          <w:sz w:val="24"/>
          <w:szCs w:val="24"/>
          <w:lang w:val="en-GB"/>
        </w:rPr>
        <w:t>Supplemental</w:t>
      </w:r>
      <w:r w:rsidRPr="00FC3ACB">
        <w:rPr>
          <w:rFonts w:ascii="Times New Roman" w:hAnsi="Times New Roman" w:cs="Times New Roman"/>
          <w:sz w:val="24"/>
          <w:szCs w:val="24"/>
          <w:lang w:val="en-GB"/>
        </w:rPr>
        <w:t xml:space="preserve"> Methods</w:t>
      </w:r>
      <w:r w:rsidR="008D706C">
        <w:rPr>
          <w:rFonts w:ascii="Times New Roman" w:hAnsi="Times New Roman" w:cs="Times New Roman"/>
          <w:sz w:val="24"/>
          <w:szCs w:val="24"/>
          <w:lang w:val="en-GB"/>
        </w:rPr>
        <w:t xml:space="preserve"> SM1.1, SM2.1 </w:t>
      </w:r>
      <w:r w:rsidR="00467442">
        <w:rPr>
          <w:rFonts w:ascii="Times New Roman" w:hAnsi="Times New Roman" w:cs="Times New Roman"/>
          <w:sz w:val="24"/>
          <w:szCs w:val="24"/>
          <w:lang w:val="en-GB"/>
        </w:rPr>
        <w:t>and</w:t>
      </w:r>
      <w:r w:rsidR="008D706C">
        <w:rPr>
          <w:rFonts w:ascii="Times New Roman" w:hAnsi="Times New Roman" w:cs="Times New Roman"/>
          <w:sz w:val="24"/>
          <w:szCs w:val="24"/>
          <w:lang w:val="en-GB"/>
        </w:rPr>
        <w:t xml:space="preserve"> SM2.2</w:t>
      </w:r>
      <w:r w:rsidRPr="00FC3ACB">
        <w:rPr>
          <w:rFonts w:ascii="Times New Roman" w:hAnsi="Times New Roman" w:cs="Times New Roman"/>
          <w:sz w:val="24"/>
          <w:szCs w:val="24"/>
          <w:lang w:val="en-GB"/>
        </w:rPr>
        <w:t>. The EPIC methylation arrays, pyrosequencing assays, and GSA genotyping arrays were processed at the CSIR- Centre for Cellular and Molecular Biology Hyderabad, India.</w:t>
      </w:r>
    </w:p>
    <w:p w14:paraId="2FEBD728" w14:textId="77777777" w:rsidR="00CA247D" w:rsidRPr="005A28F5" w:rsidRDefault="00CA247D" w:rsidP="00CA247D">
      <w:pPr>
        <w:pStyle w:val="BodyA"/>
        <w:tabs>
          <w:tab w:val="left" w:pos="720"/>
        </w:tabs>
        <w:spacing w:line="360" w:lineRule="auto"/>
        <w:outlineLvl w:val="0"/>
        <w:rPr>
          <w:rFonts w:ascii="Times New Roman" w:eastAsia="Cambria" w:hAnsi="Times New Roman" w:cs="Times New Roman"/>
          <w:color w:val="FF644E"/>
          <w:sz w:val="21"/>
          <w:szCs w:val="21"/>
          <w:u w:color="FF644E"/>
          <w:lang w:val="en-GB"/>
        </w:rPr>
      </w:pPr>
    </w:p>
    <w:p w14:paraId="6177B160" w14:textId="20D59D7B" w:rsidR="00CA247D" w:rsidRPr="00FC3ACB" w:rsidRDefault="00CA247D" w:rsidP="00CA247D">
      <w:pPr>
        <w:pStyle w:val="BodyA"/>
        <w:spacing w:line="360" w:lineRule="auto"/>
        <w:outlineLvl w:val="0"/>
        <w:rPr>
          <w:rFonts w:ascii="Times New Roman" w:eastAsia="Cambria" w:hAnsi="Times New Roman" w:cs="Times New Roman"/>
          <w:sz w:val="24"/>
          <w:szCs w:val="24"/>
          <w:lang w:val="en-GB"/>
        </w:rPr>
      </w:pPr>
      <w:r w:rsidRPr="00FC3ACB">
        <w:rPr>
          <w:rFonts w:ascii="Times New Roman" w:hAnsi="Times New Roman" w:cs="Times New Roman"/>
          <w:sz w:val="24"/>
          <w:szCs w:val="24"/>
          <w:lang w:val="en-GB"/>
        </w:rPr>
        <w:t xml:space="preserve">Quality Control (QC) and </w:t>
      </w:r>
      <w:proofErr w:type="spellStart"/>
      <w:r w:rsidRPr="00FC3ACB">
        <w:rPr>
          <w:rFonts w:ascii="Times New Roman" w:hAnsi="Times New Roman" w:cs="Times New Roman"/>
          <w:sz w:val="24"/>
          <w:szCs w:val="24"/>
          <w:lang w:val="en-GB"/>
        </w:rPr>
        <w:t>preprocessing</w:t>
      </w:r>
      <w:proofErr w:type="spellEnd"/>
      <w:r w:rsidR="00316204">
        <w:rPr>
          <w:rFonts w:ascii="Times New Roman" w:hAnsi="Times New Roman" w:cs="Times New Roman"/>
          <w:sz w:val="24"/>
          <w:szCs w:val="24"/>
          <w:lang w:val="en-GB"/>
        </w:rPr>
        <w:t xml:space="preserve">: </w:t>
      </w:r>
      <w:r w:rsidRPr="00FC3ACB">
        <w:rPr>
          <w:rFonts w:ascii="Times New Roman" w:hAnsi="Times New Roman" w:cs="Times New Roman"/>
          <w:sz w:val="24"/>
          <w:szCs w:val="24"/>
          <w:lang w:val="en-GB"/>
        </w:rPr>
        <w:t xml:space="preserve">A first pass inspection of the data was carried out using Illumina’s </w:t>
      </w:r>
      <w:proofErr w:type="spellStart"/>
      <w:r w:rsidRPr="00FC3ACB">
        <w:rPr>
          <w:rFonts w:ascii="Times New Roman" w:hAnsi="Times New Roman" w:cs="Times New Roman"/>
          <w:sz w:val="24"/>
          <w:szCs w:val="24"/>
          <w:lang w:val="en-GB"/>
        </w:rPr>
        <w:t>GenomeStudio</w:t>
      </w:r>
      <w:proofErr w:type="spellEnd"/>
      <w:r w:rsidRPr="00FC3ACB">
        <w:rPr>
          <w:rFonts w:ascii="Times New Roman" w:hAnsi="Times New Roman" w:cs="Times New Roman"/>
          <w:sz w:val="24"/>
          <w:szCs w:val="24"/>
          <w:lang w:val="en-GB"/>
        </w:rPr>
        <w:t xml:space="preserve"> software. The data generated were found to be of a high quality. The raw intensity .</w:t>
      </w:r>
      <w:proofErr w:type="spellStart"/>
      <w:r w:rsidRPr="00FC3ACB">
        <w:rPr>
          <w:rFonts w:ascii="Times New Roman" w:hAnsi="Times New Roman" w:cs="Times New Roman"/>
          <w:sz w:val="24"/>
          <w:szCs w:val="24"/>
          <w:lang w:val="en-GB"/>
        </w:rPr>
        <w:t>idat</w:t>
      </w:r>
      <w:proofErr w:type="spellEnd"/>
      <w:r w:rsidRPr="00FC3ACB">
        <w:rPr>
          <w:rFonts w:ascii="Times New Roman" w:hAnsi="Times New Roman" w:cs="Times New Roman"/>
          <w:sz w:val="24"/>
          <w:szCs w:val="24"/>
          <w:lang w:val="en-GB"/>
        </w:rPr>
        <w:t xml:space="preserve"> data files were then imported into the R statistical environment and the package </w:t>
      </w:r>
      <w:r w:rsidRPr="00FC3ACB">
        <w:rPr>
          <w:rFonts w:ascii="Times New Roman" w:hAnsi="Times New Roman" w:cs="Times New Roman"/>
          <w:i/>
          <w:sz w:val="24"/>
          <w:szCs w:val="24"/>
          <w:lang w:val="en-GB"/>
        </w:rPr>
        <w:t>meffil</w:t>
      </w:r>
      <w:r w:rsidRPr="00FC3ACB">
        <w:rPr>
          <w:rFonts w:ascii="Times New Roman" w:hAnsi="Times New Roman" w:cs="Times New Roman"/>
          <w:sz w:val="24"/>
          <w:szCs w:val="24"/>
          <w:lang w:val="en-GB"/>
        </w:rPr>
        <w:t xml:space="preserve">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{"citationItems":[{"id":"ITEM-1","itemData":{"DOI":"10.1093/bioinformatics/bty476","ISSN":"1367-4811","PMID":"29931280","abstract":"Motivation DNA methylation datasets are growing ever larger both in sample size and genome coverage. Novel computational solutions are required to efficiently handle these data. Results We have developed meffil, an R package designed for efficient quality control, normalization and epigenome-wide association studies of large samples of Illumina Methylation BeadChip microarrays. A complete re-implementation of functional normalization minimizes computational memory without increasing running time. Incorporating fixed and random effects within functional normalization, and automated estimation of functional normalization parameters reduces technical variation in DNA methylation levels, thus reducing false positive rates and improving power. Support for normalization of datasets distributed across physically different locations without needing to share biologically-based individual-level data means that meffil can be used to reduce heterogeneity in meta-analyses of epigenome-wide association studies. Availability and implementation https://github.com/perishky/meffil/. Supplementary information Supplementary data are available at Bioinformatics online.","author":[{"dropping-particle":"","family":"Min","given":"J. L.","non-dropping-particle":"","parse-names":false,"suffix":""},{"dropping-particle":"","family":"Hemani","given":"G","non-dropping-particle":"","parse-names":false,"suffix":""},{"dropping-particle":"","family":"Davey Smith","given":"G.","non-dropping-particle":"","parse-names":false,"suffix":""},{"dropping-particle":"","family":"Relton","given":"C.","non-dropping-particle":"","parse-names":false,"suffix":""},{"dropping-particle":"","family":"Suderman","given":"M.","non-dropping-particle":"","parse-names":false,"suffix":""}],"container-title":"Bioinformatics (Oxford, England)","editor":[{"dropping-particle":"","family":"Hancock","given":"John","non-dropping-particle":"","parse-names":false,"suffix":""}],"id":"ITEM-1","issue":"23","issued":{"date-parts":[["2018","6","1"]]},"page":"3983-3989","title":"Meffil: efficient normalization and analysis of very large DNA methylation datasets.","type":"article-journal","volume":"34"},"uris":["http://www.mendeley.com/documents/?uuid=4022f4d4-f33b-439c-a307-d4b519b60001"]}],"mendeley":{"formattedCitation":"(29)","plainTextFormattedCitation":"(29)","previouslyFormattedCitation":"(29)"},"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(29)</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w:t>
      </w:r>
      <w:r w:rsidRPr="00FC3ACB">
        <w:rPr>
          <w:rFonts w:ascii="Times New Roman" w:hAnsi="Times New Roman" w:cs="Times New Roman"/>
          <w:sz w:val="24"/>
          <w:szCs w:val="24"/>
          <w:lang w:val="en-GB"/>
        </w:rPr>
        <w:t xml:space="preserve">from </w:t>
      </w:r>
      <w:r w:rsidRPr="00FC3ACB">
        <w:rPr>
          <w:rFonts w:ascii="Times New Roman" w:hAnsi="Times New Roman" w:cs="Times New Roman"/>
          <w:i/>
          <w:sz w:val="24"/>
          <w:szCs w:val="24"/>
          <w:lang w:val="en-GB"/>
        </w:rPr>
        <w:t>Bioconductor</w:t>
      </w:r>
      <w:r w:rsidRPr="00FC3ACB">
        <w:rPr>
          <w:rFonts w:ascii="Times New Roman" w:hAnsi="Times New Roman" w:cs="Times New Roman"/>
          <w:sz w:val="24"/>
          <w:szCs w:val="24"/>
          <w:lang w:val="en-GB"/>
        </w:rPr>
        <w:t xml:space="preserve">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{"citationItems":[{"id":"ITEM-1","itemData":{"DOI":"10.1186/gb-2004-5-10-r80","ISBN":"1465-6914 (Electronic)\\n1465-6906 (Linking)","ISSN":"1474-760X","PMID":"15461798","abstract":"The Bioconductor project is an initiative for the collaborative creation of extensible software for computational biology and bioinformatics. The goals of the project include: fostering collaborative development and widespread use of innovative software, reducing barriers to entry into interdisciplinary scientific research, and promoting the achievement of remote reproducibility of research results. We describe details of our aims and methods, identify current challenges, compare Bioconductor to other open bioinformatics projects, and provide working examples.","author":[{"dropping-particle":"","family":"Gentleman","given":"Robert C","non-dropping-particle":"","parse-names":false,"suffix":""},{"dropping-particle":"","family":"Carey","given":"Vincent J","non-dropping-particle":"","parse-names":false,"suffix":""},{"dropping-particle":"","family":"Bates","given":"Douglas M","non-dropping-particle":"","parse-names":false,"suffix":""},{"dropping-particle":"","family":"Bolstad","given":"Ben","non-dropping-particle":"","parse-names":false,"suffix":""},{"dropping-particle":"","family":"Dettling","given":"Marcel","non-dropping-particle":"","parse-names":false,"suffix":""},{"dropping-particle":"","family":"Dudoit","given":"Sandrine","non-dropping-particle":"","parse-names":false,"suffix":""},{"dropping-particle":"","family":"Ellis","given":"Byron","non-dropping-particle":"","parse-names":false,"suffix":""},{"dropping-particle":"","family":"Gautier","given":"Laurent","non-dropping-particle":"","parse-names":false,"suffix":""},{"dropping-particle":"","family":"Ge","given":"Yongchao","non-dropping-particle":"","parse-names":false,"suffix":""},{"dropping-particle":"","family":"Gentry","given":"Jeff","non-dropping-particle":"","parse-names":false,"suffix":""},{"dropping-particle":"","family":"Hornik","given":"Kurt","non-dropping-particle":"","parse-names":false,"suffix":""},{"dropping-particle":"","family":"Hothorn","given":"Torsten","non-dropping-particle":"","parse-names":false,"suffix":""},{"dropping-particle":"","family":"Huber","given":"Wolfgang","non-dropping-particle":"","parse-names":false,"suffix":""},{"dropping-particle":"","family":"Iacus","given":"Stefano","non-dropping-particle":"","parse-names":false,"suffix":""},{"dropping-particle":"","family":"Irizarry","given":"Rafael","non-dropping-particle":"","parse-names":false,"suffix":""},{"dropping-particle":"","family":"Leisch","given":"Friedrich","non-dropping-particle":"","parse-names":false,"suffix":""},{"dropping-particle":"","family":"Li","given":"Cheng","non-dropping-particle":"","parse-names":false,"suffix":""},{"dropping-particle":"","family":"Maechler","given":"Martin","non-dropping-particle":"","parse-names":false,"suffix":""},{"dropping-particle":"","family":"Rossini","given":"Anthony J","non-dropping-particle":"","parse-names":false,"suffix":""},{"dropping-particle":"","family":"Sawitzki","given":"Gunther","non-dropping-particle":"","parse-names":false,"suffix":""},{"dropping-particle":"","family":"Smith","given":"Colin","non-dropping-particle":"","parse-names":false,"suffix":""},{"dropping-particle":"","family":"Smyth","given":"Gordon","non-dropping-particle":"","parse-names":false,"suffix":""},{"dropping-particle":"","family":"Tierney","given":"Luke","non-dropping-particle":"","parse-names":false,"suffix":""},{"dropping-particle":"","family":"Yang","given":"Jean Y H","non-dropping-particle":"","parse-names":false,"suffix":""},{"dropping-particle":"","family":"Zhang","given":"Jianhua","non-dropping-particle":"","parse-names":false,"suffix":""}],"container-title":"Genome biology","id":"ITEM-1","issue":"10","issued":{"date-parts":[["2004"]]},"page":"R80","title":"Bioconductor: open software development for computational biology and bioinformatics.","type":"article-journal","volume":"5"},"uris":["http://www.mendeley.com/documents/?uuid=6f4af3e4-17be-4f28-982c-c9980a4f012d"]}],"mendeley":{"formattedCitation":"(30)","plainTextFormattedCitation":"(30)","previouslyFormattedCitation":"(30)"},"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(30)</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w:t>
      </w:r>
      <w:r w:rsidRPr="00FC3ACB">
        <w:rPr>
          <w:rFonts w:ascii="Times New Roman" w:hAnsi="Times New Roman" w:cs="Times New Roman"/>
          <w:sz w:val="24"/>
          <w:szCs w:val="24"/>
          <w:lang w:val="en-GB"/>
        </w:rPr>
        <w:t xml:space="preserve">was used for further </w:t>
      </w:r>
      <w:proofErr w:type="spellStart"/>
      <w:r w:rsidRPr="00FC3ACB">
        <w:rPr>
          <w:rFonts w:ascii="Times New Roman" w:hAnsi="Times New Roman" w:cs="Times New Roman"/>
          <w:sz w:val="24"/>
          <w:szCs w:val="24"/>
          <w:lang w:val="en-GB"/>
        </w:rPr>
        <w:t>preprocessing</w:t>
      </w:r>
      <w:proofErr w:type="spellEnd"/>
      <w:r w:rsidRPr="00FC3ACB">
        <w:rPr>
          <w:rFonts w:ascii="Times New Roman" w:hAnsi="Times New Roman" w:cs="Times New Roman"/>
          <w:sz w:val="24"/>
          <w:szCs w:val="24"/>
          <w:lang w:val="en-GB"/>
        </w:rPr>
        <w:t xml:space="preserve"> following the standard </w:t>
      </w:r>
      <w:r w:rsidRPr="00FC3ACB">
        <w:rPr>
          <w:rFonts w:ascii="Times New Roman" w:hAnsi="Times New Roman" w:cs="Times New Roman"/>
          <w:i/>
          <w:sz w:val="24"/>
          <w:szCs w:val="24"/>
          <w:lang w:val="en-GB"/>
        </w:rPr>
        <w:t>meffil</w:t>
      </w:r>
      <w:r w:rsidRPr="00FC3ACB">
        <w:rPr>
          <w:rFonts w:ascii="Times New Roman" w:hAnsi="Times New Roman" w:cs="Times New Roman"/>
          <w:sz w:val="24"/>
          <w:szCs w:val="24"/>
          <w:lang w:val="en-GB"/>
        </w:rPr>
        <w:t xml:space="preserve"> pipeline. The following sample-based checks were performed (in brackets number of samples excluded using </w:t>
      </w:r>
      <w:proofErr w:type="spellStart"/>
      <w:r w:rsidRPr="00FC3ACB">
        <w:rPr>
          <w:rFonts w:ascii="Times New Roman" w:hAnsi="Times New Roman" w:cs="Times New Roman"/>
          <w:i/>
          <w:sz w:val="24"/>
          <w:szCs w:val="24"/>
          <w:lang w:val="en-GB"/>
        </w:rPr>
        <w:t>meffil</w:t>
      </w:r>
      <w:proofErr w:type="spellEnd"/>
      <w:r w:rsidRPr="00FC3ACB">
        <w:rPr>
          <w:rFonts w:ascii="Times New Roman" w:hAnsi="Times New Roman" w:cs="Times New Roman"/>
          <w:sz w:val="24"/>
          <w:szCs w:val="24"/>
          <w:lang w:val="en-GB"/>
        </w:rPr>
        <w:t xml:space="preserve"> default </w:t>
      </w:r>
      <w:proofErr w:type="spellStart"/>
      <w:r w:rsidRPr="00FC3ACB">
        <w:rPr>
          <w:rFonts w:ascii="Times New Roman" w:hAnsi="Times New Roman" w:cs="Times New Roman"/>
          <w:sz w:val="24"/>
          <w:szCs w:val="24"/>
          <w:lang w:val="en-GB"/>
        </w:rPr>
        <w:t>cutoffs</w:t>
      </w:r>
      <w:proofErr w:type="spellEnd"/>
      <w:r w:rsidRPr="00FC3ACB">
        <w:rPr>
          <w:rFonts w:ascii="Times New Roman" w:hAnsi="Times New Roman" w:cs="Times New Roman"/>
          <w:sz w:val="24"/>
          <w:szCs w:val="24"/>
          <w:lang w:val="en-GB"/>
        </w:rPr>
        <w:t xml:space="preserve">):  identification of sex mismatches (5 Indian, 0 Gambian samples); outlying arrays based on array-wide methylation signal (7 Indian, 4 Gambian samples). Probe-based QC and filtering was also performed to remove probes with (number in brackets again using </w:t>
      </w:r>
      <w:r w:rsidRPr="00FC3ACB">
        <w:rPr>
          <w:rFonts w:ascii="Times New Roman" w:hAnsi="Times New Roman" w:cs="Times New Roman"/>
          <w:i/>
          <w:sz w:val="24"/>
          <w:szCs w:val="24"/>
          <w:lang w:val="en-GB"/>
        </w:rPr>
        <w:t>meffil</w:t>
      </w:r>
      <w:r w:rsidRPr="00FC3ACB">
        <w:rPr>
          <w:rFonts w:ascii="Times New Roman" w:hAnsi="Times New Roman" w:cs="Times New Roman"/>
          <w:sz w:val="24"/>
          <w:szCs w:val="24"/>
          <w:lang w:val="en-GB"/>
        </w:rPr>
        <w:t xml:space="preserve"> defaults): low detection p or bead numbers (</w:t>
      </w:r>
      <w:r w:rsidRPr="00FC3ACB">
        <w:rPr>
          <w:rFonts w:ascii="Times New Roman" w:hAnsi="Times New Roman" w:cs="Times New Roman"/>
          <w:sz w:val="24"/>
          <w:szCs w:val="24"/>
          <w:u w:color="FF644E"/>
          <w:lang w:val="en-GB"/>
        </w:rPr>
        <w:t xml:space="preserve">1494 and </w:t>
      </w:r>
      <w:r w:rsidRPr="00FC3ACB">
        <w:rPr>
          <w:rFonts w:ascii="Times New Roman" w:hAnsi="Times New Roman" w:cs="Times New Roman"/>
          <w:sz w:val="24"/>
          <w:szCs w:val="24"/>
          <w:lang w:val="en-GB"/>
        </w:rPr>
        <w:t xml:space="preserve">2635 probes in Indian and Gambian data respectively); mapping to sex chromosomes and/or previously identified as ambiguously mapping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{"citationItems":[{"id":"ITEM-1","itemData":{"DOI":"10.1186/s13059-016-1066-1","ISBN":"1474-760X (Electronic)\\r1474-7596 (Linking)","ISSN":"1474760X","PMID":"27717381","abstract":"In recent years the Illumina HumanMethylation450 (HM450) BeadChip has provided a user-friendly platform to profile DNA methylation in human samples. However, HM450 lacked coverage of distal regulatory elements. Illumina have now released the MethylationEPIC (EPIC) BeadChip, with new content specifically designed to target these regions. We have used HM450 and whole-genome bisulphite sequencing (WGBS) to perform a critical evaluation of the new EPIC array platform. EPIC covers over 850,000 CpG sites, including &gt;90 % of the CpGs from the HM450 and an additional 413,743 CpGs. Even though the additional probes improve the coverage of regulatory elements, including 58 % of FANTOM5 enhancers, only 7 % distal and 27 % proximal ENCODE regulatory elements are represented. Detailed comparisons of regulatory elements from EPIC and WGBS show that a single EPIC probe is not always informative for those distal regulatory elements showing variable methylation across the region. However, overall data from the EPIC array at single loci are highly reproducible across technical and biological replicates and demonstrate high correlation with HM450 and WGBS data. We show that the HM450 and EPIC arrays distinguish differentially methylated probes, but the absolute agreement depends on the threshold set for each platform. Finally, we provide an annotated list of probes whose signal could be affected by cross-hybridisation or underlying genetic variation. The EPIC array is a significant improvement over the HM450 array, with increased genome coverage of regulatory regions and high reproducibility and reliability, providing a valuable tool for high-throughput human methylome analyses from diverse clinical samples.","author":[{"dropping-particle":"","family":"Pidsley","given":"Ruth","non-dropping-particle":"","parse-names":false,"suffix":""},{"dropping-particle":"","family":"Zotenko","given":"Elena","non-dropping-particle":"","parse-names":false,"suffix":""},{"dropping-particle":"","family":"Peters","given":"Timothy J.","non-dropping-particle":"","parse-names":false,"suffix":""},{"dropping-particle":"","family":"Lawrence","given":"Mitchell G.","non-dropping-particle":"","parse-names":false,"suffix":""},{"dropping-particle":"","family":"Risbridger","given":"Gail P.","non-dropping-particle":"","parse-names":false,"suffix":""},{"dropping-particle":"","family":"Molloy","given":"Peter","non-dropping-particle":"","parse-names":false,"suffix":""},{"dropping-particle":"","family":"Djik","given":"Susan","non-dropping-particle":"Van","parse-names":false,"suffix":""},{"dropping-particle":"","family":"Muhlhausler","given":"Beverly","non-dropping-particle":"","parse-names":false,"suffix":""},{"dropping-particle":"","family":"Stirzaker","given":"Clare","non-dropping-particle":"","parse-names":false,"suffix":""},{"dropping-particle":"","family":"Clark","given":"Susan J.","non-dropping-particle":"","parse-names":false,"suffix":""}],"container-title":"Genome Biology","id":"ITEM-1","issue":"1","issued":{"date-parts":[["2016","10"]]},"page":"208","publisher":"Genome Biology","title":"Critical evaluation of the Illumina MethylationEPIC BeadChip microarray for whole-genome DNA methylation profiling","type":"article-journal","volume":"17"},"uris":["http://www.mendeley.com/documents/?uuid=acba9662-84b9-4569-bd93-a375b3a183f6"]}],"mendeley":{"formattedCitation":"(31)","plainTextFormattedCitation":"(31)","previouslyFormattedCitation":"(31)"},"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(31)</w:t>
      </w:r>
      <w:r w:rsidRPr="00FC3ACB">
        <w:rPr>
          <w:rStyle w:val="None"/>
          <w:rFonts w:ascii="Times New Roman" w:hAnsi="Times New Roman" w:cs="Times New Roman"/>
          <w:sz w:val="24"/>
          <w:szCs w:val="24"/>
          <w:lang w:val="en-GB"/>
        </w:rPr>
        <w:fldChar w:fldCharType="end"/>
      </w:r>
      <w:r w:rsidRPr="00FC3ACB">
        <w:rPr>
          <w:rFonts w:ascii="Times New Roman" w:hAnsi="Times New Roman" w:cs="Times New Roman"/>
          <w:sz w:val="24"/>
          <w:szCs w:val="24"/>
          <w:lang w:val="en-GB"/>
        </w:rPr>
        <w:t xml:space="preserve"> (</w:t>
      </w:r>
      <w:r w:rsidRPr="00FC3ACB">
        <w:rPr>
          <w:rFonts w:ascii="Times New Roman" w:hAnsi="Times New Roman" w:cs="Times New Roman"/>
          <w:sz w:val="24"/>
          <w:szCs w:val="24"/>
          <w:u w:color="FF644E"/>
          <w:lang w:val="en-GB"/>
        </w:rPr>
        <w:t xml:space="preserve">61,523 and </w:t>
      </w:r>
      <w:r w:rsidRPr="00FC3ACB">
        <w:rPr>
          <w:rFonts w:ascii="Times New Roman" w:hAnsi="Times New Roman" w:cs="Times New Roman"/>
          <w:sz w:val="24"/>
          <w:szCs w:val="24"/>
          <w:lang w:val="en-GB"/>
        </w:rPr>
        <w:t xml:space="preserve">61,225 probes in Indian and </w:t>
      </w:r>
      <w:r w:rsidRPr="00FC3ACB">
        <w:rPr>
          <w:rFonts w:ascii="Times New Roman" w:hAnsi="Times New Roman" w:cs="Times New Roman"/>
          <w:sz w:val="24"/>
          <w:szCs w:val="24"/>
          <w:u w:color="FF644E"/>
          <w:lang w:val="en-GB"/>
        </w:rPr>
        <w:t>Gambian data respectively)</w:t>
      </w:r>
      <w:r w:rsidRPr="00FC3ACB">
        <w:rPr>
          <w:rFonts w:ascii="Times New Roman" w:hAnsi="Times New Roman" w:cs="Times New Roman"/>
          <w:sz w:val="24"/>
          <w:szCs w:val="24"/>
          <w:lang w:val="en-GB"/>
        </w:rPr>
        <w:t xml:space="preserve">. Following these steps, the final dimensions of the datasets were as follows: Indian cohort - 686 samples with measurements for 803,120 </w:t>
      </w:r>
      <w:proofErr w:type="gramStart"/>
      <w:r w:rsidRPr="00FC3ACB">
        <w:rPr>
          <w:rFonts w:ascii="Times New Roman" w:hAnsi="Times New Roman" w:cs="Times New Roman"/>
          <w:sz w:val="24"/>
          <w:szCs w:val="24"/>
          <w:lang w:val="en-GB"/>
        </w:rPr>
        <w:t>probes;  Gambian</w:t>
      </w:r>
      <w:proofErr w:type="gramEnd"/>
      <w:r w:rsidRPr="00FC3ACB">
        <w:rPr>
          <w:rFonts w:ascii="Times New Roman" w:hAnsi="Times New Roman" w:cs="Times New Roman"/>
          <w:sz w:val="24"/>
          <w:szCs w:val="24"/>
          <w:lang w:val="en-GB"/>
        </w:rPr>
        <w:t xml:space="preserve"> cohort - 289 samples with measurements for 802,283 probes.</w:t>
      </w:r>
    </w:p>
    <w:p w14:paraId="47DC994D" w14:textId="77777777" w:rsidR="00CA247D" w:rsidRPr="00FC3ACB" w:rsidRDefault="00CA247D" w:rsidP="00CA247D">
      <w:pPr>
        <w:pStyle w:val="BodyA"/>
        <w:spacing w:line="360" w:lineRule="auto"/>
        <w:outlineLvl w:val="0"/>
        <w:rPr>
          <w:rFonts w:ascii="Times New Roman" w:eastAsia="Cambria" w:hAnsi="Times New Roman" w:cs="Times New Roman"/>
          <w:sz w:val="24"/>
          <w:szCs w:val="24"/>
          <w:lang w:val="en-GB"/>
        </w:rPr>
      </w:pPr>
    </w:p>
    <w:p w14:paraId="74F1E840" w14:textId="57C1EC10" w:rsidR="00CA247D" w:rsidRPr="00FC3ACB" w:rsidRDefault="00CA247D" w:rsidP="00CA247D">
      <w:pPr>
        <w:pStyle w:val="BodyA"/>
        <w:spacing w:line="360" w:lineRule="auto"/>
        <w:outlineLvl w:val="0"/>
        <w:rPr>
          <w:rFonts w:ascii="Times New Roman" w:eastAsia="Cambria" w:hAnsi="Times New Roman" w:cs="Times New Roman"/>
          <w:sz w:val="24"/>
          <w:szCs w:val="24"/>
          <w:lang w:val="en-GB"/>
        </w:rPr>
      </w:pPr>
      <w:r w:rsidRPr="00FC3ACB">
        <w:rPr>
          <w:rFonts w:ascii="Times New Roman" w:hAnsi="Times New Roman" w:cs="Times New Roman"/>
          <w:sz w:val="24"/>
          <w:szCs w:val="24"/>
          <w:lang w:val="en-GB"/>
        </w:rPr>
        <w:t xml:space="preserve">Next, normalization to reduce technical variability was performed following the standard </w:t>
      </w:r>
      <w:r w:rsidRPr="00FC3ACB">
        <w:rPr>
          <w:rFonts w:ascii="Times New Roman" w:hAnsi="Times New Roman" w:cs="Times New Roman"/>
          <w:i/>
          <w:sz w:val="24"/>
          <w:szCs w:val="24"/>
          <w:lang w:val="en-GB"/>
        </w:rPr>
        <w:t>meffil</w:t>
      </w:r>
      <w:r w:rsidRPr="00FC3ACB">
        <w:rPr>
          <w:rFonts w:ascii="Times New Roman" w:hAnsi="Times New Roman" w:cs="Times New Roman"/>
          <w:sz w:val="24"/>
          <w:szCs w:val="24"/>
          <w:lang w:val="en-GB"/>
        </w:rPr>
        <w:t xml:space="preserve"> approach. More details on QC and data </w:t>
      </w:r>
      <w:proofErr w:type="spellStart"/>
      <w:r w:rsidRPr="00FC3ACB">
        <w:rPr>
          <w:rFonts w:ascii="Times New Roman" w:hAnsi="Times New Roman" w:cs="Times New Roman"/>
          <w:sz w:val="24"/>
          <w:szCs w:val="24"/>
          <w:lang w:val="en-GB"/>
        </w:rPr>
        <w:t>preprocessing</w:t>
      </w:r>
      <w:proofErr w:type="spellEnd"/>
      <w:r w:rsidRPr="00FC3ACB">
        <w:rPr>
          <w:rFonts w:ascii="Times New Roman" w:hAnsi="Times New Roman" w:cs="Times New Roman"/>
          <w:sz w:val="24"/>
          <w:szCs w:val="24"/>
          <w:lang w:val="en-GB"/>
        </w:rPr>
        <w:t xml:space="preserve"> steps are given in the </w:t>
      </w:r>
      <w:r w:rsidR="00C10299">
        <w:rPr>
          <w:rFonts w:ascii="Times New Roman" w:hAnsi="Times New Roman" w:cs="Times New Roman"/>
          <w:sz w:val="24"/>
          <w:szCs w:val="24"/>
          <w:lang w:val="en-GB"/>
        </w:rPr>
        <w:t>Supplemental</w:t>
      </w:r>
      <w:r w:rsidRPr="00FC3ACB">
        <w:rPr>
          <w:rFonts w:ascii="Times New Roman" w:hAnsi="Times New Roman" w:cs="Times New Roman"/>
          <w:sz w:val="24"/>
          <w:szCs w:val="24"/>
          <w:lang w:val="en-GB"/>
        </w:rPr>
        <w:t xml:space="preserve"> Methods</w:t>
      </w:r>
      <w:r w:rsidR="008D706C">
        <w:rPr>
          <w:rFonts w:ascii="Times New Roman" w:hAnsi="Times New Roman" w:cs="Times New Roman"/>
          <w:sz w:val="24"/>
          <w:szCs w:val="24"/>
          <w:lang w:val="en-GB"/>
        </w:rPr>
        <w:t xml:space="preserve"> SM2.3 and SM2.4</w:t>
      </w:r>
      <w:r w:rsidRPr="00FC3ACB">
        <w:rPr>
          <w:rFonts w:ascii="Times New Roman" w:hAnsi="Times New Roman" w:cs="Times New Roman"/>
          <w:sz w:val="24"/>
          <w:szCs w:val="24"/>
          <w:lang w:val="en-GB"/>
        </w:rPr>
        <w:t>.</w:t>
      </w:r>
      <w:r w:rsidRPr="00FC3ACB">
        <w:rPr>
          <w:rFonts w:ascii="Times New Roman" w:hAnsi="Times New Roman" w:cs="Times New Roman"/>
          <w:color w:val="000000" w:themeColor="text1"/>
          <w:sz w:val="24"/>
          <w:szCs w:val="24"/>
          <w:lang w:val="en-GB"/>
        </w:rPr>
        <w:t xml:space="preserve"> </w:t>
      </w:r>
    </w:p>
    <w:p w14:paraId="7F67D1D0" w14:textId="77777777" w:rsidR="00CA247D" w:rsidRPr="005A28F5" w:rsidRDefault="00CA247D" w:rsidP="00CA247D">
      <w:pPr>
        <w:pStyle w:val="BodyA"/>
        <w:spacing w:line="360" w:lineRule="auto"/>
        <w:outlineLvl w:val="0"/>
        <w:rPr>
          <w:rFonts w:ascii="Times New Roman" w:hAnsi="Times New Roman" w:cs="Times New Roman"/>
          <w:sz w:val="21"/>
          <w:szCs w:val="21"/>
          <w:lang w:val="en-GB"/>
        </w:rPr>
      </w:pPr>
    </w:p>
    <w:p w14:paraId="24100EC3" w14:textId="5B7B8BA0" w:rsidR="00316204" w:rsidRPr="00FC3ACB" w:rsidRDefault="00316204" w:rsidP="00316204">
      <w:pPr>
        <w:pStyle w:val="Default"/>
        <w:spacing w:after="240" w:line="360" w:lineRule="auto"/>
        <w:rPr>
          <w:rStyle w:val="None"/>
          <w:rFonts w:ascii="Times New Roman" w:eastAsia="Cambria" w:hAnsi="Times New Roman" w:cs="Times New Roman"/>
          <w:sz w:val="24"/>
          <w:szCs w:val="24"/>
          <w:lang w:val="en-GB"/>
        </w:rPr>
      </w:pPr>
      <w:r w:rsidRPr="00316204">
        <w:rPr>
          <w:rStyle w:val="None"/>
          <w:rFonts w:ascii="Times New Roman" w:hAnsi="Times New Roman" w:cs="Times New Roman"/>
          <w:i/>
          <w:iCs/>
          <w:sz w:val="24"/>
          <w:szCs w:val="24"/>
          <w:lang w:val="en-GB"/>
        </w:rPr>
        <w:t>Pyrosequencing of candidate loci</w:t>
      </w:r>
      <w:r>
        <w:rPr>
          <w:rStyle w:val="None"/>
          <w:rFonts w:ascii="Times New Roman" w:hAnsi="Times New Roman" w:cs="Times New Roman"/>
          <w:i/>
          <w:iCs/>
          <w:sz w:val="24"/>
          <w:szCs w:val="24"/>
          <w:lang w:val="en-GB"/>
        </w:rPr>
        <w:br/>
      </w:r>
      <w:r w:rsidRPr="00FC3ACB">
        <w:rPr>
          <w:rStyle w:val="None"/>
          <w:rFonts w:ascii="Times New Roman" w:hAnsi="Times New Roman" w:cs="Times New Roman"/>
          <w:sz w:val="24"/>
          <w:szCs w:val="24"/>
          <w:lang w:val="en-GB"/>
        </w:rPr>
        <w:t xml:space="preserve">We selected 13 additional loci of interest (from 11 genes) not present on the Illumina EPIC array for pyrosequencing. Loci were prioritised based on the timing and type of </w:t>
      </w:r>
      <w:r w:rsidRPr="00FC3ACB">
        <w:rPr>
          <w:rStyle w:val="None"/>
          <w:rFonts w:ascii="Times New Roman" w:hAnsi="Times New Roman" w:cs="Times New Roman"/>
          <w:i/>
          <w:sz w:val="24"/>
          <w:szCs w:val="24"/>
          <w:lang w:val="en-GB"/>
        </w:rPr>
        <w:t xml:space="preserve">in-utero </w:t>
      </w:r>
      <w:r w:rsidRPr="00FC3ACB">
        <w:rPr>
          <w:rStyle w:val="None"/>
          <w:rFonts w:ascii="Times New Roman" w:hAnsi="Times New Roman" w:cs="Times New Roman"/>
          <w:sz w:val="24"/>
          <w:szCs w:val="24"/>
          <w:lang w:val="en-GB"/>
        </w:rPr>
        <w:t>exposure, phenotypic effects and functional links reported in the original studies (</w:t>
      </w:r>
      <w:r>
        <w:rPr>
          <w:rStyle w:val="None"/>
          <w:rFonts w:ascii="Times New Roman" w:hAnsi="Times New Roman" w:cs="Times New Roman"/>
          <w:sz w:val="24"/>
          <w:szCs w:val="24"/>
          <w:lang w:val="en-GB"/>
        </w:rPr>
        <w:t>Supplemental</w:t>
      </w:r>
      <w:r w:rsidRPr="00FC3ACB">
        <w:rPr>
          <w:rStyle w:val="None"/>
          <w:rFonts w:ascii="Times New Roman" w:hAnsi="Times New Roman" w:cs="Times New Roman"/>
          <w:sz w:val="24"/>
          <w:szCs w:val="24"/>
          <w:lang w:val="en-GB"/>
        </w:rPr>
        <w:t xml:space="preserve"> Table </w:t>
      </w:r>
      <w:r w:rsidR="00567404">
        <w:rPr>
          <w:rStyle w:val="None"/>
          <w:rFonts w:ascii="Times New Roman" w:hAnsi="Times New Roman" w:cs="Times New Roman"/>
          <w:sz w:val="24"/>
          <w:szCs w:val="24"/>
          <w:lang w:val="en-GB"/>
        </w:rPr>
        <w:t>1</w:t>
      </w:r>
      <w:r w:rsidRPr="00FC3ACB">
        <w:rPr>
          <w:rStyle w:val="None"/>
          <w:rFonts w:ascii="Times New Roman" w:hAnsi="Times New Roman" w:cs="Times New Roman"/>
          <w:sz w:val="24"/>
          <w:szCs w:val="24"/>
          <w:lang w:val="en-GB"/>
        </w:rPr>
        <w:t xml:space="preserve">) </w:t>
      </w:r>
      <w:r w:rsidRPr="00FC3ACB">
        <w:rPr>
          <w:rStyle w:val="None"/>
          <w:rFonts w:ascii="Times New Roman" w:hAnsi="Times New Roman" w:cs="Times New Roman"/>
          <w:sz w:val="24"/>
          <w:szCs w:val="24"/>
          <w:lang w:val="en-GB"/>
        </w:rPr>
        <w:fldChar w:fldCharType="begin" w:fldLock="1"/>
      </w:r>
      <w:r w:rsidR="00897103">
        <w:rPr>
          <w:rStyle w:val="None"/>
          <w:rFonts w:ascii="Times New Roman" w:hAnsi="Times New Roman" w:cs="Times New Roman"/>
          <w:sz w:val="24"/>
          <w:szCs w:val="24"/>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1754FE" w:rsidRPr="001754FE">
        <w:rPr>
          <w:rStyle w:val="None"/>
          <w:rFonts w:ascii="Times New Roman" w:hAnsi="Times New Roman" w:cs="Times New Roman"/>
          <w:noProof/>
          <w:sz w:val="24"/>
          <w:szCs w:val="24"/>
          <w:lang w:val="en-GB"/>
        </w:rPr>
        <w:t>(24)</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Three candidate loci were excluded due to 1) close proximity of target CpGs to EPIC array CpGs (</w:t>
      </w:r>
      <w:r w:rsidRPr="00FC3ACB">
        <w:rPr>
          <w:rStyle w:val="None"/>
          <w:rFonts w:ascii="Times New Roman" w:hAnsi="Times New Roman" w:cs="Times New Roman"/>
          <w:i/>
          <w:sz w:val="24"/>
          <w:szCs w:val="24"/>
          <w:lang w:val="en-GB"/>
        </w:rPr>
        <w:t>PPARGC1A</w:t>
      </w:r>
      <w:r w:rsidRPr="00FC3ACB">
        <w:rPr>
          <w:rStyle w:val="None"/>
          <w:rFonts w:ascii="Times New Roman" w:hAnsi="Times New Roman" w:cs="Times New Roman"/>
          <w:sz w:val="24"/>
          <w:szCs w:val="24"/>
          <w:lang w:val="en-GB"/>
        </w:rPr>
        <w:t>), and 2) technical issues with pyrosequencing (</w:t>
      </w:r>
      <w:r w:rsidRPr="00FC3ACB">
        <w:rPr>
          <w:rStyle w:val="None"/>
          <w:rFonts w:ascii="Times New Roman" w:hAnsi="Times New Roman" w:cs="Times New Roman"/>
          <w:i/>
          <w:sz w:val="24"/>
          <w:szCs w:val="24"/>
          <w:lang w:val="en-GB"/>
        </w:rPr>
        <w:t>VIPR2</w:t>
      </w:r>
      <w:r w:rsidRPr="00FC3ACB">
        <w:rPr>
          <w:rStyle w:val="None"/>
          <w:rFonts w:ascii="Times New Roman" w:hAnsi="Times New Roman" w:cs="Times New Roman"/>
          <w:sz w:val="24"/>
          <w:szCs w:val="24"/>
          <w:lang w:val="en-GB"/>
        </w:rPr>
        <w:t xml:space="preserve">, </w:t>
      </w:r>
      <w:r w:rsidRPr="00FC3ACB">
        <w:rPr>
          <w:rStyle w:val="None"/>
          <w:rFonts w:ascii="Times New Roman" w:hAnsi="Times New Roman" w:cs="Times New Roman"/>
          <w:i/>
          <w:sz w:val="24"/>
          <w:szCs w:val="24"/>
          <w:lang w:val="en-GB"/>
        </w:rPr>
        <w:t>POMC</w:t>
      </w:r>
      <w:r w:rsidRPr="00FC3ACB">
        <w:rPr>
          <w:rStyle w:val="None"/>
          <w:rFonts w:ascii="Times New Roman" w:hAnsi="Times New Roman" w:cs="Times New Roman"/>
          <w:sz w:val="24"/>
          <w:szCs w:val="24"/>
          <w:lang w:val="en-GB"/>
        </w:rPr>
        <w:t xml:space="preserve">). Consequently, a total of 698 samples from India and 292 Gambian samples were assayed for the 10 candidate loci within 8 genes. The list of 10 candidate loci along with the sequencing primers used is given in </w:t>
      </w:r>
      <w:r>
        <w:rPr>
          <w:rStyle w:val="None"/>
          <w:rFonts w:ascii="Times New Roman" w:hAnsi="Times New Roman" w:cs="Times New Roman"/>
          <w:sz w:val="24"/>
          <w:szCs w:val="24"/>
          <w:lang w:val="en-GB"/>
        </w:rPr>
        <w:t>Supplemental</w:t>
      </w:r>
      <w:r w:rsidRPr="00FC3ACB">
        <w:rPr>
          <w:rStyle w:val="None"/>
          <w:rFonts w:ascii="Times New Roman" w:hAnsi="Times New Roman" w:cs="Times New Roman"/>
          <w:sz w:val="24"/>
          <w:szCs w:val="24"/>
          <w:lang w:val="en-GB"/>
        </w:rPr>
        <w:t xml:space="preserve"> Table </w:t>
      </w:r>
      <w:r w:rsidR="00567404">
        <w:rPr>
          <w:rStyle w:val="None"/>
          <w:rFonts w:ascii="Times New Roman" w:hAnsi="Times New Roman" w:cs="Times New Roman"/>
          <w:sz w:val="24"/>
          <w:szCs w:val="24"/>
          <w:lang w:val="en-GB"/>
        </w:rPr>
        <w:t>2</w:t>
      </w:r>
      <w:r w:rsidRPr="00FC3ACB">
        <w:rPr>
          <w:rStyle w:val="None"/>
          <w:rFonts w:ascii="Times New Roman" w:hAnsi="Times New Roman" w:cs="Times New Roman"/>
          <w:sz w:val="24"/>
          <w:szCs w:val="24"/>
          <w:lang w:val="en-GB"/>
        </w:rPr>
        <w:t>. Pyrosequencing was performed as described for technical validation</w:t>
      </w:r>
      <w:r w:rsidR="008D706C">
        <w:rPr>
          <w:rStyle w:val="None"/>
          <w:rFonts w:ascii="Times New Roman" w:hAnsi="Times New Roman" w:cs="Times New Roman"/>
          <w:sz w:val="24"/>
          <w:szCs w:val="24"/>
          <w:lang w:val="en-GB"/>
        </w:rPr>
        <w:t xml:space="preserve"> (Supplemental Methods</w:t>
      </w:r>
      <w:r w:rsidR="00467442">
        <w:rPr>
          <w:rStyle w:val="None"/>
          <w:rFonts w:ascii="Times New Roman" w:hAnsi="Times New Roman" w:cs="Times New Roman"/>
          <w:sz w:val="24"/>
          <w:szCs w:val="24"/>
          <w:lang w:val="en-GB"/>
        </w:rPr>
        <w:t xml:space="preserve"> SM2.5)</w:t>
      </w:r>
      <w:r w:rsidRPr="00FC3ACB">
        <w:rPr>
          <w:rStyle w:val="None"/>
          <w:rFonts w:ascii="Times New Roman" w:hAnsi="Times New Roman" w:cs="Times New Roman"/>
          <w:sz w:val="24"/>
          <w:szCs w:val="24"/>
          <w:lang w:val="en-GB"/>
        </w:rPr>
        <w:t>.</w:t>
      </w:r>
    </w:p>
    <w:p w14:paraId="3BF45C52" w14:textId="2DA84D32" w:rsidR="00316204" w:rsidRPr="007D369E" w:rsidRDefault="00316204" w:rsidP="007D369E">
      <w:pPr>
        <w:pStyle w:val="BodyA"/>
        <w:spacing w:line="360" w:lineRule="auto"/>
        <w:outlineLvl w:val="0"/>
        <w:rPr>
          <w:rStyle w:val="None"/>
          <w:rFonts w:ascii="Times New Roman" w:hAnsi="Times New Roman" w:cs="Times New Roman"/>
          <w:sz w:val="24"/>
          <w:szCs w:val="24"/>
          <w:u w:color="FF644E"/>
          <w:lang w:val="en-GB"/>
        </w:rPr>
      </w:pPr>
      <w:r w:rsidRPr="00FC3ACB">
        <w:rPr>
          <w:rStyle w:val="None"/>
          <w:rFonts w:ascii="Times New Roman" w:hAnsi="Times New Roman" w:cs="Times New Roman"/>
          <w:sz w:val="24"/>
          <w:szCs w:val="24"/>
          <w:lang w:val="en-GB"/>
        </w:rPr>
        <w:lastRenderedPageBreak/>
        <w:t xml:space="preserve">QC and </w:t>
      </w:r>
      <w:proofErr w:type="spellStart"/>
      <w:r w:rsidRPr="00FC3ACB">
        <w:rPr>
          <w:rStyle w:val="None"/>
          <w:rFonts w:ascii="Times New Roman" w:hAnsi="Times New Roman" w:cs="Times New Roman"/>
          <w:sz w:val="24"/>
          <w:szCs w:val="24"/>
          <w:lang w:val="en-GB"/>
        </w:rPr>
        <w:t>preprocessing</w:t>
      </w:r>
      <w:proofErr w:type="spellEnd"/>
      <w:r>
        <w:rPr>
          <w:rStyle w:val="None"/>
          <w:rFonts w:ascii="Times New Roman" w:hAnsi="Times New Roman" w:cs="Times New Roman"/>
          <w:sz w:val="24"/>
          <w:szCs w:val="24"/>
          <w:lang w:val="en-GB"/>
        </w:rPr>
        <w:t>:</w:t>
      </w:r>
      <w:r w:rsidR="007D369E">
        <w:rPr>
          <w:rStyle w:val="None"/>
          <w:rFonts w:ascii="Times New Roman" w:hAnsi="Times New Roman" w:cs="Times New Roman"/>
          <w:sz w:val="24"/>
          <w:szCs w:val="24"/>
          <w:lang w:val="en-GB"/>
        </w:rPr>
        <w:t xml:space="preserve"> </w:t>
      </w:r>
      <w:r w:rsidRPr="00FC3ACB">
        <w:rPr>
          <w:rStyle w:val="None"/>
          <w:rFonts w:ascii="Times New Roman" w:hAnsi="Times New Roman" w:cs="Times New Roman"/>
          <w:sz w:val="24"/>
          <w:szCs w:val="24"/>
          <w:u w:color="FF644E"/>
          <w:lang w:val="en-GB"/>
        </w:rPr>
        <w:t xml:space="preserve">Methylation values for the loci were exported from the </w:t>
      </w:r>
      <w:proofErr w:type="spellStart"/>
      <w:r w:rsidRPr="00FC3ACB">
        <w:rPr>
          <w:rStyle w:val="None"/>
          <w:rFonts w:ascii="Times New Roman" w:hAnsi="Times New Roman" w:cs="Times New Roman"/>
          <w:sz w:val="24"/>
          <w:szCs w:val="24"/>
          <w:u w:color="FF644E"/>
          <w:lang w:val="en-GB"/>
        </w:rPr>
        <w:t>Pyromark</w:t>
      </w:r>
      <w:proofErr w:type="spellEnd"/>
      <w:r w:rsidRPr="00FC3ACB">
        <w:rPr>
          <w:rStyle w:val="None"/>
          <w:rFonts w:ascii="Times New Roman" w:hAnsi="Times New Roman" w:cs="Times New Roman"/>
          <w:sz w:val="24"/>
          <w:szCs w:val="24"/>
          <w:u w:color="FF644E"/>
          <w:lang w:val="en-GB"/>
        </w:rPr>
        <w:t xml:space="preserve"> q96 SW2.0 software. Assay precision was evaluated by calculating the coefficient of variation (CV) from methylation values of the positive control for each sequenced locus. The CV ranged from 2-5% for most assays (see </w:t>
      </w:r>
      <w:r>
        <w:rPr>
          <w:rStyle w:val="None"/>
          <w:rFonts w:ascii="Times New Roman" w:hAnsi="Times New Roman" w:cs="Times New Roman"/>
          <w:sz w:val="24"/>
          <w:szCs w:val="24"/>
          <w:u w:color="FF644E"/>
          <w:lang w:val="en-GB"/>
        </w:rPr>
        <w:t>Supplemental</w:t>
      </w:r>
      <w:r w:rsidRPr="00FC3ACB">
        <w:rPr>
          <w:rStyle w:val="None"/>
          <w:rFonts w:ascii="Times New Roman" w:hAnsi="Times New Roman" w:cs="Times New Roman"/>
          <w:sz w:val="24"/>
          <w:szCs w:val="24"/>
          <w:u w:color="FF644E"/>
          <w:lang w:val="en-GB"/>
        </w:rPr>
        <w:t xml:space="preserve"> Table </w:t>
      </w:r>
      <w:r w:rsidR="00567404">
        <w:rPr>
          <w:rStyle w:val="None"/>
          <w:rFonts w:ascii="Times New Roman" w:hAnsi="Times New Roman" w:cs="Times New Roman"/>
          <w:sz w:val="24"/>
          <w:szCs w:val="24"/>
          <w:u w:color="FF644E"/>
          <w:lang w:val="en-GB"/>
        </w:rPr>
        <w:t>3</w:t>
      </w:r>
      <w:r w:rsidRPr="00FC3ACB">
        <w:rPr>
          <w:rStyle w:val="None"/>
          <w:rFonts w:ascii="Times New Roman" w:hAnsi="Times New Roman" w:cs="Times New Roman"/>
          <w:sz w:val="24"/>
          <w:szCs w:val="24"/>
          <w:u w:color="FF644E"/>
          <w:lang w:val="en-GB"/>
        </w:rPr>
        <w:t xml:space="preserve">). Density plots were generated to inspect the distribution of methylation values for all pyrosequenced CpGs. Methylation </w:t>
      </w:r>
      <w:proofErr w:type="gramStart"/>
      <w:r w:rsidRPr="00FC3ACB">
        <w:rPr>
          <w:rStyle w:val="None"/>
          <w:rFonts w:ascii="Times New Roman" w:hAnsi="Times New Roman" w:cs="Times New Roman"/>
          <w:sz w:val="24"/>
          <w:szCs w:val="24"/>
          <w:u w:color="FF644E"/>
          <w:lang w:val="en-GB"/>
        </w:rPr>
        <w:t>values  greater</w:t>
      </w:r>
      <w:proofErr w:type="gramEnd"/>
      <w:r w:rsidRPr="00FC3ACB">
        <w:rPr>
          <w:rStyle w:val="None"/>
          <w:rFonts w:ascii="Times New Roman" w:hAnsi="Times New Roman" w:cs="Times New Roman"/>
          <w:sz w:val="24"/>
          <w:szCs w:val="24"/>
          <w:u w:color="FF644E"/>
          <w:lang w:val="en-GB"/>
        </w:rPr>
        <w:t xml:space="preserve"> than 3 IQR for a CpG were excluded from downstream analysis if they were also flagged by the </w:t>
      </w:r>
      <w:proofErr w:type="spellStart"/>
      <w:r w:rsidRPr="00FC3ACB">
        <w:rPr>
          <w:rStyle w:val="None"/>
          <w:rFonts w:ascii="Times New Roman" w:hAnsi="Times New Roman" w:cs="Times New Roman"/>
          <w:sz w:val="24"/>
          <w:szCs w:val="24"/>
          <w:u w:color="FF644E"/>
          <w:lang w:val="en-GB"/>
        </w:rPr>
        <w:t>Pyromark</w:t>
      </w:r>
      <w:proofErr w:type="spellEnd"/>
      <w:r w:rsidRPr="00FC3ACB">
        <w:rPr>
          <w:rStyle w:val="None"/>
          <w:rFonts w:ascii="Times New Roman" w:hAnsi="Times New Roman" w:cs="Times New Roman"/>
          <w:sz w:val="24"/>
          <w:szCs w:val="24"/>
          <w:u w:color="FF644E"/>
          <w:lang w:val="en-GB"/>
        </w:rPr>
        <w:t xml:space="preserve"> software as possibly subject to technical errors.</w:t>
      </w:r>
    </w:p>
    <w:p w14:paraId="7066C062" w14:textId="77777777" w:rsidR="007D369E" w:rsidRDefault="007D369E" w:rsidP="007D369E">
      <w:pPr>
        <w:pStyle w:val="BodyA"/>
        <w:tabs>
          <w:tab w:val="left" w:pos="720"/>
        </w:tabs>
        <w:spacing w:line="360" w:lineRule="auto"/>
        <w:outlineLvl w:val="0"/>
        <w:rPr>
          <w:rStyle w:val="None"/>
          <w:rFonts w:ascii="Times New Roman" w:hAnsi="Times New Roman" w:cs="Times New Roman"/>
          <w:sz w:val="28"/>
          <w:szCs w:val="28"/>
          <w:lang w:val="en-GB"/>
        </w:rPr>
      </w:pPr>
    </w:p>
    <w:p w14:paraId="0EFD0830" w14:textId="72177CDD" w:rsidR="007D369E" w:rsidRPr="007D369E" w:rsidRDefault="007D369E" w:rsidP="007D369E">
      <w:pPr>
        <w:pStyle w:val="BodyA"/>
        <w:tabs>
          <w:tab w:val="left" w:pos="720"/>
        </w:tabs>
        <w:spacing w:line="360" w:lineRule="auto"/>
        <w:outlineLvl w:val="0"/>
        <w:rPr>
          <w:rStyle w:val="None"/>
          <w:rFonts w:ascii="Times New Roman" w:eastAsia="Times New Roman" w:hAnsi="Times New Roman" w:cs="Times New Roman"/>
          <w:i/>
          <w:iCs/>
          <w:sz w:val="21"/>
          <w:szCs w:val="21"/>
          <w:lang w:val="en-GB"/>
        </w:rPr>
      </w:pPr>
      <w:r>
        <w:rPr>
          <w:rStyle w:val="None"/>
          <w:rFonts w:ascii="Times New Roman" w:hAnsi="Times New Roman" w:cs="Times New Roman"/>
          <w:i/>
          <w:iCs/>
          <w:sz w:val="24"/>
          <w:szCs w:val="24"/>
          <w:lang w:val="en-GB"/>
        </w:rPr>
        <w:t>Buccal samples for measurement of c</w:t>
      </w:r>
      <w:r w:rsidRPr="007D369E">
        <w:rPr>
          <w:rStyle w:val="None"/>
          <w:rFonts w:ascii="Times New Roman" w:hAnsi="Times New Roman" w:cs="Times New Roman"/>
          <w:i/>
          <w:iCs/>
          <w:sz w:val="24"/>
          <w:szCs w:val="24"/>
          <w:lang w:val="en-GB"/>
        </w:rPr>
        <w:t>ross-tissue methylation correlation</w:t>
      </w:r>
    </w:p>
    <w:p w14:paraId="1C2FDF46" w14:textId="77777777" w:rsidR="007D369E" w:rsidRPr="00FC3ACB" w:rsidRDefault="007D369E" w:rsidP="007D369E">
      <w:pPr>
        <w:pStyle w:val="BodyA"/>
        <w:spacing w:line="360" w:lineRule="auto"/>
        <w:rPr>
          <w:rStyle w:val="None"/>
          <w:rFonts w:ascii="Times New Roman" w:eastAsia="Times New Roman" w:hAnsi="Times New Roman" w:cs="Times New Roman"/>
          <w:sz w:val="24"/>
          <w:szCs w:val="24"/>
          <w:lang w:val="en-GB"/>
        </w:rPr>
      </w:pPr>
      <w:proofErr w:type="spellStart"/>
      <w:r w:rsidRPr="00FC3ACB">
        <w:rPr>
          <w:rStyle w:val="None"/>
          <w:rFonts w:ascii="Times New Roman" w:hAnsi="Times New Roman" w:cs="Times New Roman"/>
          <w:sz w:val="24"/>
          <w:szCs w:val="24"/>
          <w:lang w:val="en-GB"/>
        </w:rPr>
        <w:t>Mawi</w:t>
      </w:r>
      <w:proofErr w:type="spellEnd"/>
      <w:r w:rsidRPr="00FC3ACB">
        <w:rPr>
          <w:rStyle w:val="None"/>
          <w:rFonts w:ascii="Times New Roman" w:hAnsi="Times New Roman" w:cs="Times New Roman"/>
          <w:sz w:val="24"/>
          <w:szCs w:val="24"/>
          <w:lang w:val="en-GB"/>
        </w:rPr>
        <w:t xml:space="preserve"> </w:t>
      </w:r>
      <w:proofErr w:type="spellStart"/>
      <w:r w:rsidRPr="00FC3ACB">
        <w:rPr>
          <w:rStyle w:val="None"/>
          <w:rFonts w:ascii="Times New Roman" w:hAnsi="Times New Roman" w:cs="Times New Roman"/>
          <w:sz w:val="24"/>
          <w:szCs w:val="24"/>
          <w:lang w:val="en-GB"/>
        </w:rPr>
        <w:t>iSwab</w:t>
      </w:r>
      <w:proofErr w:type="spellEnd"/>
      <w:r w:rsidRPr="00FC3ACB">
        <w:rPr>
          <w:rStyle w:val="None"/>
          <w:rFonts w:ascii="Times New Roman" w:hAnsi="Times New Roman" w:cs="Times New Roman"/>
          <w:sz w:val="24"/>
          <w:szCs w:val="24"/>
          <w:lang w:val="en-GB"/>
        </w:rPr>
        <w:t xml:space="preserve"> kits were used for collecting buccal swabs from all children in The Gambia. DNA from buccal swab samples were isolated using </w:t>
      </w:r>
      <w:proofErr w:type="spellStart"/>
      <w:r w:rsidRPr="00FC3ACB">
        <w:rPr>
          <w:rStyle w:val="None"/>
          <w:rFonts w:ascii="Times New Roman" w:hAnsi="Times New Roman" w:cs="Times New Roman"/>
          <w:sz w:val="24"/>
          <w:szCs w:val="24"/>
          <w:lang w:val="en-GB"/>
        </w:rPr>
        <w:t>QIAmp</w:t>
      </w:r>
      <w:proofErr w:type="spellEnd"/>
      <w:r w:rsidRPr="00FC3ACB">
        <w:rPr>
          <w:rStyle w:val="None"/>
          <w:rFonts w:ascii="Times New Roman" w:hAnsi="Times New Roman" w:cs="Times New Roman"/>
          <w:sz w:val="24"/>
          <w:szCs w:val="24"/>
          <w:lang w:val="en-GB"/>
        </w:rPr>
        <w:t xml:space="preserve"> DNA </w:t>
      </w:r>
      <w:r w:rsidRPr="00FC3ACB">
        <w:rPr>
          <w:rStyle w:val="None"/>
          <w:rFonts w:ascii="Times New Roman" w:hAnsi="Times New Roman" w:cs="Times New Roman"/>
          <w:color w:val="000000" w:themeColor="text1"/>
          <w:sz w:val="24"/>
          <w:szCs w:val="24"/>
          <w:lang w:val="en-GB"/>
        </w:rPr>
        <w:t>mini kit (</w:t>
      </w:r>
      <w:r w:rsidRPr="00FC3ACB">
        <w:rPr>
          <w:rStyle w:val="None"/>
          <w:rFonts w:ascii="Times New Roman" w:hAnsi="Times New Roman" w:cs="Times New Roman"/>
          <w:color w:val="000000" w:themeColor="text1"/>
          <w:sz w:val="24"/>
          <w:szCs w:val="24"/>
          <w:u w:color="FF644E"/>
          <w:lang w:val="en-GB"/>
        </w:rPr>
        <w:t>Hilden, Germany</w:t>
      </w:r>
      <w:r w:rsidRPr="00FC3ACB">
        <w:rPr>
          <w:rStyle w:val="None"/>
          <w:rFonts w:ascii="Times New Roman" w:hAnsi="Times New Roman" w:cs="Times New Roman"/>
          <w:color w:val="000000" w:themeColor="text1"/>
          <w:sz w:val="24"/>
          <w:szCs w:val="24"/>
          <w:lang w:val="en-GB"/>
        </w:rPr>
        <w:t xml:space="preserve">) as </w:t>
      </w:r>
      <w:r w:rsidRPr="00FC3ACB">
        <w:rPr>
          <w:rStyle w:val="None"/>
          <w:rFonts w:ascii="Times New Roman" w:hAnsi="Times New Roman" w:cs="Times New Roman"/>
          <w:sz w:val="24"/>
          <w:szCs w:val="24"/>
          <w:lang w:val="en-GB"/>
        </w:rPr>
        <w:t>per the manufacturer’s instructions. A total of  300 ng of DNA was bisulphite converted using EZ-96 DNA Methylation-</w:t>
      </w:r>
      <w:proofErr w:type="spellStart"/>
      <w:r w:rsidRPr="00FC3ACB">
        <w:rPr>
          <w:rStyle w:val="None"/>
          <w:rFonts w:ascii="Times New Roman" w:hAnsi="Times New Roman" w:cs="Times New Roman"/>
          <w:sz w:val="24"/>
          <w:szCs w:val="24"/>
          <w:lang w:val="en-GB"/>
        </w:rPr>
        <w:t>Goldkit</w:t>
      </w:r>
      <w:proofErr w:type="spellEnd"/>
      <w:r w:rsidRPr="00FC3ACB">
        <w:rPr>
          <w:rStyle w:val="None"/>
          <w:rFonts w:ascii="Times New Roman" w:hAnsi="Times New Roman" w:cs="Times New Roman"/>
          <w:sz w:val="24"/>
          <w:szCs w:val="24"/>
          <w:lang w:val="en-GB"/>
        </w:rPr>
        <w:t xml:space="preserve"> (</w:t>
      </w:r>
      <w:proofErr w:type="spellStart"/>
      <w:r w:rsidRPr="00FC3ACB">
        <w:rPr>
          <w:rStyle w:val="None"/>
          <w:rFonts w:ascii="Times New Roman" w:hAnsi="Times New Roman" w:cs="Times New Roman"/>
          <w:sz w:val="24"/>
          <w:szCs w:val="24"/>
          <w:lang w:val="en-GB"/>
        </w:rPr>
        <w:t>Zymo</w:t>
      </w:r>
      <w:proofErr w:type="spellEnd"/>
      <w:r w:rsidRPr="00FC3ACB">
        <w:rPr>
          <w:rStyle w:val="None"/>
          <w:rFonts w:ascii="Times New Roman" w:hAnsi="Times New Roman" w:cs="Times New Roman"/>
          <w:sz w:val="24"/>
          <w:szCs w:val="24"/>
          <w:lang w:val="en-GB"/>
        </w:rPr>
        <w:t xml:space="preserve"> Research; Irvine, CA)  and four CpGs on </w:t>
      </w:r>
      <w:r w:rsidRPr="00FC3ACB">
        <w:rPr>
          <w:rStyle w:val="None"/>
          <w:rFonts w:ascii="Times New Roman" w:hAnsi="Times New Roman" w:cs="Times New Roman"/>
          <w:i/>
          <w:sz w:val="24"/>
          <w:szCs w:val="24"/>
          <w:lang w:val="en-GB"/>
        </w:rPr>
        <w:t>ESM1</w:t>
      </w:r>
      <w:r w:rsidRPr="00FC3ACB">
        <w:rPr>
          <w:rStyle w:val="None"/>
          <w:rFonts w:ascii="Times New Roman" w:hAnsi="Times New Roman" w:cs="Times New Roman"/>
          <w:sz w:val="24"/>
          <w:szCs w:val="24"/>
          <w:lang w:val="en-GB"/>
        </w:rPr>
        <w:t xml:space="preserve"> and one on </w:t>
      </w:r>
      <w:r w:rsidRPr="00FC3ACB">
        <w:rPr>
          <w:rStyle w:val="None"/>
          <w:rFonts w:ascii="Times New Roman" w:hAnsi="Times New Roman" w:cs="Times New Roman"/>
          <w:i/>
          <w:sz w:val="24"/>
          <w:szCs w:val="24"/>
          <w:lang w:val="en-GB"/>
        </w:rPr>
        <w:t>LZTS1</w:t>
      </w:r>
      <w:r w:rsidRPr="00FC3ACB">
        <w:rPr>
          <w:rStyle w:val="None"/>
          <w:rFonts w:ascii="Times New Roman" w:hAnsi="Times New Roman" w:cs="Times New Roman"/>
          <w:sz w:val="24"/>
          <w:szCs w:val="24"/>
          <w:lang w:val="en-GB"/>
        </w:rPr>
        <w:t xml:space="preserve"> were pyrosequenced in 92 samples to assess cross tissue methylation correlation.</w:t>
      </w:r>
    </w:p>
    <w:p w14:paraId="13CCDC00" w14:textId="739B6139" w:rsidR="00316204" w:rsidRDefault="00316204" w:rsidP="007D369E">
      <w:pPr>
        <w:pStyle w:val="BodyA"/>
        <w:spacing w:line="360" w:lineRule="auto"/>
        <w:outlineLvl w:val="0"/>
        <w:rPr>
          <w:rStyle w:val="None"/>
          <w:sz w:val="24"/>
          <w:szCs w:val="24"/>
          <w:u w:color="FF644E"/>
        </w:rPr>
      </w:pPr>
    </w:p>
    <w:p w14:paraId="72158EEA" w14:textId="77777777" w:rsidR="007D369E" w:rsidRPr="007D369E" w:rsidRDefault="007D369E" w:rsidP="007D369E">
      <w:pPr>
        <w:pStyle w:val="BodyA"/>
        <w:spacing w:line="360" w:lineRule="auto"/>
        <w:outlineLvl w:val="0"/>
        <w:rPr>
          <w:rStyle w:val="None"/>
          <w:rFonts w:ascii="Times New Roman" w:hAnsi="Times New Roman" w:cs="Times New Roman"/>
          <w:i/>
          <w:iCs/>
          <w:sz w:val="24"/>
          <w:szCs w:val="24"/>
          <w:u w:color="FF644E"/>
          <w:lang w:val="en-GB"/>
        </w:rPr>
      </w:pPr>
      <w:r w:rsidRPr="007D369E">
        <w:rPr>
          <w:rStyle w:val="None"/>
          <w:rFonts w:ascii="Times New Roman" w:hAnsi="Times New Roman" w:cs="Times New Roman"/>
          <w:i/>
          <w:iCs/>
          <w:sz w:val="24"/>
          <w:szCs w:val="24"/>
          <w:u w:color="FF644E"/>
          <w:lang w:val="en-GB"/>
        </w:rPr>
        <w:t>Genotyping</w:t>
      </w:r>
    </w:p>
    <w:p w14:paraId="40188F3C" w14:textId="5374EF68" w:rsidR="007D369E" w:rsidRPr="00FC3ACB" w:rsidRDefault="007D369E" w:rsidP="007D369E">
      <w:pPr>
        <w:pStyle w:val="BodyA"/>
        <w:spacing w:line="360" w:lineRule="auto"/>
        <w:outlineLvl w:val="0"/>
        <w:rPr>
          <w:rStyle w:val="None"/>
          <w:rFonts w:ascii="Times New Roman" w:eastAsia="Cambria" w:hAnsi="Times New Roman" w:cs="Times New Roman"/>
          <w:color w:val="FF644E"/>
          <w:sz w:val="24"/>
          <w:szCs w:val="24"/>
          <w:u w:color="FF644E"/>
          <w:lang w:val="en-GB"/>
        </w:rPr>
      </w:pPr>
      <w:r w:rsidRPr="007D369E">
        <w:rPr>
          <w:rStyle w:val="None"/>
          <w:rFonts w:ascii="Times New Roman" w:hAnsi="Times New Roman" w:cs="Times New Roman"/>
          <w:sz w:val="24"/>
          <w:szCs w:val="24"/>
          <w:u w:color="FF644E"/>
          <w:lang w:val="en-GB"/>
        </w:rPr>
        <w:t>Genome-wide SNP genotypes for 698 Indian and 293 Gambian samples were generated using the Infinium Global</w:t>
      </w:r>
      <w:r w:rsidRPr="00FC3ACB">
        <w:rPr>
          <w:rStyle w:val="None"/>
          <w:rFonts w:ascii="Times New Roman" w:hAnsi="Times New Roman" w:cs="Times New Roman"/>
          <w:sz w:val="24"/>
          <w:szCs w:val="24"/>
          <w:lang w:val="en-GB"/>
        </w:rPr>
        <w:t xml:space="preserve"> Screening Array-24 v1.0 </w:t>
      </w:r>
      <w:proofErr w:type="spellStart"/>
      <w:proofErr w:type="gramStart"/>
      <w:r w:rsidRPr="00FC3ACB">
        <w:rPr>
          <w:rStyle w:val="None"/>
          <w:rFonts w:ascii="Times New Roman" w:hAnsi="Times New Roman" w:cs="Times New Roman"/>
          <w:sz w:val="24"/>
          <w:szCs w:val="24"/>
          <w:lang w:val="en-GB"/>
        </w:rPr>
        <w:t>Beadchip</w:t>
      </w:r>
      <w:proofErr w:type="spellEnd"/>
      <w:r w:rsidRPr="00FC3ACB">
        <w:rPr>
          <w:rStyle w:val="None"/>
          <w:rFonts w:ascii="Times New Roman" w:hAnsi="Times New Roman" w:cs="Times New Roman"/>
          <w:sz w:val="24"/>
          <w:szCs w:val="24"/>
          <w:lang w:val="en-GB"/>
        </w:rPr>
        <w:t xml:space="preserve">  (</w:t>
      </w:r>
      <w:proofErr w:type="gramEnd"/>
      <w:r w:rsidRPr="00FC3ACB">
        <w:rPr>
          <w:rStyle w:val="None"/>
          <w:rFonts w:ascii="Times New Roman" w:hAnsi="Times New Roman" w:cs="Times New Roman"/>
          <w:sz w:val="24"/>
          <w:szCs w:val="24"/>
          <w:lang w:val="en-GB"/>
        </w:rPr>
        <w:t xml:space="preserve">GSA) array (Illumina, California, U.S). The GSA provides coverage of approximately 650,000 SNPs genome-wide combining multi-ethnic content with curated clinical variants with established disease associations. The arrays were processed following the manufacturers </w:t>
      </w:r>
      <w:r w:rsidRPr="0024175E">
        <w:rPr>
          <w:rStyle w:val="None"/>
          <w:rFonts w:ascii="Times New Roman" w:hAnsi="Times New Roman" w:cs="Times New Roman"/>
          <w:sz w:val="24"/>
          <w:szCs w:val="24"/>
          <w:lang w:val="en-GB"/>
        </w:rPr>
        <w:t>guidelines</w:t>
      </w:r>
      <w:r w:rsidR="0024175E" w:rsidRPr="0024175E">
        <w:rPr>
          <w:rStyle w:val="None"/>
          <w:rFonts w:ascii="Times New Roman" w:hAnsi="Times New Roman" w:cs="Times New Roman"/>
          <w:sz w:val="24"/>
          <w:szCs w:val="24"/>
          <w:lang w:val="en-GB"/>
        </w:rPr>
        <w:t xml:space="preserve"> (</w:t>
      </w:r>
      <w:r w:rsidRPr="0024175E">
        <w:rPr>
          <w:rStyle w:val="None"/>
          <w:rFonts w:ascii="Times New Roman" w:hAnsi="Times New Roman" w:cs="Times New Roman"/>
          <w:sz w:val="24"/>
          <w:szCs w:val="24"/>
          <w:lang w:val="en-GB"/>
        </w:rPr>
        <w:t>Supplemental Methods</w:t>
      </w:r>
      <w:r w:rsidR="00467442" w:rsidRPr="0024175E">
        <w:rPr>
          <w:rStyle w:val="None"/>
          <w:rFonts w:ascii="Times New Roman" w:hAnsi="Times New Roman" w:cs="Times New Roman"/>
          <w:sz w:val="24"/>
          <w:szCs w:val="24"/>
          <w:lang w:val="en-GB"/>
        </w:rPr>
        <w:t xml:space="preserve"> SM3)</w:t>
      </w:r>
      <w:r w:rsidRPr="0024175E">
        <w:rPr>
          <w:rStyle w:val="None"/>
          <w:rFonts w:ascii="Times New Roman" w:hAnsi="Times New Roman" w:cs="Times New Roman"/>
          <w:sz w:val="24"/>
          <w:szCs w:val="24"/>
          <w:lang w:val="en-GB"/>
        </w:rPr>
        <w:t>.</w:t>
      </w:r>
      <w:r w:rsidRPr="00FC3ACB">
        <w:rPr>
          <w:rStyle w:val="None"/>
          <w:rFonts w:ascii="Times New Roman" w:hAnsi="Times New Roman" w:cs="Times New Roman"/>
          <w:sz w:val="24"/>
          <w:szCs w:val="24"/>
          <w:lang w:val="en-GB"/>
        </w:rPr>
        <w:t xml:space="preserve">  </w:t>
      </w:r>
    </w:p>
    <w:p w14:paraId="093BBDC0" w14:textId="77777777" w:rsidR="007D369E" w:rsidRPr="00FC3ACB" w:rsidRDefault="007D369E" w:rsidP="007D369E">
      <w:pPr>
        <w:pStyle w:val="BodyA"/>
        <w:tabs>
          <w:tab w:val="left" w:pos="720"/>
        </w:tabs>
        <w:spacing w:line="360" w:lineRule="auto"/>
        <w:outlineLvl w:val="0"/>
        <w:rPr>
          <w:rStyle w:val="None"/>
          <w:rFonts w:ascii="Times New Roman" w:eastAsia="Cambria" w:hAnsi="Times New Roman" w:cs="Times New Roman"/>
          <w:sz w:val="24"/>
          <w:szCs w:val="24"/>
          <w:lang w:val="en-GB"/>
        </w:rPr>
      </w:pPr>
    </w:p>
    <w:p w14:paraId="53EB3721" w14:textId="19984570" w:rsidR="007D369E" w:rsidRPr="00FC3ACB" w:rsidRDefault="007D369E" w:rsidP="007D369E">
      <w:pPr>
        <w:pStyle w:val="BodyA"/>
        <w:spacing w:line="360" w:lineRule="auto"/>
        <w:outlineLvl w:val="0"/>
        <w:rPr>
          <w:rStyle w:val="None"/>
          <w:rFonts w:ascii="Times New Roman" w:eastAsia="Cambria" w:hAnsi="Times New Roman" w:cs="Times New Roman"/>
          <w:sz w:val="24"/>
          <w:szCs w:val="24"/>
          <w:lang w:val="en-GB"/>
        </w:rPr>
      </w:pPr>
      <w:r w:rsidRPr="00FC3ACB">
        <w:rPr>
          <w:rStyle w:val="None"/>
          <w:rFonts w:ascii="Times New Roman" w:hAnsi="Times New Roman" w:cs="Times New Roman"/>
          <w:sz w:val="24"/>
          <w:szCs w:val="24"/>
          <w:lang w:val="en-GB"/>
        </w:rPr>
        <w:t xml:space="preserve">Initial processing of the GSA array data was performed using the </w:t>
      </w:r>
      <w:proofErr w:type="spellStart"/>
      <w:r w:rsidRPr="00FC3ACB">
        <w:rPr>
          <w:rStyle w:val="None"/>
          <w:rFonts w:ascii="Times New Roman" w:hAnsi="Times New Roman" w:cs="Times New Roman"/>
          <w:sz w:val="24"/>
          <w:szCs w:val="24"/>
          <w:lang w:val="en-GB"/>
        </w:rPr>
        <w:t>GenomeStudio</w:t>
      </w:r>
      <w:proofErr w:type="spellEnd"/>
      <w:r w:rsidRPr="00FC3ACB">
        <w:rPr>
          <w:rStyle w:val="None"/>
          <w:rFonts w:ascii="Times New Roman" w:hAnsi="Times New Roman" w:cs="Times New Roman"/>
          <w:sz w:val="24"/>
          <w:szCs w:val="24"/>
          <w:lang w:val="en-GB"/>
        </w:rPr>
        <w:t xml:space="preserve"> genotyping module (Illumina, California, US). Following published guidelines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{"citationItems":[{"id":"ITEM-1","itemData":{"DOI":"10.1038/nprot.2014.174","ISBN":"doi:10.1038/nprot.2014.174","ISSN":"1754-2189","PMID":"25321409","abstract":"With the rise of high-throughput sequencing technology, traditional genotyping arrays are gradually being replaced by sequencing technology. Against this trend, Illumina has introduced an exome genotyping array that provides an alternative approach to sequencing, especially suited to large-scale genome-wide association studies (GWASs). The exome genotyping array targets the exome plus rare single-nucleotide polymorphisms (SNPs), a feature that makes it substantially more challenging to process than previous genotyping arrays that targeted common SNPs. Researchers have struggled to generate a reliable protocol for processing exome genotyping array data. The Vanderbilt Epidemiology Center, in cooperation with Vanderbilt Technologies for Advanced Genomics Analysis and Research Design (VANGARD), has developed a thorough exome chip-processing protocol. The protocol was developed during the processing of several large exome genotyping array-based studies, which included over 60,000 participants combined. The protocol described herein contains detailed clustering techniques and robust quality control procedures, and it can benefit future exome genotyping array-based GWASs.","author":[{"dropping-particle":"","family":"Guo","given":"Yan","non-dropping-particle":"","parse-names":false,"suffix":""},{"dropping-particle":"","family":"He","given":"Jing","non-dropping-particle":"","parse-names":false,"suffix":""},{"dropping-particle":"","family":"Zhao","given":"Shilin","non-dropping-particle":"","parse-names":false,"suffix":""},{"dropping-particle":"","family":"Wu","given":"Hui","non-dropping-particle":"","parse-names":false,"suffix":""},{"dropping-particle":"","family":"Zhong","given":"Xue","non-dropping-particle":"","parse-names":false,"suffix":""},{"dropping-particle":"","family":"Sheng","given":"Quanhu","non-dropping-particle":"","parse-names":false,"suffix":""},{"dropping-particle":"","family":"Samuels","given":"David C.","non-dropping-particle":"","parse-names":false,"suffix":""},{"dropping-particle":"","family":"Shyr","given":"Yu","non-dropping-particle":"","parse-names":false,"suffix":""},{"dropping-particle":"","family":"Long","given":"Jirong","non-dropping-particle":"","parse-names":false,"suffix":""}],"container-title":"Nature Protocols","id":"ITEM-1","issue":"11","issued":{"date-parts":[["2014","11"]]},"page":"2643-2662","title":"Illumina human exome genotyping array clustering and quality control","type":"article-journal","volume":"9"},"uris":["http://www.mendeley.com/documents/?uuid=103244b7-5afb-4c31-bc81-2635fd38f64a"]}],"mendeley":{"formattedCitation":"(32)","plainTextFormattedCitation":"(32)","previouslyFormattedCitation":"(32)"},"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(32)</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a total of 5 samples and 38,723 probes were removed from the Indian cohort and 3 samples and 73,873 SNPs were excluded from the Gambian cohort. Prior to mQTL analysis for intervention-associated loci, the Gambian genotype data underwent further processing using </w:t>
      </w:r>
      <w:r w:rsidRPr="00FC3ACB">
        <w:rPr>
          <w:rStyle w:val="None"/>
          <w:rFonts w:ascii="Times New Roman" w:hAnsi="Times New Roman" w:cs="Times New Roman"/>
          <w:i/>
          <w:sz w:val="24"/>
          <w:szCs w:val="24"/>
          <w:lang w:val="en-GB"/>
        </w:rPr>
        <w:t>PLINK</w:t>
      </w:r>
      <w:r w:rsidRPr="00FC3ACB">
        <w:rPr>
          <w:rStyle w:val="None"/>
          <w:rFonts w:ascii="Times New Roman" w:hAnsi="Times New Roman" w:cs="Times New Roman"/>
          <w:sz w:val="24"/>
          <w:szCs w:val="24"/>
          <w:lang w:val="en-GB"/>
        </w:rPr>
        <w:t xml:space="preserve">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{"citationItems":[{"id":"ITEM-1","itemData":{"DOI":"10.1086/519795","ISBN":"00029297","ISSN":"00029297","PMID":"17701901","abstract":"Whole-genome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author":[{"dropping-particle":"","family":"Purcell","given":"Shaun","non-dropping-particle":"","parse-names":false,"suffix":""},{"dropping-particle":"","family":"Neale","given":"Benjamin","non-dropping-particle":"","parse-names":false,"suffix":""},{"dropping-particle":"","family":"Todd-Brown","given":"Kathe","non-dropping-particle":"","parse-names":false,"suffix":""},{"dropping-particle":"","family":"Thomas","given":"Lori","non-dropping-particle":"","parse-names":false,"suffix":""},{"dropping-particle":"","family":"Ferreira","given":"Manuel A.R. R","non-dropping-particle":"","parse-names":false,"suffix":""},{"dropping-particle":"","family":"Bender","given":"David","non-dropping-particle":"","parse-names":false,"suffix":""},{"dropping-particle":"","family":"Maller","given":"Julian","non-dropping-particle":"","parse-names":false,"suffix":""},{"dropping-particle":"","family":"Sklar","given":"Pamela","non-dropping-particle":"","parse-names":false,"suffix":""},{"dropping-particle":"","family":"Bakker","given":"Paul I.W. W","non-dropping-particle":"de","parse-names":false,"suffix":""},{"dropping-particle":"","family":"Daly","given":"Mark J.","non-dropping-particle":"","parse-names":false,"suffix":""},{"dropping-particle":"","family":"Sham","given":"Pak C.","non-dropping-particle":"","parse-names":false,"suffix":""},{"dropping-particle":"","family":"Toddbrown","given":"K","non-dropping-particle":"","parse-names":false,"suffix":""},{"dropping-particle":"","family":"Debakker","given":"P","non-dropping-particle":"","parse-names":false,"suffix":""}],"container-title":"The American Journal of Human Genetics","id":"ITEM-1","issue":"3","issued":{"date-parts":[["2007","9"]]},"page":"559-575","title":"PLINK: A Tool Set for Whole-Genome Association and Population-Based Linkage Analyses","type":"article-journal","volume":"81"},"uris":["http://www.mendeley.com/documents/?uuid=4722991c-7522-45f1-8883-8bac4cf7db37"]}],"mendeley":{"formattedCitation":"(33)","plainTextFormattedCitation":"(33)","previouslyFormattedCitation":"(33)"},"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(33)</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v 1.9 and SNPs were filtered based on Hardy Weinberg Equilibrium (HWE) p-value &lt; 0.001, minor allele frequency (MAF) &lt; 5%, and genotype missingness &gt; 5%. A total of 282,399 SNPs were excluded, giving a final total of 290 samples and 286,552 SNPs for the Gambian da</w:t>
      </w:r>
      <w:r w:rsidRPr="00FC3ACB">
        <w:rPr>
          <w:rStyle w:val="None"/>
          <w:rFonts w:ascii="Times New Roman" w:hAnsi="Times New Roman" w:cs="Times New Roman"/>
          <w:sz w:val="24"/>
          <w:szCs w:val="24"/>
          <w:lang w:val="en-GB"/>
        </w:rPr>
        <w:lastRenderedPageBreak/>
        <w:t>taset. Lastly, the processed genotypes were recoded as additive allelic dosages for import into R for subsequent mQTL analysis.</w:t>
      </w:r>
    </w:p>
    <w:p w14:paraId="01AED8AA" w14:textId="77777777" w:rsidR="007D369E" w:rsidRPr="00FC3ACB" w:rsidRDefault="007D369E" w:rsidP="007D369E">
      <w:pPr>
        <w:pStyle w:val="BodyA"/>
        <w:spacing w:line="360" w:lineRule="auto"/>
        <w:outlineLvl w:val="0"/>
        <w:rPr>
          <w:rStyle w:val="None"/>
          <w:rFonts w:ascii="Times New Roman" w:eastAsia="Cambria" w:hAnsi="Times New Roman" w:cs="Times New Roman"/>
          <w:sz w:val="24"/>
          <w:szCs w:val="24"/>
          <w:lang w:val="en-GB"/>
        </w:rPr>
      </w:pPr>
    </w:p>
    <w:p w14:paraId="2BBAA5E9" w14:textId="0271195C" w:rsidR="007D369E" w:rsidRPr="00FC3ACB" w:rsidRDefault="007D369E" w:rsidP="007D369E">
      <w:pPr>
        <w:pStyle w:val="BodyA"/>
        <w:spacing w:line="360" w:lineRule="auto"/>
        <w:outlineLvl w:val="0"/>
        <w:rPr>
          <w:rStyle w:val="None"/>
          <w:rFonts w:ascii="Times New Roman" w:hAnsi="Times New Roman" w:cs="Times New Roman"/>
          <w:sz w:val="24"/>
          <w:szCs w:val="24"/>
          <w:lang w:val="en-GB"/>
        </w:rPr>
      </w:pPr>
      <w:r w:rsidRPr="00FC3ACB">
        <w:rPr>
          <w:rStyle w:val="None"/>
          <w:rFonts w:ascii="Times New Roman" w:hAnsi="Times New Roman" w:cs="Times New Roman"/>
          <w:sz w:val="24"/>
          <w:szCs w:val="24"/>
          <w:lang w:val="en-GB"/>
        </w:rPr>
        <w:t xml:space="preserve">We followed up our discovery of a mQTL proximal to </w:t>
      </w:r>
      <w:r w:rsidRPr="00FC3ACB">
        <w:rPr>
          <w:rStyle w:val="None"/>
          <w:rFonts w:ascii="Times New Roman" w:hAnsi="Times New Roman" w:cs="Times New Roman"/>
          <w:i/>
          <w:sz w:val="24"/>
          <w:szCs w:val="24"/>
          <w:lang w:val="en-GB"/>
        </w:rPr>
        <w:t>ESM1</w:t>
      </w:r>
      <w:r w:rsidRPr="00FC3ACB">
        <w:rPr>
          <w:rStyle w:val="None"/>
          <w:rFonts w:ascii="Times New Roman" w:hAnsi="Times New Roman" w:cs="Times New Roman"/>
          <w:sz w:val="24"/>
          <w:szCs w:val="24"/>
          <w:lang w:val="en-GB"/>
        </w:rPr>
        <w:t xml:space="preserve"> on chromosome 5 in the Gambian dataset by performing a high-resolution mQTL scan using imputed genotypes from this chromosome. </w:t>
      </w:r>
      <w:proofErr w:type="spellStart"/>
      <w:r w:rsidRPr="00FC3ACB">
        <w:rPr>
          <w:rStyle w:val="None"/>
          <w:rFonts w:ascii="Times New Roman" w:hAnsi="Times New Roman" w:cs="Times New Roman"/>
          <w:sz w:val="24"/>
          <w:szCs w:val="24"/>
          <w:lang w:val="en-GB"/>
        </w:rPr>
        <w:t>Chr</w:t>
      </w:r>
      <w:proofErr w:type="spellEnd"/>
      <w:r w:rsidRPr="00FC3ACB">
        <w:rPr>
          <w:rStyle w:val="None"/>
          <w:rFonts w:ascii="Times New Roman" w:hAnsi="Times New Roman" w:cs="Times New Roman"/>
          <w:sz w:val="24"/>
          <w:szCs w:val="24"/>
          <w:lang w:val="en-GB"/>
        </w:rPr>
        <w:t xml:space="preserve"> 5 was </w:t>
      </w:r>
      <w:proofErr w:type="spellStart"/>
      <w:r w:rsidRPr="00FC3ACB">
        <w:rPr>
          <w:rStyle w:val="None"/>
          <w:rFonts w:ascii="Times New Roman" w:hAnsi="Times New Roman" w:cs="Times New Roman"/>
          <w:sz w:val="24"/>
          <w:szCs w:val="24"/>
          <w:lang w:val="en-GB"/>
        </w:rPr>
        <w:t>prephased</w:t>
      </w:r>
      <w:proofErr w:type="spellEnd"/>
      <w:r w:rsidRPr="00FC3ACB">
        <w:rPr>
          <w:rStyle w:val="None"/>
          <w:rFonts w:ascii="Times New Roman" w:hAnsi="Times New Roman" w:cs="Times New Roman"/>
          <w:sz w:val="24"/>
          <w:szCs w:val="24"/>
          <w:lang w:val="en-GB"/>
        </w:rPr>
        <w:t xml:space="preserve"> using SHAPEITv2 and imputation was performed using IMPUTEv2.3.2 on 1000 genome phase 3 data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{"citationItems":[{"id":"ITEM-1","itemData":{"DOI":"10.1038/nprot.2015.077","ISBN":"1750-2799 (Electronic)\\r1750-2799 (Linking)","ISSN":"1754-2189","PMID":"26226460","abstract":"In order to meaningfully analyze common and rare genetic variants, results from genome-wide association studies (GWASs) of multiple cohorts need to be combined in a meta-analysis in order to obtain enough power. This requires all cohorts to have the same single-nucleotide polymorphisms (SNPs) in their GWASs. To this end, genotypes that have not been measured in a given cohort can be imputed on the basis of a set of reference haplotypes. This protocol provides guidelines for performing imputations with two widely used tools: minimac and IMPUTE2. These guidelines were developed and used by the Genome of the Netherlands (GoNL) consortium, which has created a population-specific reference panel for genetic imputations and used this reference to impute various Dutch biobanks. We also describe several factors that might influence the final imputation quality. This protocol, which has been used by the largest Dutch biobanks, should take approximately several days, depending on the sample size of the biobank and the computer resources available.","author":[{"dropping-particle":"","family":"Leeuwen","given":"Elisabeth M","non-dropping-particle":"van","parse-names":false,"suffix":""},{"dropping-particle":"","family":"Kanterakis","given":"Alexandros","non-dropping-particle":"","parse-names":false,"suffix":""},{"dropping-particle":"","family":"Deelen","given":"Patrick","non-dropping-particle":"","parse-names":false,"suffix":""},{"dropping-particle":"V.","family":"Kattenberg","given":"Mathijs","non-dropping-particle":"","parse-names":false,"suffix":""},{"dropping-particle":"","family":"Slagboom","given":"P. Eline","non-dropping-particle":"","parse-names":false,"suffix":""},{"dropping-particle":"","family":"Bakker","given":"Paul I W","non-dropping-particle":"de","parse-names":false,"suffix":""},{"dropping-particle":"","family":"Wijmenga","given":"Cisca","non-dropping-particle":"","parse-names":false,"suffix":""},{"dropping-particle":"","family":"Swertz","given":"Morris A.","non-dropping-particle":"","parse-names":false,"suffix":""},{"dropping-particle":"","family":"Boomsma","given":"Dorret I.","non-dropping-particle":"","parse-names":false,"suffix":""},{"dropping-particle":"","family":"Duijn","given":"Cornelia M","non-dropping-particle":"van","parse-names":false,"suffix":""},{"dropping-particle":"","family":"Karssen","given":"Lennart C.","non-dropping-particle":"","parse-names":false,"suffix":""},{"dropping-particle":"","family":"Hottenga","given":"Jouke Jan","non-dropping-particle":"","parse-names":false,"suffix":""}],"container-title":"Nature Protocols","id":"ITEM-1","issue":"9","issued":{"date-parts":[["2015","9"]]},"page":"1285-1296","title":"Population-specific genotype imputations using minimac or IMPUTE2","type":"article-journal","volume":"10"},"uris":["http://www.mendeley.com/documents/?uuid=2f19aa62-3a9e-495e-856a-fddfcc4b4c43"]}],"mendeley":{"formattedCitation":"(34)","plainTextFormattedCitation":"(34)","previouslyFormattedCitation":"(34)"},"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(34)</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Imputed genotypes for chromosome 5 SNPs with a minimum info score of 0.9 were taken forward for mQTL analysis (731,027 variants for 288 individuals). Further processing was performed using PLINK. The same filters were applied: HWE p-value &lt; 0.001 (379 SNPs removed), MAF &lt; 5% (324,709), and genotype missingness &gt; 5% (0) leaving a total of 405,939 probes. </w:t>
      </w:r>
    </w:p>
    <w:p w14:paraId="74D997CE" w14:textId="77777777" w:rsidR="003E596F" w:rsidRDefault="003E596F" w:rsidP="003E596F">
      <w:pPr>
        <w:pStyle w:val="Default"/>
        <w:spacing w:after="240" w:line="360" w:lineRule="auto"/>
        <w:rPr>
          <w:rFonts w:ascii="Times New Roman" w:hAnsi="Times New Roman" w:cs="Times New Roman"/>
          <w:sz w:val="28"/>
          <w:szCs w:val="28"/>
          <w:lang w:val="en-GB"/>
        </w:rPr>
      </w:pPr>
    </w:p>
    <w:p w14:paraId="14B7BD8A" w14:textId="1CBF602E" w:rsidR="003E596F" w:rsidRDefault="003E596F" w:rsidP="003E596F">
      <w:pPr>
        <w:pStyle w:val="Default"/>
        <w:spacing w:after="240" w:line="360" w:lineRule="auto"/>
        <w:rPr>
          <w:rFonts w:ascii="Times New Roman" w:hAnsi="Times New Roman" w:cs="Times New Roman"/>
          <w:sz w:val="28"/>
          <w:szCs w:val="28"/>
          <w:lang w:val="en-GB"/>
        </w:rPr>
      </w:pPr>
      <w:r w:rsidRPr="007D369E">
        <w:rPr>
          <w:rFonts w:ascii="Times New Roman" w:hAnsi="Times New Roman" w:cs="Times New Roman"/>
          <w:sz w:val="28"/>
          <w:szCs w:val="28"/>
          <w:lang w:val="en-GB"/>
        </w:rPr>
        <w:t>Main statistical analysis and validation</w:t>
      </w:r>
    </w:p>
    <w:p w14:paraId="23DB3ACD" w14:textId="0FCC7F28" w:rsidR="00CA247D" w:rsidRPr="007D369E" w:rsidRDefault="00CA247D" w:rsidP="007D369E">
      <w:pPr>
        <w:pStyle w:val="Default"/>
        <w:spacing w:after="240" w:line="360" w:lineRule="auto"/>
        <w:rPr>
          <w:rFonts w:ascii="Times New Roman" w:eastAsia="Cambria" w:hAnsi="Times New Roman" w:cs="Times New Roman"/>
          <w:i/>
          <w:iCs/>
          <w:sz w:val="20"/>
          <w:szCs w:val="20"/>
          <w:u w:val="single"/>
          <w:lang w:val="en-GB"/>
        </w:rPr>
      </w:pPr>
      <w:r w:rsidRPr="007D369E">
        <w:rPr>
          <w:rFonts w:ascii="Times New Roman" w:hAnsi="Times New Roman" w:cs="Times New Roman"/>
          <w:i/>
          <w:iCs/>
          <w:sz w:val="24"/>
          <w:szCs w:val="24"/>
          <w:lang w:val="en-GB"/>
        </w:rPr>
        <w:t>Epigenome-wide association studies</w:t>
      </w:r>
      <w:r w:rsidR="007D369E">
        <w:rPr>
          <w:rFonts w:ascii="Times New Roman" w:hAnsi="Times New Roman" w:cs="Times New Roman"/>
          <w:i/>
          <w:iCs/>
          <w:sz w:val="24"/>
          <w:szCs w:val="24"/>
          <w:lang w:val="en-GB"/>
        </w:rPr>
        <w:br/>
      </w:r>
      <w:r w:rsidRPr="007D369E">
        <w:rPr>
          <w:rFonts w:ascii="Times New Roman" w:hAnsi="Times New Roman" w:cs="Times New Roman"/>
          <w:sz w:val="24"/>
          <w:szCs w:val="24"/>
          <w:u w:val="single"/>
          <w:lang w:val="en-GB"/>
        </w:rPr>
        <w:t>Site-level differential methylation analysis</w:t>
      </w:r>
    </w:p>
    <w:p w14:paraId="2C6B7DBA" w14:textId="5215F88B" w:rsidR="00CA247D" w:rsidRPr="00FC3ACB" w:rsidRDefault="00CA247D" w:rsidP="00CA247D">
      <w:pPr>
        <w:pStyle w:val="BodyA"/>
        <w:spacing w:line="360" w:lineRule="auto"/>
        <w:outlineLvl w:val="0"/>
        <w:rPr>
          <w:rStyle w:val="None"/>
          <w:rFonts w:ascii="Times New Roman" w:eastAsia="Cambria" w:hAnsi="Times New Roman" w:cs="Times New Roman"/>
          <w:sz w:val="24"/>
          <w:szCs w:val="24"/>
          <w:lang w:val="en-GB"/>
        </w:rPr>
      </w:pPr>
      <w:r w:rsidRPr="00FC3ACB">
        <w:rPr>
          <w:rFonts w:ascii="Times New Roman" w:hAnsi="Times New Roman" w:cs="Times New Roman"/>
          <w:sz w:val="24"/>
          <w:szCs w:val="24"/>
          <w:lang w:val="en-GB"/>
        </w:rPr>
        <w:t xml:space="preserve">A linear regression-based approach was used to identify differentially methylated positions (DMPs) (individual CpGs) associated with the intervention whilst adjusting for other technical and biological variables. To account for multiple testing, a </w:t>
      </w:r>
      <w:proofErr w:type="spellStart"/>
      <w:r w:rsidRPr="00FC3ACB">
        <w:rPr>
          <w:rFonts w:ascii="Times New Roman" w:hAnsi="Times New Roman" w:cs="Times New Roman"/>
          <w:sz w:val="24"/>
          <w:szCs w:val="24"/>
          <w:lang w:val="en-GB"/>
        </w:rPr>
        <w:t>Benjamini</w:t>
      </w:r>
      <w:proofErr w:type="spellEnd"/>
      <w:r w:rsidRPr="00FC3ACB">
        <w:rPr>
          <w:rFonts w:ascii="Times New Roman" w:hAnsi="Times New Roman" w:cs="Times New Roman"/>
          <w:sz w:val="24"/>
          <w:szCs w:val="24"/>
          <w:lang w:val="en-GB"/>
        </w:rPr>
        <w:t xml:space="preserve"> Hochberg (BH) false discovery rate (FDR) threshold of 5% was used. Each cohort was analysed separately and then the results were compared. See </w:t>
      </w:r>
      <w:r w:rsidR="00C10299">
        <w:rPr>
          <w:rFonts w:ascii="Times New Roman" w:hAnsi="Times New Roman" w:cs="Times New Roman"/>
          <w:sz w:val="24"/>
          <w:szCs w:val="24"/>
          <w:lang w:val="en-GB"/>
        </w:rPr>
        <w:t>Supplemental</w:t>
      </w:r>
      <w:r w:rsidRPr="00FC3ACB">
        <w:rPr>
          <w:rFonts w:ascii="Times New Roman" w:hAnsi="Times New Roman" w:cs="Times New Roman"/>
          <w:sz w:val="24"/>
          <w:szCs w:val="24"/>
          <w:lang w:val="en-GB"/>
        </w:rPr>
        <w:t xml:space="preserve"> Methods </w:t>
      </w:r>
      <w:r w:rsidR="008D706C">
        <w:rPr>
          <w:rFonts w:ascii="Times New Roman" w:hAnsi="Times New Roman" w:cs="Times New Roman"/>
          <w:sz w:val="24"/>
          <w:szCs w:val="24"/>
          <w:lang w:val="en-GB"/>
        </w:rPr>
        <w:t>SM4.1</w:t>
      </w:r>
      <w:r w:rsidR="00C96A82">
        <w:rPr>
          <w:rFonts w:ascii="Times New Roman" w:hAnsi="Times New Roman" w:cs="Times New Roman"/>
          <w:sz w:val="24"/>
          <w:szCs w:val="24"/>
          <w:lang w:val="en-GB"/>
        </w:rPr>
        <w:t xml:space="preserve"> and SM4.2</w:t>
      </w:r>
      <w:r w:rsidR="008D706C">
        <w:rPr>
          <w:rFonts w:ascii="Times New Roman" w:hAnsi="Times New Roman" w:cs="Times New Roman"/>
          <w:sz w:val="24"/>
          <w:szCs w:val="24"/>
          <w:lang w:val="en-GB"/>
        </w:rPr>
        <w:t xml:space="preserve"> </w:t>
      </w:r>
      <w:r w:rsidRPr="00FC3ACB">
        <w:rPr>
          <w:rFonts w:ascii="Times New Roman" w:hAnsi="Times New Roman" w:cs="Times New Roman"/>
          <w:sz w:val="24"/>
          <w:szCs w:val="24"/>
          <w:lang w:val="en-GB"/>
        </w:rPr>
        <w:t>for more detailed descriptions for each of the analyses outlined below. A detailed analysis plan published prior to commencement of all analyses is also available on the EMPHASIS website (</w:t>
      </w:r>
      <w:r w:rsidRPr="00FC3ACB">
        <w:rPr>
          <w:rStyle w:val="Hyperlink0"/>
          <w:rFonts w:ascii="Times New Roman" w:hAnsi="Times New Roman" w:cs="Times New Roman"/>
          <w:color w:val="000000" w:themeColor="text1"/>
          <w:sz w:val="24"/>
          <w:szCs w:val="24"/>
          <w:u w:val="none"/>
          <w:lang w:val="en-GB"/>
        </w:rPr>
        <w:t>www.emphasisstudy.org</w:t>
      </w:r>
      <w:r w:rsidRPr="00FC3ACB">
        <w:rPr>
          <w:rStyle w:val="None"/>
          <w:rFonts w:ascii="Times New Roman" w:hAnsi="Times New Roman" w:cs="Times New Roman"/>
          <w:sz w:val="24"/>
          <w:szCs w:val="24"/>
          <w:lang w:val="en-GB"/>
        </w:rPr>
        <w:t>).</w:t>
      </w:r>
    </w:p>
    <w:p w14:paraId="7EB099FE" w14:textId="5D885B87" w:rsidR="00CA247D" w:rsidRPr="00FC3ACB" w:rsidRDefault="00CA247D" w:rsidP="00CA247D">
      <w:pPr>
        <w:pStyle w:val="BodyA"/>
        <w:tabs>
          <w:tab w:val="left" w:pos="720"/>
        </w:tabs>
        <w:spacing w:line="360" w:lineRule="auto"/>
        <w:outlineLvl w:val="0"/>
        <w:rPr>
          <w:rStyle w:val="None"/>
          <w:rFonts w:ascii="Times New Roman" w:eastAsia="Cambria" w:hAnsi="Times New Roman" w:cs="Times New Roman"/>
          <w:sz w:val="24"/>
          <w:szCs w:val="24"/>
          <w:lang w:val="en-GB"/>
        </w:rPr>
      </w:pPr>
      <w:r w:rsidRPr="00FC3ACB">
        <w:rPr>
          <w:rStyle w:val="None"/>
          <w:rFonts w:ascii="Times New Roman" w:hAnsi="Times New Roman" w:cs="Times New Roman"/>
          <w:sz w:val="24"/>
          <w:szCs w:val="24"/>
          <w:lang w:val="en-GB"/>
        </w:rPr>
        <w:t xml:space="preserve">The </w:t>
      </w:r>
      <w:proofErr w:type="spellStart"/>
      <w:r w:rsidRPr="00FC3ACB">
        <w:rPr>
          <w:rStyle w:val="None"/>
          <w:rFonts w:ascii="Times New Roman" w:hAnsi="Times New Roman" w:cs="Times New Roman"/>
          <w:i/>
          <w:sz w:val="24"/>
          <w:szCs w:val="24"/>
          <w:lang w:val="en-GB"/>
        </w:rPr>
        <w:t>limma</w:t>
      </w:r>
      <w:proofErr w:type="spellEnd"/>
      <w:r w:rsidRPr="00FC3ACB">
        <w:rPr>
          <w:rStyle w:val="None"/>
          <w:rFonts w:ascii="Times New Roman" w:hAnsi="Times New Roman" w:cs="Times New Roman"/>
          <w:sz w:val="24"/>
          <w:szCs w:val="24"/>
          <w:lang w:val="en-GB"/>
        </w:rPr>
        <w:t xml:space="preserve"> package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{"citationItems":[{"id":"ITEM-1","itemData":{"DOI":"citeulike-article-id:5722720","ISBN":"978-0-387-29362-2","ISSN":"1544-6115","PMID":"16495579","abstract":"A survey is given of differential expression analyses using the linear modeling features of the limma package. The chapter starts with the simplest replicated designs and progresses through experiments with two or more groups, direct designs, factorial designs and time course experiments. Experiments with technical as well as biological replication are considered. Empirical Bayes test statistics are explained. The use of quality weights, adaptive background correction and control spots in conjunction with linear modelling is illustrated on the β7 data.","author":[{"dropping-particle":"","family":"Smith","given":"Grodon K.","non-dropping-particle":"","parse-names":false,"suffix":""}],"container-title":"Bioinformatics and Computational Biology Solutions Using R and Bioconductor","id":"ITEM-1","issue":"2005","issued":{"date-parts":[["2005"]]},"page":"397-420","title":"limma: Linear Models for Microarray Data","type":"article-journal"},"uris":["http://www.mendeley.com/documents/?uuid=d27563b7-7701-43ae-9da8-990f593a46b4"]}],"mendeley":{"formattedCitation":"(35)","plainTextFormattedCitation":"(35)","previouslyFormattedCitation":"(35)"},"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(35)</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was used to perform linear regressions using a variety of models. Adjustments for batch/technical covariates, cell composition and other factors used combinations of known covariates and/or derived components/surrogate variables obtained using data reduction/latent variable methods. Model selection was performed using a number of metrics, with post-hoc sensitivity analysis to check the robustness of results to model choice (see </w:t>
      </w:r>
      <w:r w:rsidR="00C10299">
        <w:rPr>
          <w:rStyle w:val="None"/>
          <w:rFonts w:ascii="Times New Roman" w:hAnsi="Times New Roman" w:cs="Times New Roman"/>
          <w:sz w:val="24"/>
          <w:szCs w:val="24"/>
          <w:lang w:val="en-GB"/>
        </w:rPr>
        <w:t>Supplemental</w:t>
      </w:r>
      <w:r w:rsidRPr="00FC3ACB">
        <w:rPr>
          <w:rStyle w:val="None"/>
          <w:rFonts w:ascii="Times New Roman" w:hAnsi="Times New Roman" w:cs="Times New Roman"/>
          <w:sz w:val="24"/>
          <w:szCs w:val="24"/>
          <w:lang w:val="en-GB"/>
        </w:rPr>
        <w:t xml:space="preserve"> Methods </w:t>
      </w:r>
      <w:r w:rsidR="00467442">
        <w:rPr>
          <w:rStyle w:val="None"/>
          <w:rFonts w:ascii="Times New Roman" w:hAnsi="Times New Roman" w:cs="Times New Roman"/>
          <w:sz w:val="24"/>
          <w:szCs w:val="24"/>
          <w:lang w:val="en-GB"/>
        </w:rPr>
        <w:t xml:space="preserve">SM4.1 </w:t>
      </w:r>
      <w:r w:rsidRPr="00FC3ACB">
        <w:rPr>
          <w:rStyle w:val="None"/>
          <w:rFonts w:ascii="Times New Roman" w:hAnsi="Times New Roman" w:cs="Times New Roman"/>
          <w:sz w:val="24"/>
          <w:szCs w:val="24"/>
          <w:lang w:val="en-GB"/>
        </w:rPr>
        <w:t xml:space="preserve">for further details). </w:t>
      </w:r>
    </w:p>
    <w:p w14:paraId="581098BD" w14:textId="77777777" w:rsidR="00CA247D" w:rsidRPr="00FC3ACB" w:rsidRDefault="00CA247D" w:rsidP="00CA247D">
      <w:pPr>
        <w:pStyle w:val="BodyA"/>
        <w:tabs>
          <w:tab w:val="left" w:pos="720"/>
        </w:tabs>
        <w:spacing w:line="360" w:lineRule="auto"/>
        <w:outlineLvl w:val="0"/>
        <w:rPr>
          <w:rStyle w:val="None"/>
          <w:rFonts w:ascii="Times New Roman" w:eastAsia="Cambria" w:hAnsi="Times New Roman" w:cs="Times New Roman"/>
          <w:sz w:val="24"/>
          <w:szCs w:val="24"/>
          <w:lang w:val="en-GB"/>
        </w:rPr>
      </w:pPr>
    </w:p>
    <w:p w14:paraId="0FC0610E" w14:textId="77777777" w:rsidR="00CA247D" w:rsidRPr="007D369E" w:rsidRDefault="00CA247D" w:rsidP="00CA247D">
      <w:pPr>
        <w:pStyle w:val="BodyA"/>
        <w:tabs>
          <w:tab w:val="left" w:pos="720"/>
        </w:tabs>
        <w:spacing w:line="360" w:lineRule="auto"/>
        <w:outlineLvl w:val="0"/>
        <w:rPr>
          <w:rStyle w:val="None"/>
          <w:rFonts w:ascii="Times New Roman" w:eastAsia="Cambria" w:hAnsi="Times New Roman" w:cs="Times New Roman"/>
          <w:sz w:val="24"/>
          <w:szCs w:val="24"/>
          <w:u w:val="single"/>
          <w:lang w:val="en-GB"/>
        </w:rPr>
      </w:pPr>
      <w:r w:rsidRPr="007D369E">
        <w:rPr>
          <w:rStyle w:val="None"/>
          <w:rFonts w:ascii="Times New Roman" w:hAnsi="Times New Roman" w:cs="Times New Roman"/>
          <w:sz w:val="24"/>
          <w:szCs w:val="24"/>
          <w:u w:val="single"/>
          <w:lang w:val="en-GB"/>
        </w:rPr>
        <w:t>Region-level differential methylation analysis</w:t>
      </w:r>
    </w:p>
    <w:p w14:paraId="62581A1E" w14:textId="08D8CE26" w:rsidR="00CA247D" w:rsidRPr="00FC3ACB" w:rsidRDefault="00CA247D" w:rsidP="00CA247D">
      <w:pPr>
        <w:pStyle w:val="BodyA"/>
        <w:spacing w:line="360" w:lineRule="auto"/>
        <w:outlineLvl w:val="0"/>
        <w:rPr>
          <w:rStyle w:val="None"/>
          <w:rFonts w:ascii="Times New Roman" w:hAnsi="Times New Roman" w:cs="Times New Roman"/>
          <w:sz w:val="24"/>
          <w:szCs w:val="24"/>
          <w:lang w:val="en-GB"/>
        </w:rPr>
      </w:pPr>
      <w:r w:rsidRPr="00FC3ACB">
        <w:rPr>
          <w:rStyle w:val="None"/>
          <w:rFonts w:ascii="Times New Roman" w:hAnsi="Times New Roman" w:cs="Times New Roman"/>
          <w:sz w:val="24"/>
          <w:szCs w:val="24"/>
          <w:lang w:val="en-GB"/>
        </w:rPr>
        <w:lastRenderedPageBreak/>
        <w:t>The methylation status of adjacent CpG sites can be highly correlated, particularly in the context of larger-scale regulatory features - for example, CpG islands in gene promoters</w:t>
      </w:r>
      <w:r w:rsidRPr="00FC3ACB">
        <w:rPr>
          <w:rStyle w:val="None"/>
          <w:rFonts w:ascii="Times New Roman" w:hAnsi="Times New Roman" w:cs="Times New Roman"/>
          <w:sz w:val="24"/>
          <w:szCs w:val="24"/>
          <w:u w:color="FF644E"/>
          <w:lang w:val="en-GB"/>
        </w:rPr>
        <w:t xml:space="preserve">. </w:t>
      </w:r>
      <w:r w:rsidRPr="00FC3ACB">
        <w:rPr>
          <w:rStyle w:val="None"/>
          <w:rFonts w:ascii="Times New Roman" w:hAnsi="Times New Roman" w:cs="Times New Roman"/>
          <w:sz w:val="24"/>
          <w:szCs w:val="24"/>
          <w:lang w:val="en-GB"/>
        </w:rPr>
        <w:t xml:space="preserve">This property can be utilised to </w:t>
      </w:r>
      <w:r w:rsidRPr="00FC3ACB">
        <w:rPr>
          <w:rStyle w:val="None"/>
          <w:rFonts w:ascii="Times New Roman" w:hAnsi="Times New Roman" w:cs="Times New Roman"/>
          <w:color w:val="000000" w:themeColor="text1"/>
          <w:sz w:val="24"/>
          <w:szCs w:val="24"/>
          <w:lang w:val="en-GB"/>
        </w:rPr>
        <w:t xml:space="preserve">combine signals from individual sites and provide a more robust and potentially more functionally relevant signal. Since methods for identifying DMRs rest on different underlying assumptions on what constitutes a regional signal, we used two common methods, </w:t>
      </w:r>
      <w:proofErr w:type="spellStart"/>
      <w:r w:rsidRPr="00FC3ACB">
        <w:rPr>
          <w:rStyle w:val="None"/>
          <w:rFonts w:ascii="Times New Roman" w:hAnsi="Times New Roman" w:cs="Times New Roman"/>
          <w:i/>
          <w:color w:val="000000" w:themeColor="text1"/>
          <w:sz w:val="24"/>
          <w:szCs w:val="24"/>
          <w:lang w:val="en-GB"/>
        </w:rPr>
        <w:t>DMRcate</w:t>
      </w:r>
      <w:proofErr w:type="spellEnd"/>
      <w:r w:rsidRPr="00FC3ACB">
        <w:rPr>
          <w:rStyle w:val="None"/>
          <w:rFonts w:ascii="Times New Roman" w:hAnsi="Times New Roman" w:cs="Times New Roman"/>
          <w:color w:val="000000" w:themeColor="text1"/>
          <w:sz w:val="24"/>
          <w:szCs w:val="24"/>
          <w:lang w:val="en-GB"/>
        </w:rPr>
        <w:t xml:space="preserve"> </w:t>
      </w:r>
      <w:r w:rsidRPr="00FC3ACB">
        <w:rPr>
          <w:rStyle w:val="None"/>
          <w:rFonts w:ascii="Times New Roman" w:hAnsi="Times New Roman" w:cs="Times New Roman"/>
          <w:color w:val="000000" w:themeColor="text1"/>
          <w:sz w:val="24"/>
          <w:szCs w:val="24"/>
          <w:lang w:val="en-GB"/>
        </w:rPr>
        <w:fldChar w:fldCharType="begin" w:fldLock="1"/>
      </w:r>
      <w:r w:rsidR="000C3130">
        <w:rPr>
          <w:rStyle w:val="None"/>
          <w:rFonts w:ascii="Times New Roman" w:hAnsi="Times New Roman" w:cs="Times New Roman"/>
          <w:color w:val="000000" w:themeColor="text1"/>
          <w:sz w:val="24"/>
          <w:szCs w:val="24"/>
          <w:lang w:val="en-GB"/>
        </w:rPr>
        <w:instrText>ADDIN CSL_CITATION {"citationItems":[{"id":"ITEM-1","itemData":{"DOI":"10.1186/1756-8935-8-6","ISBN":"1756893586","ISSN":"1756-8935","PMID":"25972926","abstract":"BACKGROUND: The identification and characterisation of differentially methylated regions (DMRs) between phenotypes in the human genome is of prime interest in epigenetics. We present a novel method, DMRcate, that fits replicated methylation measurements from the Illumina HM450K BeadChip (or 450K array) spatially across the genome using a Gaussian kernel. DMRcate identifies and ranks the most differentially methylated regions across the genome based on tunable kernel smoothing of the differential methylation (DM) signal. The method is agnostic to both genomic annotation and local change in the direction of the DM signal, removes the bias incurred from irregularly spaced methylation sites, and assigns significance to each DMR called via comparison to a null model.\\n\\nRESULTS: We show that, for both simulated and real data, the predictive performance of DMRcate is superior to those of Bumphunter and Probe Lasso, and commensurate with that of comb-p. For the real data, we validate all array-derived DMRs from the candidate methods on a suite of DMRs derived from whole-genome bisulfite sequencing called from the same DNA samples, using two separate phenotype comparisons.\\n\\nCONCLUSIONS: The agglomeration of genomically localised individual methylation sites into discrete DMRs is currently best served by a combination of DM-signal smoothing and subsequent threshold specification. The findings also suggest the design of the 450K array shows preference for CpG sites that are more likely to be differentially methylated, but its overall coverage does not adequately reflect the depth and complexity of methylation signatures afforded by sequencing. For the convenience of the research community we have created a user-friendly R software package called DMRcate, downloadable from Bioconductor and compatible with existing preprocessing packages, which allows others to apply the same DMR-finding method on 450K array data.","author":[{"dropping-particle":"","family":"Peters","given":"Timothy J","non-dropping-particle":"","parse-names":false,"suffix":""},{"dropping-particle":"","family":"Buckley","given":"Michael J","non-dropping-particle":"","parse-names":false,"suffix":""},{"dropping-particle":"","family":"Statham","given":"Aaron L","non-dropping-particle":"","parse-names":false,"suffix":""},{"dropping-particle":"","family":"Pidsley","given":"Ruth","non-dropping-particle":"","parse-names":false,"suffix":""},{"dropping-particle":"","family":"Samaras","given":"Katherine","non-dropping-particle":"","parse-names":false,"suffix":""},{"dropping-particle":"","family":"Lord","given":"Reginald","non-dropping-particle":"V","parse-names":false,"suffix":""},{"dropping-particle":"","family":"Clark","given":"Susan J","non-dropping-particle":"","parse-names":false,"suffix":""},{"dropping-particle":"","family":"Molloy","given":"Peter L","non-dropping-particle":"","parse-names":false,"suffix":""}],"container-title":"Epigenetics &amp; chromatin","id":"ITEM-1","issue":"1","issued":{"date-parts":[["2015"]]},"page":"6","title":"De novo identification of differentially methylated regions in the human genome.","type":"article-journal","volume":"8"},"uris":["http://www.mendeley.com/documents/?uuid=b5ace5a0-05bb-4223-8bbc-70bef49fc523"]}],"mendeley":{"formattedCitation":"(36)","plainTextFormattedCitation":"(36)","previouslyFormattedCitation":"(36)"},"properties":{"noteIndex":0},"schema":"https://github.com/citation-style-language/schema/raw/master/csl-citation.json"}</w:instrText>
      </w:r>
      <w:r w:rsidRPr="00FC3ACB">
        <w:rPr>
          <w:rStyle w:val="None"/>
          <w:rFonts w:ascii="Times New Roman" w:hAnsi="Times New Roman" w:cs="Times New Roman"/>
          <w:color w:val="000000" w:themeColor="text1"/>
          <w:sz w:val="24"/>
          <w:szCs w:val="24"/>
          <w:lang w:val="en-GB"/>
        </w:rPr>
        <w:fldChar w:fldCharType="separate"/>
      </w:r>
      <w:r w:rsidR="002A7D5D" w:rsidRPr="002A7D5D">
        <w:rPr>
          <w:rStyle w:val="None"/>
          <w:rFonts w:ascii="Times New Roman" w:hAnsi="Times New Roman" w:cs="Times New Roman"/>
          <w:noProof/>
          <w:color w:val="000000" w:themeColor="text1"/>
          <w:sz w:val="24"/>
          <w:szCs w:val="24"/>
          <w:lang w:val="en-GB"/>
        </w:rPr>
        <w:t>(36)</w:t>
      </w:r>
      <w:r w:rsidRPr="00FC3ACB">
        <w:rPr>
          <w:rStyle w:val="None"/>
          <w:rFonts w:ascii="Times New Roman" w:hAnsi="Times New Roman" w:cs="Times New Roman"/>
          <w:color w:val="000000" w:themeColor="text1"/>
          <w:sz w:val="24"/>
          <w:szCs w:val="24"/>
          <w:lang w:val="en-GB"/>
        </w:rPr>
        <w:fldChar w:fldCharType="end"/>
      </w:r>
      <w:r w:rsidRPr="00FC3ACB">
        <w:rPr>
          <w:rStyle w:val="None"/>
          <w:rFonts w:ascii="Times New Roman" w:hAnsi="Times New Roman" w:cs="Times New Roman"/>
          <w:color w:val="000000" w:themeColor="text1"/>
          <w:sz w:val="24"/>
          <w:szCs w:val="24"/>
          <w:lang w:val="en-GB"/>
        </w:rPr>
        <w:t xml:space="preserve"> and </w:t>
      </w:r>
      <w:r w:rsidRPr="00FC3ACB">
        <w:rPr>
          <w:rStyle w:val="None"/>
          <w:rFonts w:ascii="Times New Roman" w:hAnsi="Times New Roman" w:cs="Times New Roman"/>
          <w:i/>
          <w:color w:val="000000" w:themeColor="text1"/>
          <w:sz w:val="24"/>
          <w:szCs w:val="24"/>
          <w:lang w:val="en-GB"/>
        </w:rPr>
        <w:t xml:space="preserve">comb-p </w:t>
      </w:r>
      <w:r w:rsidRPr="00FC3ACB">
        <w:rPr>
          <w:rStyle w:val="None"/>
          <w:rFonts w:ascii="Times New Roman" w:hAnsi="Times New Roman" w:cs="Times New Roman"/>
          <w:color w:val="000000" w:themeColor="text1"/>
          <w:sz w:val="24"/>
          <w:szCs w:val="24"/>
          <w:lang w:val="en-GB"/>
        </w:rPr>
        <w:fldChar w:fldCharType="begin" w:fldLock="1"/>
      </w:r>
      <w:r w:rsidR="000C3130">
        <w:rPr>
          <w:rStyle w:val="None"/>
          <w:rFonts w:ascii="Times New Roman" w:hAnsi="Times New Roman" w:cs="Times New Roman"/>
          <w:color w:val="000000" w:themeColor="text1"/>
          <w:sz w:val="24"/>
          <w:szCs w:val="24"/>
          <w:lang w:val="en-GB"/>
        </w:rPr>
        <w:instrText>ADDIN CSL_CITATION {"citationItems":[{"id":"ITEM-1","itemData":{"DOI":"10.1093/bioinformatics/bts545","ISSN":"1367-4811","PMID":"22954632","abstract":"SUMMARY comb-p is a command-line tool and a python library that manipulates BED files of possibly irregularly spaced P-values and (1) calculates auto-correlation, (2) combines adjacent P-values, (3) performs false discovery adjustment, (4) finds regions of enrichment (i.e. series of adjacent low P-values) and (5) assigns significance to those regions. In addition, tools are provided for visualization and assessment. We provide validation and example uses on bisulfite-seq with P-values from Fisher's exact test, tiled methylation probes using a linear model and Dam-ID for chromatin binding using moderated t-statistics. Because the library accepts input in a simple, standardized format and is unaffected by the origin of the P-values, it can be used for a wide variety of applications. AVAILABILITY comb-p is maintained under the BSD license. The documentation and implementation are available at https://github.com/brentp/combined-pvalues. CONTACT bpederse@gmail.com","author":[{"dropping-particle":"","family":"Pedersen","given":"Brent S","non-dropping-particle":"","parse-names":false,"suffix":""},{"dropping-particle":"","family":"Schwartz","given":"David A","non-dropping-particle":"","parse-names":false,"suffix":""},{"dropping-particle":"V","family":"Yang","given":"Ivana","non-dropping-particle":"","parse-names":false,"suffix":""},{"dropping-particle":"","family":"Kechris","given":"Katerina J","non-dropping-particle":"","parse-names":false,"suffix":""}],"container-title":"Bioinformatics (Oxford, England)","id":"ITEM-1","issue":"22","issued":{"date-parts":[["2012","11","15"]]},"page":"2986-8","publisher":"Oxford University Press","title":"Comb-p: software for combining, analyzing, grouping and correcting spatially correlated P-values.","type":"article-journal","volume":"28"},"uris":["http://www.mendeley.com/documents/?uuid=d21883af-5c2f-34d3-b5bf-e09879356260"]}],"mendeley":{"formattedCitation":"(37)","plainTextFormattedCitation":"(37)","previouslyFormattedCitation":"(37)"},"properties":{"noteIndex":0},"schema":"https://github.com/citation-style-language/schema/raw/master/csl-citation.json"}</w:instrText>
      </w:r>
      <w:r w:rsidRPr="00FC3ACB">
        <w:rPr>
          <w:rStyle w:val="None"/>
          <w:rFonts w:ascii="Times New Roman" w:hAnsi="Times New Roman" w:cs="Times New Roman"/>
          <w:color w:val="000000" w:themeColor="text1"/>
          <w:sz w:val="24"/>
          <w:szCs w:val="24"/>
          <w:lang w:val="en-GB"/>
        </w:rPr>
        <w:fldChar w:fldCharType="separate"/>
      </w:r>
      <w:r w:rsidR="002A7D5D" w:rsidRPr="002A7D5D">
        <w:rPr>
          <w:rStyle w:val="None"/>
          <w:rFonts w:ascii="Times New Roman" w:hAnsi="Times New Roman" w:cs="Times New Roman"/>
          <w:noProof/>
          <w:color w:val="000000" w:themeColor="text1"/>
          <w:sz w:val="24"/>
          <w:szCs w:val="24"/>
          <w:lang w:val="en-GB"/>
        </w:rPr>
        <w:t>(37)</w:t>
      </w:r>
      <w:r w:rsidRPr="00FC3ACB">
        <w:rPr>
          <w:rStyle w:val="None"/>
          <w:rFonts w:ascii="Times New Roman" w:hAnsi="Times New Roman" w:cs="Times New Roman"/>
          <w:color w:val="000000" w:themeColor="text1"/>
          <w:sz w:val="24"/>
          <w:szCs w:val="24"/>
          <w:lang w:val="en-GB"/>
        </w:rPr>
        <w:fldChar w:fldCharType="end"/>
      </w:r>
      <w:r w:rsidRPr="00FC3ACB">
        <w:rPr>
          <w:rStyle w:val="None"/>
          <w:rFonts w:ascii="Times New Roman" w:hAnsi="Times New Roman" w:cs="Times New Roman"/>
          <w:color w:val="000000" w:themeColor="text1"/>
          <w:sz w:val="24"/>
          <w:szCs w:val="24"/>
          <w:lang w:val="en-GB"/>
        </w:rPr>
        <w:t xml:space="preserve"> and checked for agreement between both, on the grounds that significant findings from both would increase confidence that they were true </w:t>
      </w:r>
      <w:r w:rsidRPr="0024175E">
        <w:rPr>
          <w:rStyle w:val="None"/>
          <w:rFonts w:ascii="Times New Roman" w:hAnsi="Times New Roman" w:cs="Times New Roman"/>
          <w:color w:val="000000" w:themeColor="text1"/>
          <w:sz w:val="24"/>
          <w:szCs w:val="24"/>
          <w:lang w:val="en-GB"/>
        </w:rPr>
        <w:t>DMRs</w:t>
      </w:r>
      <w:r w:rsidR="0024175E" w:rsidRPr="0024175E">
        <w:rPr>
          <w:rStyle w:val="None"/>
          <w:rFonts w:ascii="Times New Roman" w:hAnsi="Times New Roman" w:cs="Times New Roman"/>
          <w:color w:val="000000" w:themeColor="text1"/>
          <w:sz w:val="24"/>
          <w:szCs w:val="24"/>
          <w:lang w:val="en-GB"/>
        </w:rPr>
        <w:t xml:space="preserve"> (</w:t>
      </w:r>
      <w:r w:rsidR="000A6B35" w:rsidRPr="0024175E">
        <w:rPr>
          <w:rStyle w:val="None"/>
          <w:rFonts w:ascii="Times New Roman" w:hAnsi="Times New Roman" w:cs="Times New Roman"/>
          <w:color w:val="000000" w:themeColor="text1"/>
          <w:sz w:val="24"/>
          <w:szCs w:val="24"/>
          <w:lang w:val="en-GB"/>
        </w:rPr>
        <w:t>Supplemental Methods SM4.3</w:t>
      </w:r>
      <w:r w:rsidR="0024175E" w:rsidRPr="0024175E">
        <w:rPr>
          <w:rStyle w:val="None"/>
          <w:rFonts w:ascii="Times New Roman" w:hAnsi="Times New Roman" w:cs="Times New Roman"/>
          <w:color w:val="000000" w:themeColor="text1"/>
          <w:sz w:val="24"/>
          <w:szCs w:val="24"/>
          <w:lang w:val="en-GB"/>
        </w:rPr>
        <w:t>)</w:t>
      </w:r>
      <w:r w:rsidR="000A6B35" w:rsidRPr="0024175E">
        <w:rPr>
          <w:rStyle w:val="None"/>
          <w:rFonts w:ascii="Times New Roman" w:hAnsi="Times New Roman" w:cs="Times New Roman"/>
          <w:color w:val="000000" w:themeColor="text1"/>
          <w:sz w:val="24"/>
          <w:szCs w:val="24"/>
          <w:lang w:val="en-GB"/>
        </w:rPr>
        <w:t>.</w:t>
      </w:r>
    </w:p>
    <w:p w14:paraId="68EEEE67" w14:textId="77777777" w:rsidR="00CA247D" w:rsidRPr="00FC3ACB" w:rsidRDefault="00CA247D" w:rsidP="00CA247D">
      <w:pPr>
        <w:pStyle w:val="BodyA"/>
        <w:spacing w:line="360" w:lineRule="auto"/>
        <w:outlineLvl w:val="0"/>
        <w:rPr>
          <w:rFonts w:ascii="Times New Roman" w:hAnsi="Times New Roman" w:cs="Times New Roman"/>
          <w:sz w:val="24"/>
          <w:szCs w:val="24"/>
          <w:lang w:val="en-GB"/>
        </w:rPr>
      </w:pPr>
    </w:p>
    <w:p w14:paraId="313CC8C6" w14:textId="77777777" w:rsidR="00CA247D" w:rsidRPr="007D369E" w:rsidRDefault="00CA247D" w:rsidP="00CA247D">
      <w:pPr>
        <w:pStyle w:val="BodyA"/>
        <w:spacing w:line="360" w:lineRule="auto"/>
        <w:outlineLvl w:val="0"/>
        <w:rPr>
          <w:rFonts w:ascii="Times New Roman" w:eastAsia="Cambria" w:hAnsi="Times New Roman" w:cs="Times New Roman"/>
          <w:sz w:val="24"/>
          <w:szCs w:val="24"/>
          <w:u w:val="single"/>
          <w:lang w:val="en-GB"/>
        </w:rPr>
      </w:pPr>
      <w:r w:rsidRPr="007D369E">
        <w:rPr>
          <w:rFonts w:ascii="Times New Roman" w:hAnsi="Times New Roman" w:cs="Times New Roman"/>
          <w:sz w:val="24"/>
          <w:szCs w:val="24"/>
          <w:u w:val="single"/>
          <w:lang w:val="en-GB"/>
        </w:rPr>
        <w:t xml:space="preserve">Technical validation </w:t>
      </w:r>
    </w:p>
    <w:p w14:paraId="03EF283A" w14:textId="4C474E1A" w:rsidR="00CA247D" w:rsidRPr="00FC3ACB" w:rsidRDefault="00CA247D" w:rsidP="00CA247D">
      <w:pPr>
        <w:pStyle w:val="Default"/>
        <w:spacing w:after="240" w:line="360" w:lineRule="auto"/>
        <w:rPr>
          <w:rFonts w:ascii="Times New Roman" w:hAnsi="Times New Roman" w:cs="Times New Roman"/>
          <w:sz w:val="24"/>
          <w:szCs w:val="24"/>
          <w:lang w:val="en-GB"/>
        </w:rPr>
      </w:pPr>
      <w:r w:rsidRPr="00FC3ACB">
        <w:rPr>
          <w:rFonts w:ascii="Times New Roman" w:hAnsi="Times New Roman" w:cs="Times New Roman"/>
          <w:sz w:val="24"/>
          <w:szCs w:val="24"/>
          <w:lang w:val="en-GB"/>
        </w:rPr>
        <w:t xml:space="preserve">Technical validation of identified intervention-associated loci from CpG and region-level analyses was performed by pyrosequencing a subsample of </w:t>
      </w:r>
      <w:r w:rsidRPr="00FC3ACB">
        <w:rPr>
          <w:rFonts w:ascii="Times New Roman" w:hAnsi="Times New Roman" w:cs="Times New Roman"/>
          <w:sz w:val="24"/>
          <w:szCs w:val="24"/>
          <w:u w:color="FF644E"/>
          <w:lang w:val="en-GB"/>
        </w:rPr>
        <w:t xml:space="preserve">92 individuals from each cohort </w:t>
      </w:r>
      <w:r w:rsidRPr="00FC3ACB">
        <w:rPr>
          <w:rFonts w:ascii="Times New Roman" w:hAnsi="Times New Roman" w:cs="Times New Roman"/>
          <w:sz w:val="24"/>
          <w:szCs w:val="24"/>
          <w:lang w:val="en-GB"/>
        </w:rPr>
        <w:t xml:space="preserve">and checking correlation between the methylation values obtained on both platforms. Assays were designed and sequencing performed using the </w:t>
      </w:r>
      <w:proofErr w:type="spellStart"/>
      <w:r w:rsidRPr="00FC3ACB">
        <w:rPr>
          <w:rFonts w:ascii="Times New Roman" w:hAnsi="Times New Roman" w:cs="Times New Roman"/>
          <w:sz w:val="24"/>
          <w:szCs w:val="24"/>
          <w:lang w:val="en-GB"/>
        </w:rPr>
        <w:t>PyroMark</w:t>
      </w:r>
      <w:proofErr w:type="spellEnd"/>
      <w:r w:rsidRPr="00FC3ACB">
        <w:rPr>
          <w:rFonts w:ascii="Times New Roman" w:hAnsi="Times New Roman" w:cs="Times New Roman"/>
          <w:sz w:val="24"/>
          <w:szCs w:val="24"/>
          <w:lang w:val="en-GB"/>
        </w:rPr>
        <w:t xml:space="preserve"> Q96 MD </w:t>
      </w:r>
      <w:proofErr w:type="spellStart"/>
      <w:r w:rsidRPr="00FC3ACB">
        <w:rPr>
          <w:rFonts w:ascii="Times New Roman" w:hAnsi="Times New Roman" w:cs="Times New Roman"/>
          <w:sz w:val="24"/>
          <w:szCs w:val="24"/>
          <w:lang w:val="en-GB"/>
        </w:rPr>
        <w:t>pyrosequencer</w:t>
      </w:r>
      <w:proofErr w:type="spellEnd"/>
      <w:r w:rsidRPr="00FC3ACB">
        <w:rPr>
          <w:rFonts w:ascii="Times New Roman" w:hAnsi="Times New Roman" w:cs="Times New Roman"/>
          <w:sz w:val="24"/>
          <w:szCs w:val="24"/>
          <w:lang w:val="en-GB"/>
        </w:rPr>
        <w:t xml:space="preserve"> (Qiagen, Hilden, Germany) as per the manufacturer’s instructions</w:t>
      </w:r>
      <w:r w:rsidR="0024175E">
        <w:rPr>
          <w:rFonts w:ascii="Times New Roman" w:hAnsi="Times New Roman" w:cs="Times New Roman"/>
          <w:sz w:val="24"/>
          <w:szCs w:val="24"/>
          <w:lang w:val="en-GB"/>
        </w:rPr>
        <w:t xml:space="preserve"> (See </w:t>
      </w:r>
      <w:r w:rsidR="00C10299" w:rsidRPr="0024175E">
        <w:rPr>
          <w:rFonts w:ascii="Times New Roman" w:hAnsi="Times New Roman" w:cs="Times New Roman"/>
          <w:sz w:val="24"/>
          <w:szCs w:val="24"/>
          <w:lang w:val="en-GB"/>
        </w:rPr>
        <w:t>Supplemental</w:t>
      </w:r>
      <w:r w:rsidRPr="0024175E">
        <w:rPr>
          <w:rFonts w:ascii="Times New Roman" w:hAnsi="Times New Roman" w:cs="Times New Roman"/>
          <w:sz w:val="24"/>
          <w:szCs w:val="24"/>
          <w:lang w:val="en-GB"/>
        </w:rPr>
        <w:t xml:space="preserve"> Methods </w:t>
      </w:r>
      <w:r w:rsidR="00467442" w:rsidRPr="0024175E">
        <w:rPr>
          <w:rFonts w:ascii="Times New Roman" w:hAnsi="Times New Roman" w:cs="Times New Roman"/>
          <w:sz w:val="24"/>
          <w:szCs w:val="24"/>
          <w:lang w:val="en-GB"/>
        </w:rPr>
        <w:t xml:space="preserve">SM2.5 </w:t>
      </w:r>
      <w:r w:rsidRPr="0024175E">
        <w:rPr>
          <w:rFonts w:ascii="Times New Roman" w:hAnsi="Times New Roman" w:cs="Times New Roman"/>
          <w:sz w:val="24"/>
          <w:szCs w:val="24"/>
          <w:lang w:val="en-GB"/>
        </w:rPr>
        <w:t>for details</w:t>
      </w:r>
      <w:r w:rsidRPr="00FC3ACB">
        <w:rPr>
          <w:rFonts w:ascii="Times New Roman" w:hAnsi="Times New Roman" w:cs="Times New Roman"/>
          <w:sz w:val="24"/>
          <w:szCs w:val="24"/>
          <w:lang w:val="en-GB"/>
        </w:rPr>
        <w:t xml:space="preserve"> on sample selection, assay design, and validation strategy.</w:t>
      </w:r>
    </w:p>
    <w:p w14:paraId="12B8050F" w14:textId="77777777" w:rsidR="00CA247D" w:rsidRPr="005A28F5" w:rsidRDefault="00CA247D" w:rsidP="00CA247D">
      <w:pPr>
        <w:pStyle w:val="BodyA"/>
        <w:spacing w:line="360" w:lineRule="auto"/>
        <w:outlineLvl w:val="0"/>
        <w:rPr>
          <w:rStyle w:val="None"/>
          <w:rFonts w:ascii="Times New Roman" w:eastAsia="Cambria" w:hAnsi="Times New Roman" w:cs="Times New Roman"/>
          <w:sz w:val="21"/>
          <w:szCs w:val="21"/>
          <w:lang w:val="en-GB"/>
        </w:rPr>
      </w:pPr>
    </w:p>
    <w:p w14:paraId="38A6BD42" w14:textId="77777777" w:rsidR="00CA247D" w:rsidRPr="007D369E" w:rsidRDefault="00CA247D" w:rsidP="00CA247D">
      <w:pPr>
        <w:pStyle w:val="BodyA"/>
        <w:spacing w:line="360" w:lineRule="auto"/>
        <w:outlineLvl w:val="0"/>
        <w:rPr>
          <w:rStyle w:val="None"/>
          <w:rFonts w:ascii="Times New Roman" w:eastAsia="Cambria" w:hAnsi="Times New Roman" w:cs="Times New Roman"/>
          <w:i/>
          <w:iCs/>
          <w:sz w:val="20"/>
          <w:szCs w:val="20"/>
          <w:lang w:val="en-GB"/>
        </w:rPr>
      </w:pPr>
      <w:r w:rsidRPr="007D369E">
        <w:rPr>
          <w:rStyle w:val="None"/>
          <w:rFonts w:ascii="Times New Roman" w:hAnsi="Times New Roman" w:cs="Times New Roman"/>
          <w:i/>
          <w:iCs/>
          <w:sz w:val="24"/>
          <w:szCs w:val="24"/>
          <w:lang w:val="en-GB"/>
        </w:rPr>
        <w:t xml:space="preserve">Analysis of candidate loci </w:t>
      </w:r>
    </w:p>
    <w:p w14:paraId="6FB75847" w14:textId="2C15610F" w:rsidR="00CA247D" w:rsidRPr="00FC3ACB" w:rsidRDefault="00CA247D" w:rsidP="00CA247D">
      <w:pPr>
        <w:pStyle w:val="BodyD"/>
        <w:spacing w:line="360" w:lineRule="auto"/>
        <w:rPr>
          <w:rStyle w:val="None"/>
          <w:rFonts w:cs="Times New Roman"/>
          <w:lang w:val="en-GB"/>
        </w:rPr>
      </w:pPr>
      <w:r w:rsidRPr="00FC3ACB">
        <w:rPr>
          <w:rStyle w:val="None"/>
          <w:rFonts w:cs="Times New Roman"/>
          <w:lang w:val="en-GB"/>
        </w:rPr>
        <w:t xml:space="preserve">Individual sites within each candidate region were tested for association with intervention status using robust regressions (R </w:t>
      </w:r>
      <w:proofErr w:type="spellStart"/>
      <w:r w:rsidRPr="00FC3ACB">
        <w:rPr>
          <w:rStyle w:val="None"/>
          <w:rFonts w:cs="Times New Roman"/>
          <w:i/>
          <w:lang w:val="en-GB"/>
        </w:rPr>
        <w:t>rlm</w:t>
      </w:r>
      <w:proofErr w:type="spellEnd"/>
      <w:r w:rsidRPr="00FC3ACB">
        <w:rPr>
          <w:rStyle w:val="None"/>
          <w:rFonts w:cs="Times New Roman"/>
          <w:lang w:val="en-GB"/>
        </w:rPr>
        <w:t xml:space="preserve"> function) with methylation as outcome, and pyrosequencing batch (plate), age, sex, blood cell counts, and season of conception (Gambia only) as covariates. To obtain a single, regional measure of significance for each candidate gene, statistics from the single site robust regression analyses were combined using empirical Brown’s method </w:t>
      </w:r>
      <w:r w:rsidRPr="00FC3ACB">
        <w:rPr>
          <w:rStyle w:val="None"/>
          <w:rFonts w:cs="Times New Roman"/>
          <w:lang w:val="en-GB"/>
        </w:rPr>
        <w:fldChar w:fldCharType="begin" w:fldLock="1"/>
      </w:r>
      <w:r w:rsidR="000C3130">
        <w:rPr>
          <w:rStyle w:val="None"/>
          <w:rFonts w:cs="Times New Roman"/>
          <w:lang w:val="en-GB"/>
        </w:rPr>
        <w:instrText>ADDIN CSL_CITATION {"citationItems":[{"id":"ITEM-1","itemData":{"DOI":"10.1093/bioinformatics/btw438","ISBN":"1367-4811 (Electronic) 1367-4803 (Linking)","ISSN":"1367-4803","PMID":"27587659","abstract":"MOTIVATION Combining P-values from multiple statistical tests is a common exercise in bioinformatics. However, this procedure is non-trivial for dependent P-values. Here, we discuss an empirical adaptation of Brown's method (an extension of Fisher's method) for combining dependent P-values which is appropriate for the large and correlated datasets found in high-throughput biology. RESULTS We show that the Empirical Brown's method (EBM) outperforms Fisher's method as well as alternative approaches for combining dependent P-values using both noisy simulated data and gene expression data from The Cancer Genome Atlas. AVAILABILITY AND IMPLEMENTATION The Empirical Brown's method is available in Python, R, and MATLAB and can be obtained from https://github.com/IlyaLab/CombiningDependentPvalues UsingEBM The R code is also available as a Bioconductor package from https://www.bioconductor.org/packages/devel/bioc/html/EmpiricalBrownsMethod.html CONTACT Theo.Knijnenburg@systemsbiology.org SUPPLEMENTARY INFORMATION Supplementary data are available at Bioinformatics online.","author":[{"dropping-particle":"","family":"Poole","given":"William","non-dropping-particle":"","parse-names":false,"suffix":""},{"dropping-particle":"","family":"Gibbs","given":"David L.","non-dropping-particle":"","parse-names":false,"suffix":""},{"dropping-particle":"","family":"Shmulevich","given":"Ilya","non-dropping-particle":"","parse-names":false,"suffix":""},{"dropping-particle":"","family":"Bernard","given":"Brady","non-dropping-particle":"","parse-names":false,"suffix":""},{"dropping-particle":"","family":"Knijnenburg","given":"Theo A.","non-dropping-particle":"","parse-names":false,"suffix":""}],"container-title":"Bioinformatics","id":"ITEM-1","issue":"17","issued":{"date-parts":[["2016","9","1"]]},"page":"i430-i436","title":"Combining dependent P- values with an empirical adaptation of Brown’s method","type":"article-journal","volume":"32"},"uris":["http://www.mendeley.com/documents/?uuid=41650fa9-d151-4c27-a691-c1c4b964f501"]}],"mendeley":{"formattedCitation":"(38)","plainTextFormattedCitation":"(38)","previouslyFormattedCitation":"(38)"},"properties":{"noteIndex":0},"schema":"https://github.com/citation-style-language/schema/raw/master/csl-citation.json"}</w:instrText>
      </w:r>
      <w:r w:rsidRPr="00FC3ACB">
        <w:rPr>
          <w:rStyle w:val="None"/>
          <w:rFonts w:cs="Times New Roman"/>
          <w:lang w:val="en-GB"/>
        </w:rPr>
        <w:fldChar w:fldCharType="separate"/>
      </w:r>
      <w:r w:rsidR="002A7D5D" w:rsidRPr="002A7D5D">
        <w:rPr>
          <w:rStyle w:val="None"/>
          <w:rFonts w:cs="Times New Roman"/>
          <w:noProof/>
          <w:lang w:val="en-GB"/>
        </w:rPr>
        <w:t>(38)</w:t>
      </w:r>
      <w:r w:rsidRPr="00FC3ACB">
        <w:rPr>
          <w:rStyle w:val="None"/>
          <w:rFonts w:cs="Times New Roman"/>
          <w:lang w:val="en-GB"/>
        </w:rPr>
        <w:fldChar w:fldCharType="end"/>
      </w:r>
      <w:r w:rsidRPr="00FC3ACB">
        <w:rPr>
          <w:rStyle w:val="None"/>
          <w:rFonts w:cs="Times New Roman"/>
          <w:lang w:val="en-GB"/>
        </w:rPr>
        <w:t xml:space="preserve">. This takes into account correlation between measures (methylation values of the CpGs) in the calculation of a combined p value. A 5% FDR threshold was used </w:t>
      </w:r>
      <w:r w:rsidRPr="0024175E">
        <w:rPr>
          <w:rStyle w:val="None"/>
          <w:rFonts w:cs="Times New Roman"/>
          <w:lang w:val="en-GB"/>
        </w:rPr>
        <w:t>to control for multiple testing across the candidate regions</w:t>
      </w:r>
      <w:r w:rsidR="0024175E" w:rsidRPr="0024175E">
        <w:rPr>
          <w:rStyle w:val="None"/>
          <w:rFonts w:cs="Times New Roman"/>
          <w:lang w:val="en-GB"/>
        </w:rPr>
        <w:t xml:space="preserve"> (</w:t>
      </w:r>
      <w:r w:rsidR="00C10299" w:rsidRPr="0024175E">
        <w:rPr>
          <w:rStyle w:val="None"/>
          <w:rFonts w:cs="Times New Roman"/>
          <w:lang w:val="en-GB"/>
        </w:rPr>
        <w:t>Supplemental</w:t>
      </w:r>
      <w:r w:rsidRPr="0024175E">
        <w:rPr>
          <w:rStyle w:val="None"/>
          <w:rFonts w:cs="Times New Roman"/>
          <w:lang w:val="en-GB"/>
        </w:rPr>
        <w:t xml:space="preserve"> Methods </w:t>
      </w:r>
      <w:r w:rsidR="00467442" w:rsidRPr="0024175E">
        <w:rPr>
          <w:rStyle w:val="None"/>
          <w:rFonts w:cs="Times New Roman"/>
          <w:lang w:val="en-GB"/>
        </w:rPr>
        <w:t>SM5.1 and SM5.2</w:t>
      </w:r>
      <w:r w:rsidR="0024175E" w:rsidRPr="0024175E">
        <w:rPr>
          <w:rStyle w:val="None"/>
          <w:rFonts w:cs="Times New Roman"/>
          <w:lang w:val="en-GB"/>
        </w:rPr>
        <w:t>)</w:t>
      </w:r>
      <w:r w:rsidRPr="0024175E">
        <w:rPr>
          <w:rStyle w:val="None"/>
          <w:rFonts w:cs="Times New Roman"/>
          <w:lang w:val="en-GB"/>
        </w:rPr>
        <w:t>.</w:t>
      </w:r>
    </w:p>
    <w:p w14:paraId="67C28AAF" w14:textId="77777777" w:rsidR="00CA247D" w:rsidRPr="005A28F5" w:rsidRDefault="00CA247D" w:rsidP="00CA247D">
      <w:pPr>
        <w:pStyle w:val="BodyD"/>
        <w:spacing w:line="360" w:lineRule="auto"/>
        <w:rPr>
          <w:rStyle w:val="None"/>
          <w:rFonts w:cs="Times New Roman"/>
          <w:sz w:val="21"/>
          <w:szCs w:val="21"/>
          <w:lang w:val="en-GB"/>
        </w:rPr>
      </w:pPr>
    </w:p>
    <w:p w14:paraId="229BA4BE" w14:textId="29E59492" w:rsidR="0038150C" w:rsidRPr="00FC3ACB" w:rsidRDefault="0038150C" w:rsidP="0038150C">
      <w:pPr>
        <w:pStyle w:val="BodyA"/>
        <w:spacing w:line="360" w:lineRule="auto"/>
        <w:outlineLvl w:val="0"/>
        <w:rPr>
          <w:rStyle w:val="None"/>
          <w:rFonts w:ascii="Times New Roman" w:hAnsi="Times New Roman" w:cs="Times New Roman"/>
          <w:sz w:val="24"/>
          <w:szCs w:val="24"/>
          <w:lang w:val="en-GB"/>
        </w:rPr>
      </w:pPr>
      <w:r w:rsidRPr="007D369E">
        <w:rPr>
          <w:rStyle w:val="None"/>
          <w:rFonts w:ascii="Times New Roman" w:hAnsi="Times New Roman" w:cs="Times New Roman"/>
          <w:sz w:val="28"/>
          <w:szCs w:val="28"/>
          <w:lang w:val="en-GB"/>
        </w:rPr>
        <w:t>Additional statistical analysis</w:t>
      </w:r>
    </w:p>
    <w:p w14:paraId="03A3665F" w14:textId="77777777" w:rsidR="00CA247D" w:rsidRPr="005A28F5" w:rsidRDefault="00CA247D" w:rsidP="00CA247D">
      <w:pPr>
        <w:pStyle w:val="BodyA"/>
        <w:spacing w:line="360" w:lineRule="auto"/>
        <w:outlineLvl w:val="0"/>
        <w:rPr>
          <w:rStyle w:val="None"/>
          <w:rFonts w:ascii="Times New Roman" w:hAnsi="Times New Roman" w:cs="Times New Roman"/>
          <w:sz w:val="21"/>
          <w:szCs w:val="21"/>
          <w:lang w:val="en-GB"/>
        </w:rPr>
      </w:pPr>
    </w:p>
    <w:p w14:paraId="2E9B0302" w14:textId="77777777" w:rsidR="00CA247D" w:rsidRPr="0038150C" w:rsidRDefault="00CA247D" w:rsidP="00CA247D">
      <w:pPr>
        <w:pStyle w:val="BodyA"/>
        <w:spacing w:line="360" w:lineRule="auto"/>
        <w:outlineLvl w:val="0"/>
        <w:rPr>
          <w:rStyle w:val="None"/>
          <w:rFonts w:ascii="Times New Roman" w:eastAsia="Cambria" w:hAnsi="Times New Roman" w:cs="Times New Roman"/>
          <w:i/>
          <w:iCs/>
          <w:sz w:val="24"/>
          <w:szCs w:val="24"/>
          <w:lang w:val="en-GB"/>
        </w:rPr>
      </w:pPr>
      <w:r w:rsidRPr="0038150C">
        <w:rPr>
          <w:rStyle w:val="None"/>
          <w:rFonts w:ascii="Times New Roman" w:hAnsi="Times New Roman" w:cs="Times New Roman"/>
          <w:i/>
          <w:iCs/>
          <w:sz w:val="24"/>
          <w:szCs w:val="24"/>
          <w:lang w:val="en-GB"/>
        </w:rPr>
        <w:t>Enrichment tests</w:t>
      </w:r>
    </w:p>
    <w:p w14:paraId="0BCF3BEC" w14:textId="28B043D0" w:rsidR="00CA247D" w:rsidRPr="00FC3ACB" w:rsidRDefault="00CA247D" w:rsidP="00CA247D">
      <w:pPr>
        <w:pStyle w:val="BodyA"/>
        <w:spacing w:line="360" w:lineRule="auto"/>
        <w:rPr>
          <w:rStyle w:val="None"/>
          <w:rFonts w:ascii="Times New Roman" w:eastAsia="Cambria" w:hAnsi="Times New Roman" w:cs="Times New Roman"/>
          <w:sz w:val="24"/>
          <w:szCs w:val="24"/>
          <w:lang w:val="en-GB"/>
        </w:rPr>
      </w:pPr>
      <w:r w:rsidRPr="00FC3ACB">
        <w:rPr>
          <w:rStyle w:val="None"/>
          <w:rFonts w:ascii="Times New Roman" w:hAnsi="Times New Roman" w:cs="Times New Roman"/>
          <w:sz w:val="24"/>
          <w:szCs w:val="24"/>
          <w:lang w:val="en-GB"/>
        </w:rPr>
        <w:t xml:space="preserve">The EWAS results lists were tested for enrichment of loci previously associated with periconceptional maternal nutrition to help identify potential subthreshold signals. </w:t>
      </w:r>
      <w:r w:rsidR="003F0A06">
        <w:rPr>
          <w:rStyle w:val="None"/>
          <w:rFonts w:ascii="Times New Roman" w:hAnsi="Times New Roman" w:cs="Times New Roman"/>
          <w:sz w:val="24"/>
          <w:szCs w:val="24"/>
          <w:lang w:val="en-GB"/>
        </w:rPr>
        <w:t xml:space="preserve">Here </w:t>
      </w:r>
      <w:r w:rsidR="003F0A06" w:rsidRPr="003F0A06">
        <w:rPr>
          <w:rFonts w:ascii="Times New Roman" w:hAnsi="Times New Roman" w:cs="Times New Roman"/>
          <w:sz w:val="24"/>
          <w:szCs w:val="24"/>
          <w:lang w:val="en-GB"/>
        </w:rPr>
        <w:t xml:space="preserve">the </w:t>
      </w:r>
      <w:r w:rsidR="003F0A06" w:rsidRPr="003F0A06">
        <w:rPr>
          <w:rFonts w:ascii="Times New Roman" w:hAnsi="Times New Roman" w:cs="Times New Roman"/>
          <w:sz w:val="24"/>
          <w:szCs w:val="24"/>
          <w:lang w:val="en-GB"/>
        </w:rPr>
        <w:lastRenderedPageBreak/>
        <w:t xml:space="preserve">alternative hypothesis </w:t>
      </w:r>
      <w:r w:rsidR="003F0A06">
        <w:rPr>
          <w:rFonts w:ascii="Times New Roman" w:hAnsi="Times New Roman" w:cs="Times New Roman"/>
          <w:sz w:val="24"/>
          <w:szCs w:val="24"/>
          <w:lang w:val="en-GB"/>
        </w:rPr>
        <w:t xml:space="preserve">is </w:t>
      </w:r>
      <w:r w:rsidR="003F0A06" w:rsidRPr="003F0A06">
        <w:rPr>
          <w:rFonts w:ascii="Times New Roman" w:hAnsi="Times New Roman" w:cs="Times New Roman"/>
          <w:sz w:val="24"/>
          <w:szCs w:val="24"/>
          <w:lang w:val="en-GB"/>
        </w:rPr>
        <w:t>that a set of loci are jointly more significantly associated with the intervention than would be expected by chance.</w:t>
      </w:r>
      <w:r w:rsidR="003F0A06">
        <w:rPr>
          <w:rFonts w:ascii="Times New Roman" w:hAnsi="Times New Roman" w:cs="Times New Roman"/>
          <w:sz w:val="24"/>
          <w:szCs w:val="24"/>
          <w:lang w:val="en-GB"/>
        </w:rPr>
        <w:t xml:space="preserve"> </w:t>
      </w:r>
      <w:r w:rsidRPr="00FC3ACB">
        <w:rPr>
          <w:rStyle w:val="None"/>
          <w:rFonts w:ascii="Times New Roman" w:hAnsi="Times New Roman" w:cs="Times New Roman"/>
          <w:sz w:val="24"/>
          <w:szCs w:val="24"/>
          <w:lang w:val="en-GB"/>
        </w:rPr>
        <w:t>DMPs at nominal p &lt; 0.05 and showing an effect size (Beta difference between intervention and control groups) of at least 2% were tested for overrepresentation in two CpG sets of interest:</w:t>
      </w:r>
    </w:p>
    <w:p w14:paraId="283A7832" w14:textId="5408576F" w:rsidR="00CA247D" w:rsidRPr="00FC3ACB" w:rsidRDefault="00CA247D" w:rsidP="00CA247D">
      <w:pPr>
        <w:pStyle w:val="BodyA"/>
        <w:numPr>
          <w:ilvl w:val="0"/>
          <w:numId w:val="2"/>
        </w:numPr>
        <w:spacing w:line="360" w:lineRule="auto"/>
        <w:rPr>
          <w:rFonts w:ascii="Times New Roman" w:hAnsi="Times New Roman" w:cs="Times New Roman"/>
          <w:sz w:val="24"/>
          <w:szCs w:val="24"/>
          <w:lang w:val="en-GB"/>
        </w:rPr>
      </w:pPr>
      <w:r w:rsidRPr="00FC3ACB">
        <w:rPr>
          <w:rStyle w:val="None"/>
          <w:rFonts w:ascii="Times New Roman" w:hAnsi="Times New Roman" w:cs="Times New Roman"/>
          <w:sz w:val="24"/>
          <w:szCs w:val="24"/>
          <w:lang w:val="en-GB"/>
        </w:rPr>
        <w:t xml:space="preserve">a previously published list of putative metastable epialleles (MEs) identified using the Illumina 450k array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uris":["http://www.mendeley.com/documents/?uuid=3bb5de50-9974-4281-8d76-a9e03dcbac83"]}],"mendeley":{"formattedCitation":"(39)","plainTextFormattedCitation":"(39)","previouslyFormattedCitation":"(39)"},"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(39)</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w:t>
      </w:r>
      <w:r w:rsidR="00990A6D">
        <w:rPr>
          <w:rStyle w:val="None"/>
          <w:rFonts w:ascii="Times New Roman" w:hAnsi="Times New Roman" w:cs="Times New Roman"/>
          <w:sz w:val="24"/>
          <w:szCs w:val="24"/>
          <w:lang w:val="en-GB"/>
        </w:rPr>
        <w:t xml:space="preserve">There is evidence that DNAm at </w:t>
      </w:r>
      <w:r w:rsidRPr="00FC3ACB">
        <w:rPr>
          <w:rStyle w:val="None"/>
          <w:rFonts w:ascii="Times New Roman" w:hAnsi="Times New Roman" w:cs="Times New Roman"/>
          <w:sz w:val="24"/>
          <w:szCs w:val="24"/>
          <w:lang w:val="en-GB"/>
        </w:rPr>
        <w:t xml:space="preserve">MEs </w:t>
      </w:r>
      <w:r w:rsidR="00990A6D">
        <w:rPr>
          <w:rStyle w:val="None"/>
          <w:rFonts w:ascii="Times New Roman" w:hAnsi="Times New Roman" w:cs="Times New Roman"/>
          <w:sz w:val="24"/>
          <w:szCs w:val="24"/>
          <w:lang w:val="en-GB"/>
        </w:rPr>
        <w:t xml:space="preserve">is established in the early embryo around the time of conception, and these loci </w:t>
      </w:r>
      <w:r w:rsidRPr="00FC3ACB">
        <w:rPr>
          <w:rStyle w:val="None"/>
          <w:rFonts w:ascii="Times New Roman" w:hAnsi="Times New Roman" w:cs="Times New Roman"/>
          <w:sz w:val="24"/>
          <w:szCs w:val="24"/>
          <w:lang w:val="en-GB"/>
        </w:rPr>
        <w:t xml:space="preserve">display high levels of interindividual variability </w:t>
      </w:r>
      <w:r w:rsidR="001505AD">
        <w:rPr>
          <w:rStyle w:val="None"/>
          <w:rFonts w:ascii="Times New Roman" w:hAnsi="Times New Roman" w:cs="Times New Roman"/>
          <w:sz w:val="24"/>
          <w:szCs w:val="24"/>
          <w:lang w:val="en-GB"/>
        </w:rPr>
        <w:t xml:space="preserve">that </w:t>
      </w:r>
      <w:r w:rsidRPr="00FC3ACB">
        <w:rPr>
          <w:rStyle w:val="None"/>
          <w:rFonts w:ascii="Times New Roman" w:hAnsi="Times New Roman" w:cs="Times New Roman"/>
          <w:sz w:val="24"/>
          <w:szCs w:val="24"/>
          <w:lang w:val="en-GB"/>
        </w:rPr>
        <w:t xml:space="preserve">may be sensitive to the early nutritional environment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embryo","type":"article-journal","volume":"4"},"uris":["http://www.mendeley.com/documents/?uuid=d24301e0-24a7-4a05-8076-656c9e03a9f7"]},{"id":"ITEM-2","itemData":{"ISSN":"0270-7306","PMID":"12861015","abstract":"Early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humans.","author":[{"dropping-particle":"","family":"Waterland","given":"Robert A","non-dropping-particle":"","parse-names":false,"suffix":""},{"dropping-particle":"","family":"Jirtle","given":"Randy L","non-dropping-particle":"","parse-names":false,"suffix":""}],"container-title":"Molecular and cellular biology","id":"ITEM-2","issue":"15","issued":{"date-parts":[["2003","8"]]},"page":"5293-300","title":"Transposable elements: targets for early nutritional effects on epigenetic gene regulation.","type":"article-journal","volume":"23"},"uris":["http://www.mendeley.com/documents/?uuid=13bcf302-4966-4cf8-b0fd-272179109f43"]},{"id":"ITEM-3","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Communications","id":"ITEM-3","issued":{"date-parts":[["2014","4","29"]]},"language":"en","page":"1-7","publisher":"Nature Publishing Group","title":"Maternal nutrition at conception modulates DNA methylation of human metastable epialleles","type":"article-journal","volume":"5"},"uris":["http://www.mendeley.com/documents/?uuid=6b5f8d86-1622-402c-bdf7-397885c014d1"]}],"mendeley":{"formattedCitation":"(18,40,41)","plainTextFormattedCitation":"(18,40,41)","previouslyFormattedCitation":"(18,40,41)"},"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(18,40,41)</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w:t>
      </w:r>
    </w:p>
    <w:p w14:paraId="6621D720" w14:textId="6C77594D" w:rsidR="00CA247D" w:rsidRPr="00FC3ACB" w:rsidRDefault="00CA247D" w:rsidP="00CA247D">
      <w:pPr>
        <w:pStyle w:val="BodyA"/>
        <w:numPr>
          <w:ilvl w:val="0"/>
          <w:numId w:val="2"/>
        </w:numPr>
        <w:spacing w:line="360" w:lineRule="auto"/>
        <w:rPr>
          <w:rFonts w:ascii="Times New Roman" w:hAnsi="Times New Roman" w:cs="Times New Roman"/>
          <w:sz w:val="24"/>
          <w:szCs w:val="24"/>
          <w:lang w:val="en-GB"/>
        </w:rPr>
      </w:pPr>
      <w:r w:rsidRPr="00FC3ACB">
        <w:rPr>
          <w:rStyle w:val="None"/>
          <w:rFonts w:ascii="Times New Roman" w:hAnsi="Times New Roman" w:cs="Times New Roman"/>
          <w:sz w:val="24"/>
          <w:szCs w:val="24"/>
          <w:lang w:val="en-GB"/>
        </w:rPr>
        <w:t xml:space="preserve">a set of CpGs in DMRs in known imprinting control regions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{"citationItems":[{"id":"ITEM-1","itemData":{"DOI":"10.1080/15592294.2016.1264561","ISSN":"15592308","PMID":"27911167","abstract":"The analysis of DNA methylation has become routine in the pipeline for diagnosis of imprinting disorders, with many publications reporting aberrant methylation associated with imprinted differentially methylated regions (DMRs). However, comparisons between these studies are routinely hampered by the lack of consistency in reporting sites of methylation evaluated. To avoid confusion surrounding nomenclature, special care is needed to communicate results accurately, especially between scientists and other health care professionals. Within the European Network for Human Congenital Imprinting Disorders we have discussed these issues and designed a nomenclature for naming imprinted DMRs as well as for reporting methylation values. We apply these recommendations for imprinted DMRs that are commonly assayed in clinical laboratories and show how they support standardized database submission. The recommendations are in line with existing recommendations, most importantly the Human Genome Variation Society nomenclature, and should facilitate accurate reporting and data exchange among laboratories and thereby help to avoid future confusion.","author":[{"dropping-particle":"","family":"Monk","given":"David","non-dropping-particle":"","parse-names":false,"suffix":""},{"dropping-particle":"","family":"Morales","given":"Joannella","non-dropping-particle":"","parse-names":false,"suffix":""},{"dropping-particle":"","family":"Dunnen","given":"Johan T.","non-dropping-particle":"den","parse-names":false,"suffix":""},{"dropping-particle":"","family":"Russo","given":"Silvia","non-dropping-particle":"","parse-names":false,"suffix":""},{"dropping-particle":"","family":"Court","given":"Franck","non-dropping-particle":"","parse-names":false,"suffix":""},{"dropping-particle":"","family":"Prawitt","given":"Dirk","non-dropping-particle":"","parse-names":false,"suffix":""},{"dropping-particle":"","family":"Eggermann","given":"Thomas","non-dropping-particle":"","parse-names":false,"suffix":""},{"dropping-particle":"","family":"Beygo","given":"Jasmin","non-dropping-particle":"","parse-names":false,"suffix":""},{"dropping-particle":"","family":"Buiting","given":"Karin","non-dropping-particle":"","parse-names":false,"suffix":""},{"dropping-particle":"","family":"Tümer","given":"Zeynep","non-dropping-particle":"","parse-names":false,"suffix":""}],"container-title":"Epigenetics","id":"ITEM-1","issue":"2","issued":{"date-parts":[["2018","2"]]},"page":"117-121","title":"Recommendations for a nomenclature system for reporting methylation aberrations in imprinted domains","type":"article-journal","volume":"13"},"uris":["http://www.mendeley.com/documents/?uuid=3597c972-bc7d-4e40-aa9e-fb7afb4c2ee1"]}],"mendeley":{"formattedCitation":"(42)","plainTextFormattedCitation":"(42)","previouslyFormattedCitation":"(42)"},"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(42)</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Prior evidence exists linking maternal nutrition to methylation status at a number of imprinted loci </w:t>
      </w:r>
      <w:r w:rsidRPr="00FC3ACB">
        <w:rPr>
          <w:rStyle w:val="None"/>
          <w:rFonts w:ascii="Times New Roman" w:hAnsi="Times New Roman" w:cs="Times New Roman"/>
          <w:sz w:val="24"/>
          <w:szCs w:val="24"/>
          <w:lang w:val="en-GB"/>
        </w:rPr>
        <w:fldChar w:fldCharType="begin" w:fldLock="1"/>
      </w:r>
      <w:r w:rsidR="001754FE">
        <w:rPr>
          <w:rStyle w:val="None"/>
          <w:rFonts w:ascii="Times New Roman" w:hAnsi="Times New Roman" w:cs="Times New Roman"/>
          <w:sz w:val="24"/>
          <w:szCs w:val="24"/>
          <w:lang w:val="en-GB"/>
        </w:rPr>
        <w:instrText>ADDIN CSL_CITATION {"citationItems":[{"id":"ITEM-1","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Epidemiology","id":"ITEM-1","issue":"August","issued":{"date-parts":[["2018","8","17"]]},"page":"1-28","title":"Candidate genes linking maternal nutrient exposure to offspring health via DNA methylation: a review of existing evidence in humans with specific focus on one-carbon metabolism","type":"article-journal"},"uris":["http://www.mendeley.com/documents/?uuid=444e4c97-0b67-4638-8308-cf6d2307c1b0"]}],"mendeley":{"formattedCitation":"(9)","plainTextFormattedCitation":"(9)","previouslyFormattedCitation":"(9)"},"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63572E" w:rsidRPr="00453860">
        <w:rPr>
          <w:rStyle w:val="None"/>
          <w:rFonts w:ascii="Times New Roman" w:hAnsi="Times New Roman" w:cs="Times New Roman"/>
          <w:noProof/>
          <w:sz w:val="24"/>
          <w:szCs w:val="24"/>
          <w:lang w:val="en-GB"/>
        </w:rPr>
        <w:t>(9)</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w:t>
      </w:r>
    </w:p>
    <w:p w14:paraId="3B46D2F9" w14:textId="16CC7690" w:rsidR="00CA247D" w:rsidRPr="00FC3ACB" w:rsidRDefault="00CA247D" w:rsidP="00CA247D">
      <w:pPr>
        <w:pStyle w:val="BodyA"/>
        <w:spacing w:line="360" w:lineRule="auto"/>
        <w:rPr>
          <w:rStyle w:val="None"/>
          <w:rFonts w:ascii="Times New Roman" w:hAnsi="Times New Roman" w:cs="Times New Roman"/>
          <w:sz w:val="24"/>
          <w:szCs w:val="24"/>
          <w:lang w:val="en-GB"/>
        </w:rPr>
      </w:pPr>
      <w:r w:rsidRPr="00FC3ACB">
        <w:rPr>
          <w:rStyle w:val="None"/>
          <w:rFonts w:ascii="Times New Roman" w:hAnsi="Times New Roman" w:cs="Times New Roman"/>
          <w:sz w:val="24"/>
          <w:szCs w:val="24"/>
          <w:lang w:val="en-GB"/>
        </w:rPr>
        <w:t xml:space="preserve">Enrichment results were compared against a set of variance-matched control CpGs to assess whether enrichment could be the result of the inherent variability of ME CpGs unrelated to the intervention. Sample permutation was used to derive an estimate for the significance of the enrichment </w:t>
      </w:r>
      <w:r w:rsidRPr="0024175E">
        <w:rPr>
          <w:rStyle w:val="None"/>
          <w:rFonts w:ascii="Times New Roman" w:hAnsi="Times New Roman" w:cs="Times New Roman"/>
          <w:sz w:val="24"/>
          <w:szCs w:val="24"/>
          <w:lang w:val="en-GB"/>
        </w:rPr>
        <w:t>(</w:t>
      </w:r>
      <w:r w:rsidR="00C10299" w:rsidRPr="0024175E">
        <w:rPr>
          <w:rStyle w:val="None"/>
          <w:rFonts w:ascii="Times New Roman" w:hAnsi="Times New Roman" w:cs="Times New Roman"/>
          <w:sz w:val="24"/>
          <w:szCs w:val="24"/>
          <w:lang w:val="en-GB"/>
        </w:rPr>
        <w:t>Supplemental</w:t>
      </w:r>
      <w:r w:rsidRPr="0024175E">
        <w:rPr>
          <w:rStyle w:val="None"/>
          <w:rFonts w:ascii="Times New Roman" w:hAnsi="Times New Roman" w:cs="Times New Roman"/>
          <w:sz w:val="24"/>
          <w:szCs w:val="24"/>
          <w:lang w:val="en-GB"/>
        </w:rPr>
        <w:t xml:space="preserve"> Methods</w:t>
      </w:r>
      <w:r w:rsidR="00467442" w:rsidRPr="0024175E">
        <w:rPr>
          <w:rStyle w:val="None"/>
          <w:rFonts w:ascii="Times New Roman" w:hAnsi="Times New Roman" w:cs="Times New Roman"/>
          <w:sz w:val="24"/>
          <w:szCs w:val="24"/>
          <w:lang w:val="en-GB"/>
        </w:rPr>
        <w:t xml:space="preserve"> </w:t>
      </w:r>
      <w:r w:rsidR="003E394B" w:rsidRPr="0024175E">
        <w:rPr>
          <w:rStyle w:val="None"/>
          <w:rFonts w:ascii="Times New Roman" w:hAnsi="Times New Roman" w:cs="Times New Roman"/>
          <w:sz w:val="24"/>
          <w:szCs w:val="24"/>
          <w:lang w:val="en-GB"/>
        </w:rPr>
        <w:t>SM4.4</w:t>
      </w:r>
      <w:r w:rsidRPr="0024175E">
        <w:rPr>
          <w:rStyle w:val="None"/>
          <w:rFonts w:ascii="Times New Roman" w:hAnsi="Times New Roman" w:cs="Times New Roman"/>
          <w:sz w:val="24"/>
          <w:szCs w:val="24"/>
          <w:lang w:val="en-GB"/>
        </w:rPr>
        <w:t>).</w:t>
      </w:r>
    </w:p>
    <w:p w14:paraId="271866F6" w14:textId="77777777" w:rsidR="00CA247D" w:rsidRPr="005A28F5" w:rsidRDefault="00CA247D" w:rsidP="00CA247D">
      <w:pPr>
        <w:pStyle w:val="BodyA"/>
        <w:spacing w:line="360" w:lineRule="auto"/>
        <w:rPr>
          <w:rStyle w:val="None"/>
          <w:rFonts w:ascii="Times New Roman" w:hAnsi="Times New Roman" w:cs="Times New Roman"/>
          <w:sz w:val="21"/>
          <w:szCs w:val="21"/>
          <w:lang w:val="en-GB"/>
        </w:rPr>
      </w:pPr>
    </w:p>
    <w:p w14:paraId="6E32B04C" w14:textId="77777777" w:rsidR="00CA247D" w:rsidRPr="0038150C" w:rsidRDefault="00CA247D" w:rsidP="00CA247D">
      <w:pPr>
        <w:pStyle w:val="BodyA"/>
        <w:spacing w:line="360" w:lineRule="auto"/>
        <w:outlineLvl w:val="0"/>
        <w:rPr>
          <w:rStyle w:val="None"/>
          <w:rFonts w:ascii="Times New Roman" w:eastAsia="Cambria" w:hAnsi="Times New Roman" w:cs="Times New Roman"/>
          <w:i/>
          <w:iCs/>
          <w:sz w:val="24"/>
          <w:szCs w:val="24"/>
          <w:lang w:val="en-GB"/>
        </w:rPr>
      </w:pPr>
      <w:r w:rsidRPr="0038150C">
        <w:rPr>
          <w:rStyle w:val="None"/>
          <w:rFonts w:ascii="Times New Roman" w:hAnsi="Times New Roman" w:cs="Times New Roman"/>
          <w:i/>
          <w:iCs/>
          <w:sz w:val="24"/>
          <w:szCs w:val="24"/>
          <w:lang w:val="en-GB"/>
        </w:rPr>
        <w:t>Phenome scan</w:t>
      </w:r>
    </w:p>
    <w:p w14:paraId="29A25802" w14:textId="1C1A0EA6" w:rsidR="00CA247D" w:rsidRPr="00FC3ACB" w:rsidRDefault="00CA247D" w:rsidP="00CA247D">
      <w:pPr>
        <w:pStyle w:val="BodyA"/>
        <w:spacing w:line="360" w:lineRule="auto"/>
        <w:rPr>
          <w:rStyle w:val="None"/>
          <w:rFonts w:ascii="Times New Roman" w:eastAsia="Cambria" w:hAnsi="Times New Roman" w:cs="Times New Roman"/>
          <w:sz w:val="24"/>
          <w:szCs w:val="24"/>
          <w:lang w:val="en-GB"/>
        </w:rPr>
      </w:pPr>
      <w:r w:rsidRPr="00FC3ACB">
        <w:rPr>
          <w:rStyle w:val="None"/>
          <w:rFonts w:ascii="Times New Roman" w:hAnsi="Times New Roman" w:cs="Times New Roman"/>
          <w:sz w:val="24"/>
          <w:szCs w:val="24"/>
          <w:lang w:val="en-GB"/>
        </w:rPr>
        <w:t xml:space="preserve">To gain potential insights into the health relevance of the identified intervention-associated DNAm signals, a phenome scan was performed using the </w:t>
      </w:r>
      <w:proofErr w:type="spellStart"/>
      <w:r w:rsidRPr="00FC3ACB">
        <w:rPr>
          <w:rStyle w:val="None"/>
          <w:rFonts w:ascii="Times New Roman" w:hAnsi="Times New Roman" w:cs="Times New Roman"/>
          <w:sz w:val="24"/>
          <w:szCs w:val="24"/>
          <w:lang w:val="en-GB"/>
        </w:rPr>
        <w:t>PhenoScanner</w:t>
      </w:r>
      <w:proofErr w:type="spellEnd"/>
      <w:r w:rsidRPr="00FC3ACB">
        <w:rPr>
          <w:rStyle w:val="None"/>
          <w:rFonts w:ascii="Times New Roman" w:hAnsi="Times New Roman" w:cs="Times New Roman"/>
          <w:sz w:val="24"/>
          <w:szCs w:val="24"/>
          <w:lang w:val="en-GB"/>
        </w:rPr>
        <w:t xml:space="preserve"> v2 database of GWAS associations </w:t>
      </w:r>
      <w:r w:rsidRPr="00FC3ACB">
        <w:rPr>
          <w:rStyle w:val="None"/>
          <w:rFonts w:ascii="Times New Roman" w:hAnsi="Times New Roman" w:cs="Times New Roman"/>
          <w:color w:val="000000" w:themeColor="text1"/>
          <w:sz w:val="24"/>
          <w:szCs w:val="24"/>
          <w:lang w:val="en-GB"/>
        </w:rPr>
        <w:fldChar w:fldCharType="begin" w:fldLock="1"/>
      </w:r>
      <w:r w:rsidR="000C3130">
        <w:rPr>
          <w:rStyle w:val="None"/>
          <w:rFonts w:ascii="Times New Roman" w:hAnsi="Times New Roman" w:cs="Times New Roman"/>
          <w:color w:val="000000" w:themeColor="text1"/>
          <w:sz w:val="24"/>
          <w:szCs w:val="24"/>
          <w:lang w:val="en-GB"/>
        </w:rPr>
        <w:instrText>ADDIN CSL_CITATION {"citationItems":[{"id":"ITEM-1","itemData":{"DOI":"10.1093/bioinformatics/btw373","ISBN":"13674811 (Electronic)","ISSN":"1367-4803","PMID":"27318201","abstract":"PhenoScanner is a curated database of publicly available results from large-scale genetic association studies. This tool aims to facilitate 'phenome scans', the cross-referencing of genetic variants with many phenotypes, to help aid understanding of disease pathways and biology. The database currently contains over 350 million association results and over 10 million unique genetic variants, mostly single nucleotide polymorphisms. It is accompanied by a web-based tool that queries the database for associations with user-specified variants, providing results according to the same effect and non-effect alleles for each input variant. The tool provides the option of searching for trait associations with proxies of the input variants, calculated using the European samples from 1000 Genomes and Hapmap. AVAILABILITY AND IMPLEMENTATION PhenoScanner is available at www.phenoscanner.medschl.cam.ac.uk CONTACT: jrs95@medschl.cam.ac.ukSupplementary information: Supplementary data are available at Bioinformatics online.","author":[{"dropping-particle":"","family":"Staley","given":"James R.","non-dropping-particle":"","parse-names":false,"suffix":""},{"dropping-particle":"","family":"Blackshaw","given":"James","non-dropping-particle":"","parse-names":false,"suffix":""},{"dropping-particle":"","family":"Kamat","given":"Mihir A.","non-dropping-particle":"","parse-names":false,"suffix":""},{"dropping-particle":"","family":"Ellis","given":"Steve","non-dropping-particle":"","parse-names":false,"suffix":""},{"dropping-particle":"","family":"Surendran","given":"Praveen","non-dropping-particle":"","parse-names":false,"suffix":""},{"dropping-particle":"","family":"Sun","given":"Benjamin B.","non-dropping-particle":"","parse-names":false,"suffix":""},{"dropping-particle":"","family":"Paul","given":"Dirk S.","non-dropping-particle":"","parse-names":false,"suffix":""},{"dropping-particle":"","family":"Freitag","given":"Daniel","non-dropping-particle":"","parse-names":false,"suffix":""},{"dropping-particle":"","family":"Burgess","given":"Stephen","non-dropping-particle":"","parse-names":false,"suffix":""},{"dropping-particle":"","family":"Danesh","given":"John","non-dropping-particle":"","parse-names":false,"suffix":""},{"dropping-particle":"","family":"Young","given":"Robin","non-dropping-particle":"","parse-names":false,"suffix":""},{"dropping-particle":"","family":"Butterworth","given":"Adam S.","non-dropping-particle":"","parse-names":false,"suffix":""}],"container-title":"Bioinformatics","id":"ITEM-1","issue":"20","issued":{"date-parts":[["2016","10"]]},"page":"3207-3209","title":"PhenoScanner: a database of human genotype–phenotype associations","type":"article-journal","volume":"32"},"uris":["http://www.mendeley.com/documents/?uuid=f7f625c0-a109-44ae-838d-7dce82cd9432"]}],"mendeley":{"formattedCitation":"(43)","plainTextFormattedCitation":"(43)","previouslyFormattedCitation":"(43)"},"properties":{"noteIndex":0},"schema":"https://github.com/citation-style-language/schema/raw/master/csl-citation.json"}</w:instrText>
      </w:r>
      <w:r w:rsidRPr="00FC3ACB">
        <w:rPr>
          <w:rStyle w:val="None"/>
          <w:rFonts w:ascii="Times New Roman" w:hAnsi="Times New Roman" w:cs="Times New Roman"/>
          <w:color w:val="000000" w:themeColor="text1"/>
          <w:sz w:val="24"/>
          <w:szCs w:val="24"/>
          <w:lang w:val="en-GB"/>
        </w:rPr>
        <w:fldChar w:fldCharType="separate"/>
      </w:r>
      <w:r w:rsidR="002A7D5D" w:rsidRPr="002A7D5D">
        <w:rPr>
          <w:rStyle w:val="None"/>
          <w:rFonts w:ascii="Times New Roman" w:hAnsi="Times New Roman" w:cs="Times New Roman"/>
          <w:noProof/>
          <w:color w:val="000000" w:themeColor="text1"/>
          <w:sz w:val="24"/>
          <w:szCs w:val="24"/>
          <w:lang w:val="en-GB"/>
        </w:rPr>
        <w:t>(43)</w:t>
      </w:r>
      <w:r w:rsidRPr="00FC3ACB">
        <w:rPr>
          <w:rStyle w:val="None"/>
          <w:rFonts w:ascii="Times New Roman" w:hAnsi="Times New Roman" w:cs="Times New Roman"/>
          <w:color w:val="000000" w:themeColor="text1"/>
          <w:sz w:val="24"/>
          <w:szCs w:val="24"/>
          <w:lang w:val="en-GB"/>
        </w:rPr>
        <w:fldChar w:fldCharType="end"/>
      </w:r>
      <w:r w:rsidRPr="00FC3ACB">
        <w:rPr>
          <w:rStyle w:val="None"/>
          <w:rFonts w:ascii="Times New Roman" w:hAnsi="Times New Roman" w:cs="Times New Roman"/>
          <w:sz w:val="24"/>
          <w:szCs w:val="24"/>
          <w:lang w:val="en-GB"/>
        </w:rPr>
        <w:t xml:space="preserve">, with the </w:t>
      </w:r>
      <w:r w:rsidRPr="00FC3ACB">
        <w:rPr>
          <w:rStyle w:val="None"/>
          <w:rFonts w:ascii="Times New Roman" w:hAnsi="Times New Roman" w:cs="Times New Roman"/>
          <w:i/>
          <w:sz w:val="24"/>
          <w:szCs w:val="24"/>
          <w:lang w:val="en-GB"/>
        </w:rPr>
        <w:t>ESM1</w:t>
      </w:r>
      <w:r w:rsidRPr="00FC3ACB">
        <w:rPr>
          <w:rStyle w:val="None"/>
          <w:rFonts w:ascii="Times New Roman" w:hAnsi="Times New Roman" w:cs="Times New Roman"/>
          <w:sz w:val="24"/>
          <w:szCs w:val="24"/>
          <w:lang w:val="en-GB"/>
        </w:rPr>
        <w:t xml:space="preserve"> mQTL, rs1423249,  as input. </w:t>
      </w:r>
      <w:proofErr w:type="spellStart"/>
      <w:r w:rsidRPr="00FC3ACB">
        <w:rPr>
          <w:rStyle w:val="None"/>
          <w:rFonts w:ascii="Times New Roman" w:hAnsi="Times New Roman" w:cs="Times New Roman"/>
          <w:sz w:val="24"/>
          <w:szCs w:val="24"/>
          <w:lang w:val="en-GB"/>
        </w:rPr>
        <w:t>PhenoScanner</w:t>
      </w:r>
      <w:proofErr w:type="spellEnd"/>
      <w:r w:rsidRPr="00FC3ACB">
        <w:rPr>
          <w:rStyle w:val="None"/>
          <w:rFonts w:ascii="Times New Roman" w:hAnsi="Times New Roman" w:cs="Times New Roman"/>
          <w:sz w:val="24"/>
          <w:szCs w:val="24"/>
          <w:lang w:val="en-GB"/>
        </w:rPr>
        <w:t xml:space="preserve"> thresholds were set as follows:</w:t>
      </w:r>
      <w:r w:rsidRPr="00FC3ACB">
        <w:rPr>
          <w:rStyle w:val="None"/>
          <w:rFonts w:ascii="Times New Roman" w:hAnsi="Times New Roman" w:cs="Times New Roman"/>
          <w:color w:val="FF644E"/>
          <w:sz w:val="24"/>
          <w:szCs w:val="24"/>
          <w:u w:color="FF644E"/>
          <w:lang w:val="en-GB"/>
        </w:rPr>
        <w:t xml:space="preserve"> </w:t>
      </w:r>
      <w:r w:rsidRPr="00FC3ACB">
        <w:rPr>
          <w:rStyle w:val="None"/>
          <w:rFonts w:ascii="Times New Roman" w:hAnsi="Times New Roman" w:cs="Times New Roman"/>
          <w:sz w:val="24"/>
          <w:szCs w:val="24"/>
          <w:lang w:val="en-GB"/>
        </w:rPr>
        <w:t xml:space="preserve">p value = 1E-4, r squared = 0.8, proxies = EUR, build = </w:t>
      </w:r>
      <w:proofErr w:type="gramStart"/>
      <w:r w:rsidRPr="00FC3ACB">
        <w:rPr>
          <w:rStyle w:val="None"/>
          <w:rFonts w:ascii="Times New Roman" w:hAnsi="Times New Roman" w:cs="Times New Roman"/>
          <w:sz w:val="24"/>
          <w:szCs w:val="24"/>
          <w:lang w:val="en-GB"/>
        </w:rPr>
        <w:t>37 .</w:t>
      </w:r>
      <w:proofErr w:type="gramEnd"/>
    </w:p>
    <w:p w14:paraId="54171D11" w14:textId="77777777" w:rsidR="00CA247D" w:rsidRPr="005A28F5" w:rsidRDefault="00CA247D" w:rsidP="00CA247D">
      <w:pPr>
        <w:pStyle w:val="BodyA"/>
        <w:spacing w:line="360" w:lineRule="auto"/>
        <w:rPr>
          <w:rStyle w:val="None"/>
          <w:rFonts w:ascii="Times New Roman" w:eastAsia="Cambria" w:hAnsi="Times New Roman" w:cs="Times New Roman"/>
          <w:sz w:val="21"/>
          <w:szCs w:val="21"/>
          <w:lang w:val="en-GB"/>
        </w:rPr>
      </w:pPr>
    </w:p>
    <w:p w14:paraId="15C2F4F0" w14:textId="5E8A2506" w:rsidR="00CA247D" w:rsidRPr="00FC3ACB" w:rsidRDefault="00CA247D" w:rsidP="00CA247D">
      <w:pPr>
        <w:pStyle w:val="BodyA"/>
        <w:spacing w:line="360" w:lineRule="auto"/>
        <w:outlineLvl w:val="0"/>
        <w:rPr>
          <w:rStyle w:val="None"/>
          <w:rFonts w:ascii="Times New Roman" w:eastAsia="Cambria" w:hAnsi="Times New Roman" w:cs="Times New Roman"/>
          <w:sz w:val="24"/>
          <w:szCs w:val="24"/>
          <w:lang w:val="en-GB"/>
        </w:rPr>
      </w:pPr>
      <w:proofErr w:type="spellStart"/>
      <w:r w:rsidRPr="0038150C">
        <w:rPr>
          <w:rStyle w:val="None"/>
          <w:rFonts w:ascii="Times New Roman" w:hAnsi="Times New Roman" w:cs="Times New Roman"/>
          <w:i/>
          <w:iCs/>
          <w:sz w:val="24"/>
          <w:szCs w:val="24"/>
          <w:lang w:val="en-GB"/>
        </w:rPr>
        <w:t>Posthoc</w:t>
      </w:r>
      <w:proofErr w:type="spellEnd"/>
      <w:r w:rsidRPr="0038150C">
        <w:rPr>
          <w:rStyle w:val="None"/>
          <w:rFonts w:ascii="Times New Roman" w:hAnsi="Times New Roman" w:cs="Times New Roman"/>
          <w:i/>
          <w:iCs/>
          <w:sz w:val="24"/>
          <w:szCs w:val="24"/>
          <w:lang w:val="en-GB"/>
        </w:rPr>
        <w:t xml:space="preserve"> sensitivity analyses</w:t>
      </w:r>
      <w:r w:rsidRPr="0038150C">
        <w:rPr>
          <w:rStyle w:val="None"/>
          <w:rFonts w:ascii="Times New Roman" w:hAnsi="Times New Roman" w:cs="Times New Roman"/>
          <w:i/>
          <w:iCs/>
          <w:sz w:val="21"/>
          <w:szCs w:val="21"/>
          <w:lang w:val="en-GB"/>
        </w:rPr>
        <w:br/>
      </w:r>
      <w:r w:rsidRPr="00FC3ACB">
        <w:rPr>
          <w:rStyle w:val="None"/>
          <w:rFonts w:ascii="Times New Roman" w:hAnsi="Times New Roman" w:cs="Times New Roman"/>
          <w:sz w:val="24"/>
          <w:szCs w:val="24"/>
          <w:lang w:val="en-GB"/>
        </w:rPr>
        <w:t xml:space="preserve">A number of </w:t>
      </w:r>
      <w:proofErr w:type="spellStart"/>
      <w:r w:rsidRPr="00FC3ACB">
        <w:rPr>
          <w:rStyle w:val="None"/>
          <w:rFonts w:ascii="Times New Roman" w:hAnsi="Times New Roman" w:cs="Times New Roman"/>
          <w:sz w:val="24"/>
          <w:szCs w:val="24"/>
          <w:lang w:val="en-GB"/>
        </w:rPr>
        <w:t>posthoc</w:t>
      </w:r>
      <w:proofErr w:type="spellEnd"/>
      <w:r w:rsidRPr="00FC3ACB">
        <w:rPr>
          <w:rStyle w:val="None"/>
          <w:rFonts w:ascii="Times New Roman" w:hAnsi="Times New Roman" w:cs="Times New Roman"/>
          <w:sz w:val="24"/>
          <w:szCs w:val="24"/>
          <w:lang w:val="en-GB"/>
        </w:rPr>
        <w:t xml:space="preserve"> analyses were performed to assess the robustness of the findings from the Gambian EWAS including DMPs at FDR &lt; 5% and those in DMRs. Information on additional sensitivity analyses (Gambia: season of conception interaction analysis; India: maternal BMI and compliance interaction analyses) is provided in </w:t>
      </w:r>
      <w:r w:rsidR="00C10299">
        <w:rPr>
          <w:rStyle w:val="None"/>
          <w:rFonts w:ascii="Times New Roman" w:hAnsi="Times New Roman" w:cs="Times New Roman"/>
          <w:sz w:val="24"/>
          <w:szCs w:val="24"/>
          <w:lang w:val="en-GB"/>
        </w:rPr>
        <w:t>Supplemental</w:t>
      </w:r>
      <w:r w:rsidRPr="00FC3ACB">
        <w:rPr>
          <w:rStyle w:val="None"/>
          <w:rFonts w:ascii="Times New Roman" w:hAnsi="Times New Roman" w:cs="Times New Roman"/>
          <w:sz w:val="24"/>
          <w:szCs w:val="24"/>
          <w:lang w:val="en-GB"/>
        </w:rPr>
        <w:t xml:space="preserve"> Methods</w:t>
      </w:r>
      <w:r w:rsidR="00C96A82">
        <w:rPr>
          <w:rStyle w:val="None"/>
          <w:rFonts w:ascii="Times New Roman" w:hAnsi="Times New Roman" w:cs="Times New Roman"/>
          <w:sz w:val="24"/>
          <w:szCs w:val="24"/>
          <w:lang w:val="en-GB"/>
        </w:rPr>
        <w:t xml:space="preserve"> SM4.</w:t>
      </w:r>
      <w:r w:rsidR="003E394B">
        <w:rPr>
          <w:rStyle w:val="None"/>
          <w:rFonts w:ascii="Times New Roman" w:hAnsi="Times New Roman" w:cs="Times New Roman"/>
          <w:sz w:val="24"/>
          <w:szCs w:val="24"/>
          <w:lang w:val="en-GB"/>
        </w:rPr>
        <w:t>5</w:t>
      </w:r>
      <w:r w:rsidR="00C96A82">
        <w:rPr>
          <w:rStyle w:val="None"/>
          <w:rFonts w:ascii="Times New Roman" w:hAnsi="Times New Roman" w:cs="Times New Roman"/>
          <w:sz w:val="24"/>
          <w:szCs w:val="24"/>
          <w:lang w:val="en-GB"/>
        </w:rPr>
        <w:t>, SM4.</w:t>
      </w:r>
      <w:r w:rsidR="003E394B">
        <w:rPr>
          <w:rStyle w:val="None"/>
          <w:rFonts w:ascii="Times New Roman" w:hAnsi="Times New Roman" w:cs="Times New Roman"/>
          <w:sz w:val="24"/>
          <w:szCs w:val="24"/>
          <w:lang w:val="en-GB"/>
        </w:rPr>
        <w:t>6</w:t>
      </w:r>
      <w:r w:rsidR="00C96A82">
        <w:rPr>
          <w:rStyle w:val="None"/>
          <w:rFonts w:ascii="Times New Roman" w:hAnsi="Times New Roman" w:cs="Times New Roman"/>
          <w:sz w:val="24"/>
          <w:szCs w:val="24"/>
          <w:lang w:val="en-GB"/>
        </w:rPr>
        <w:t>, SM4.</w:t>
      </w:r>
      <w:r w:rsidR="003E394B">
        <w:rPr>
          <w:rStyle w:val="None"/>
          <w:rFonts w:ascii="Times New Roman" w:hAnsi="Times New Roman" w:cs="Times New Roman"/>
          <w:sz w:val="24"/>
          <w:szCs w:val="24"/>
          <w:lang w:val="en-GB"/>
        </w:rPr>
        <w:t>7</w:t>
      </w:r>
      <w:r w:rsidR="00C96A82">
        <w:rPr>
          <w:rStyle w:val="None"/>
          <w:rFonts w:ascii="Times New Roman" w:hAnsi="Times New Roman" w:cs="Times New Roman"/>
          <w:sz w:val="24"/>
          <w:szCs w:val="24"/>
          <w:lang w:val="en-GB"/>
        </w:rPr>
        <w:t>, and SM4.</w:t>
      </w:r>
      <w:r w:rsidR="003E394B">
        <w:rPr>
          <w:rStyle w:val="None"/>
          <w:rFonts w:ascii="Times New Roman" w:hAnsi="Times New Roman" w:cs="Times New Roman"/>
          <w:sz w:val="24"/>
          <w:szCs w:val="24"/>
          <w:lang w:val="en-GB"/>
        </w:rPr>
        <w:t>8</w:t>
      </w:r>
      <w:r w:rsidRPr="00FC3ACB">
        <w:rPr>
          <w:rStyle w:val="None"/>
          <w:rFonts w:ascii="Times New Roman" w:hAnsi="Times New Roman" w:cs="Times New Roman"/>
          <w:sz w:val="24"/>
          <w:szCs w:val="24"/>
          <w:lang w:val="en-GB"/>
        </w:rPr>
        <w:t>.</w:t>
      </w:r>
    </w:p>
    <w:p w14:paraId="733B53E8" w14:textId="77777777" w:rsidR="00CA247D" w:rsidRPr="00FC3ACB" w:rsidRDefault="00CA247D" w:rsidP="00CA247D">
      <w:pPr>
        <w:pStyle w:val="BodyA"/>
        <w:spacing w:line="360" w:lineRule="auto"/>
        <w:outlineLvl w:val="0"/>
        <w:rPr>
          <w:rStyle w:val="None"/>
          <w:rFonts w:ascii="Times New Roman" w:eastAsia="Cambria" w:hAnsi="Times New Roman" w:cs="Times New Roman"/>
          <w:sz w:val="24"/>
          <w:szCs w:val="24"/>
          <w:lang w:val="en-GB"/>
        </w:rPr>
      </w:pPr>
    </w:p>
    <w:p w14:paraId="460ED860" w14:textId="77777777" w:rsidR="00CA247D" w:rsidRPr="0038150C" w:rsidRDefault="00CA247D" w:rsidP="00CA247D">
      <w:pPr>
        <w:pStyle w:val="BodyA"/>
        <w:spacing w:line="360" w:lineRule="auto"/>
        <w:outlineLvl w:val="0"/>
        <w:rPr>
          <w:rStyle w:val="None"/>
          <w:rFonts w:ascii="Times New Roman" w:eastAsia="Cambria" w:hAnsi="Times New Roman" w:cs="Times New Roman"/>
          <w:sz w:val="24"/>
          <w:szCs w:val="24"/>
          <w:u w:val="single"/>
          <w:lang w:val="en-GB"/>
        </w:rPr>
      </w:pPr>
      <w:r w:rsidRPr="0038150C">
        <w:rPr>
          <w:rStyle w:val="None"/>
          <w:rFonts w:ascii="Times New Roman" w:hAnsi="Times New Roman" w:cs="Times New Roman"/>
          <w:sz w:val="24"/>
          <w:szCs w:val="24"/>
          <w:u w:val="single"/>
          <w:lang w:val="en-GB"/>
        </w:rPr>
        <w:t xml:space="preserve">SNP probes </w:t>
      </w:r>
    </w:p>
    <w:p w14:paraId="428FC6B2" w14:textId="4A6CA641" w:rsidR="00CA247D" w:rsidRPr="00FC3ACB" w:rsidRDefault="00CA247D" w:rsidP="00CA247D">
      <w:pPr>
        <w:pStyle w:val="BodyA"/>
        <w:spacing w:line="360" w:lineRule="auto"/>
        <w:outlineLvl w:val="0"/>
        <w:rPr>
          <w:rStyle w:val="None"/>
          <w:rFonts w:ascii="Times New Roman" w:hAnsi="Times New Roman" w:cs="Times New Roman"/>
          <w:sz w:val="24"/>
          <w:szCs w:val="24"/>
          <w:lang w:val="en-GB"/>
        </w:rPr>
      </w:pPr>
      <w:r w:rsidRPr="00FC3ACB">
        <w:rPr>
          <w:rStyle w:val="None"/>
          <w:rFonts w:ascii="Times New Roman" w:hAnsi="Times New Roman" w:cs="Times New Roman"/>
          <w:sz w:val="24"/>
          <w:szCs w:val="24"/>
          <w:lang w:val="en-GB"/>
        </w:rPr>
        <w:t xml:space="preserve">The presence of a genetic variant at or near the CpG being measured can influence methylation status or interfere with probe hybridisation and incorporation of labelled nucleotides, potentially yielding unreliable intensity measurements. We therefore performed a </w:t>
      </w:r>
      <w:proofErr w:type="spellStart"/>
      <w:r w:rsidRPr="00FC3ACB">
        <w:rPr>
          <w:rStyle w:val="None"/>
          <w:rFonts w:ascii="Times New Roman" w:hAnsi="Times New Roman" w:cs="Times New Roman"/>
          <w:sz w:val="24"/>
          <w:szCs w:val="24"/>
          <w:lang w:val="en-GB"/>
        </w:rPr>
        <w:t>posthoc</w:t>
      </w:r>
      <w:proofErr w:type="spellEnd"/>
      <w:r w:rsidRPr="00FC3ACB">
        <w:rPr>
          <w:rStyle w:val="None"/>
          <w:rFonts w:ascii="Times New Roman" w:hAnsi="Times New Roman" w:cs="Times New Roman"/>
          <w:sz w:val="24"/>
          <w:szCs w:val="24"/>
          <w:lang w:val="en-GB"/>
        </w:rPr>
        <w:t xml:space="preserve"> sensitivity analysis of the identified DMPs and DMRs to identify CpGs with SNPs within the 50bp </w:t>
      </w:r>
      <w:r w:rsidRPr="00FC3ACB">
        <w:rPr>
          <w:rStyle w:val="None"/>
          <w:rFonts w:ascii="Times New Roman" w:hAnsi="Times New Roman" w:cs="Times New Roman"/>
          <w:sz w:val="24"/>
          <w:szCs w:val="24"/>
          <w:lang w:val="en-GB"/>
        </w:rPr>
        <w:lastRenderedPageBreak/>
        <w:t xml:space="preserve">probe sequence from a previously published list of SNPs with minor allele frequency &gt; 5% in 1000 Genomes African populations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{"citationItems":[{"id":"ITEM-1","itemData":{"DOI":"10.1038/nature09534","ISBN":"0028-0836","ISSN":"14764687","PMID":"20981092","abstract":"The 1000 Genomes Project aims to provide a deep characterization of human genome sequence variation as a foundation for investigating the relationship between genotype and phenotype. Here we present results of the pilot phase of the project, designed to develop and compare different strategies for genome-wide sequencing with high-throughput platforms. We undertook three projects: low-coverage whole-genome sequencing of 179 individuals from four populations; high-coverage sequencing of two mother-father-child trios; and exon-targeted sequencing of 697 individuals from seven populations. We describe the location, allele frequency and local haplotype structure of approximately 15 million single nucleotide polymorphisms, 1 million short insertions and deletions, and 20,000 structural variants, most of which were previously undescribed. We show that, because we have catalogued the vast majority of common variation, over 95% of the currently accessible variants found in any individual are present in this data set. On average, each person is found to carry approximately 250 to 300 loss-of-function variants in annotated genes and 50 to 100 variants previously implicated in inherited disorders. We demonstrate how these results can be used to inform association and functional studies. From the two trios, we directly estimate the rate of de novo germline base substitution mutations to be approximately 10(-8) per base pair per generation. We explore the data with regard to signatures of natural selection, and identify a marked reduction of genetic variation in the neighbourhood of genes, due to selection at linked sites. These methods and public data will support the next phase of human genetic research.","author":[{"dropping-particle":"","family":"The 1000 Genomes Project Consortium","given":"","non-dropping-particle":"","parse-names":false,"suffix":""},{"dropping-particle":"","family":"Altshuler","given":"David L.","non-dropping-particle":"","parse-names":false,"suffix":""},{"dropping-particle":"","family":"Durbin","given":"Richard M.","non-dropping-particle":"","parse-names":false,"suffix":""},{"dropping-particle":"","family":"Abecasis","given":"Gonçalo R.","non-dropping-particle":"","parse-names":false,"suffix":""},{"dropping-particle":"","family":"Bentley","given":"David R.","non-dropping-particle":"","parse-names":false,"suffix":""},{"dropping-particle":"","family":"Chakravarti","given":"Aravinda","non-dropping-particle":"","parse-names":false,"suffix":""},{"dropping-particle":"","family":"Clark","given":"Andrew G.","non-dropping-particle":"","parse-names":false,"suffix":""},{"dropping-particle":"","family":"Collins","given":"Francis S.","non-dropping-particle":"","parse-names":false,"suffix":""},{"dropping-particle":"","family":"La Vega","given":"Francisco M.","non-dropping-particle":"De","parse-names":false,"suffix":""},{"dropping-particle":"","family":"Donnelly","given":"Peter","non-dropping-particle":"","parse-names":false,"suffix":""},{"dropping-particle":"","family":"Egholm","given":"Michael","non-dropping-particle":"","parse-names":false,"suffix":""},{"dropping-particle":"","family":"Flicek","given":"Paul","non-dropping-particle":"","parse-names":false,"suffix":""},{"dropping-particle":"","family":"Gabriel","given":"Stacey B.","non-dropping-particle":"","parse-names":false,"suffix":""},{"dropping-particle":"","family":"Gibbs","given":"Richard A.","non-dropping-particle":"","parse-names":false,"suffix":""},{"dropping-particle":"","family":"Knoppers","given":"Bartha M.","non-dropping-particle":"","parse-names":false,"suffix":""},{"dropping-particle":"","family":"Lander","given":"Eric S.","non-dropping-particle":"","parse-names":false,"suffix":""},{"dropping-particle":"","family":"Lehrach","given":"Hans","non-dropping-particle":"","parse-names":false,"suffix":""},{"dropping-particle":"","family":"Mardis","given":"Elaine R.","non-dropping-particle":"","parse-names":false,"suffix":""},{"dropping-particle":"","family":"McVean","given":"Gil A.","non-dropping-particle":"","parse-names":false,"suffix":""},{"dropping-particle":"","family":"Nickerson","given":"Debbie A.","non-dropping-particle":"","parse-names":false,"suffix":""},{"dropping-particle":"","family":"Peltonen","given":"Leena","non-dropping-particle":"","parse-names":false,"suffix":""},{"dropping-particle":"","family":"Schafer","given":"Alan J.","non-dropping-particle":"","parse-names":false,"suffix":""},{"dropping-particle":"","family":"Sherry","given":"Stephen T.","non-dropping-particle":"","parse-names":false,"suffix":""},{"dropping-particle":"","family":"Wang","given":"Jun Jian Jun","non-dropping-particle":"","parse-names":false,"suffix":""},{"dropping-particle":"","family":"Wilson","given":"Richard K.","non-dropping-particle":"","parse-names":false,"suffix":""},{"dropping-particle":"","family":"Deiros","given":"David","non-dropping-particle":"","parse-names":false,"suffix":""},{"dropping-particle":"","family":"Metzker","given":"Mike","non-dropping-particle":"","parse-names":false,"suffix":""},{"dropping-particle":"","family":"Muzny","given":"Donna","non-dropping-particle":"","parse-names":false,"suffix":""},{"dropping-particle":"","family":"Reid","given":"Jeff","non-dropping-particle":"","parse-names":false,"suffix":""},{"dropping-particle":"","family":"Wheeler","given":"David","non-dropping-particle":"","parse-names":false,"suffix":""},{"dropping-particle":"","family":"Wang","given":"Shenzhen Jun Shally Shenzhen Jun","non-dropping-particle":"","parse-names":false,"suffix":""},{"dropping-particle":"","family":"Li","given":"Jingxiang","non-dropping-particle":"","parse-names":false,"suffix":""},{"dropping-particle":"","family":"Jian","given":"Min","non-dropping-particle":"","parse-names":false,"suffix":""},{"dropping-particle":"","family":"Li","given":"Guoqing","non-dropping-particle":"","parse-names":false,"suffix":""},{"dropping-particle":"","family":"Li","given":"Ruiqiang","non-dropping-particle":"","parse-names":false,"suffix":""},{"dropping-particle":"","family":"Liang","given":"Huiqing","non-dropping-particle":"","parse-names":false,"suffix":""},{"dropping-particle":"","family":"Tian","given":"Geng","non-dropping-particle":"","parse-names":false,"suffix":""},{"dropping-particle":"","family":"Wang","given":"Bo","non-dropping-particle":"","parse-names":false,"suffix":""},{"dropping-particle":"","family":"Wang","given":"Jun Jian Jun","non-dropping-particle":"","parse-names":false,"suffix":""},{"dropping-particle":"","family":"Wang","given":"Wei","non-dropping-particle":"","parse-names":false,"suffix":""},{"dropping-particle":"","family":"Yang","given":"Huanming","non-dropping-particle":"","parse-names":false,"suffix":""},{"dropping-particle":"","family":"Zhang","given":"Xiuqing","non-dropping-particle":"","parse-names":false,"suffix":""},{"dropping-particle":"","family":"Zheng","given":"Hancheng Huisong Hancheng","non-dropping-particle":"","parse-names":false,"suffix":""},{"dropping-particle":"","family":"Ambrogio","given":"Lauren","non-dropping-particle":"","parse-names":false,"suffix":""},{"dropping-particle":"","family":"Bloom","given":"Toby","non-dropping-particle":"","parse-names":false,"suffix":""},{"dropping-particle":"","family":"Cibulskis","given":"Kristian","non-dropping-particle":"","parse-names":false,"suffix":""},{"dropping-particle":"","family":"Fennell","given":"Tim J.","non-dropping-particle":"","parse-names":false,"suffix":""},{"dropping-particle":"","family":"Jaffe","given":"David B.","non-dropping-particle":"","parse-names":false,"suffix":""},{"dropping-particle":"","family":"Shefler","given":"Erica","non-dropping-particle":"","parse-names":false,"suffix":""},{"dropping-particle":"","family":"Sougnez","given":"Carrie L.","non-dropping-particle":"","parse-names":false,"suffix":""},{"dropping-particle":"","family":"Bentley","given":"Illumina David R.","non-dropping-particle":"","parse-names":false,"suffix":""},{"dropping-particle":"","family":"Gormley","given":"Niall","non-dropping-particle":"","parse-names":false,"suffix":""},{"dropping-particle":"","family":"Humphray","given":"Sean","non-dropping-particle":"","parse-names":false,"suffix":""},{"dropping-particle":"","family":"Kingsbury","given":"Zoya","non-dropping-particle":"","parse-names":false,"suffix":""},{"dropping-particle":"","family":"Koko-Gonzales","given":"Paula","non-dropping-particle":"","parse-names":false,"suffix":""},{"dropping-particle":"","family":"Stone","given":"Jennifer","non-dropping-particle":"","parse-names":false,"suffix":""},{"dropping-particle":"","family":"Mc Kernan","given":"Kevin J.","non-dropping-particle":"","parse-names":false,"suffix":""},{"dropping-particle":"","family":"Costa","given":"Gina L.","non-dropping-particle":"","parse-names":false,"suffix":""},{"dropping-particle":"","family":"Ichikawa","given":"Jeffry K.","non-dropping-particle":"","parse-names":false,"suffix":""},{"dropping-particle":"","family":"Lee","given":"Charles Clarence C.","non-dropping-particle":"","parse-names":false,"suffix":""},{"dropping-particle":"","family":"Sudbrak","given":"Ralf","non-dropping-particle":"","parse-names":false,"suffix":""},{"dropping-particle":"","family":"Borodina","given":"Tatiana A.","non-dropping-particle":"","parse-names":false,"suffix":""},{"dropping-particle":"","family":"Dahl","given":"Andreas","non-dropping-particle":"","parse-names":false,"suffix":""},{"dropping-particle":"","family":"Davydov","given":"Alexey N.","non-dropping-particle":"","parse-names":false,"suffix":""},{"dropping-particle":"","family":"Marquardt","given":"Peter","non-dropping-particle":"","parse-names":false,"suffix":""},{"dropping-particle":"","family":"Mertes","given":"Florian","non-dropping-particle":"","parse-names":false,"suffix":""},{"dropping-particle":"","family":"Nietfeld","given":"Wilfiried","non-dropping-particle":"","parse-names":false,"suffix":""},{"dropping-particle":"","family":"Rosenstiel","given":"Philip","non-dropping-particle":"","parse-names":false,"suffix":""},{"dropping-particle":"","family":"Schreiber","given":"Stefan","non-dropping-particle":"","parse-names":false,"suffix":""},{"dropping-particle":"V.","family":"Soldatov","given":"Aleksey","non-dropping-particle":"","parse-names":false,"suffix":""},{"dropping-particle":"","family":"Timmermann","given":"Bernd","non-dropping-particle":"","parse-names":false,"suffix":""},{"dropping-particle":"","family":"Tolzmann","given":"Marius","non-dropping-particle":"","parse-names":false,"suffix":""},{"dropping-particle":"","family":"Affourtit","given":"Jason","non-dropping-particle":"","parse-names":false,"suffix":""},{"dropping-particle":"","family":"Ashworth","given":"Dana","non-dropping-particle":"","parse-names":false,"suffix":""},{"dropping-particle":"","family":"Attiya","given":"Said","non-dropping-particle":"","parse-names":false,"suffix":""},{"dropping-particle":"","family":"Bachorski","given":"Melissa","non-dropping-particle":"","parse-names":false,"suffix":""},{"dropping-particle":"","family":"Buglione","given":"Eli","non-dropping-particle":"","parse-names":false,"suffix":""},{"dropping-particle":"","family":"Burke","given":"Adam","non-dropping-particle":"","parse-names":false,"suffix":""},{"dropping-particle":"","family":"Caprio","given":"Amanda","non-dropping-particle":"","parse-names":false,"suffix":""},{"dropping-particle":"","family":"Celone","given":"Christopher","non-dropping-particle":"","parse-names":false,"suffix":""},{"dropping-particle":"","family":"Clark","given":"Shauna","non-dropping-particle":"","parse-names":false,"suffix":""},{"dropping-particle":"","family":"Conners","given":"David","non-dropping-particle":"","parse-names":false,"suffix":""},{"dropping-particle":"","family":"Desany","given":"Brian","non-dropping-particle":"","parse-names":false,"suffix":""},{"dropping-particle":"","family":"Gu","given":"Lisa","non-dropping-particle":"","parse-names":false,"suffix":""},{"dropping-particle":"","family":"Guccione","given":"Lorri","non-dropping-particle":"","parse-names":false,"suffix":""},{"dropping-particle":"","family":"Kao","given":"Kalvin","non-dropping-particle":"","parse-names":false,"suffix":""},{"dropping-particle":"","family":"Kebbel","given":"Andrew","non-dropping-particle":"","parse-names":false,"suffix":""},{"dropping-particle":"","family":"Knowlton","given":"Jennifer","non-dropping-particle":"","parse-names":false,"suffix":""},{"dropping-particle":"","family":"Labrecque","given":"Matthew","non-dropping-particle":"","parse-names":false,"suffix":""},{"dropping-particle":"","family":"McDade","given":"Louise","non-dropping-particle":"","parse-names":false,"suffix":""},{"dropping-particle":"","family":"Mealmaker","given":"Craig","non-dropping-particle":"","parse-names":false,"suffix":""},{"dropping-particle":"","family":"Minderman","given":"Melissa","non-dropping-particle":"","parse-names":false,"suffix":""},{"dropping-particle":"","family":"Nawrocki","given":"Anne","non-dropping-particle":"","parse-names":false,"suffix":""},{"dropping-particle":"","family":"Niazi","given":"Faheem","non-dropping-particle":"","parse-names":false,"suffix":""},{"dropping-particle":"","family":"Pareja","given":"Kristen","non-dropping-particle":"","parse-names":false,"suffix":""},{"dropping-particle":"","family":"Ramenani","given":"Ravi","non-dropping-particle":"","parse-names":false,"suffix":""},{"dropping-particle":"","family":"Riches","given":"David","non-dropping-particle":"","parse-names":false,"suffix":""},{"dropping-particle":"","family":"Song","given":"Wanmin","non-dropping-particle":"","parse-names":false,"suffix":""},{"dropping-particle":"","family":"Turcotte","given":"Cynthia","non-dropping-particle":"","parse-names":false,"suffix":""},{"dropping-particle":"","family":"Wang","given":"Shenzhen Jun Shally Shenzhen Jun","non-dropping-particle":"","parse-names":false,"suffix":""},{"dropping-particle":"","family":"Dooling","given":"David","non-dropping-particle":"","parse-names":false,"suffix":""},{"dropping-particle":"","family":"Fulton","given":"Lucinda","non-dropping-particle":"","parse-names":false,"suffix":""},{"dropping-particle":"","family":"Fulton","given":"Robert","non-dropping-particle":"","parse-names":false,"suffix":""},{"dropping-particle":"","family":"Weinstock","given":"George","non-dropping-particle":"","parse-names":false,"suffix":""},{"dropping-particle":"","family":"Burton","given":"John","non-dropping-particle":"","parse-names":false,"suffix":""},{"dropping-particle":"","family":"Carter","given":"David M.","non-dropping-particle":"","parse-names":false,"suffix":""},{"dropping-particle":"","family":"Churcher","given":"Carol","non-dropping-particle":"","parse-names":false,"suffix":""},{"dropping-particle":"","family":"Coffey","given":"Alison Allison","non-dropping-particle":"","parse-names":false,"suffix":""},{"dropping-particle":"","family":"Cox","given":"Anthony","non-dropping-particle":"","parse-names":false,"suffix":""},{"dropping-particle":"","family":"Palotie","given":"Aarno","non-dropping-particle":"","parse-names":false,"suffix":""},{"dropping-particle":"","family":"Quail","given":"Michael","non-dropping-particle":"","parse-names":false,"suffix":""},{"dropping-particle":"","family":"Skelly","given":"Tom","non-dropping-particle":"","parse-names":false,"suffix":""},{"dropping-particle":"","family":"Stalker","given":"James","non-dropping-particle":"","parse-names":false,"suffix":""},{"dropping-particle":"","family":"Swerdlow","given":"Harold P.","non-dropping-particle":"","parse-names":false,"suffix":""},{"dropping-particle":"","family":"Turner","given":"Daniel","non-dropping-particle":"","parse-names":false,"suffix":""},{"dropping-particle":"","family":"Witte","given":"Anniek","non-dropping-particle":"De","parse-names":false,"suffix":""},{"dropping-particle":"","family":"Giles","given":"Shane","non-dropping-particle":"","parse-names":false,"suffix":""},{"dropping-particle":"","family":"Bainbridge","given":"Matthew","non-dropping-particle":"","parse-names":false,"suffix":""},{"dropping-particle":"","family":"Challis","given":"Danny","non-dropping-particle":"","parse-names":false,"suffix":""},{"dropping-particle":"","family":"Sabo","given":"Aniko","non-dropping-particle":"","parse-names":false,"suffix":""},{"dropping-particle":"","family":"Yu","given":"Fuli","non-dropping-particle":"","parse-names":false,"suffix":""},{"dropping-particle":"","family":"Yu","given":"Jin","non-dropping-particle":"","parse-names":false,"suffix":""},{"dropping-particle":"","family":"Fang","given":"Xiaodong","non-dropping-particle":"","parse-names":false,"suffix":""},{"dropping-particle":"","family":"Guo","given":"Xiaosen","non-dropping-particle":"","parse-names":false,"suffix":""},{"dropping-particle":"","family":"Li","given":"Yun Yingrui","non-dropping-particle":"","parse-names":false,"suffix":""},{"dropping-particle":"","family":"Luo","given":"Ruibang","non-dropping-particle":"","parse-names":false,"suffix":""},{"dropping-particle":"","family":"Tai","given":"Shuaishuai","non-dropping-particle":"","parse-names":false,"suffix":""},{"dropping-particle":"","family":"Wu","given":"Honglong","non-dropping-particle":"","parse-names":false,"suffix":""},{"dropping-particle":"","family":"Zheng","given":"Hancheng Huisong Hancheng","non-dropping-particle":"","parse-names":false,"suffix":""},{"dropping-particle":"","family":"Zheng","given":"Xiaole","non-dropping-particle":"","parse-names":false,"suffix":""},{"dropping-particle":"","family":"Zhou","given":"Yan","non-dropping-particle":"","parse-names":false,"suffix":""},{"dropping-particle":"","family":"Marth","given":"Gabor T.","non-dropping-particle":"","parse-names":false,"suffix":""},{"dropping-particle":"","family":"Garrison","given":"Erik P.","non-dropping-particle":"","parse-names":false,"suffix":""},{"dropping-particle":"","family":"Huang","given":"Weichun","non-dropping-particle":"","parse-names":false,"suffix":""},{"dropping-particle":"","family":"Indap","given":"Amit","non-dropping-particle":"","parse-names":false,"suffix":""},{"dropping-particle":"","family":"Kural","given":"Deniz","non-dropping-particle":"","parse-names":false,"suffix":""},{"dropping-particle":"","family":"Lee","given":"Wan Ping","non-dropping-particle":"","parse-names":false,"suffix":""},{"dropping-particle":"","family":"Leong","given":"Wen Fung","non-dropping-particle":"","parse-names":false,"suffix":""},{"dropping-particle":"","family":"Quinlan","given":"Aaron R.","non-dropping-particle":"","parse-names":false,"suffix":""},{"dropping-particle":"","family":"Stewart","given":"Chip","non-dropping-particle":"","parse-names":false,"suffix":""},{"dropping-particle":"","family":"Stromberg","given":"Michael P.","non-dropping-particle":"","parse-names":false,"suffix":""},{"dropping-particle":"","family":"Ward","given":"Alistair N.","non-dropping-particle":"","parse-names":false,"suffix":""},{"dropping-particle":"","family":"Wu","given":"Jiantao","non-dropping-particle":"","parse-names":false,"suffix":""},{"dropping-particle":"","family":"Lee","given":"Charles Clarence C.","non-dropping-particle":"","parse-names":false,"suffix":""},{"dropping-particle":"","family":"Mills","given":"Ryan E.","non-dropping-particle":"","parse-names":false,"suffix":""},{"dropping-particle":"","family":"Shi","given":"Xinghua","non-dropping-particle":"","parse-names":false,"suffix":""},{"dropping-particle":"","family":"Daly","given":"Mark J.","non-dropping-particle":"","parse-names":false,"suffix":""},{"dropping-particle":"","family":"DePristo","given":"Mark A.","non-dropping-particle":"","parse-names":false,"suffix":""},{"dropping-particle":"","family":"Ball","given":"Aaron D.","non-dropping-particle":"","parse-names":false,"suffix":""},{"dropping-particle":"","family":"Banks","given":"Eric","non-dropping-particle":"","parse-names":false,"suffix":""},{"dropping-particle":"","family":"Browning","given":"Brian L.","non-dropping-particle":"","parse-names":false,"suffix":""},{"dropping-particle":"V.","family":"Garimella","given":"Kiran","non-dropping-particle":"","parse-names":false,"suffix":""},{"dropping-particle":"","family":"Grossman","given":"Sharon R.","non-dropping-particle":"","parse-names":false,"suffix":""},{"dropping-particle":"","family":"Handsaker","given":"Robert E.","non-dropping-particle":"","parse-names":false,"suffix":""},{"dropping-particle":"","family":"Hanna","given":"Matt","non-dropping-particle":"","parse-names":false,"suffix":""},{"dropping-particle":"","family":"Hartl","given":"Chris","non-dropping-particle":"","parse-names":false,"suffix":""},{"dropping-particle":"","family":"Kernytsky","given":"Andrew M.","non-dropping-particle":"","parse-names":false,"suffix":""},{"dropping-particle":"","family":"Korn","given":"Joshua M.","non-dropping-particle":"","parse-names":false,"suffix":""},{"dropping-particle":"","family":"Li","given":"Heng","non-dropping-particle":"","parse-names":false,"suffix":""},{"dropping-particle":"","family":"Maguire","given":"Jared R.","non-dropping-particle":"","parse-names":false,"suffix":""},{"dropping-particle":"","family":"McKenna","given":"Aaron","non-dropping-particle":"","parse-names":false,"suffix":""},{"dropping-particle":"","family":"Nemesh","given":"James C.","non-dropping-particle":"","parse-names":false,"suffix":""},{"dropping-particle":"","family":"Philippakis","given":"Anthony A.","non-dropping-particle":"","parse-names":false,"suffix":""},{"dropping-particle":"","family":"Poplin","given":"Ryan E.","non-dropping-particle":"","parse-names":false,"suffix":""},{"dropping-particle":"","family":"Price","given":"Alkes","non-dropping-particle":"","parse-names":false,"suffix":""},{"dropping-particle":"","family":"Rivas","given":"Manuel A.","non-dropping-particle":"","parse-names":false,"suffix":""},{"dropping-particle":"","family":"Sabeti","given":"Pardis C.","non-dropping-particle":"","parse-names":false,"suffix":""},{"dropping-particle":"","family":"Schaffner","given":"Stephen F.","non-dropping-particle":"","parse-names":false,"suffix":""},{"dropping-particle":"","family":"Shlyakhter","given":"Ilya A.","non-dropping-particle":"","parse-names":false,"suffix":""},{"dropping-particle":"","family":"Cooper","given":"David N.","non-dropping-particle":"","parse-names":false,"suffix":""},{"dropping-particle":"V.","family":"Ball","given":"Edward","non-dropping-particle":"","parse-names":false,"suffix":""},{"dropping-particle":"","family":"Mort","given":"Matthew","non-dropping-particle":"","parse-names":false,"suffix":""},{"dropping-particle":"","family":"Phillips","given":"Andrew D.","non-dropping-particle":"","parse-names":false,"suffix":""},{"dropping-particle":"","family":"Stenson","given":"Peter D.","non-dropping-particle":"","parse-names":false,"suffix":""},{"dropping-particle":"","family":"Sebat","given":"Jonathan","non-dropping-particle":"","parse-names":false,"suffix":""},{"dropping-particle":"","family":"Makarov","given":"Vladimir","non-dropping-particle":"","parse-names":false,"suffix":""},{"dropping-particle":"","family":"Ye","given":"Kai Kenny","non-dropping-particle":"","parse-names":false,"suffix":""},{"dropping-particle":"","family":"Yoon","given":"Seungtai C.","non-dropping-particle":"","parse-names":false,"suffix":""},{"dropping-particle":"","family":"Bustamante","given":"Carlos D.","non-dropping-particle":"","parse-names":false,"suffix":""},{"dropping-particle":"","family":"Boyko","given":"Adam","non-dropping-particle":"","parse-names":false,"suffix":""},{"dropping-particle":"","family":"Degenhardt","given":"Jeremiah","non-dropping-particle":"","parse-names":false,"suffix":""},{"dropping-particle":"","family":"Gravel","given":"Simon","non-dropping-particle":"","parse-names":false,"suffix":""},{"dropping-particle":"","family":"Gutenkunst","given":"Ryan N.","non-dropping-particle":"","parse-names":false,"suffix":""},{"dropping-particle":"","family":"Kaganovich","given":"Mark","non-dropping-particle":"","parse-names":false,"suffix":""},{"dropping-particle":"","family":"Keinan","given":"Alon","non-dropping-particle":"","parse-names":false,"suffix":""},{"dropping-particle":"","family":"Lacroute","given":"Phil","non-dropping-particle":"","parse-names":false,"suffix":""},{"dropping-particle":"","family":"Ma","given":"Xin","non-dropping-particle":"","parse-names":false,"suffix":""},{"dropping-particle":"","family":"Reynolds","given":"Andy","non-dropping-particle":"","parse-names":false,"suffix":""},{"dropping-particle":"","family":"Clarke","given":"Laura","non-dropping-particle":"","parse-names":false,"suffix":""},{"dropping-particle":"","family":"Cunningham","given":"Fiona","non-dropping-particle":"","parse-names":false,"suffix":""},{"dropping-particle":"","family":"Herrero","given":"Javier","non-dropping-particle":"","parse-names":false,"suffix":""},{"dropping-particle":"","family":"Keenen","given":"Stephen","non-dropping-particle":"","parse-names":false,"suffix":""},{"dropping-particle":"","family":"Kulesha","given":"Eugene","non-dropping-particle":"","parse-names":false,"suffix":""},{"dropping-particle":"","family":"Leinonen","given":"Rasko","non-dropping-particle":"","parse-names":false,"suffix":""},{"dropping-particle":"","family":"McLaren","given":"William M.","non-dropping-particle":"","parse-names":false,"suffix":""},{"dropping-particle":"","family":"Radhakrishnan","given":"Rajesh","non-dropping-particle":"","parse-names":false,"suffix":""},{"dropping-particle":"","family":"Smith","given":"Richard E.","non-dropping-particle":"","parse-names":false,"suffix":""},{"dropping-particle":"","family":"Zalunin","given":"Vadim","non-dropping-particle":"","parse-names":false,"suffix":""},{"dropping-particle":"","family":"Korbel","given":"Jan O.","non-dropping-particle":"","parse-names":false,"suffix":""},{"dropping-particle":"","family":"Stütz","given":"Adrian M.","non-dropping-particle":"","parse-names":false,"suffix":""},{"dropping-particle":"","family":"Humphray","given":"Illumina Sean","non-dropping-particle":"","parse-names":false,"suffix":""},{"dropping-particle":"","family":"Bauer","given":"Markus","non-dropping-particle":"","parse-names":false,"suffix":""},{"dropping-particle":"","family":"Cheetham","given":"R. Keira","non-dropping-particle":"","parse-names":false,"suffix":""},{"dropping-particle":"","family":"Cox","given":"Tony","non-dropping-particle":"","parse-names":false,"suffix":""},{"dropping-particle":"","family":"Eberle","given":"Michael","non-dropping-particle":"","parse-names":false,"suffix":""},{"dropping-particle":"","family":"James","given":"Terena","non-dropping-particle":"","parse-names":false,"suffix":""},{"dropping-particle":"","family":"Kahn","given":"Scott","non-dropping-particle":"","parse-names":false,"suffix":""},{"dropping-particle":"","family":"Murray","given":"Lisa","non-dropping-particle":"","parse-names":false,"suffix":""},{"dropping-particle":"","family":"Ye","given":"Kai Kenny","non-dropping-particle":"","parse-names":false,"suffix":""},{"dropping-particle":"","family":"Fu","given":"Yutao","non-dropping-particle":"","parse-names":false,"suffix":""},{"dropping-particle":"","family":"Hyland","given":"Fiona C.L.","non-dropping-particle":"","parse-names":false,"suffix":""},{"dropping-particle":"","family":"Manning","given":"Jonathan M.","non-dropping-particle":"","parse-names":false,"suffix":""},{"dropping-particle":"","family":"Stephen","given":"F. McLaughlin","non-dropping-particle":"","parse-names":false,"suffix":""},{"dropping-particle":"","family":"Peckham","given":"Heather E.","non-dropping-particle":"","parse-names":false,"suffix":""},{"dropping-particle":"","family":"Sakarya","given":"Onur","non-dropping-particle":"","parse-names":false,"suffix":""},{"dropping-particle":"","family":"Sun","given":"Yongming A.","non-dropping-particle":"","parse-names":false,"suffix":""},{"dropping-particle":"","family":"Tsung","given":"Eric F.","non-dropping-particle":"","parse-names":false,"suffix":""},{"dropping-particle":"","family":"Mark","given":"A. Batzer","non-dropping-particle":"","parse-names":false,"suffix":""},{"dropping-particle":"","family":"Konkel","given":"Miriam K.","non-dropping-particle":"","parse-names":false,"suffix":""},{"dropping-particle":"","family":"Walker","given":"Jerilyn A.","non-dropping-particle":"","parse-names":false,"suffix":""},{"dropping-particle":"","family":"Albrecht","given":"Marcus W.","non-dropping-particle":"","parse-names":false,"suffix":""},{"dropping-particle":"","family":"Amstislavskiy","given":"Vyacheslav S.","non-dropping-particle":"","parse-names":false,"suffix":""},{"dropping-particle":"","family":"Herwig","given":"Ralf","non-dropping-particle":"","parse-names":false,"suffix":""},{"dropping-particle":"V.","family":"Parkhomchuk","given":"Dimitri","non-dropping-particle":"","parse-names":false,"suffix":""},{"dropping-particle":"","family":"Agarwala","given":"Richa","non-dropping-particle":"","parse-names":false,"suffix":""},{"dropping-particle":"","family":"Khouri","given":"Hoda M.","non-dropping-particle":"","parse-names":false,"suffix":""},{"dropping-particle":"","family":"Morgulis","given":"Aleksandr O.","non-dropping-particle":"","parse-names":false,"suffix":""},{"dropping-particle":"","family":"Paschall","given":"Justin E.","non-dropping-particle":"","parse-names":false,"suffix":""},{"dropping-particle":"","family":"Phan","given":"Lon D.","non-dropping-particle":"","parse-names":false,"suffix":""},{"dropping-particle":"","family":"Rotmistrovsky","given":"Kirill E.","non-dropping-particle":"","parse-names":false,"suffix":""},{"dropping-particle":"","family":"Sanders","given":"Robert D.","non-dropping-particle":"","parse-names":false,"suffix":""},{"dropping-particle":"","family":"Shumway","given":"Martin F.","non-dropping-particle":"","parse-names":false,"suffix":""},{"dropping-particle":"","family":"Xiao","given":"Chunlin","non-dropping-particle":"","parse-names":false,"suffix":""},{"dropping-particle":"","family":"Gil","given":"A. McVean","non-dropping-particle":"","parse-names":false,"suffix":""},{"dropping-particle":"","family":"Auton","given":"Adam","non-dropping-particle":"","parse-names":false,"suffix":""},{"dropping-particle":"","family":"Iqbal","given":"Zamin","non-dropping-particle":"","parse-names":false,"suffix":""},{"dropping-particle":"","family":"Lunter","given":"Gerton","non-dropping-particle":"","parse-names":false,"suffix":""},{"dropping-particle":"","family":"Marchini","given":"Jonathan L.","non-dropping-particle":"","parse-names":false,"suffix":""},{"dropping-particle":"","family":"Moutsianas","given":"Loukas","non-dropping-particle":"","parse-names":false,"suffix":""},{"dropping-particle":"","family":"Myers","given":"Simon","non-dropping-particle":"","parse-names":false,"suffix":""},{"dropping-particle":"","family":"Tumian","given":"Afidalina","non-dropping-particle":"","parse-names":false,"suffix":""},{"dropping-particle":"","family":"Knight","given":"James","non-dropping-particle":"","parse-names":false,"suffix":""},{"dropping-particle":"","family":"Winer","given":"Roger","non-dropping-particle":"","parse-names":false,"suffix":""},{"dropping-particle":"","family":"Craig","given":"David W.","non-dropping-particle":"","parse-names":false,"suffix":""},{"dropping-particle":"","family":"Beckstrom-Sternberg","given":"Steve M.","non-dropping-particle":"","parse-names":false,"suffix":""},{"dropping-particle":"","family":"Christoforides","given":"Alexis","non-dropping-particle":"","parse-names":false,"suffix":""},{"dropping-particle":"","family":"Kurdoglu","given":"Ahmet A.","non-dropping-particle":"","parse-names":false,"suffix":""},{"dropping-particle":"V.","family":"Pearson","given":"John","non-dropping-particle":"","parse-names":false,"suffix":""},{"dropping-particle":"","family":"Sinari","given":"Shripad A.","non-dropping-particle":"","parse-names":false,"suffix":""},{"dropping-particle":"","family":"Tembe","given":"Waibhav D.","non-dropping-particle":"","parse-names":false,"suffix":""},{"dropping-particle":"","family":"Haussler","given":"David","non-dropping-particle":"","parse-names":false,"suffix":""},{"dropping-particle":"","family":"Hinrichs","given":"Angie S.","non-dropping-particle":"","parse-names":false,"suffix":""},{"dropping-particle":"","family":"Katzman","given":"Sol J.","non-dropping-particle":"","parse-names":false,"suffix":""},{"dropping-particle":"","family":"Kern","given":"Andrew","non-dropping-particle":"","parse-names":false,"suffix":""},{"dropping-particle":"","family":"Kuhn","given":"Robert M.","non-dropping-particle":"","parse-names":false,"suffix":""},{"dropping-particle":"","family":"Przeworski","given":"Molly","non-dropping-particle":"","parse-names":false,"suffix":""},{"dropping-particle":"","family":"Hernandez","given":"Ryan D.","non-dropping-particle":"","parse-names":false,"suffix":""},{"dropping-particle":"","family":"Howie","given":"Bryan","non-dropping-particle":"","parse-names":false,"suffix":""},{"dropping-particle":"","family":"Kelley","given":"Joanna L.","non-dropping-particle":"","parse-names":false,"suffix":""},{"dropping-particle":"","family":"Melton","given":"S. Cord","non-dropping-particle":"","parse-names":false,"suffix":""},{"dropping-particle":"","family":"Li","given":"Yun Yingrui","non-dropping-particle":"","parse-names":false,"suffix":""},{"dropping-particle":"","family":"Anderson","given":"Paul","non-dropping-particle":"","parse-names":false,"suffix":""},{"dropping-particle":"","family":"Blackwell","given":"Tom","non-dropping-particle":"","parse-names":false,"suffix":""},{"dropping-particle":"","family":"Chen","given":"Wei","non-dropping-particle":"","parse-names":false,"suffix":""},{"dropping-particle":"","family":"Cookson","given":"William O.","non-dropping-particle":"","parse-names":false,"suffix":""},{"dropping-particle":"","family":"Ding","given":"Jun","non-dropping-particle":"","parse-names":false,"suffix":""},{"dropping-particle":"","family":"Kang","given":"Hyun Min","non-dropping-particle":"","parse-names":false,"suffix":""},{"dropping-particle":"","family":"Lathrop","given":"Mark","non-dropping-particle":"","parse-names":false,"suffix":""},{"dropping-particle":"","family":"Liang","given":"Liming","non-dropping-particle":"","parse-names":false,"suffix":""},{"dropping-particle":"","family":"Moffatt","given":"Miriam F.","non-dropping-particle":"","parse-names":false,"suffix":""},{"dropping-particle":"","family":"Scheet","given":"Paul","non-dropping-particle":"","parse-names":false,"suffix":""},{"dropping-particle":"","family":"Sidore","given":"Carlo","non-dropping-particle":"","parse-names":false,"suffix":""},{"dropping-particle":"","family":"Snyder","given":"Matthew Michael","non-dropping-particle":"","parse-names":false,"suffix":""},{"dropping-particle":"","family":"Zhan","given":"Xiaowei","non-dropping-particle":"","parse-names":false,"suffix":""},{"dropping-particle":"","family":"Zöllner","given":"Sebastian","non-dropping-particle":"","parse-names":false,"suffix":""},{"dropping-particle":"","family":"Awadalla","given":"Philip","non-dropping-particle":"","parse-names":false,"suffix":""},{"dropping-particle":"","family":"Casals","given":"Ferran","non-dropping-particle":"","parse-names":false,"suffix":""},{"dropping-particle":"","family":"Idaghdour","given":"Youssef","non-dropping-particle":"","parse-names":false,"suffix":""},{"dropping-particle":"","family":"Keebler","given":"John","non-dropping-particle":"","parse-names":false,"suffix":""},{"dropping-particle":"","family":"Stone","given":"Eric A.","non-dropping-particle":"","parse-names":false,"suffix":""},{"dropping-particle":"","family":"Zilversmit","given":"Martine","non-dropping-particle":"","parse-names":false,"suffix":""},{"dropping-particle":"","family":"Jorde","given":"Lynn","non-dropping-particle":"","parse-names":false,"suffix":""},{"dropping-particle":"","family":"Xing","given":"Jinchuan","non-dropping-particle":"","parse-names":false,"suffix":""},{"dropping-particle":"","family":"Eichler","given":"Evan E.","non-dropping-particle":"","parse-names":false,"suffix":""},{"dropping-particle":"","family":"Aksay","given":"Gozde","non-dropping-particle":"","parse-names":false,"suffix":""},{"dropping-particle":"","family":"Alkan","given":"Can","non-dropping-particle":"","parse-names":false,"suffix":""},{"dropping-particle":"","family":"Hajirasouliha","given":"Iman","non-dropping-particle":"","parse-names":false,"suffix":""},{"dropping-particle":"","family":"Hormozdiari","given":"Fereydoun","non-dropping-particle":"","parse-names":false,"suffix":""},{"dropping-particle":"","family":"Kidd","given":"Jeffrey M.","non-dropping-particle":"","parse-names":false,"suffix":""},{"dropping-particle":"","family":"CenkSahinalp","given":"S.","non-dropping-particle":"","parse-names":false,"suffix":""},{"dropping-particle":"","family":"Sudmant","given":"Peter H.","non-dropping-particle":"","parse-names":false,"suffix":""},{"dropping-particle":"","family":"Chen","given":"Ken","non-dropping-particle":"","parse-names":false,"suffix":""},{"dropping-particle":"","family":"Chinwalla","given":"Asif","non-dropping-particle":"","parse-names":false,"suffix":""},{"dropping-particle":"","family":"Ding","given":"Li","non-dropping-particle":"","parse-names":false,"suffix":""},{"dropping-particle":"","family":"Koboldt","given":"Daniel C.","non-dropping-particle":"","parse-names":false,"suffix":""},{"dropping-particle":"","family":"McLellan","given":"Mike D.","non-dropping-particle":"","parse-names":false,"suffix":""},{"dropping-particle":"","family":"Wallis","given":"John W.","non-dropping-particle":"","parse-names":false,"suffix":""},{"dropping-particle":"","family":"Wendl","given":"Michael C.","non-dropping-particle":"","parse-names":false,"suffix":""},{"dropping-particle":"","family":"Zhang","given":"Qunyuan","non-dropping-particle":"","parse-names":false,"suffix":""},{"dropping-particle":"","family":"Albers","given":"Cornelis A.","non-dropping-particle":"","parse-names":false,"suffix":""},{"dropping-particle":"","family":"Ayub","given":"Qasim","non-dropping-particle":"","parse-names":false,"suffix":""},{"dropping-particle":"","family":"Balasubramaniam","given":"Senduran","non-dropping-particle":"","parse-names":false,"suffix":""},{"dropping-particle":"","family":"Barrett","given":"Jeffrey C.","non-dropping-particle":"","parse-names":false,"suffix":""},{"dropping-particle":"","family":"Chen","given":"Yuan","non-dropping-particle":"","parse-names":false,"suffix":""},{"dropping-particle":"","family":"Conrad","given":"Donald F.","non-dropping-particle":"","parse-names":false,"suffix":""},{"dropping-particle":"","family":"Danecek","given":"Petr","non-dropping-particle":"","parse-names":false,"suffix":""},{"dropping-particle":"","family":"Dermitzakis","given":"Emmanouil T.","non-dropping-particle":"","parse-names":false,"suffix":""},{"dropping-particle":"","family":"Hu","given":"Min","non-dropping-particle":"","parse-names":false,"suffix":""},{"dropping-particle":"","family":"Huang","given":"Ni","non-dropping-particle":"","parse-names":false,"suffix":""},{"dropping-particle":"","family":"Matt","given":"E. Hurles","non-dropping-particle":"","parse-names":false,"suffix":""},{"dropping-particle":"","family":"Jin","given":"Hanjun","non-dropping-particle":"","parse-names":false,"suffix":""},{"dropping-particle":"","family":"Jostins","given":"Luke","non-dropping-particle":"","parse-names":false,"suffix":""},{"dropping-particle":"","family":"Keane","given":"Thomas M.","non-dropping-particle":"","parse-names":false,"suffix":""},{"dropping-particle":"","family":"Quang Le","given":"Si","non-dropping-particle":"","parse-names":false,"suffix":""},{"dropping-particle":"","family":"Lindsay","given":"Sarah","non-dropping-particle":"","parse-names":false,"suffix":""},{"dropping-particle":"","family":"Long","given":"Quan","non-dropping-particle":"","parse-names":false,"suffix":""},{"dropping-particle":"","family":"MacArthur","given":"Daniel G.","non-dropping-particle":"","parse-names":false,"suffix":""},{"dropping-particle":"","family":"Montgomery","given":"Stephen B.","non-dropping-particle":"","parse-names":false,"suffix":""},{"dropping-particle":"","family":"Parts","given":"Leopold","non-dropping-particle":"","parse-names":false,"suffix":""},{"dropping-particle":"","family":"Chris Tyler-Smith","given":"","non-dropping-particle":"","parse-names":false,"suffix":""},{"dropping-particle":"","family":"Walter","given":"Klaudia","non-dropping-particle":"","parse-names":false,"suffix":""},{"dropping-particle":"","family":"Zhang","given":"Yujun","non-dropping-particle":"","parse-names":false,"suffix":""},{"dropping-particle":"","family":"Gerstein","given":"Mark B.","non-dropping-particle":"","parse-names":false,"suffix":""},{"dropping-particle":"","family":"Snyder","given":"Matthew Michael","non-dropping-particle":"","parse-names":false,"suffix":""},{"dropping-particle":"","family":"Abyzov","given":"Alexej","non-dropping-particle":"","parse-names":false,"suffix":""},{"dropping-particle":"","family":"Balasubramanian","given":"Suganthi","non-dropping-particle":"","parse-names":false,"suffix":""},{"dropping-particle":"","family":"Bjornson","given":"Robert","non-dropping-particle":"","parse-names":false,"suffix":""},{"dropping-particle":"","family":"Grubert","given":"Fabian","non-dropping-particle":"","parse-names":false,"suffix":""},{"dropping-particle":"","family":"Habegger","given":"Lukas","non-dropping-particle":"","parse-names":false,"suffix":""},{"dropping-particle":"","family":"Haraksingh","given":"Rajini","non-dropping-particle":"","parse-names":false,"suffix":""},{"dropping-particle":"","family":"Khurana","given":"Ekta","non-dropping-particle":"","parse-names":false,"suffix":""},{"dropping-particle":"","family":"Lam","given":"Hugo Y.K.","non-dropping-particle":"","parse-names":false,"suffix":""},{"dropping-particle":"","family":"Leng","given":"Jing","non-dropping-particle":"","parse-names":false,"suffix":""},{"dropping-particle":"","family":"Mu","given":"Xinmeng Jasmine","non-dropping-particle":"","parse-names":false,"suffix":""},{"dropping-particle":"","family":"Urban","given":"Alexander E.","non-dropping-particle":"","parse-names":false,"suffix":""},{"dropping-particle":"","family":"Zhang","given":"Zhengdong","non-dropping-particle":"","parse-names":false,"suffix":""},{"dropping-particle":"","family":"McCarroll","given":"Steven A.","non-dropping-particle":"","parse-names":false,"suffix":""},{"dropping-particle":"","family":"Zheng-Bradley","given":"Xiangqun","non-dropping-particle":"","parse-names":false,"suffix":""},{"dropping-particle":"","family":"Batzer","given":"Mark A.","non-dropping-particle":"","parse-names":false,"suffix":""},{"dropping-particle":"","family":"Hurles","given":"Matt E.","non-dropping-particle":"","parse-names":false,"suffix":""},{"dropping-particle":"","family":"Du","given":"Jiang","non-dropping-particle":"","parse-names":false,"suffix":""},{"dropping-particle":"","family":"Jee","given":"Justin","non-dropping-particle":"","parse-names":false,"suffix":""},{"dropping-particle":"","family":"Coafra","given":"Cristian","non-dropping-particle":"","parse-names":false,"suffix":""},{"dropping-particle":"","family":"Dinh","given":"Huyen","non-dropping-particle":"","parse-names":false,"suffix":""},{"dropping-particle":"","family":"Kovar","given":"Christie","non-dropping-particle":"","parse-names":false,"suffix":""},{"dropping-particle":"","family":"Lee","given":"Sandy","non-dropping-particle":"","parse-names":false,"suffix":""},{"dropping-particle":"","family":"Nazareth","given":"Lynne","non-dropping-particle":"","parse-names":false,"suffix":""},{"dropping-particle":"","family":"Wilkinson","given":"Jane","non-dropping-particle":"","parse-names":false,"suffix":""},{"dropping-particle":"","family":"Coffey","given":"Alison Allison","non-dropping-particle":"","parse-names":false,"suffix":""},{"dropping-particle":"","family":"Scott","given":"Carol","non-dropping-particle":"","parse-names":false,"suffix":""},{"dropping-particle":"","family":"Tyler-Smith","given":"Chris","non-dropping-particle":"","parse-names":false,"suffix":""},{"dropping-particle":"","family":"Gharani","given":"Neda","non-dropping-particle":"","parse-names":false,"suffix":""},{"dropping-particle":"","family":"Kaye","given":"Jane S.","non-dropping-particle":"","parse-names":false,"suffix":""},{"dropping-particle":"","family":"Kent","given":"Alastair","non-dropping-particle":"","parse-names":false,"suffix":""},{"dropping-particle":"","family":"Li","given":"Taosha","non-dropping-particle":"","parse-names":false,"suffix":""},{"dropping-particle":"","family":"McGuire","given":"Amy L.","non-dropping-particle":"","parse-names":false,"suffix":""},{"dropping-particle":"","family":"Ossorio","given":"Pilar N.","non-dropping-particle":"","parse-names":false,"suffix":""},{"dropping-particle":"","family":"Rotimi","given":"Charles N.","non-dropping-particle":"","parse-names":false,"suffix":""},{"dropping-particle":"","family":"Su","given":"Yeyang","non-dropping-particle":"","parse-names":false,"suffix":""},{"dropping-particle":"","family":"Toji","given":"Lorraine H.","non-dropping-particle":"","parse-names":false,"suffix":""},{"dropping-particle":"","family":"Felsenfeld","given":"Adam L.","non-dropping-particle":"","parse-names":false,"suffix":""},{"dropping-particle":"","family":"McEwen","given":"Jean E.","non-dropping-particle":"","parse-names":false,"suffix":""},{"dropping-particle":"","family":"Abdallah","given":"Assya","non-dropping-particle":"","parse-names":false,"suffix":""},{"dropping-particle":"","family":"Juenger","given":"Christopher R.","non-dropping-particle":"","parse-names":false,"suffix":""},{"dropping-particle":"","family":"Clemm","given":"Nicholas C.","non-dropping-particle":"","parse-names":false,"suffix":""},{"dropping-particle":"","family":"Duncanson","given":"Audrey","non-dropping-particle":"","parse-names":false,"suffix":""},{"dropping-particle":"","family":"Green","given":"Eric D.","non-dropping-particle":"","parse-names":false,"suffix":""},{"dropping-particle":"","family":"Guyer","given":"Mark S.","non-dropping-particle":"","parse-names":false,"suffix":""},{"dropping-particle":"","family":"Peterson","given":"Jane L.","non-dropping-particle":"","parse-names":false,"suffix":""}],"container-title":"Nature","id":"ITEM-1","issue":"7319","issued":{"date-parts":[["2011"]]},"page":"1061–1073","title":"A map of human genome variation from population-scale sequencing","type":"article-journal","volume":"467"},"uris":["http://www.mendeley.com/documents/?uuid=b357d902-e0d3-4547-8eb9-28dbb61c066b"]}],"mendeley":{"formattedCitation":"(44)","plainTextFormattedCitation":"(44)","previouslyFormattedCitation":"(44)"},"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(44)</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w:t>
      </w:r>
    </w:p>
    <w:p w14:paraId="20C6831E" w14:textId="77777777" w:rsidR="00CA247D" w:rsidRPr="00FC3ACB" w:rsidRDefault="00CA247D" w:rsidP="00CA247D">
      <w:pPr>
        <w:pStyle w:val="BodyA"/>
        <w:spacing w:line="360" w:lineRule="auto"/>
        <w:outlineLvl w:val="0"/>
        <w:rPr>
          <w:rStyle w:val="None"/>
          <w:rFonts w:ascii="Times New Roman" w:eastAsia="Cambria" w:hAnsi="Times New Roman" w:cs="Times New Roman"/>
          <w:sz w:val="24"/>
          <w:szCs w:val="24"/>
          <w:lang w:val="en-GB"/>
        </w:rPr>
      </w:pPr>
    </w:p>
    <w:p w14:paraId="7AA0D150" w14:textId="77777777" w:rsidR="00CA247D" w:rsidRPr="0038150C" w:rsidRDefault="00CA247D" w:rsidP="00CA247D">
      <w:pPr>
        <w:pStyle w:val="BodyA"/>
        <w:spacing w:line="360" w:lineRule="auto"/>
        <w:outlineLvl w:val="0"/>
        <w:rPr>
          <w:rStyle w:val="None"/>
          <w:rFonts w:ascii="Times New Roman" w:eastAsia="Cambria" w:hAnsi="Times New Roman" w:cs="Times New Roman"/>
          <w:sz w:val="24"/>
          <w:szCs w:val="24"/>
          <w:u w:val="single"/>
          <w:lang w:val="en-GB"/>
        </w:rPr>
      </w:pPr>
      <w:r w:rsidRPr="0038150C">
        <w:rPr>
          <w:rStyle w:val="None"/>
          <w:rFonts w:ascii="Times New Roman" w:hAnsi="Times New Roman" w:cs="Times New Roman"/>
          <w:sz w:val="24"/>
          <w:szCs w:val="24"/>
          <w:u w:val="single"/>
          <w:lang w:val="en-GB"/>
        </w:rPr>
        <w:t xml:space="preserve">mQTL and genotype x intervention interaction analysis </w:t>
      </w:r>
    </w:p>
    <w:p w14:paraId="068AEBD8" w14:textId="2D8B7295" w:rsidR="00CA247D" w:rsidRPr="00FC3ACB" w:rsidRDefault="00CA247D" w:rsidP="00CA247D">
      <w:pPr>
        <w:pStyle w:val="BodyA"/>
        <w:tabs>
          <w:tab w:val="left" w:pos="720"/>
        </w:tabs>
        <w:spacing w:line="360" w:lineRule="auto"/>
        <w:outlineLvl w:val="0"/>
        <w:rPr>
          <w:rStyle w:val="None"/>
          <w:rFonts w:ascii="Times New Roman" w:eastAsia="Cambria" w:hAnsi="Times New Roman" w:cs="Times New Roman"/>
          <w:sz w:val="24"/>
          <w:szCs w:val="24"/>
          <w:lang w:val="en-GB"/>
        </w:rPr>
      </w:pPr>
      <w:r w:rsidRPr="00FC3ACB">
        <w:rPr>
          <w:rStyle w:val="None"/>
          <w:rFonts w:ascii="Times New Roman" w:hAnsi="Times New Roman" w:cs="Times New Roman"/>
          <w:sz w:val="24"/>
          <w:szCs w:val="24"/>
          <w:lang w:val="en-GB"/>
        </w:rPr>
        <w:t xml:space="preserve">To determine the extent to which variation in methylation at nutrition-associated loci could be driven by genotype, an initial </w:t>
      </w:r>
      <w:r w:rsidR="00C2455D">
        <w:rPr>
          <w:rStyle w:val="None"/>
          <w:rFonts w:ascii="Times New Roman" w:hAnsi="Times New Roman" w:cs="Times New Roman"/>
          <w:sz w:val="24"/>
          <w:szCs w:val="24"/>
          <w:lang w:val="en-GB"/>
        </w:rPr>
        <w:t xml:space="preserve">genome-wide screen for </w:t>
      </w:r>
      <w:r w:rsidRPr="00FC3ACB">
        <w:rPr>
          <w:rStyle w:val="None"/>
          <w:rFonts w:ascii="Times New Roman" w:hAnsi="Times New Roman" w:cs="Times New Roman"/>
          <w:sz w:val="24"/>
          <w:szCs w:val="24"/>
          <w:lang w:val="en-GB"/>
        </w:rPr>
        <w:t xml:space="preserve">mQTL </w:t>
      </w:r>
      <w:r w:rsidR="00C2455D">
        <w:rPr>
          <w:rStyle w:val="None"/>
          <w:rFonts w:ascii="Times New Roman" w:hAnsi="Times New Roman" w:cs="Times New Roman"/>
          <w:sz w:val="24"/>
          <w:szCs w:val="24"/>
          <w:lang w:val="en-GB"/>
        </w:rPr>
        <w:t xml:space="preserve">effects at </w:t>
      </w:r>
      <w:r w:rsidR="00FA2160">
        <w:rPr>
          <w:rStyle w:val="None"/>
          <w:rFonts w:ascii="Times New Roman" w:hAnsi="Times New Roman" w:cs="Times New Roman"/>
          <w:sz w:val="24"/>
          <w:szCs w:val="24"/>
          <w:lang w:val="en-GB"/>
        </w:rPr>
        <w:t xml:space="preserve">DMPs and </w:t>
      </w:r>
      <w:r w:rsidR="00C2455D">
        <w:rPr>
          <w:rStyle w:val="None"/>
          <w:rFonts w:ascii="Times New Roman" w:hAnsi="Times New Roman" w:cs="Times New Roman"/>
          <w:sz w:val="24"/>
          <w:szCs w:val="24"/>
          <w:lang w:val="en-GB"/>
        </w:rPr>
        <w:t xml:space="preserve">CpGs </w:t>
      </w:r>
      <w:r w:rsidR="00AC4E33">
        <w:rPr>
          <w:rStyle w:val="None"/>
          <w:rFonts w:ascii="Times New Roman" w:hAnsi="Times New Roman" w:cs="Times New Roman"/>
          <w:sz w:val="24"/>
          <w:szCs w:val="24"/>
          <w:lang w:val="en-GB"/>
        </w:rPr>
        <w:t xml:space="preserve">falling within </w:t>
      </w:r>
      <w:r w:rsidR="00C2455D">
        <w:rPr>
          <w:rStyle w:val="None"/>
          <w:rFonts w:ascii="Times New Roman" w:hAnsi="Times New Roman" w:cs="Times New Roman"/>
          <w:sz w:val="24"/>
          <w:szCs w:val="24"/>
          <w:lang w:val="en-GB"/>
        </w:rPr>
        <w:t xml:space="preserve">identified </w:t>
      </w:r>
      <w:r w:rsidR="00AC4E33">
        <w:rPr>
          <w:rStyle w:val="None"/>
          <w:rFonts w:ascii="Times New Roman" w:hAnsi="Times New Roman" w:cs="Times New Roman"/>
          <w:sz w:val="24"/>
          <w:szCs w:val="24"/>
          <w:lang w:val="en-GB"/>
        </w:rPr>
        <w:t xml:space="preserve">DMRs </w:t>
      </w:r>
      <w:r w:rsidRPr="00FC3ACB">
        <w:rPr>
          <w:rStyle w:val="None"/>
          <w:rFonts w:ascii="Times New Roman" w:hAnsi="Times New Roman" w:cs="Times New Roman"/>
          <w:sz w:val="24"/>
          <w:szCs w:val="24"/>
          <w:lang w:val="en-GB"/>
        </w:rPr>
        <w:t xml:space="preserve">was performed using the </w:t>
      </w:r>
      <w:r w:rsidR="00031892" w:rsidRPr="0024175E">
        <w:rPr>
          <w:rFonts w:ascii="Times New Roman" w:hAnsi="Times New Roman" w:cs="Times New Roman"/>
          <w:sz w:val="24"/>
          <w:szCs w:val="20"/>
          <w:lang w:val="en-GB"/>
        </w:rPr>
        <w:t xml:space="preserve">Gene Environment </w:t>
      </w:r>
      <w:r w:rsidR="00681345">
        <w:rPr>
          <w:rFonts w:ascii="Times New Roman" w:hAnsi="Times New Roman" w:cs="Times New Roman"/>
          <w:sz w:val="24"/>
          <w:szCs w:val="20"/>
          <w:lang w:val="en-GB"/>
        </w:rPr>
        <w:t xml:space="preserve">and </w:t>
      </w:r>
      <w:r w:rsidR="00031892" w:rsidRPr="0024175E">
        <w:rPr>
          <w:rFonts w:ascii="Times New Roman" w:hAnsi="Times New Roman" w:cs="Times New Roman"/>
          <w:sz w:val="24"/>
          <w:szCs w:val="20"/>
          <w:lang w:val="en-GB"/>
        </w:rPr>
        <w:t xml:space="preserve">Methylation </w:t>
      </w:r>
      <w:r w:rsidR="00031892">
        <w:rPr>
          <w:rStyle w:val="None"/>
          <w:rFonts w:ascii="Times New Roman" w:hAnsi="Times New Roman" w:cs="Times New Roman"/>
          <w:sz w:val="24"/>
          <w:szCs w:val="24"/>
          <w:lang w:val="en-GB"/>
        </w:rPr>
        <w:t>(</w:t>
      </w:r>
      <w:r w:rsidRPr="00FC3ACB">
        <w:rPr>
          <w:rStyle w:val="None"/>
          <w:rFonts w:ascii="Times New Roman" w:hAnsi="Times New Roman" w:cs="Times New Roman"/>
          <w:sz w:val="24"/>
          <w:szCs w:val="24"/>
          <w:lang w:val="en-GB"/>
        </w:rPr>
        <w:t>GEM</w:t>
      </w:r>
      <w:r w:rsidR="00031892">
        <w:rPr>
          <w:rStyle w:val="None"/>
          <w:rFonts w:ascii="Times New Roman" w:hAnsi="Times New Roman" w:cs="Times New Roman"/>
          <w:sz w:val="24"/>
          <w:szCs w:val="24"/>
          <w:lang w:val="en-GB"/>
        </w:rPr>
        <w:t>)</w:t>
      </w:r>
      <w:r w:rsidRPr="00FC3ACB">
        <w:rPr>
          <w:rStyle w:val="None"/>
          <w:rFonts w:ascii="Times New Roman" w:hAnsi="Times New Roman" w:cs="Times New Roman"/>
          <w:sz w:val="24"/>
          <w:szCs w:val="24"/>
          <w:lang w:val="en-GB"/>
        </w:rPr>
        <w:t xml:space="preserve"> package from R Bioconductor</w:t>
      </w:r>
      <w:r w:rsidR="00AC4E33">
        <w:rPr>
          <w:rStyle w:val="None"/>
          <w:rFonts w:ascii="Times New Roman" w:hAnsi="Times New Roman" w:cs="Times New Roman"/>
          <w:sz w:val="24"/>
          <w:szCs w:val="24"/>
          <w:lang w:val="en-GB"/>
        </w:rPr>
        <w:t>. This</w:t>
      </w:r>
      <w:r w:rsidRPr="00FC3ACB">
        <w:rPr>
          <w:rStyle w:val="None"/>
          <w:rFonts w:ascii="Times New Roman" w:hAnsi="Times New Roman" w:cs="Times New Roman"/>
          <w:sz w:val="24"/>
          <w:szCs w:val="24"/>
          <w:lang w:val="en-GB"/>
        </w:rPr>
        <w:t xml:space="preserve"> uses linear models to test CpGs for </w:t>
      </w:r>
      <w:r w:rsidR="002D6DBA">
        <w:rPr>
          <w:rStyle w:val="None"/>
          <w:rFonts w:ascii="Times New Roman" w:hAnsi="Times New Roman" w:cs="Times New Roman"/>
          <w:sz w:val="24"/>
          <w:szCs w:val="24"/>
          <w:lang w:val="en-GB"/>
        </w:rPr>
        <w:t xml:space="preserve">direct </w:t>
      </w:r>
      <w:r w:rsidRPr="00FC3ACB">
        <w:rPr>
          <w:rStyle w:val="None"/>
          <w:rFonts w:ascii="Times New Roman" w:hAnsi="Times New Roman" w:cs="Times New Roman"/>
          <w:sz w:val="24"/>
          <w:szCs w:val="24"/>
          <w:lang w:val="en-GB"/>
        </w:rPr>
        <w:t xml:space="preserve">genetic (mQTL) effects and </w:t>
      </w:r>
      <w:r w:rsidR="002D6DBA">
        <w:rPr>
          <w:rStyle w:val="None"/>
          <w:rFonts w:ascii="Times New Roman" w:hAnsi="Times New Roman" w:cs="Times New Roman"/>
          <w:sz w:val="24"/>
          <w:szCs w:val="24"/>
          <w:lang w:val="en-GB"/>
        </w:rPr>
        <w:t xml:space="preserve">for </w:t>
      </w:r>
      <w:r w:rsidRPr="00FC3ACB">
        <w:rPr>
          <w:rStyle w:val="None"/>
          <w:rFonts w:ascii="Times New Roman" w:hAnsi="Times New Roman" w:cs="Times New Roman"/>
          <w:sz w:val="24"/>
          <w:szCs w:val="24"/>
          <w:lang w:val="en-GB"/>
        </w:rPr>
        <w:t xml:space="preserve">G x E interactions </w:t>
      </w:r>
      <w:r w:rsidRPr="00FC3ACB">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10.1186/s12859-016-1161-z","ISSN":"1471-2105","author":[{"dropping-particle":"","family":"Pan","given":"Hong","non-dropping-particle":"","parse-names":false,"suffix":""},{"dropping-particle":"","family":"Holbrook","given":"Joanna D","non-dropping-particle":"","parse-names":false,"suffix":""},{"dropping-particle":"","family":"Karnani","given":"Neerja","non-dropping-particle":"","parse-names":false,"suffix":""},{"dropping-particle":"","family":"Kwoh","given":"Chee Keong","non-dropping-particle":"","parse-names":false,"suffix":""}],"container-title":"BMC Bioinformatics","id":"ITEM-1","issue":"1","issued":{"date-parts":[["2016","12","2"]]},"page":"299","publisher":"BMC Bioinformatics","title":"Gene, Environment and Methylation (GEM): a tool suite to efficiently navigate large scale epigenome wide association studies and integrate genotype and interaction between genotype and environment","type":"article-journal","volume":"17"},"uris":["http://www.mendeley.com/documents/?uuid=3a583a17-4152-4a04-bd3a-2b7cd1251107"]}],"mendeley":{"formattedCitation":"(45)","plainTextFormattedCitation":"(45)","previouslyFormattedCitation":"(45)"},"properties":{"noteIndex":0},"schema":"https://github.com/citation-style-language/schema/raw/master/csl-citation.json"}</w:instrText>
      </w:r>
      <w:r w:rsidRPr="00FC3ACB">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(45)</w:t>
      </w:r>
      <w:r w:rsidRPr="00FC3ACB">
        <w:rPr>
          <w:rStyle w:val="None"/>
          <w:rFonts w:ascii="Times New Roman" w:hAnsi="Times New Roman" w:cs="Times New Roman"/>
          <w:sz w:val="24"/>
          <w:szCs w:val="24"/>
          <w:lang w:val="en-GB"/>
        </w:rPr>
        <w:fldChar w:fldCharType="end"/>
      </w:r>
      <w:r w:rsidRPr="00FC3ACB">
        <w:rPr>
          <w:rStyle w:val="None"/>
          <w:rFonts w:ascii="Times New Roman" w:hAnsi="Times New Roman" w:cs="Times New Roman"/>
          <w:sz w:val="24"/>
          <w:szCs w:val="24"/>
          <w:lang w:val="en-GB"/>
        </w:rPr>
        <w:t xml:space="preserve">. </w:t>
      </w:r>
      <w:r w:rsidR="00FA2160">
        <w:rPr>
          <w:rStyle w:val="None"/>
          <w:rFonts w:ascii="Times New Roman" w:hAnsi="Times New Roman" w:cs="Times New Roman"/>
          <w:sz w:val="24"/>
          <w:szCs w:val="24"/>
          <w:lang w:val="en-GB"/>
        </w:rPr>
        <w:t>P</w:t>
      </w:r>
      <w:r w:rsidRPr="00FC3ACB">
        <w:rPr>
          <w:rStyle w:val="None"/>
          <w:rFonts w:ascii="Times New Roman" w:hAnsi="Times New Roman" w:cs="Times New Roman"/>
          <w:sz w:val="24"/>
          <w:szCs w:val="24"/>
          <w:lang w:val="en-GB"/>
        </w:rPr>
        <w:t>rocessed methylation Beta-values</w:t>
      </w:r>
      <w:r w:rsidR="00FA2160">
        <w:rPr>
          <w:rStyle w:val="None"/>
          <w:rFonts w:ascii="Times New Roman" w:hAnsi="Times New Roman" w:cs="Times New Roman"/>
          <w:sz w:val="24"/>
          <w:szCs w:val="24"/>
          <w:lang w:val="en-GB"/>
        </w:rPr>
        <w:t xml:space="preserve">, </w:t>
      </w:r>
      <w:r w:rsidRPr="00FC3ACB">
        <w:rPr>
          <w:rStyle w:val="None"/>
          <w:rFonts w:ascii="Times New Roman" w:hAnsi="Times New Roman" w:cs="Times New Roman"/>
          <w:sz w:val="24"/>
          <w:szCs w:val="24"/>
          <w:lang w:val="en-GB"/>
        </w:rPr>
        <w:t xml:space="preserve">filtered GSA genotypes and the covariate data (including adjustment and intervention </w:t>
      </w:r>
      <w:proofErr w:type="gramStart"/>
      <w:r w:rsidRPr="00FC3ACB">
        <w:rPr>
          <w:rStyle w:val="None"/>
          <w:rFonts w:ascii="Times New Roman" w:hAnsi="Times New Roman" w:cs="Times New Roman"/>
          <w:sz w:val="24"/>
          <w:szCs w:val="24"/>
          <w:lang w:val="en-GB"/>
        </w:rPr>
        <w:t>status)  were</w:t>
      </w:r>
      <w:proofErr w:type="gramEnd"/>
      <w:r w:rsidRPr="00FC3ACB">
        <w:rPr>
          <w:rStyle w:val="None"/>
          <w:rFonts w:ascii="Times New Roman" w:hAnsi="Times New Roman" w:cs="Times New Roman"/>
          <w:sz w:val="24"/>
          <w:szCs w:val="24"/>
          <w:lang w:val="en-GB"/>
        </w:rPr>
        <w:t xml:space="preserve"> used as inputs</w:t>
      </w:r>
      <w:r w:rsidR="00FA2160">
        <w:rPr>
          <w:rStyle w:val="None"/>
          <w:rFonts w:ascii="Times New Roman" w:hAnsi="Times New Roman" w:cs="Times New Roman"/>
          <w:sz w:val="24"/>
          <w:szCs w:val="24"/>
          <w:lang w:val="en-GB"/>
        </w:rPr>
        <w:t xml:space="preserve"> for the models</w:t>
      </w:r>
      <w:r w:rsidRPr="00FC3ACB">
        <w:rPr>
          <w:rStyle w:val="None"/>
          <w:rFonts w:ascii="Times New Roman" w:hAnsi="Times New Roman" w:cs="Times New Roman"/>
          <w:sz w:val="24"/>
          <w:szCs w:val="24"/>
          <w:lang w:val="en-GB"/>
        </w:rPr>
        <w:t xml:space="preserve">. The identified mQTLs were then taken forward for further modelling to help dissect the relative contributions of genotype and intervention. The analysis was repeated using </w:t>
      </w:r>
      <w:r w:rsidR="00FA2160">
        <w:rPr>
          <w:rStyle w:val="None"/>
          <w:rFonts w:ascii="Times New Roman" w:hAnsi="Times New Roman" w:cs="Times New Roman"/>
          <w:sz w:val="24"/>
          <w:szCs w:val="24"/>
          <w:lang w:val="en-GB"/>
        </w:rPr>
        <w:t xml:space="preserve">higher resolution </w:t>
      </w:r>
      <w:r w:rsidRPr="00FC3ACB">
        <w:rPr>
          <w:rStyle w:val="None"/>
          <w:rFonts w:ascii="Times New Roman" w:hAnsi="Times New Roman" w:cs="Times New Roman"/>
          <w:sz w:val="24"/>
          <w:szCs w:val="24"/>
          <w:lang w:val="en-GB"/>
        </w:rPr>
        <w:t xml:space="preserve">imputed </w:t>
      </w:r>
      <w:r w:rsidR="00FA2160">
        <w:rPr>
          <w:rStyle w:val="None"/>
          <w:rFonts w:ascii="Times New Roman" w:hAnsi="Times New Roman" w:cs="Times New Roman"/>
          <w:sz w:val="24"/>
          <w:szCs w:val="24"/>
          <w:lang w:val="en-GB"/>
        </w:rPr>
        <w:t xml:space="preserve">genetic </w:t>
      </w:r>
      <w:r w:rsidRPr="00FC3ACB">
        <w:rPr>
          <w:rStyle w:val="None"/>
          <w:rFonts w:ascii="Times New Roman" w:hAnsi="Times New Roman" w:cs="Times New Roman"/>
          <w:sz w:val="24"/>
          <w:szCs w:val="24"/>
          <w:lang w:val="en-GB"/>
        </w:rPr>
        <w:t>data on chromosome 5</w:t>
      </w:r>
      <w:r w:rsidR="0024175E">
        <w:rPr>
          <w:rStyle w:val="None"/>
          <w:rFonts w:ascii="Times New Roman" w:hAnsi="Times New Roman" w:cs="Times New Roman"/>
          <w:sz w:val="24"/>
          <w:szCs w:val="24"/>
          <w:lang w:val="en-GB"/>
        </w:rPr>
        <w:t xml:space="preserve"> (</w:t>
      </w:r>
      <w:r w:rsidR="00FA2160" w:rsidRPr="0024175E">
        <w:rPr>
          <w:rStyle w:val="None"/>
          <w:rFonts w:ascii="Times New Roman" w:hAnsi="Times New Roman" w:cs="Times New Roman"/>
          <w:sz w:val="24"/>
          <w:szCs w:val="24"/>
          <w:lang w:val="en-GB"/>
        </w:rPr>
        <w:t xml:space="preserve">Supplemental Methods </w:t>
      </w:r>
      <w:r w:rsidR="00C96A82" w:rsidRPr="00805047">
        <w:rPr>
          <w:rStyle w:val="None"/>
          <w:rFonts w:ascii="Times New Roman" w:hAnsi="Times New Roman" w:cs="Times New Roman"/>
          <w:sz w:val="24"/>
          <w:szCs w:val="24"/>
          <w:lang w:val="en-GB"/>
        </w:rPr>
        <w:t>SM4.</w:t>
      </w:r>
      <w:r w:rsidR="003E394B" w:rsidRPr="00805047">
        <w:rPr>
          <w:rStyle w:val="None"/>
          <w:rFonts w:ascii="Times New Roman" w:hAnsi="Times New Roman" w:cs="Times New Roman"/>
          <w:sz w:val="24"/>
          <w:szCs w:val="24"/>
          <w:lang w:val="en-GB"/>
        </w:rPr>
        <w:t>9</w:t>
      </w:r>
      <w:r w:rsidR="0024175E" w:rsidRPr="00805047">
        <w:rPr>
          <w:rStyle w:val="None"/>
          <w:rFonts w:ascii="Times New Roman" w:hAnsi="Times New Roman" w:cs="Times New Roman"/>
          <w:sz w:val="24"/>
          <w:szCs w:val="24"/>
          <w:lang w:val="en-GB"/>
        </w:rPr>
        <w:t>)</w:t>
      </w:r>
      <w:r w:rsidR="00FA2160" w:rsidRPr="00805047">
        <w:rPr>
          <w:rStyle w:val="None"/>
          <w:rFonts w:ascii="Times New Roman" w:hAnsi="Times New Roman" w:cs="Times New Roman"/>
          <w:sz w:val="24"/>
          <w:szCs w:val="24"/>
          <w:lang w:val="en-GB"/>
        </w:rPr>
        <w:t>.</w:t>
      </w:r>
    </w:p>
    <w:p w14:paraId="1A8661A9" w14:textId="77777777" w:rsidR="00CA247D" w:rsidRPr="00FC3ACB" w:rsidRDefault="00CA247D" w:rsidP="00CA247D">
      <w:pPr>
        <w:pStyle w:val="BodyA"/>
        <w:tabs>
          <w:tab w:val="left" w:pos="720"/>
        </w:tabs>
        <w:spacing w:line="360" w:lineRule="auto"/>
        <w:outlineLvl w:val="0"/>
        <w:rPr>
          <w:rStyle w:val="None"/>
          <w:rFonts w:ascii="Times New Roman" w:eastAsia="Cambria" w:hAnsi="Times New Roman" w:cs="Times New Roman"/>
          <w:sz w:val="24"/>
          <w:szCs w:val="24"/>
          <w:lang w:val="en-GB"/>
        </w:rPr>
      </w:pPr>
    </w:p>
    <w:p w14:paraId="1A4F7F81" w14:textId="70509944" w:rsidR="0038150C" w:rsidRDefault="00CA247D" w:rsidP="00B07658">
      <w:pPr>
        <w:pStyle w:val="BodyA"/>
        <w:spacing w:line="360" w:lineRule="auto"/>
        <w:outlineLvl w:val="0"/>
        <w:rPr>
          <w:rStyle w:val="None"/>
          <w:rFonts w:ascii="Times New Roman" w:hAnsi="Times New Roman" w:cs="Times New Roman"/>
          <w:sz w:val="24"/>
          <w:szCs w:val="24"/>
          <w:lang w:val="en-GB"/>
        </w:rPr>
      </w:pPr>
      <w:r w:rsidRPr="0038150C">
        <w:rPr>
          <w:rStyle w:val="None"/>
          <w:rFonts w:ascii="Times New Roman" w:hAnsi="Times New Roman" w:cs="Times New Roman"/>
          <w:sz w:val="24"/>
          <w:szCs w:val="24"/>
          <w:u w:val="single"/>
          <w:lang w:val="en-GB"/>
        </w:rPr>
        <w:t xml:space="preserve">Sex imbalance </w:t>
      </w:r>
      <w:r w:rsidRPr="00FC3ACB">
        <w:rPr>
          <w:rStyle w:val="None"/>
          <w:rFonts w:ascii="Times New Roman" w:hAnsi="Times New Roman" w:cs="Times New Roman"/>
          <w:sz w:val="24"/>
          <w:szCs w:val="24"/>
          <w:lang w:val="en-GB"/>
        </w:rPr>
        <w:br/>
        <w:t xml:space="preserve">We conducted a sensitivity analysis to test whether an observed difference in the numbers of male and female children in each sample group in the Gambian trial could be confounding the reported associations. This was performed for DMPs (FDR &lt; 5%). A resampling-based approach was used to simulate 10,000 balanced studies from the observed data and construct 95% confidence intervals for the effect of </w:t>
      </w:r>
      <w:r w:rsidRPr="00805047">
        <w:rPr>
          <w:rStyle w:val="None"/>
          <w:rFonts w:ascii="Times New Roman" w:hAnsi="Times New Roman" w:cs="Times New Roman"/>
          <w:sz w:val="24"/>
          <w:szCs w:val="24"/>
          <w:lang w:val="en-GB"/>
        </w:rPr>
        <w:t>intervention</w:t>
      </w:r>
      <w:r w:rsidR="00805047" w:rsidRPr="00805047">
        <w:rPr>
          <w:rStyle w:val="None"/>
          <w:rFonts w:ascii="Times New Roman" w:hAnsi="Times New Roman" w:cs="Times New Roman"/>
          <w:sz w:val="24"/>
          <w:szCs w:val="24"/>
          <w:lang w:val="en-GB"/>
        </w:rPr>
        <w:t xml:space="preserve"> (</w:t>
      </w:r>
      <w:r w:rsidR="00C10299" w:rsidRPr="00805047">
        <w:rPr>
          <w:rStyle w:val="None"/>
          <w:rFonts w:ascii="Times New Roman" w:hAnsi="Times New Roman" w:cs="Times New Roman"/>
          <w:sz w:val="24"/>
          <w:szCs w:val="24"/>
          <w:lang w:val="en-GB"/>
        </w:rPr>
        <w:t>Supplemental</w:t>
      </w:r>
      <w:r w:rsidRPr="00805047">
        <w:rPr>
          <w:rStyle w:val="None"/>
          <w:rFonts w:ascii="Times New Roman" w:hAnsi="Times New Roman" w:cs="Times New Roman"/>
          <w:sz w:val="24"/>
          <w:szCs w:val="24"/>
          <w:lang w:val="en-GB"/>
        </w:rPr>
        <w:t xml:space="preserve"> Methods</w:t>
      </w:r>
      <w:r w:rsidR="00C96A82" w:rsidRPr="00805047">
        <w:rPr>
          <w:rStyle w:val="None"/>
          <w:rFonts w:ascii="Times New Roman" w:hAnsi="Times New Roman" w:cs="Times New Roman"/>
          <w:sz w:val="24"/>
          <w:szCs w:val="24"/>
          <w:lang w:val="en-GB"/>
        </w:rPr>
        <w:t xml:space="preserve"> SM4.</w:t>
      </w:r>
      <w:r w:rsidR="003E394B" w:rsidRPr="00805047">
        <w:rPr>
          <w:rStyle w:val="None"/>
          <w:rFonts w:ascii="Times New Roman" w:hAnsi="Times New Roman" w:cs="Times New Roman"/>
          <w:sz w:val="24"/>
          <w:szCs w:val="24"/>
          <w:lang w:val="en-GB"/>
        </w:rPr>
        <w:t>10</w:t>
      </w:r>
      <w:r w:rsidR="00805047" w:rsidRPr="00805047">
        <w:rPr>
          <w:rStyle w:val="None"/>
          <w:rFonts w:ascii="Times New Roman" w:hAnsi="Times New Roman" w:cs="Times New Roman"/>
          <w:sz w:val="24"/>
          <w:szCs w:val="24"/>
          <w:lang w:val="en-GB"/>
        </w:rPr>
        <w:t>)</w:t>
      </w:r>
      <w:r w:rsidRPr="00805047">
        <w:rPr>
          <w:rStyle w:val="None"/>
          <w:rFonts w:ascii="Times New Roman" w:hAnsi="Times New Roman" w:cs="Times New Roman"/>
          <w:sz w:val="24"/>
          <w:szCs w:val="24"/>
          <w:lang w:val="en-GB"/>
        </w:rPr>
        <w:t>.</w:t>
      </w:r>
    </w:p>
    <w:p w14:paraId="353370AA" w14:textId="77777777" w:rsidR="0038150C" w:rsidRDefault="0038150C" w:rsidP="001A64D3">
      <w:pPr>
        <w:pStyle w:val="BodyA"/>
        <w:spacing w:line="360" w:lineRule="auto"/>
        <w:outlineLvl w:val="0"/>
        <w:rPr>
          <w:rFonts w:ascii="Times New Roman" w:hAnsi="Times New Roman" w:cs="Times New Roman"/>
          <w:sz w:val="40"/>
          <w:szCs w:val="40"/>
          <w:lang w:val="en-GB"/>
        </w:rPr>
      </w:pPr>
    </w:p>
    <w:p w14:paraId="6ECF0165" w14:textId="43502BD1" w:rsidR="00E01BB2" w:rsidRPr="005A28F5" w:rsidRDefault="00BC3B0C" w:rsidP="001A64D3">
      <w:pPr>
        <w:pStyle w:val="BodyA"/>
        <w:spacing w:line="360" w:lineRule="auto"/>
        <w:outlineLvl w:val="0"/>
        <w:rPr>
          <w:rFonts w:ascii="Times New Roman" w:eastAsia="Cambria" w:hAnsi="Times New Roman" w:cs="Times New Roman"/>
          <w:sz w:val="36"/>
          <w:szCs w:val="36"/>
          <w:lang w:val="en-GB"/>
        </w:rPr>
      </w:pPr>
      <w:r w:rsidRPr="005A28F5">
        <w:rPr>
          <w:rFonts w:ascii="Times New Roman" w:hAnsi="Times New Roman" w:cs="Times New Roman"/>
          <w:sz w:val="40"/>
          <w:szCs w:val="40"/>
          <w:lang w:val="en-GB"/>
        </w:rPr>
        <w:t>Results</w:t>
      </w:r>
    </w:p>
    <w:p w14:paraId="167568D2" w14:textId="0147081C" w:rsidR="00E01BB2" w:rsidRPr="003F29C8" w:rsidRDefault="00BC3B0C" w:rsidP="001A64D3">
      <w:pPr>
        <w:pStyle w:val="BodyA"/>
        <w:spacing w:line="360" w:lineRule="auto"/>
        <w:outlineLvl w:val="0"/>
        <w:rPr>
          <w:rFonts w:ascii="Times New Roman" w:eastAsia="Cambria" w:hAnsi="Times New Roman" w:cs="Times New Roman"/>
          <w:sz w:val="28"/>
          <w:szCs w:val="28"/>
          <w:lang w:val="en-GB"/>
        </w:rPr>
      </w:pPr>
      <w:r w:rsidRPr="003F29C8">
        <w:rPr>
          <w:rFonts w:ascii="Times New Roman" w:hAnsi="Times New Roman" w:cs="Times New Roman"/>
          <w:sz w:val="28"/>
          <w:szCs w:val="28"/>
          <w:lang w:val="en-GB"/>
        </w:rPr>
        <w:t>Epigenome-wide association stud</w:t>
      </w:r>
      <w:r w:rsidR="0089667A" w:rsidRPr="003F29C8">
        <w:rPr>
          <w:rFonts w:ascii="Times New Roman" w:hAnsi="Times New Roman" w:cs="Times New Roman"/>
          <w:sz w:val="28"/>
          <w:szCs w:val="28"/>
          <w:lang w:val="en-GB"/>
        </w:rPr>
        <w:t>y</w:t>
      </w:r>
      <w:r w:rsidRPr="003F29C8">
        <w:rPr>
          <w:rFonts w:ascii="Times New Roman" w:hAnsi="Times New Roman" w:cs="Times New Roman"/>
          <w:sz w:val="28"/>
          <w:szCs w:val="28"/>
          <w:lang w:val="en-GB"/>
        </w:rPr>
        <w:t xml:space="preserve"> </w:t>
      </w:r>
    </w:p>
    <w:p w14:paraId="3142EDC6" w14:textId="09BD6B20" w:rsidR="00E01BB2" w:rsidRPr="005A28F5" w:rsidRDefault="00BC3B0C" w:rsidP="001A64D3">
      <w:pPr>
        <w:pStyle w:val="BodyA"/>
        <w:spacing w:line="360" w:lineRule="auto"/>
        <w:outlineLvl w:val="0"/>
        <w:rPr>
          <w:rFonts w:ascii="Times New Roman" w:eastAsia="Cambria" w:hAnsi="Times New Roman" w:cs="Times New Roman"/>
          <w:sz w:val="24"/>
          <w:szCs w:val="24"/>
          <w:lang w:val="en-GB"/>
        </w:rPr>
      </w:pPr>
      <w:r w:rsidRPr="005A28F5">
        <w:rPr>
          <w:rFonts w:ascii="Times New Roman" w:hAnsi="Times New Roman" w:cs="Times New Roman"/>
          <w:sz w:val="24"/>
          <w:szCs w:val="24"/>
          <w:lang w:val="en-GB"/>
        </w:rPr>
        <w:t xml:space="preserve">Epigenome-wide screens were performed using the EPIC array to identify </w:t>
      </w:r>
      <w:r w:rsidR="00E11FE3" w:rsidRPr="005A28F5">
        <w:rPr>
          <w:rFonts w:ascii="Times New Roman" w:hAnsi="Times New Roman" w:cs="Times New Roman"/>
          <w:sz w:val="24"/>
          <w:szCs w:val="24"/>
          <w:lang w:val="en-GB"/>
        </w:rPr>
        <w:t>DNAm</w:t>
      </w:r>
      <w:r w:rsidRPr="005A28F5">
        <w:rPr>
          <w:rFonts w:ascii="Times New Roman" w:hAnsi="Times New Roman" w:cs="Times New Roman"/>
          <w:sz w:val="24"/>
          <w:szCs w:val="24"/>
          <w:lang w:val="en-GB"/>
        </w:rPr>
        <w:t xml:space="preserve"> differences in children associated with maternal micronutrient intervention in the two cohorts. </w:t>
      </w:r>
      <w:r w:rsidR="0097020B" w:rsidRPr="005A28F5">
        <w:rPr>
          <w:rFonts w:ascii="Times New Roman" w:hAnsi="Times New Roman" w:cs="Times New Roman"/>
          <w:sz w:val="24"/>
          <w:szCs w:val="24"/>
          <w:lang w:val="en-GB"/>
        </w:rPr>
        <w:t>D</w:t>
      </w:r>
      <w:r w:rsidRPr="005A28F5">
        <w:rPr>
          <w:rFonts w:ascii="Times New Roman" w:hAnsi="Times New Roman" w:cs="Times New Roman"/>
          <w:sz w:val="24"/>
          <w:szCs w:val="24"/>
          <w:lang w:val="en-GB"/>
        </w:rPr>
        <w:t>etails o</w:t>
      </w:r>
      <w:r w:rsidR="00B16B55" w:rsidRPr="005A28F5">
        <w:rPr>
          <w:rFonts w:ascii="Times New Roman" w:hAnsi="Times New Roman" w:cs="Times New Roman"/>
          <w:sz w:val="24"/>
          <w:szCs w:val="24"/>
          <w:lang w:val="en-GB"/>
        </w:rPr>
        <w:t>n</w:t>
      </w:r>
      <w:r w:rsidRPr="005A28F5">
        <w:rPr>
          <w:rFonts w:ascii="Times New Roman" w:hAnsi="Times New Roman" w:cs="Times New Roman"/>
          <w:sz w:val="24"/>
          <w:szCs w:val="24"/>
          <w:lang w:val="en-GB"/>
        </w:rPr>
        <w:t xml:space="preserve"> the cohorts are given in Table 1.</w:t>
      </w:r>
    </w:p>
    <w:p w14:paraId="6FA88238" w14:textId="66BC4FA6" w:rsidR="00E01BB2" w:rsidRPr="005A1C9A" w:rsidRDefault="00E01BB2" w:rsidP="001A64D3">
      <w:pPr>
        <w:pStyle w:val="BodyA"/>
        <w:spacing w:line="360" w:lineRule="auto"/>
        <w:outlineLvl w:val="0"/>
        <w:rPr>
          <w:rFonts w:ascii="Times New Roman" w:eastAsia="Cambria" w:hAnsi="Times New Roman" w:cs="Times New Roman"/>
          <w:i/>
          <w:sz w:val="24"/>
          <w:szCs w:val="24"/>
          <w:lang w:val="en-GB"/>
        </w:rPr>
      </w:pPr>
    </w:p>
    <w:p w14:paraId="2E988E83" w14:textId="5FEBB9C7" w:rsidR="00E01BB2" w:rsidRPr="005A28F5" w:rsidRDefault="00BC3B0C" w:rsidP="001A64D3">
      <w:pPr>
        <w:pStyle w:val="BodyA"/>
        <w:spacing w:line="360" w:lineRule="auto"/>
        <w:outlineLvl w:val="0"/>
        <w:rPr>
          <w:rFonts w:ascii="Times New Roman" w:eastAsia="Cambria" w:hAnsi="Times New Roman" w:cs="Times New Roman"/>
          <w:sz w:val="24"/>
          <w:szCs w:val="24"/>
          <w:lang w:val="en-GB"/>
        </w:rPr>
      </w:pPr>
      <w:r w:rsidRPr="005A28F5">
        <w:rPr>
          <w:rFonts w:ascii="Times New Roman" w:hAnsi="Times New Roman" w:cs="Times New Roman"/>
          <w:sz w:val="24"/>
          <w:szCs w:val="24"/>
          <w:lang w:val="en-GB"/>
        </w:rPr>
        <w:t xml:space="preserve">In the Gambian EWAS, six </w:t>
      </w:r>
      <w:r w:rsidR="00B12EF9" w:rsidRPr="005A28F5">
        <w:rPr>
          <w:rFonts w:ascii="Times New Roman" w:hAnsi="Times New Roman" w:cs="Times New Roman"/>
          <w:sz w:val="24"/>
          <w:szCs w:val="24"/>
          <w:lang w:val="en-GB"/>
        </w:rPr>
        <w:t>CpG</w:t>
      </w:r>
      <w:r w:rsidRPr="005A28F5">
        <w:rPr>
          <w:rFonts w:ascii="Times New Roman" w:hAnsi="Times New Roman" w:cs="Times New Roman"/>
          <w:sz w:val="24"/>
          <w:szCs w:val="24"/>
          <w:lang w:val="en-GB"/>
        </w:rPr>
        <w:t xml:space="preserve">s showed evidence for differential methylation </w:t>
      </w:r>
      <w:r w:rsidR="001A1402"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FDR</w:t>
      </w:r>
      <w:r w:rsidR="00833FCF" w:rsidRPr="005A28F5">
        <w:rPr>
          <w:rFonts w:ascii="Times New Roman" w:hAnsi="Times New Roman" w:cs="Times New Roman"/>
          <w:sz w:val="24"/>
          <w:szCs w:val="24"/>
          <w:lang w:val="en-GB"/>
        </w:rPr>
        <w:t xml:space="preserve"> &lt; 5%</w:t>
      </w:r>
      <w:r w:rsidR="001A1402"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cg20451680, cg14972155, cg20673840, cg06837426, cg09612591, and cg05676441 (Table 2, Figure 1</w:t>
      </w:r>
      <w:r w:rsidR="0089667A" w:rsidRPr="005A28F5">
        <w:rPr>
          <w:rFonts w:ascii="Times New Roman" w:hAnsi="Times New Roman" w:cs="Times New Roman"/>
          <w:sz w:val="24"/>
          <w:szCs w:val="24"/>
          <w:lang w:val="en-GB"/>
        </w:rPr>
        <w:t>a</w:t>
      </w:r>
      <w:r w:rsidRPr="005A28F5">
        <w:rPr>
          <w:rFonts w:ascii="Times New Roman" w:hAnsi="Times New Roman" w:cs="Times New Roman"/>
          <w:sz w:val="24"/>
          <w:szCs w:val="24"/>
          <w:lang w:val="en-GB"/>
        </w:rPr>
        <w:t xml:space="preserve">). All six significant differentially methylated </w:t>
      </w:r>
      <w:r w:rsidR="00B12EF9" w:rsidRPr="005A28F5">
        <w:rPr>
          <w:rFonts w:ascii="Times New Roman" w:hAnsi="Times New Roman" w:cs="Times New Roman"/>
          <w:sz w:val="24"/>
          <w:szCs w:val="24"/>
          <w:lang w:val="en-GB"/>
        </w:rPr>
        <w:t xml:space="preserve">positions </w:t>
      </w:r>
      <w:r w:rsidRPr="005A28F5">
        <w:rPr>
          <w:rFonts w:ascii="Times New Roman" w:hAnsi="Times New Roman" w:cs="Times New Roman"/>
          <w:sz w:val="24"/>
          <w:szCs w:val="24"/>
          <w:lang w:val="en-GB"/>
        </w:rPr>
        <w:t>(DMPs) showed decreased methylation associated with the intervention, with effect sizes of -2</w:t>
      </w:r>
      <w:r w:rsidR="00F3146E" w:rsidRPr="005A28F5">
        <w:rPr>
          <w:rFonts w:ascii="Times New Roman" w:hAnsi="Times New Roman" w:cs="Times New Roman"/>
          <w:sz w:val="24"/>
          <w:szCs w:val="24"/>
          <w:lang w:val="en-GB"/>
        </w:rPr>
        <w:t>.5</w:t>
      </w:r>
      <w:r w:rsidRPr="005A28F5">
        <w:rPr>
          <w:rFonts w:ascii="Times New Roman" w:hAnsi="Times New Roman" w:cs="Times New Roman"/>
          <w:sz w:val="24"/>
          <w:szCs w:val="24"/>
          <w:lang w:val="en-GB"/>
        </w:rPr>
        <w:t xml:space="preserve"> to -5</w:t>
      </w:r>
      <w:r w:rsidR="00E175ED" w:rsidRPr="005A28F5">
        <w:rPr>
          <w:rFonts w:ascii="Times New Roman" w:hAnsi="Times New Roman" w:cs="Times New Roman"/>
          <w:sz w:val="24"/>
          <w:szCs w:val="24"/>
          <w:lang w:val="en-GB"/>
        </w:rPr>
        <w:t>.0</w:t>
      </w:r>
      <w:r w:rsidRPr="005A28F5">
        <w:rPr>
          <w:rFonts w:ascii="Times New Roman" w:hAnsi="Times New Roman" w:cs="Times New Roman"/>
          <w:sz w:val="24"/>
          <w:szCs w:val="24"/>
          <w:lang w:val="en-GB"/>
        </w:rPr>
        <w:t xml:space="preserve">%. The </w:t>
      </w:r>
      <w:r w:rsidRPr="005A28F5">
        <w:rPr>
          <w:rFonts w:ascii="Times New Roman" w:hAnsi="Times New Roman" w:cs="Times New Roman"/>
          <w:sz w:val="24"/>
          <w:szCs w:val="24"/>
          <w:lang w:val="en-GB"/>
        </w:rPr>
        <w:lastRenderedPageBreak/>
        <w:t xml:space="preserve">top four DMPs are annotated to </w:t>
      </w:r>
      <w:r w:rsidR="00D91DD8" w:rsidRPr="005A28F5">
        <w:rPr>
          <w:rFonts w:ascii="Times New Roman" w:hAnsi="Times New Roman" w:cs="Times New Roman"/>
          <w:sz w:val="24"/>
          <w:szCs w:val="24"/>
          <w:lang w:val="en-GB"/>
        </w:rPr>
        <w:t xml:space="preserve">the </w:t>
      </w:r>
      <w:r w:rsidR="006510E0" w:rsidRPr="005A28F5">
        <w:rPr>
          <w:rFonts w:ascii="Times New Roman" w:hAnsi="Times New Roman" w:cs="Times New Roman"/>
          <w:sz w:val="24"/>
          <w:szCs w:val="24"/>
          <w:lang w:val="en-GB"/>
        </w:rPr>
        <w:t>Endothelial cell specific</w:t>
      </w:r>
      <w:r w:rsidRPr="005A28F5">
        <w:rPr>
          <w:rFonts w:ascii="Times New Roman" w:hAnsi="Times New Roman" w:cs="Times New Roman"/>
          <w:sz w:val="24"/>
          <w:szCs w:val="24"/>
          <w:lang w:val="en-GB"/>
        </w:rPr>
        <w:t xml:space="preserve"> molecule 1 </w:t>
      </w:r>
      <w:r w:rsidR="006510E0" w:rsidRPr="005A28F5">
        <w:rPr>
          <w:rFonts w:ascii="Times New Roman" w:hAnsi="Times New Roman" w:cs="Times New Roman"/>
          <w:sz w:val="24"/>
          <w:szCs w:val="24"/>
          <w:lang w:val="en-GB"/>
        </w:rPr>
        <w:t>(</w:t>
      </w:r>
      <w:r w:rsidR="006510E0" w:rsidRPr="005A28F5">
        <w:rPr>
          <w:rFonts w:ascii="Times New Roman" w:hAnsi="Times New Roman" w:cs="Times New Roman"/>
          <w:i/>
          <w:sz w:val="24"/>
          <w:szCs w:val="24"/>
          <w:lang w:val="en-GB"/>
        </w:rPr>
        <w:t>ESM1</w:t>
      </w:r>
      <w:r w:rsidR="006510E0" w:rsidRPr="005A28F5">
        <w:rPr>
          <w:rFonts w:ascii="Times New Roman" w:hAnsi="Times New Roman" w:cs="Times New Roman"/>
          <w:sz w:val="24"/>
          <w:szCs w:val="24"/>
          <w:lang w:val="en-GB"/>
        </w:rPr>
        <w:t>)</w:t>
      </w:r>
      <w:r w:rsidR="00D91DD8" w:rsidRPr="005A28F5">
        <w:rPr>
          <w:rFonts w:ascii="Times New Roman" w:hAnsi="Times New Roman" w:cs="Times New Roman"/>
          <w:sz w:val="24"/>
          <w:szCs w:val="24"/>
          <w:lang w:val="en-GB"/>
        </w:rPr>
        <w:t xml:space="preserve"> gene</w:t>
      </w:r>
      <w:r w:rsidR="00EE4C69"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with </w:t>
      </w:r>
      <w:r w:rsidR="00C71FBE" w:rsidRPr="005A28F5">
        <w:rPr>
          <w:rFonts w:ascii="Times New Roman" w:hAnsi="Times New Roman" w:cs="Times New Roman"/>
          <w:sz w:val="24"/>
          <w:szCs w:val="24"/>
          <w:lang w:val="en-GB"/>
        </w:rPr>
        <w:t>all four also</w:t>
      </w:r>
      <w:r w:rsidRPr="005A28F5">
        <w:rPr>
          <w:rFonts w:ascii="Times New Roman" w:hAnsi="Times New Roman" w:cs="Times New Roman"/>
          <w:sz w:val="24"/>
          <w:szCs w:val="24"/>
          <w:lang w:val="en-GB"/>
        </w:rPr>
        <w:t xml:space="preserve"> passing a previously estimated threshold for </w:t>
      </w:r>
      <w:r w:rsidR="00525CC1" w:rsidRPr="005A28F5">
        <w:rPr>
          <w:rFonts w:ascii="Times New Roman" w:hAnsi="Times New Roman" w:cs="Times New Roman"/>
          <w:sz w:val="24"/>
          <w:szCs w:val="24"/>
          <w:lang w:val="en-GB"/>
        </w:rPr>
        <w:t xml:space="preserve">genome-wide </w:t>
      </w:r>
      <w:r w:rsidRPr="005A28F5">
        <w:rPr>
          <w:rFonts w:ascii="Times New Roman" w:hAnsi="Times New Roman" w:cs="Times New Roman"/>
          <w:sz w:val="24"/>
          <w:szCs w:val="24"/>
          <w:lang w:val="en-GB"/>
        </w:rPr>
        <w:t>significance</w:t>
      </w:r>
      <w:r w:rsidR="00C71FBE" w:rsidRPr="005A28F5">
        <w:rPr>
          <w:rFonts w:ascii="Times New Roman" w:hAnsi="Times New Roman" w:cs="Times New Roman"/>
          <w:sz w:val="24"/>
          <w:szCs w:val="24"/>
          <w:lang w:val="en-GB"/>
        </w:rPr>
        <w:t xml:space="preserve"> </w:t>
      </w:r>
      <w:r w:rsidR="00A462B7" w:rsidRPr="005A28F5">
        <w:rPr>
          <w:rFonts w:ascii="Times New Roman" w:hAnsi="Times New Roman" w:cs="Times New Roman"/>
          <w:sz w:val="24"/>
          <w:szCs w:val="24"/>
          <w:lang w:val="en-GB"/>
        </w:rPr>
        <w:fldChar w:fldCharType="begin" w:fldLock="1"/>
      </w:r>
      <w:r w:rsidR="000C3130">
        <w:rPr>
          <w:rFonts w:ascii="Times New Roman" w:hAnsi="Times New Roman" w:cs="Times New Roman"/>
          <w:sz w:val="24"/>
          <w:szCs w:val="24"/>
          <w:lang w:val="en-GB"/>
        </w:rPr>
        <w:instrText>ADDIN CSL_CITATION {"citationItems":[{"id":"ITEM-1","itemData":{"DOI":"10.1002/gepi.22086","ISSN":"10982272","PMID":"29034560","abstract":"Epigenome-wide association studies (EWAS) are designed to characterise population-level epigenetic differences across the genome and link them to disease. Most commonly, they assess DNA-methylation status at cytosine-guanine dinucleotide (CpG) sites, using platforms such as the Illumina 450k array that profile a subset of CpGs genome wide. An important challenge in the context of EWAS is determining a significance threshold for declaring a CpG site as differentially methylated, taking multiple testing into account. We used a permutation method to estimate a significance threshold specifically for the 450k array and a simulation extrapolation approach to estimate a genome-wide threshold. These methods were applied to five different EWAS datasets derived from a variety of populations and tissue types. We obtained an estimate of α=2.4×10-7 for the 450k array, and a genome</w:instrText>
      </w:r>
      <w:r w:rsidR="000C3130">
        <w:rPr>
          <w:rFonts w:ascii="Times New Roman" w:hAnsi="Times New Roman" w:cs="Times New Roman" w:hint="eastAsia"/>
          <w:sz w:val="24"/>
          <w:szCs w:val="24"/>
          <w:lang w:val="en-GB"/>
        </w:rPr>
        <w:instrText xml:space="preserve">-wide estimate of </w:instrText>
      </w:r>
      <w:r w:rsidR="000C3130">
        <w:rPr>
          <w:rFonts w:ascii="Times New Roman" w:hAnsi="Times New Roman" w:cs="Times New Roman" w:hint="eastAsia"/>
          <w:sz w:val="24"/>
          <w:szCs w:val="24"/>
          <w:lang w:val="en-GB"/>
        </w:rPr>
        <w:instrText>α</w:instrText>
      </w:r>
      <w:r w:rsidR="000C3130">
        <w:rPr>
          <w:rFonts w:ascii="Times New Roman" w:hAnsi="Times New Roman" w:cs="Times New Roman" w:hint="eastAsia"/>
          <w:sz w:val="24"/>
          <w:szCs w:val="24"/>
          <w:lang w:val="en-GB"/>
        </w:rPr>
        <w:instrText>=3.6</w:instrText>
      </w:r>
      <w:r w:rsidR="000C3130">
        <w:rPr>
          <w:rFonts w:ascii="Times New Roman" w:hAnsi="Times New Roman" w:cs="Times New Roman" w:hint="eastAsia"/>
          <w:sz w:val="24"/>
          <w:szCs w:val="24"/>
          <w:lang w:val="en-GB"/>
        </w:rPr>
        <w:instrText>×</w:instrText>
      </w:r>
      <w:r w:rsidR="000C3130">
        <w:rPr>
          <w:rFonts w:ascii="Times New Roman" w:hAnsi="Times New Roman" w:cs="Times New Roman" w:hint="eastAsia"/>
          <w:sz w:val="24"/>
          <w:szCs w:val="24"/>
          <w:lang w:val="en-GB"/>
        </w:rPr>
        <w:instrText xml:space="preserve">10-8. We further demonstrate the importance of these results by showing that previously recommended sample sizes for EWAS should be adjusted upwards, requiring samples between </w:instrText>
      </w:r>
      <w:r w:rsidR="000C3130">
        <w:rPr>
          <w:rFonts w:ascii="Times New Roman" w:hAnsi="Times New Roman" w:cs="Times New Roman" w:hint="eastAsia"/>
          <w:sz w:val="24"/>
          <w:szCs w:val="24"/>
          <w:lang w:val="en-GB"/>
        </w:rPr>
        <w:instrText>∼</w:instrText>
      </w:r>
      <w:r w:rsidR="000C3130">
        <w:rPr>
          <w:rFonts w:ascii="Times New Roman" w:hAnsi="Times New Roman" w:cs="Times New Roman" w:hint="eastAsia"/>
          <w:sz w:val="24"/>
          <w:szCs w:val="24"/>
          <w:lang w:val="en-GB"/>
        </w:rPr>
        <w:instrText xml:space="preserve">10% and </w:instrText>
      </w:r>
      <w:r w:rsidR="000C3130">
        <w:rPr>
          <w:rFonts w:ascii="Times New Roman" w:hAnsi="Times New Roman" w:cs="Times New Roman" w:hint="eastAsia"/>
          <w:sz w:val="24"/>
          <w:szCs w:val="24"/>
          <w:lang w:val="en-GB"/>
        </w:rPr>
        <w:instrText>∼</w:instrText>
      </w:r>
      <w:r w:rsidR="000C3130">
        <w:rPr>
          <w:rFonts w:ascii="Times New Roman" w:hAnsi="Times New Roman" w:cs="Times New Roman" w:hint="eastAsia"/>
          <w:sz w:val="24"/>
          <w:szCs w:val="24"/>
          <w:lang w:val="en-GB"/>
        </w:rPr>
        <w:instrText>20% larger in order to maintain type-1 errors</w:instrText>
      </w:r>
      <w:r w:rsidR="000C3130">
        <w:rPr>
          <w:rFonts w:ascii="Times New Roman" w:hAnsi="Times New Roman" w:cs="Times New Roman"/>
          <w:sz w:val="24"/>
          <w:szCs w:val="24"/>
          <w:lang w:val="en-GB"/>
        </w:rPr>
        <w:instrText xml:space="preserve"> at the desired level.","author":[{"dropping-particle":"","family":"Saffari","given":"Ayden","non-dropping-particle":"","parse-names":false,"suffix":""},{"dropping-particle":"","family":"Silver","given":"Matt J","non-dropping-particle":"","parse-names":false,"suffix":""},{"dropping-particle":"","family":"Zavattari","given":"Patrizia","non-dropping-particle":"","parse-names":false,"suffix":""},{"dropping-particle":"","family":"Moi","given":"Loredana","non-dropping-particle":"","parse-names":false,"suffix":""},{"dropping-particle":"","family":"Columbano","given":"Amedeo","non-dropping-particle":"","parse-names":false,"suffix":""},{"dropping-particle":"","family":"Meaburn","given":"Emma L.","non-dropping-particle":"","parse-names":false,"suffix":""},{"dropping-particle":"","family":"Dudbridge","given":"Frank","non-dropping-particle":"","parse-names":false,"suffix":""}],"container-title":"Genetic Epidemiology","id":"ITEM-1","issue":"1","issued":{"date-parts":[["2018"]]},"page":"20-33","title":"Estimation of a significance threshold for epigenome-wide association studies","type":"article-journal","volume":"42"},"uris":["http://www.mendeley.com/documents/?uuid=89e7c902-e4b1-4358-ab4c-b3b071422878"]}],"mendeley":{"formattedCitation":"(46)","plainTextFormattedCitation":"(46)","previouslyFormattedCitation":"(46)"},"properties":{"noteIndex":0},"schema":"https://github.com/citation-style-language/schema/raw/master/csl-citation.json"}</w:instrText>
      </w:r>
      <w:r w:rsidR="00A462B7" w:rsidRPr="005A28F5">
        <w:rPr>
          <w:rFonts w:ascii="Times New Roman" w:hAnsi="Times New Roman" w:cs="Times New Roman"/>
          <w:sz w:val="24"/>
          <w:szCs w:val="24"/>
          <w:lang w:val="en-GB"/>
        </w:rPr>
        <w:fldChar w:fldCharType="separate"/>
      </w:r>
      <w:r w:rsidR="002A7D5D" w:rsidRPr="002A7D5D">
        <w:rPr>
          <w:rFonts w:ascii="Times New Roman" w:hAnsi="Times New Roman" w:cs="Times New Roman"/>
          <w:noProof/>
          <w:sz w:val="24"/>
          <w:szCs w:val="24"/>
          <w:lang w:val="en-GB"/>
        </w:rPr>
        <w:t>(46)</w:t>
      </w:r>
      <w:r w:rsidR="00A462B7" w:rsidRPr="005A28F5">
        <w:rPr>
          <w:rFonts w:ascii="Times New Roman" w:hAnsi="Times New Roman" w:cs="Times New Roman"/>
          <w:sz w:val="24"/>
          <w:szCs w:val="24"/>
          <w:lang w:val="en-GB"/>
        </w:rPr>
        <w:fldChar w:fldCharType="end"/>
      </w:r>
      <w:r w:rsidR="006510E0" w:rsidRPr="005A28F5">
        <w:rPr>
          <w:rFonts w:ascii="Times New Roman" w:hAnsi="Times New Roman" w:cs="Times New Roman"/>
          <w:sz w:val="24"/>
          <w:szCs w:val="24"/>
          <w:lang w:val="en-GB"/>
        </w:rPr>
        <w:t xml:space="preserve">. The </w:t>
      </w:r>
      <w:r w:rsidRPr="005A28F5">
        <w:rPr>
          <w:rFonts w:ascii="Times New Roman" w:hAnsi="Times New Roman" w:cs="Times New Roman"/>
          <w:sz w:val="24"/>
          <w:szCs w:val="24"/>
          <w:lang w:val="en-GB"/>
        </w:rPr>
        <w:t xml:space="preserve">remaining two </w:t>
      </w:r>
      <w:r w:rsidR="006510E0" w:rsidRPr="005A28F5">
        <w:rPr>
          <w:rFonts w:ascii="Times New Roman" w:hAnsi="Times New Roman" w:cs="Times New Roman"/>
          <w:sz w:val="24"/>
          <w:szCs w:val="24"/>
          <w:lang w:val="en-GB"/>
        </w:rPr>
        <w:t xml:space="preserve">DMPs </w:t>
      </w:r>
      <w:r w:rsidRPr="005A28F5">
        <w:rPr>
          <w:rFonts w:ascii="Times New Roman" w:hAnsi="Times New Roman" w:cs="Times New Roman"/>
          <w:sz w:val="24"/>
          <w:szCs w:val="24"/>
          <w:lang w:val="en-GB"/>
        </w:rPr>
        <w:t>map to the genes Catenin Alpha 2 (</w:t>
      </w:r>
      <w:r w:rsidRPr="005A28F5">
        <w:rPr>
          <w:rFonts w:ascii="Times New Roman" w:hAnsi="Times New Roman" w:cs="Times New Roman"/>
          <w:i/>
          <w:sz w:val="24"/>
          <w:szCs w:val="24"/>
          <w:lang w:val="en-GB"/>
        </w:rPr>
        <w:t>CTNNA2</w:t>
      </w:r>
      <w:r w:rsidR="006510E0"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and </w:t>
      </w:r>
      <w:r w:rsidR="006510E0" w:rsidRPr="005A28F5">
        <w:rPr>
          <w:rFonts w:ascii="Times New Roman" w:hAnsi="Times New Roman" w:cs="Times New Roman"/>
          <w:sz w:val="24"/>
          <w:szCs w:val="24"/>
          <w:lang w:val="en-GB"/>
        </w:rPr>
        <w:t>Cad</w:t>
      </w:r>
      <w:r w:rsidRPr="005A28F5">
        <w:rPr>
          <w:rFonts w:ascii="Times New Roman" w:hAnsi="Times New Roman" w:cs="Times New Roman"/>
          <w:sz w:val="24"/>
          <w:szCs w:val="24"/>
          <w:lang w:val="en-GB"/>
        </w:rPr>
        <w:t>herin</w:t>
      </w:r>
      <w:r w:rsidR="006510E0" w:rsidRPr="005A28F5">
        <w:rPr>
          <w:rFonts w:ascii="Times New Roman" w:hAnsi="Times New Roman" w:cs="Times New Roman"/>
          <w:sz w:val="24"/>
          <w:szCs w:val="24"/>
          <w:lang w:val="en-GB"/>
        </w:rPr>
        <w:t xml:space="preserve"> 18 (</w:t>
      </w:r>
      <w:r w:rsidRPr="005A28F5">
        <w:rPr>
          <w:rFonts w:ascii="Times New Roman" w:hAnsi="Times New Roman" w:cs="Times New Roman"/>
          <w:i/>
          <w:sz w:val="24"/>
          <w:szCs w:val="24"/>
          <w:lang w:val="en-GB"/>
        </w:rPr>
        <w:t>CDH18</w:t>
      </w:r>
      <w:r w:rsidR="006510E0"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A region-level analysis identified a 536 bp long differentially methylat</w:t>
      </w:r>
      <w:r w:rsidR="0089667A" w:rsidRPr="005A28F5">
        <w:rPr>
          <w:rFonts w:ascii="Times New Roman" w:hAnsi="Times New Roman" w:cs="Times New Roman"/>
          <w:sz w:val="24"/>
          <w:szCs w:val="24"/>
          <w:lang w:val="en-GB"/>
        </w:rPr>
        <w:t>ed</w:t>
      </w:r>
      <w:r w:rsidRPr="005A28F5">
        <w:rPr>
          <w:rFonts w:ascii="Times New Roman" w:hAnsi="Times New Roman" w:cs="Times New Roman"/>
          <w:sz w:val="24"/>
          <w:szCs w:val="24"/>
          <w:lang w:val="en-GB"/>
        </w:rPr>
        <w:t xml:space="preserve"> region (DMR) comprising 10 </w:t>
      </w:r>
      <w:r w:rsidR="00B12EF9" w:rsidRPr="005A28F5">
        <w:rPr>
          <w:rFonts w:ascii="Times New Roman" w:hAnsi="Times New Roman" w:cs="Times New Roman"/>
          <w:sz w:val="24"/>
          <w:szCs w:val="24"/>
          <w:lang w:val="en-GB"/>
        </w:rPr>
        <w:t>CpG</w:t>
      </w:r>
      <w:r w:rsidRPr="005A28F5">
        <w:rPr>
          <w:rFonts w:ascii="Times New Roman" w:hAnsi="Times New Roman" w:cs="Times New Roman"/>
          <w:sz w:val="24"/>
          <w:szCs w:val="24"/>
          <w:lang w:val="en-GB"/>
        </w:rPr>
        <w:t>s spanning chromosome 5:</w:t>
      </w:r>
      <w:r w:rsidR="00C5366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54,281,198</w:t>
      </w:r>
      <w:r w:rsidR="00C5366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w:t>
      </w:r>
      <w:r w:rsidR="00C5366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54,281,73</w:t>
      </w:r>
      <w:r w:rsidR="003A03F0" w:rsidRPr="005A28F5">
        <w:rPr>
          <w:rFonts w:ascii="Times New Roman" w:hAnsi="Times New Roman" w:cs="Times New Roman"/>
          <w:sz w:val="24"/>
          <w:szCs w:val="24"/>
          <w:lang w:val="en-GB"/>
        </w:rPr>
        <w:t>3</w:t>
      </w:r>
      <w:r w:rsidRPr="005A28F5">
        <w:rPr>
          <w:rFonts w:ascii="Times New Roman" w:hAnsi="Times New Roman" w:cs="Times New Roman"/>
          <w:sz w:val="24"/>
          <w:szCs w:val="24"/>
          <w:lang w:val="en-GB"/>
        </w:rPr>
        <w:t xml:space="preserve"> mapping to the </w:t>
      </w:r>
      <w:r w:rsidRPr="005A28F5">
        <w:rPr>
          <w:rFonts w:ascii="Times New Roman" w:hAnsi="Times New Roman" w:cs="Times New Roman"/>
          <w:i/>
          <w:sz w:val="24"/>
          <w:szCs w:val="24"/>
          <w:lang w:val="en-GB"/>
        </w:rPr>
        <w:t>ESM1</w:t>
      </w:r>
      <w:r w:rsidRPr="005A28F5">
        <w:rPr>
          <w:rFonts w:ascii="Times New Roman" w:hAnsi="Times New Roman" w:cs="Times New Roman"/>
          <w:sz w:val="24"/>
          <w:szCs w:val="24"/>
          <w:lang w:val="en-GB"/>
        </w:rPr>
        <w:t xml:space="preserve"> gene (Table 3</w:t>
      </w:r>
      <w:r w:rsidR="00DA25B2" w:rsidRPr="005A28F5">
        <w:rPr>
          <w:rFonts w:ascii="Times New Roman" w:hAnsi="Times New Roman" w:cs="Times New Roman"/>
          <w:sz w:val="24"/>
          <w:szCs w:val="24"/>
          <w:lang w:val="en-GB"/>
        </w:rPr>
        <w:t>, Figure 2</w:t>
      </w:r>
      <w:r w:rsidR="0089667A" w:rsidRPr="005A28F5">
        <w:rPr>
          <w:rFonts w:ascii="Times New Roman" w:hAnsi="Times New Roman" w:cs="Times New Roman"/>
          <w:sz w:val="24"/>
          <w:szCs w:val="24"/>
          <w:lang w:val="en-GB"/>
        </w:rPr>
        <w:t>a</w:t>
      </w:r>
      <w:r w:rsidRPr="005A28F5">
        <w:rPr>
          <w:rFonts w:ascii="Times New Roman" w:hAnsi="Times New Roman" w:cs="Times New Roman"/>
          <w:sz w:val="24"/>
          <w:szCs w:val="24"/>
          <w:lang w:val="en-GB"/>
        </w:rPr>
        <w:t>). This region passed a multiple testing adjusted regional significance threshold (p &lt; 0.05) for two different DMR methods (</w:t>
      </w:r>
      <w:proofErr w:type="spellStart"/>
      <w:r w:rsidRPr="005A28F5">
        <w:rPr>
          <w:rFonts w:ascii="Times New Roman" w:hAnsi="Times New Roman" w:cs="Times New Roman"/>
          <w:i/>
          <w:sz w:val="24"/>
          <w:szCs w:val="24"/>
          <w:lang w:val="en-GB"/>
        </w:rPr>
        <w:t>DMRcate</w:t>
      </w:r>
      <w:proofErr w:type="spellEnd"/>
      <w:r w:rsidR="0000793E" w:rsidRPr="005A28F5">
        <w:rPr>
          <w:rFonts w:ascii="Times New Roman" w:hAnsi="Times New Roman" w:cs="Times New Roman"/>
          <w:i/>
          <w:sz w:val="24"/>
          <w:szCs w:val="24"/>
          <w:lang w:val="en-GB"/>
        </w:rPr>
        <w:t xml:space="preserve"> </w:t>
      </w:r>
      <w:r w:rsidR="0000793E" w:rsidRPr="005A28F5">
        <w:rPr>
          <w:rFonts w:ascii="Times New Roman" w:hAnsi="Times New Roman" w:cs="Times New Roman"/>
          <w:i/>
          <w:sz w:val="24"/>
          <w:szCs w:val="24"/>
          <w:lang w:val="en-GB"/>
        </w:rPr>
        <w:fldChar w:fldCharType="begin" w:fldLock="1"/>
      </w:r>
      <w:r w:rsidR="000C3130">
        <w:rPr>
          <w:rFonts w:ascii="Times New Roman" w:hAnsi="Times New Roman" w:cs="Times New Roman"/>
          <w:i/>
          <w:sz w:val="24"/>
          <w:szCs w:val="24"/>
          <w:lang w:val="en-GB"/>
        </w:rPr>
        <w:instrText>ADDIN CSL_CITATION {"citationItems":[{"id":"ITEM-1","itemData":{"DOI":"10.1186/1756-8935-8-6","ISBN":"1756893586","ISSN":"1756-8935","PMID":"25972926","abstract":"BACKGROUND: The identification and characterisation of differentially methylated regions (DMRs) between phenotypes in the human genome is of prime interest in epigenetics. We present a novel method, DMRcate, that fits replicated methylation measurements from the Illumina HM450K BeadChip (or 450K array) spatially across the genome using a Gaussian kernel. DMRcate identifies and ranks the most differentially methylated regions across the genome based on tunable kernel smoothing of the differential methylation (DM) signal. The method is agnostic to both genomic annotation and local change in the direction of the DM signal, removes the bias incurred from irregularly spaced methylation sites, and assigns significance to each DMR called via comparison to a null model.\\n\\nRESULTS: We show that, for both simulated and real data, the predictive performance of DMRcate is superior to those of Bumphunter and Probe Lasso, and commensurate with that of comb-p. For the real data, we validate all array-derived DMRs from the candidate methods on a suite of DMRs derived from whole-genome bisulfite sequencing called from the same DNA samples, using two separate phenotype comparisons.\\n\\nCONCLUSIONS: The agglomeration of genomically localised individual methylation sites into discrete DMRs is currently best served by a combination of DM-signal smoothing and subsequent threshold specification. The findings also suggest the design of the 450K array shows preference for CpG sites that are more likely to be differentially methylated, but its overall coverage does not adequately reflect the depth and complexity of methylation signatures afforded by sequencing. For the convenience of the research community we have created a user-friendly R software package called DMRcate, downloadable from Bioconductor and compatible with existing preprocessing packages, which allows others to apply the same DMR-finding method on 450K array data.","author":[{"dropping-particle":"","family":"Peters","given":"Timothy J","non-dropping-particle":"","parse-names":false,"suffix":""},{"dropping-particle":"","family":"Buckley","given":"Michael J","non-dropping-particle":"","parse-names":false,"suffix":""},{"dropping-particle":"","family":"Statham","given":"Aaron L","non-dropping-particle":"","parse-names":false,"suffix":""},{"dropping-particle":"","family":"Pidsley","given":"Ruth","non-dropping-particle":"","parse-names":false,"suffix":""},{"dropping-particle":"","family":"Samaras","given":"Katherine","non-dropping-particle":"","parse-names":false,"suffix":""},{"dropping-particle":"","family":"Lord","given":"Reginald","non-dropping-particle":"V","parse-names":false,"suffix":""},{"dropping-particle":"","family":"Clark","given":"Susan J","non-dropping-particle":"","parse-names":false,"suffix":""},{"dropping-particle":"","family":"Molloy","given":"Peter L","non-dropping-particle":"","parse-names":false,"suffix":""}],"container-title":"Epigenetics &amp; chromatin","id":"ITEM-1","issue":"1","issued":{"date-parts":[["2015"]]},"page":"6","title":"De novo identification of differentially methylated regions in the human genome.","type":"article-journal","volume":"8"},"uris":["http://www.mendeley.com/documents/?uuid=b5ace5a0-05bb-4223-8bbc-70bef49fc523"]}],"mendeley":{"formattedCitation":"(36)","plainTextFormattedCitation":"(36)","previouslyFormattedCitation":"(36)"},"properties":{"noteIndex":0},"schema":"https://github.com/citation-style-language/schema/raw/master/csl-citation.json"}</w:instrText>
      </w:r>
      <w:r w:rsidR="0000793E" w:rsidRPr="005A28F5">
        <w:rPr>
          <w:rFonts w:ascii="Times New Roman" w:hAnsi="Times New Roman" w:cs="Times New Roman"/>
          <w:i/>
          <w:sz w:val="24"/>
          <w:szCs w:val="24"/>
          <w:lang w:val="en-GB"/>
        </w:rPr>
        <w:fldChar w:fldCharType="separate"/>
      </w:r>
      <w:r w:rsidR="002A7D5D" w:rsidRPr="002A7D5D">
        <w:rPr>
          <w:rFonts w:ascii="Times New Roman" w:hAnsi="Times New Roman" w:cs="Times New Roman"/>
          <w:noProof/>
          <w:sz w:val="24"/>
          <w:szCs w:val="24"/>
          <w:lang w:val="en-GB"/>
        </w:rPr>
        <w:t>(36)</w:t>
      </w:r>
      <w:r w:rsidR="0000793E" w:rsidRPr="005A28F5">
        <w:rPr>
          <w:rFonts w:ascii="Times New Roman" w:hAnsi="Times New Roman" w:cs="Times New Roman"/>
          <w:i/>
          <w:sz w:val="24"/>
          <w:szCs w:val="24"/>
          <w:lang w:val="en-GB"/>
        </w:rPr>
        <w:fldChar w:fldCharType="end"/>
      </w:r>
      <w:r w:rsidRPr="005A28F5">
        <w:rPr>
          <w:rFonts w:ascii="Times New Roman" w:hAnsi="Times New Roman" w:cs="Times New Roman"/>
          <w:sz w:val="24"/>
          <w:szCs w:val="24"/>
          <w:lang w:val="en-GB"/>
        </w:rPr>
        <w:t xml:space="preserve"> and </w:t>
      </w:r>
      <w:r w:rsidRPr="005A28F5">
        <w:rPr>
          <w:rFonts w:ascii="Times New Roman" w:hAnsi="Times New Roman" w:cs="Times New Roman"/>
          <w:i/>
          <w:sz w:val="24"/>
          <w:szCs w:val="24"/>
          <w:lang w:val="en-GB"/>
        </w:rPr>
        <w:t>comb-p</w:t>
      </w:r>
      <w:r w:rsidR="0000793E" w:rsidRPr="005A28F5">
        <w:rPr>
          <w:rFonts w:ascii="Times New Roman" w:hAnsi="Times New Roman" w:cs="Times New Roman"/>
          <w:i/>
          <w:sz w:val="24"/>
          <w:szCs w:val="24"/>
          <w:lang w:val="en-GB"/>
        </w:rPr>
        <w:t xml:space="preserve"> </w:t>
      </w:r>
      <w:r w:rsidR="0000793E" w:rsidRPr="005A28F5">
        <w:rPr>
          <w:rFonts w:ascii="Times New Roman" w:hAnsi="Times New Roman" w:cs="Times New Roman"/>
          <w:i/>
          <w:sz w:val="24"/>
          <w:szCs w:val="24"/>
          <w:lang w:val="en-GB"/>
        </w:rPr>
        <w:fldChar w:fldCharType="begin" w:fldLock="1"/>
      </w:r>
      <w:r w:rsidR="000C3130">
        <w:rPr>
          <w:rFonts w:ascii="Times New Roman" w:hAnsi="Times New Roman" w:cs="Times New Roman"/>
          <w:i/>
          <w:sz w:val="24"/>
          <w:szCs w:val="24"/>
          <w:lang w:val="en-GB"/>
        </w:rPr>
        <w:instrText>ADDIN CSL_CITATION {"citationItems":[{"id":"ITEM-1","itemData":{"DOI":"10.1093/bioinformatics/bts545","ISSN":"1367-4811","PMID":"22954632","abstract":"SUMMARY comb-p is a command-line tool and a python library that manipulates BED files of possibly irregularly spaced P-values and (1) calculates auto-correlation, (2) combines adjacent P-values, (3) performs false discovery adjustment, (4) finds regions of enrichment (i.e. series of adjacent low P-values) and (5) assigns significance to those regions. In addition, tools are provided for visualization and assessment. We provide validation and example uses on bisulfite-seq with P-values from Fisher's exact test, tiled methylation probes using a linear model and Dam-ID for chromatin binding using moderated t-statistics. Because the library accepts input in a simple, standardized format and is unaffected by the origin of the P-values, it can be used for a wide variety of applications. AVAILABILITY comb-p is maintained under the BSD license. The documentation and implementation are available at https://github.com/brentp/combined-pvalues. CONTACT bpederse@gmail.com","author":[{"dropping-particle":"","family":"Pedersen","given":"Brent S","non-dropping-particle":"","parse-names":false,"suffix":""},{"dropping-particle":"","family":"Schwartz","given":"David A","non-dropping-particle":"","parse-names":false,"suffix":""},{"dropping-particle":"V","family":"Yang","given":"Ivana","non-dropping-particle":"","parse-names":false,"suffix":""},{"dropping-particle":"","family":"Kechris","given":"Katerina J","non-dropping-particle":"","parse-names":false,"suffix":""}],"container-title":"Bioinformatics (Oxford, England)","id":"ITEM-1","issue":"22","issued":{"date-parts":[["2012","11","15"]]},"page":"2986-8","publisher":"Oxford University Press","title":"Comb-p: software for combining, analyzing, grouping and correcting spatially correlated P-values.","type":"article-journal","volume":"28"},"uris":["http://www.mendeley.com/documents/?uuid=d21883af-5c2f-34d3-b5bf-e09879356260"]}],"mendeley":{"formattedCitation":"(37)","plainTextFormattedCitation":"(37)","previouslyFormattedCitation":"(37)"},"properties":{"noteIndex":0},"schema":"https://github.com/citation-style-language/schema/raw/master/csl-citation.json"}</w:instrText>
      </w:r>
      <w:r w:rsidR="0000793E" w:rsidRPr="005A28F5">
        <w:rPr>
          <w:rFonts w:ascii="Times New Roman" w:hAnsi="Times New Roman" w:cs="Times New Roman"/>
          <w:i/>
          <w:sz w:val="24"/>
          <w:szCs w:val="24"/>
          <w:lang w:val="en-GB"/>
        </w:rPr>
        <w:fldChar w:fldCharType="separate"/>
      </w:r>
      <w:r w:rsidR="002A7D5D" w:rsidRPr="002A7D5D">
        <w:rPr>
          <w:rFonts w:ascii="Times New Roman" w:hAnsi="Times New Roman" w:cs="Times New Roman"/>
          <w:noProof/>
          <w:sz w:val="24"/>
          <w:szCs w:val="24"/>
          <w:lang w:val="en-GB"/>
        </w:rPr>
        <w:t>(37)</w:t>
      </w:r>
      <w:r w:rsidR="0000793E" w:rsidRPr="005A28F5">
        <w:rPr>
          <w:rFonts w:ascii="Times New Roman" w:hAnsi="Times New Roman" w:cs="Times New Roman"/>
          <w:i/>
          <w:sz w:val="24"/>
          <w:szCs w:val="24"/>
          <w:lang w:val="en-GB"/>
        </w:rPr>
        <w:fldChar w:fldCharType="end"/>
      </w:r>
      <w:r w:rsidRPr="005A28F5">
        <w:rPr>
          <w:rFonts w:ascii="Times New Roman" w:hAnsi="Times New Roman" w:cs="Times New Roman"/>
          <w:sz w:val="24"/>
          <w:szCs w:val="24"/>
          <w:lang w:val="en-GB"/>
        </w:rPr>
        <w:t>; adjusted p</w:t>
      </w:r>
      <w:r w:rsidR="00C57A5D"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w:t>
      </w:r>
      <w:r w:rsidR="00C57A5D"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3.63 x 10</w:t>
      </w:r>
      <w:r w:rsidRPr="005A28F5">
        <w:rPr>
          <w:rFonts w:ascii="Times New Roman" w:hAnsi="Times New Roman" w:cs="Times New Roman"/>
          <w:sz w:val="24"/>
          <w:szCs w:val="24"/>
          <w:vertAlign w:val="superscript"/>
          <w:lang w:val="en-GB"/>
        </w:rPr>
        <w:t>-08</w:t>
      </w:r>
      <w:r w:rsidRPr="005A28F5">
        <w:rPr>
          <w:rFonts w:ascii="Times New Roman" w:hAnsi="Times New Roman" w:cs="Times New Roman"/>
          <w:sz w:val="24"/>
          <w:szCs w:val="24"/>
          <w:lang w:val="en-GB"/>
        </w:rPr>
        <w:t xml:space="preserve"> and 6.06 x 10</w:t>
      </w:r>
      <w:r w:rsidRPr="005A28F5">
        <w:rPr>
          <w:rFonts w:ascii="Times New Roman" w:hAnsi="Times New Roman" w:cs="Times New Roman"/>
          <w:sz w:val="24"/>
          <w:szCs w:val="24"/>
          <w:vertAlign w:val="superscript"/>
          <w:lang w:val="en-GB"/>
        </w:rPr>
        <w:t>-37</w:t>
      </w:r>
      <w:r w:rsidRPr="005A28F5">
        <w:rPr>
          <w:rFonts w:ascii="Times New Roman" w:hAnsi="Times New Roman" w:cs="Times New Roman"/>
          <w:sz w:val="24"/>
          <w:szCs w:val="24"/>
          <w:lang w:val="en-GB"/>
        </w:rPr>
        <w:t xml:space="preserve"> respectively), </w:t>
      </w:r>
      <w:r w:rsidR="00A51B20" w:rsidRPr="005A28F5">
        <w:rPr>
          <w:rFonts w:ascii="Times New Roman" w:hAnsi="Times New Roman" w:cs="Times New Roman"/>
          <w:sz w:val="24"/>
          <w:szCs w:val="24"/>
          <w:lang w:val="en-GB"/>
        </w:rPr>
        <w:t xml:space="preserve">was the top ranked region in both, and included </w:t>
      </w:r>
      <w:r w:rsidRPr="005A28F5">
        <w:rPr>
          <w:rFonts w:ascii="Times New Roman" w:hAnsi="Times New Roman" w:cs="Times New Roman"/>
          <w:sz w:val="24"/>
          <w:szCs w:val="24"/>
          <w:lang w:val="en-GB"/>
        </w:rPr>
        <w:t xml:space="preserve">all four </w:t>
      </w:r>
      <w:r w:rsidRPr="005A28F5">
        <w:rPr>
          <w:rFonts w:ascii="Times New Roman" w:hAnsi="Times New Roman" w:cs="Times New Roman"/>
          <w:i/>
          <w:sz w:val="24"/>
          <w:szCs w:val="24"/>
          <w:lang w:val="en-GB"/>
        </w:rPr>
        <w:t>ESM1</w:t>
      </w:r>
      <w:r w:rsidRPr="005A28F5">
        <w:rPr>
          <w:rFonts w:ascii="Times New Roman" w:hAnsi="Times New Roman" w:cs="Times New Roman"/>
          <w:sz w:val="24"/>
          <w:szCs w:val="24"/>
          <w:lang w:val="en-GB"/>
        </w:rPr>
        <w:t xml:space="preserve"> DMPs. </w:t>
      </w:r>
      <w:r w:rsidR="00A51B20" w:rsidRPr="005A28F5">
        <w:rPr>
          <w:rFonts w:ascii="Times New Roman" w:hAnsi="Times New Roman" w:cs="Times New Roman"/>
          <w:sz w:val="24"/>
          <w:szCs w:val="24"/>
          <w:lang w:val="en-GB"/>
        </w:rPr>
        <w:t xml:space="preserve"> </w:t>
      </w:r>
      <w:r w:rsidR="007E4AFC" w:rsidRPr="005A28F5">
        <w:rPr>
          <w:rFonts w:ascii="Times New Roman" w:hAnsi="Times New Roman" w:cs="Times New Roman"/>
          <w:sz w:val="24"/>
          <w:szCs w:val="24"/>
          <w:u w:color="FF644E"/>
          <w:lang w:val="en-GB"/>
        </w:rPr>
        <w:t xml:space="preserve">The </w:t>
      </w:r>
      <w:r w:rsidR="007E4AFC" w:rsidRPr="005A28F5">
        <w:rPr>
          <w:rFonts w:ascii="Times New Roman" w:hAnsi="Times New Roman" w:cs="Times New Roman"/>
          <w:i/>
          <w:sz w:val="24"/>
          <w:szCs w:val="24"/>
          <w:u w:color="FF644E"/>
          <w:lang w:val="en-GB"/>
        </w:rPr>
        <w:t>ESM1</w:t>
      </w:r>
      <w:r w:rsidR="007E4AFC" w:rsidRPr="005A28F5">
        <w:rPr>
          <w:rFonts w:ascii="Times New Roman" w:hAnsi="Times New Roman" w:cs="Times New Roman"/>
          <w:sz w:val="24"/>
          <w:szCs w:val="24"/>
          <w:u w:color="FF644E"/>
          <w:lang w:val="en-GB"/>
        </w:rPr>
        <w:t xml:space="preserve"> DMR extends over the</w:t>
      </w:r>
      <w:r w:rsidR="003A03F0" w:rsidRPr="005A28F5">
        <w:rPr>
          <w:rFonts w:ascii="Times New Roman" w:hAnsi="Times New Roman" w:cs="Times New Roman"/>
          <w:sz w:val="24"/>
          <w:szCs w:val="24"/>
          <w:u w:color="FF644E"/>
          <w:lang w:val="en-GB"/>
        </w:rPr>
        <w:t xml:space="preserve"> transcription start site</w:t>
      </w:r>
      <w:r w:rsidR="007E4AFC" w:rsidRPr="005A28F5">
        <w:rPr>
          <w:rFonts w:ascii="Times New Roman" w:hAnsi="Times New Roman" w:cs="Times New Roman"/>
          <w:sz w:val="24"/>
          <w:szCs w:val="24"/>
          <w:u w:color="FF644E"/>
          <w:lang w:val="en-GB"/>
        </w:rPr>
        <w:t xml:space="preserve"> </w:t>
      </w:r>
      <w:r w:rsidR="003A03F0" w:rsidRPr="005A28F5">
        <w:rPr>
          <w:rFonts w:ascii="Times New Roman" w:hAnsi="Times New Roman" w:cs="Times New Roman"/>
          <w:sz w:val="24"/>
          <w:szCs w:val="24"/>
          <w:u w:color="FF644E"/>
          <w:lang w:val="en-GB"/>
        </w:rPr>
        <w:t>(</w:t>
      </w:r>
      <w:r w:rsidR="007E4AFC" w:rsidRPr="005A28F5">
        <w:rPr>
          <w:rFonts w:ascii="Times New Roman" w:hAnsi="Times New Roman" w:cs="Times New Roman"/>
          <w:sz w:val="24"/>
          <w:szCs w:val="24"/>
          <w:u w:color="7D7D7D"/>
          <w:lang w:val="en-GB"/>
        </w:rPr>
        <w:t>TSS</w:t>
      </w:r>
      <w:r w:rsidR="003A03F0" w:rsidRPr="005A28F5">
        <w:rPr>
          <w:rFonts w:ascii="Times New Roman" w:hAnsi="Times New Roman" w:cs="Times New Roman"/>
          <w:sz w:val="24"/>
          <w:szCs w:val="24"/>
          <w:u w:color="7D7D7D"/>
          <w:lang w:val="en-GB"/>
        </w:rPr>
        <w:t>)</w:t>
      </w:r>
      <w:r w:rsidR="007E4AFC" w:rsidRPr="005A28F5">
        <w:rPr>
          <w:rFonts w:ascii="Times New Roman" w:hAnsi="Times New Roman" w:cs="Times New Roman"/>
          <w:sz w:val="24"/>
          <w:szCs w:val="24"/>
          <w:u w:color="7D7D7D"/>
          <w:lang w:val="en-GB"/>
        </w:rPr>
        <w:t xml:space="preserve">, 5’ UTR and first exon of the </w:t>
      </w:r>
      <w:r w:rsidR="00BB62A9" w:rsidRPr="005A28F5">
        <w:rPr>
          <w:rFonts w:ascii="Times New Roman" w:hAnsi="Times New Roman" w:cs="Times New Roman"/>
          <w:sz w:val="24"/>
          <w:szCs w:val="24"/>
          <w:u w:color="7D7D7D"/>
          <w:lang w:val="en-GB"/>
        </w:rPr>
        <w:t xml:space="preserve">most highly expressed </w:t>
      </w:r>
      <w:r w:rsidR="00DA25B2" w:rsidRPr="005A28F5">
        <w:rPr>
          <w:rFonts w:ascii="Times New Roman" w:hAnsi="Times New Roman" w:cs="Times New Roman"/>
          <w:sz w:val="24"/>
          <w:szCs w:val="24"/>
          <w:u w:color="7D7D7D"/>
          <w:lang w:val="en-GB"/>
        </w:rPr>
        <w:t xml:space="preserve">transcript </w:t>
      </w:r>
      <w:r w:rsidR="00BB62A9" w:rsidRPr="005A28F5">
        <w:rPr>
          <w:rFonts w:ascii="Times New Roman" w:hAnsi="Times New Roman" w:cs="Times New Roman"/>
          <w:sz w:val="24"/>
          <w:szCs w:val="24"/>
          <w:u w:color="7D7D7D"/>
          <w:lang w:val="en-GB"/>
        </w:rPr>
        <w:t xml:space="preserve">of the </w:t>
      </w:r>
      <w:r w:rsidR="007E4AFC" w:rsidRPr="005A28F5">
        <w:rPr>
          <w:rFonts w:ascii="Times New Roman" w:hAnsi="Times New Roman" w:cs="Times New Roman"/>
          <w:sz w:val="24"/>
          <w:szCs w:val="24"/>
          <w:u w:color="7D7D7D"/>
          <w:lang w:val="en-GB"/>
        </w:rPr>
        <w:t>gene</w:t>
      </w:r>
      <w:r w:rsidR="00830666" w:rsidRPr="005A28F5">
        <w:rPr>
          <w:rFonts w:ascii="Times New Roman" w:hAnsi="Times New Roman" w:cs="Times New Roman"/>
          <w:sz w:val="24"/>
          <w:szCs w:val="24"/>
          <w:u w:color="7D7D7D"/>
          <w:lang w:val="en-GB"/>
        </w:rPr>
        <w:t xml:space="preserve">, and is situated at the junction between alternate </w:t>
      </w:r>
      <w:r w:rsidR="00DA25B2" w:rsidRPr="005A28F5">
        <w:rPr>
          <w:rFonts w:ascii="Times New Roman" w:hAnsi="Times New Roman" w:cs="Times New Roman"/>
          <w:sz w:val="24"/>
          <w:szCs w:val="24"/>
          <w:u w:color="7D7D7D"/>
          <w:lang w:val="en-GB"/>
        </w:rPr>
        <w:t>transcripts (Figure 3)</w:t>
      </w:r>
      <w:r w:rsidR="007E4AFC" w:rsidRPr="005A28F5">
        <w:rPr>
          <w:rFonts w:ascii="Times New Roman" w:hAnsi="Times New Roman" w:cs="Times New Roman"/>
          <w:sz w:val="24"/>
          <w:szCs w:val="24"/>
          <w:u w:color="7D7D7D"/>
          <w:lang w:val="en-GB"/>
        </w:rPr>
        <w:t xml:space="preserve">. This region is enriched </w:t>
      </w:r>
      <w:r w:rsidR="00C5366E" w:rsidRPr="005A28F5">
        <w:rPr>
          <w:rFonts w:ascii="Times New Roman" w:hAnsi="Times New Roman" w:cs="Times New Roman"/>
          <w:sz w:val="24"/>
          <w:szCs w:val="24"/>
          <w:u w:color="7D7D7D"/>
          <w:lang w:val="en-GB"/>
        </w:rPr>
        <w:t>for</w:t>
      </w:r>
      <w:r w:rsidR="007E4AFC" w:rsidRPr="005A28F5">
        <w:rPr>
          <w:rFonts w:ascii="Times New Roman" w:hAnsi="Times New Roman" w:cs="Times New Roman"/>
          <w:sz w:val="24"/>
          <w:szCs w:val="24"/>
          <w:u w:color="7D7D7D"/>
          <w:lang w:val="en-GB"/>
        </w:rPr>
        <w:t xml:space="preserve"> </w:t>
      </w:r>
      <w:r w:rsidR="007E4AFC" w:rsidRPr="005A28F5">
        <w:rPr>
          <w:rFonts w:ascii="Times New Roman" w:hAnsi="Times New Roman" w:cs="Times New Roman"/>
          <w:color w:val="000000" w:themeColor="text1"/>
          <w:sz w:val="24"/>
          <w:szCs w:val="24"/>
          <w:lang w:val="en-GB"/>
        </w:rPr>
        <w:t>H3K4Me1, H3K4Me3, H3K27Ac histone tail marks and increased DN</w:t>
      </w:r>
      <w:r w:rsidR="00F94334" w:rsidRPr="005A28F5">
        <w:rPr>
          <w:rFonts w:ascii="Times New Roman" w:hAnsi="Times New Roman" w:cs="Times New Roman"/>
          <w:color w:val="000000" w:themeColor="text1"/>
          <w:sz w:val="24"/>
          <w:szCs w:val="24"/>
          <w:lang w:val="en-GB"/>
        </w:rPr>
        <w:t>a</w:t>
      </w:r>
      <w:r w:rsidR="007E4AFC" w:rsidRPr="005A28F5">
        <w:rPr>
          <w:rFonts w:ascii="Times New Roman" w:hAnsi="Times New Roman" w:cs="Times New Roman"/>
          <w:color w:val="000000" w:themeColor="text1"/>
          <w:sz w:val="24"/>
          <w:szCs w:val="24"/>
          <w:lang w:val="en-GB"/>
        </w:rPr>
        <w:t>se hypers</w:t>
      </w:r>
      <w:r w:rsidR="00C5366E" w:rsidRPr="005A28F5">
        <w:rPr>
          <w:rFonts w:ascii="Times New Roman" w:hAnsi="Times New Roman" w:cs="Times New Roman"/>
          <w:color w:val="000000" w:themeColor="text1"/>
          <w:sz w:val="24"/>
          <w:szCs w:val="24"/>
          <w:lang w:val="en-GB"/>
        </w:rPr>
        <w:t>ensitivity in ENCODE cell lines</w:t>
      </w:r>
      <w:r w:rsidR="007E4AFC" w:rsidRPr="005A28F5">
        <w:rPr>
          <w:rFonts w:ascii="Times New Roman" w:hAnsi="Times New Roman" w:cs="Times New Roman"/>
          <w:color w:val="000000" w:themeColor="text1"/>
          <w:sz w:val="24"/>
          <w:szCs w:val="24"/>
          <w:lang w:val="en-GB"/>
        </w:rPr>
        <w:t xml:space="preserve">, and transcription factor binding (ENCODE </w:t>
      </w:r>
      <w:proofErr w:type="spellStart"/>
      <w:r w:rsidR="007E4AFC" w:rsidRPr="005A28F5">
        <w:rPr>
          <w:rFonts w:ascii="Times New Roman" w:hAnsi="Times New Roman" w:cs="Times New Roman"/>
          <w:color w:val="000000" w:themeColor="text1"/>
          <w:sz w:val="24"/>
          <w:szCs w:val="24"/>
          <w:lang w:val="en-GB"/>
        </w:rPr>
        <w:t>ChIP-seq</w:t>
      </w:r>
      <w:proofErr w:type="spellEnd"/>
      <w:r w:rsidR="007E4AFC" w:rsidRPr="005A28F5">
        <w:rPr>
          <w:rFonts w:ascii="Times New Roman" w:hAnsi="Times New Roman" w:cs="Times New Roman"/>
          <w:color w:val="000000" w:themeColor="text1"/>
          <w:sz w:val="24"/>
          <w:szCs w:val="24"/>
          <w:lang w:val="en-GB"/>
        </w:rPr>
        <w:t xml:space="preserve">) suggesting it is a regulatory region associated with active transcription. </w:t>
      </w:r>
      <w:r w:rsidRPr="005A28F5">
        <w:rPr>
          <w:rFonts w:ascii="Times New Roman" w:hAnsi="Times New Roman" w:cs="Times New Roman"/>
          <w:sz w:val="24"/>
          <w:szCs w:val="24"/>
          <w:lang w:val="en-GB"/>
        </w:rPr>
        <w:t xml:space="preserve">A second DMR, </w:t>
      </w:r>
      <w:r w:rsidRPr="005A28F5">
        <w:rPr>
          <w:rFonts w:ascii="Times New Roman" w:hAnsi="Times New Roman" w:cs="Times New Roman"/>
          <w:i/>
          <w:sz w:val="24"/>
          <w:szCs w:val="24"/>
          <w:lang w:val="en-GB"/>
        </w:rPr>
        <w:t>LZTS1</w:t>
      </w:r>
      <w:r w:rsidRPr="005A28F5">
        <w:rPr>
          <w:rFonts w:ascii="Times New Roman" w:hAnsi="Times New Roman" w:cs="Times New Roman"/>
          <w:sz w:val="24"/>
          <w:szCs w:val="24"/>
          <w:lang w:val="en-GB"/>
        </w:rPr>
        <w:t xml:space="preserve">, consisting of 4 </w:t>
      </w:r>
      <w:r w:rsidR="00B12EF9" w:rsidRPr="005A28F5">
        <w:rPr>
          <w:rFonts w:ascii="Times New Roman" w:hAnsi="Times New Roman" w:cs="Times New Roman"/>
          <w:sz w:val="24"/>
          <w:szCs w:val="24"/>
          <w:lang w:val="en-GB"/>
        </w:rPr>
        <w:t>CpG</w:t>
      </w:r>
      <w:r w:rsidRPr="005A28F5">
        <w:rPr>
          <w:rFonts w:ascii="Times New Roman" w:hAnsi="Times New Roman" w:cs="Times New Roman"/>
          <w:sz w:val="24"/>
          <w:szCs w:val="24"/>
          <w:lang w:val="en-GB"/>
        </w:rPr>
        <w:t>s on chromosome 8:</w:t>
      </w:r>
      <w:r w:rsidR="00C5366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20,159,382</w:t>
      </w:r>
      <w:r w:rsidR="00C5366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w:t>
      </w:r>
      <w:r w:rsidR="00C5366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20,160,0</w:t>
      </w:r>
      <w:r w:rsidR="003A03F0" w:rsidRPr="005A28F5">
        <w:rPr>
          <w:rFonts w:ascii="Times New Roman" w:hAnsi="Times New Roman" w:cs="Times New Roman"/>
          <w:sz w:val="24"/>
          <w:szCs w:val="24"/>
          <w:lang w:val="en-GB"/>
        </w:rPr>
        <w:t>09</w:t>
      </w:r>
      <w:r w:rsidRPr="005A28F5">
        <w:rPr>
          <w:rFonts w:ascii="Times New Roman" w:hAnsi="Times New Roman" w:cs="Times New Roman"/>
          <w:sz w:val="24"/>
          <w:szCs w:val="24"/>
          <w:lang w:val="en-GB"/>
        </w:rPr>
        <w:t xml:space="preserve"> passed the same </w:t>
      </w:r>
      <w:r w:rsidR="0089667A" w:rsidRPr="005A28F5">
        <w:rPr>
          <w:rFonts w:ascii="Times New Roman" w:hAnsi="Times New Roman" w:cs="Times New Roman"/>
          <w:sz w:val="24"/>
          <w:szCs w:val="24"/>
          <w:lang w:val="en-GB"/>
        </w:rPr>
        <w:t>FDR t</w:t>
      </w:r>
      <w:r w:rsidRPr="005A28F5">
        <w:rPr>
          <w:rFonts w:ascii="Times New Roman" w:hAnsi="Times New Roman" w:cs="Times New Roman"/>
          <w:sz w:val="24"/>
          <w:szCs w:val="24"/>
          <w:lang w:val="en-GB"/>
        </w:rPr>
        <w:t xml:space="preserve">hreshold with </w:t>
      </w:r>
      <w:r w:rsidRPr="005A28F5">
        <w:rPr>
          <w:rFonts w:ascii="Times New Roman" w:hAnsi="Times New Roman" w:cs="Times New Roman"/>
          <w:i/>
          <w:sz w:val="24"/>
          <w:szCs w:val="24"/>
          <w:lang w:val="en-GB"/>
        </w:rPr>
        <w:t>comb-p</w:t>
      </w:r>
      <w:r w:rsidRPr="005A28F5">
        <w:rPr>
          <w:rFonts w:ascii="Times New Roman" w:hAnsi="Times New Roman" w:cs="Times New Roman"/>
          <w:sz w:val="24"/>
          <w:szCs w:val="24"/>
          <w:lang w:val="en-GB"/>
        </w:rPr>
        <w:t xml:space="preserve"> only (adjusted p</w:t>
      </w:r>
      <w:r w:rsidR="00C71FB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w:t>
      </w:r>
      <w:r w:rsidR="00C71FBE"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3.16</w:t>
      </w:r>
      <w:r w:rsidR="00A51B20"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x</w:t>
      </w:r>
      <w:r w:rsidR="00A51B20"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10</w:t>
      </w:r>
      <w:r w:rsidRPr="005A28F5">
        <w:rPr>
          <w:rFonts w:ascii="Times New Roman" w:hAnsi="Times New Roman" w:cs="Times New Roman"/>
          <w:sz w:val="24"/>
          <w:szCs w:val="24"/>
          <w:vertAlign w:val="superscript"/>
          <w:lang w:val="en-GB"/>
        </w:rPr>
        <w:t>-11</w:t>
      </w:r>
      <w:r w:rsidRPr="005A28F5">
        <w:rPr>
          <w:rFonts w:ascii="Times New Roman" w:hAnsi="Times New Roman" w:cs="Times New Roman"/>
          <w:sz w:val="24"/>
          <w:szCs w:val="24"/>
          <w:lang w:val="en-GB"/>
        </w:rPr>
        <w:t xml:space="preserve">). </w:t>
      </w:r>
      <w:r w:rsidR="00A51B20" w:rsidRPr="005A28F5">
        <w:rPr>
          <w:rFonts w:ascii="Times New Roman" w:hAnsi="Times New Roman" w:cs="Times New Roman"/>
          <w:sz w:val="24"/>
          <w:szCs w:val="24"/>
          <w:lang w:val="en-GB"/>
        </w:rPr>
        <w:t>This</w:t>
      </w:r>
      <w:r w:rsidRPr="005A28F5">
        <w:rPr>
          <w:rFonts w:ascii="Times New Roman" w:hAnsi="Times New Roman" w:cs="Times New Roman"/>
          <w:sz w:val="24"/>
          <w:szCs w:val="24"/>
          <w:lang w:val="en-GB"/>
        </w:rPr>
        <w:t xml:space="preserve"> was the second-ranked region in </w:t>
      </w:r>
      <w:proofErr w:type="spellStart"/>
      <w:r w:rsidRPr="005A28F5">
        <w:rPr>
          <w:rFonts w:ascii="Times New Roman" w:hAnsi="Times New Roman" w:cs="Times New Roman"/>
          <w:i/>
          <w:sz w:val="24"/>
          <w:szCs w:val="24"/>
          <w:lang w:val="en-GB"/>
        </w:rPr>
        <w:t>DMRcate</w:t>
      </w:r>
      <w:proofErr w:type="spellEnd"/>
      <w:r w:rsidRPr="005A28F5">
        <w:rPr>
          <w:rFonts w:ascii="Times New Roman" w:hAnsi="Times New Roman" w:cs="Times New Roman"/>
          <w:sz w:val="24"/>
          <w:szCs w:val="24"/>
          <w:lang w:val="en-GB"/>
        </w:rPr>
        <w:t xml:space="preserve"> and also contained a borderline significant DMP (cg27655507</w:t>
      </w:r>
      <w:r w:rsidR="00DA25B2" w:rsidRPr="005A28F5">
        <w:rPr>
          <w:rFonts w:ascii="Times New Roman" w:hAnsi="Times New Roman" w:cs="Times New Roman"/>
          <w:sz w:val="24"/>
          <w:szCs w:val="24"/>
          <w:lang w:val="en-GB"/>
        </w:rPr>
        <w:t xml:space="preserve">, </w:t>
      </w:r>
      <w:r w:rsidR="0089667A" w:rsidRPr="005A28F5">
        <w:rPr>
          <w:rFonts w:ascii="Times New Roman" w:hAnsi="Times New Roman" w:cs="Times New Roman"/>
          <w:sz w:val="24"/>
          <w:szCs w:val="24"/>
          <w:lang w:val="en-GB"/>
        </w:rPr>
        <w:t xml:space="preserve">Table 3, Figures </w:t>
      </w:r>
      <w:r w:rsidR="00353567" w:rsidRPr="005A28F5">
        <w:rPr>
          <w:rFonts w:ascii="Times New Roman" w:hAnsi="Times New Roman" w:cs="Times New Roman"/>
          <w:sz w:val="24"/>
          <w:szCs w:val="24"/>
          <w:lang w:val="en-GB"/>
        </w:rPr>
        <w:t>2</w:t>
      </w:r>
      <w:r w:rsidR="0089667A" w:rsidRPr="005A28F5">
        <w:rPr>
          <w:rFonts w:ascii="Times New Roman" w:hAnsi="Times New Roman" w:cs="Times New Roman"/>
          <w:sz w:val="24"/>
          <w:szCs w:val="24"/>
          <w:lang w:val="en-GB"/>
        </w:rPr>
        <w:t>b</w:t>
      </w:r>
      <w:r w:rsidR="00353567" w:rsidRPr="005A28F5">
        <w:rPr>
          <w:rFonts w:ascii="Times New Roman" w:hAnsi="Times New Roman" w:cs="Times New Roman"/>
          <w:sz w:val="24"/>
          <w:szCs w:val="24"/>
          <w:lang w:val="en-GB"/>
        </w:rPr>
        <w:t xml:space="preserve"> and </w:t>
      </w:r>
      <w:r w:rsidR="0089667A" w:rsidRPr="005A28F5">
        <w:rPr>
          <w:rFonts w:ascii="Times New Roman" w:hAnsi="Times New Roman" w:cs="Times New Roman"/>
          <w:sz w:val="24"/>
          <w:szCs w:val="24"/>
          <w:lang w:val="en-GB"/>
        </w:rPr>
        <w:t>4</w:t>
      </w:r>
      <w:r w:rsidRPr="005A28F5">
        <w:rPr>
          <w:rFonts w:ascii="Times New Roman" w:hAnsi="Times New Roman" w:cs="Times New Roman"/>
          <w:sz w:val="24"/>
          <w:szCs w:val="24"/>
          <w:lang w:val="en-GB"/>
        </w:rPr>
        <w:t xml:space="preserve">). </w:t>
      </w:r>
      <w:r w:rsidR="007E4AFC" w:rsidRPr="005A28F5">
        <w:rPr>
          <w:rFonts w:ascii="Times New Roman" w:hAnsi="Times New Roman" w:cs="Times New Roman"/>
          <w:sz w:val="24"/>
          <w:szCs w:val="24"/>
          <w:u w:color="7D7D7D"/>
          <w:lang w:val="en-GB"/>
        </w:rPr>
        <w:t xml:space="preserve">The </w:t>
      </w:r>
      <w:r w:rsidR="007E4AFC" w:rsidRPr="005A28F5">
        <w:rPr>
          <w:rFonts w:ascii="Times New Roman" w:hAnsi="Times New Roman" w:cs="Times New Roman"/>
          <w:i/>
          <w:sz w:val="24"/>
          <w:szCs w:val="24"/>
          <w:u w:color="7D7D7D"/>
          <w:lang w:val="en-GB"/>
        </w:rPr>
        <w:t>LZTS1</w:t>
      </w:r>
      <w:r w:rsidR="007E4AFC" w:rsidRPr="005A28F5">
        <w:rPr>
          <w:rFonts w:ascii="Times New Roman" w:hAnsi="Times New Roman" w:cs="Times New Roman"/>
          <w:sz w:val="24"/>
          <w:szCs w:val="24"/>
          <w:u w:color="7D7D7D"/>
          <w:lang w:val="en-GB"/>
        </w:rPr>
        <w:t xml:space="preserve"> DMR maps to an </w:t>
      </w:r>
      <w:r w:rsidR="007E4AFC" w:rsidRPr="005A28F5">
        <w:rPr>
          <w:rFonts w:ascii="Times New Roman" w:hAnsi="Times New Roman" w:cs="Times New Roman"/>
          <w:color w:val="000000" w:themeColor="text1"/>
          <w:sz w:val="24"/>
          <w:szCs w:val="24"/>
          <w:u w:color="7D7D7D"/>
          <w:lang w:val="en-GB"/>
        </w:rPr>
        <w:t xml:space="preserve">intronic region </w:t>
      </w:r>
      <w:r w:rsidR="008578F4" w:rsidRPr="005A28F5">
        <w:rPr>
          <w:rFonts w:ascii="Times New Roman" w:hAnsi="Times New Roman" w:cs="Times New Roman"/>
          <w:color w:val="000000" w:themeColor="text1"/>
          <w:sz w:val="24"/>
          <w:szCs w:val="24"/>
          <w:u w:color="7D7D7D"/>
          <w:lang w:val="en-GB"/>
        </w:rPr>
        <w:t xml:space="preserve">between exon 1 and 2 </w:t>
      </w:r>
      <w:r w:rsidR="007E4AFC" w:rsidRPr="005A28F5">
        <w:rPr>
          <w:rFonts w:ascii="Times New Roman" w:hAnsi="Times New Roman" w:cs="Times New Roman"/>
          <w:color w:val="000000" w:themeColor="text1"/>
          <w:sz w:val="24"/>
          <w:szCs w:val="24"/>
          <w:u w:color="7D7D7D"/>
          <w:lang w:val="en-GB"/>
        </w:rPr>
        <w:t xml:space="preserve">of </w:t>
      </w:r>
      <w:r w:rsidR="007E4AFC" w:rsidRPr="005A28F5">
        <w:rPr>
          <w:rFonts w:ascii="Times New Roman" w:hAnsi="Times New Roman" w:cs="Times New Roman"/>
          <w:i/>
          <w:color w:val="000000" w:themeColor="text1"/>
          <w:sz w:val="24"/>
          <w:szCs w:val="24"/>
          <w:u w:color="7D7D7D"/>
          <w:lang w:val="en-GB"/>
        </w:rPr>
        <w:t xml:space="preserve">LZTS1 </w:t>
      </w:r>
      <w:r w:rsidR="007E4AFC" w:rsidRPr="005A28F5">
        <w:rPr>
          <w:rFonts w:ascii="Times New Roman" w:hAnsi="Times New Roman" w:cs="Times New Roman"/>
          <w:color w:val="000000" w:themeColor="text1"/>
          <w:sz w:val="24"/>
          <w:szCs w:val="24"/>
          <w:u w:color="7D7D7D"/>
          <w:lang w:val="en-GB"/>
        </w:rPr>
        <w:t xml:space="preserve">in </w:t>
      </w:r>
      <w:r w:rsidR="00572105" w:rsidRPr="005A28F5">
        <w:rPr>
          <w:rFonts w:ascii="Times New Roman" w:hAnsi="Times New Roman" w:cs="Times New Roman"/>
          <w:color w:val="000000" w:themeColor="text1"/>
          <w:sz w:val="24"/>
          <w:szCs w:val="24"/>
          <w:u w:color="7D7D7D"/>
          <w:lang w:val="en-GB"/>
        </w:rPr>
        <w:t>a</w:t>
      </w:r>
      <w:r w:rsidR="007E4AFC" w:rsidRPr="005A28F5">
        <w:rPr>
          <w:rFonts w:ascii="Times New Roman" w:hAnsi="Times New Roman" w:cs="Times New Roman"/>
          <w:color w:val="000000" w:themeColor="text1"/>
          <w:sz w:val="24"/>
          <w:szCs w:val="24"/>
          <w:u w:color="7D7D7D"/>
          <w:lang w:val="en-GB"/>
        </w:rPr>
        <w:t>pproximately 2K</w:t>
      </w:r>
      <w:r w:rsidR="003A03F0" w:rsidRPr="005A28F5">
        <w:rPr>
          <w:rFonts w:ascii="Times New Roman" w:hAnsi="Times New Roman" w:cs="Times New Roman"/>
          <w:color w:val="000000" w:themeColor="text1"/>
          <w:sz w:val="24"/>
          <w:szCs w:val="24"/>
          <w:u w:color="7D7D7D"/>
          <w:lang w:val="en-GB"/>
        </w:rPr>
        <w:t>b</w:t>
      </w:r>
      <w:r w:rsidR="007E4AFC" w:rsidRPr="005A28F5">
        <w:rPr>
          <w:rFonts w:ascii="Times New Roman" w:hAnsi="Times New Roman" w:cs="Times New Roman"/>
          <w:color w:val="000000" w:themeColor="text1"/>
          <w:sz w:val="24"/>
          <w:szCs w:val="24"/>
          <w:u w:color="7D7D7D"/>
          <w:lang w:val="en-GB"/>
        </w:rPr>
        <w:t xml:space="preserve"> </w:t>
      </w:r>
      <w:r w:rsidR="00C5050E" w:rsidRPr="005A28F5">
        <w:rPr>
          <w:rFonts w:ascii="Times New Roman" w:hAnsi="Times New Roman" w:cs="Times New Roman"/>
          <w:sz w:val="24"/>
          <w:szCs w:val="24"/>
          <w:u w:color="7D7D7D"/>
          <w:lang w:val="en-GB"/>
        </w:rPr>
        <w:t>f</w:t>
      </w:r>
      <w:r w:rsidR="007E4AFC" w:rsidRPr="005A28F5">
        <w:rPr>
          <w:rFonts w:ascii="Times New Roman" w:hAnsi="Times New Roman" w:cs="Times New Roman"/>
          <w:color w:val="000000" w:themeColor="text1"/>
          <w:sz w:val="24"/>
          <w:szCs w:val="24"/>
          <w:u w:color="7D7D7D"/>
          <w:lang w:val="en-GB"/>
        </w:rPr>
        <w:t xml:space="preserve">rom the TSS. This </w:t>
      </w:r>
      <w:r w:rsidR="007E4AFC" w:rsidRPr="005A28F5">
        <w:rPr>
          <w:rFonts w:ascii="Times New Roman" w:hAnsi="Times New Roman" w:cs="Times New Roman"/>
          <w:sz w:val="24"/>
          <w:szCs w:val="24"/>
          <w:u w:color="7D7D7D"/>
          <w:lang w:val="en-GB"/>
        </w:rPr>
        <w:t xml:space="preserve">region shows reduced chromatin </w:t>
      </w:r>
      <w:r w:rsidR="00C57A5D" w:rsidRPr="005A28F5">
        <w:rPr>
          <w:rFonts w:ascii="Times New Roman" w:hAnsi="Times New Roman" w:cs="Times New Roman"/>
          <w:sz w:val="24"/>
          <w:szCs w:val="24"/>
          <w:u w:color="7D7D7D"/>
          <w:lang w:val="en-GB"/>
        </w:rPr>
        <w:t>accessibility</w:t>
      </w:r>
      <w:r w:rsidR="007E4AFC" w:rsidRPr="005A28F5">
        <w:rPr>
          <w:rFonts w:ascii="Times New Roman" w:hAnsi="Times New Roman" w:cs="Times New Roman"/>
          <w:sz w:val="24"/>
          <w:szCs w:val="24"/>
          <w:u w:color="7D7D7D"/>
          <w:lang w:val="en-GB"/>
        </w:rPr>
        <w:t xml:space="preserve"> as evidenced by the absence of DN</w:t>
      </w:r>
      <w:r w:rsidR="00F94334" w:rsidRPr="005A28F5">
        <w:rPr>
          <w:rFonts w:ascii="Times New Roman" w:hAnsi="Times New Roman" w:cs="Times New Roman"/>
          <w:sz w:val="24"/>
          <w:szCs w:val="24"/>
          <w:u w:color="7D7D7D"/>
          <w:lang w:val="en-GB"/>
        </w:rPr>
        <w:t>a</w:t>
      </w:r>
      <w:r w:rsidR="00C5366E" w:rsidRPr="005A28F5">
        <w:rPr>
          <w:rFonts w:ascii="Times New Roman" w:hAnsi="Times New Roman" w:cs="Times New Roman"/>
          <w:sz w:val="24"/>
          <w:szCs w:val="24"/>
          <w:u w:color="7D7D7D"/>
          <w:lang w:val="en-GB"/>
        </w:rPr>
        <w:t>s</w:t>
      </w:r>
      <w:r w:rsidR="007E4AFC" w:rsidRPr="005A28F5">
        <w:rPr>
          <w:rFonts w:ascii="Times New Roman" w:hAnsi="Times New Roman" w:cs="Times New Roman"/>
          <w:sz w:val="24"/>
          <w:szCs w:val="24"/>
          <w:u w:color="7D7D7D"/>
          <w:lang w:val="en-GB"/>
        </w:rPr>
        <w:t>e hypersensitive sites and the absence of TF binding</w:t>
      </w:r>
      <w:r w:rsidR="00DA25B2" w:rsidRPr="005A28F5">
        <w:rPr>
          <w:rFonts w:ascii="Times New Roman" w:hAnsi="Times New Roman" w:cs="Times New Roman"/>
          <w:sz w:val="24"/>
          <w:szCs w:val="24"/>
          <w:u w:color="7D7D7D"/>
          <w:lang w:val="en-GB"/>
        </w:rPr>
        <w:t xml:space="preserve"> (Figure 4)</w:t>
      </w:r>
      <w:r w:rsidR="007E4AFC" w:rsidRPr="005A28F5">
        <w:rPr>
          <w:rFonts w:ascii="Times New Roman" w:hAnsi="Times New Roman" w:cs="Times New Roman"/>
          <w:sz w:val="24"/>
          <w:szCs w:val="24"/>
          <w:u w:color="7D7D7D"/>
          <w:lang w:val="en-GB"/>
        </w:rPr>
        <w:t>.</w:t>
      </w:r>
      <w:r w:rsidR="006C7E61" w:rsidRPr="005A28F5">
        <w:rPr>
          <w:rFonts w:ascii="Times New Roman" w:hAnsi="Times New Roman" w:cs="Times New Roman"/>
          <w:sz w:val="24"/>
          <w:szCs w:val="24"/>
          <w:u w:color="7D7D7D"/>
          <w:lang w:val="en-GB"/>
        </w:rPr>
        <w:t xml:space="preserve"> </w:t>
      </w:r>
      <w:r w:rsidR="006C7E61" w:rsidRPr="005A28F5">
        <w:rPr>
          <w:rFonts w:ascii="Times New Roman" w:hAnsi="Times New Roman" w:cs="Times New Roman"/>
          <w:sz w:val="24"/>
          <w:szCs w:val="24"/>
          <w:lang w:val="en-GB"/>
        </w:rPr>
        <w:t xml:space="preserve">For both regions the effect of the intervention consistently decreased methylation </w:t>
      </w:r>
      <w:r w:rsidR="008578F4" w:rsidRPr="005A28F5">
        <w:rPr>
          <w:rFonts w:ascii="Times New Roman" w:hAnsi="Times New Roman" w:cs="Times New Roman"/>
          <w:sz w:val="24"/>
          <w:szCs w:val="24"/>
          <w:lang w:val="en-GB"/>
        </w:rPr>
        <w:t xml:space="preserve">across the DMR </w:t>
      </w:r>
      <w:r w:rsidR="006C7E61" w:rsidRPr="005A28F5">
        <w:rPr>
          <w:rFonts w:ascii="Times New Roman" w:hAnsi="Times New Roman" w:cs="Times New Roman"/>
          <w:sz w:val="24"/>
          <w:szCs w:val="24"/>
          <w:lang w:val="en-GB"/>
        </w:rPr>
        <w:t xml:space="preserve">(Figure 2). </w:t>
      </w:r>
    </w:p>
    <w:p w14:paraId="64E512D5" w14:textId="77777777" w:rsidR="00E01BB2" w:rsidRPr="005A28F5" w:rsidRDefault="00E01BB2" w:rsidP="001A64D3">
      <w:pPr>
        <w:pStyle w:val="BodyA"/>
        <w:spacing w:line="360" w:lineRule="auto"/>
        <w:outlineLvl w:val="0"/>
        <w:rPr>
          <w:rFonts w:ascii="Times New Roman" w:eastAsia="Cambria" w:hAnsi="Times New Roman" w:cs="Times New Roman"/>
          <w:sz w:val="24"/>
          <w:szCs w:val="24"/>
          <w:lang w:val="en-GB"/>
        </w:rPr>
      </w:pPr>
    </w:p>
    <w:p w14:paraId="1AD4A852" w14:textId="66AA1611" w:rsidR="005B5FB3" w:rsidRPr="005A28F5" w:rsidRDefault="00BC3B0C" w:rsidP="001A64D3">
      <w:pPr>
        <w:pStyle w:val="BodyA"/>
        <w:spacing w:line="360" w:lineRule="auto"/>
        <w:outlineLvl w:val="0"/>
        <w:rPr>
          <w:rFonts w:ascii="Times New Roman" w:hAnsi="Times New Roman" w:cs="Times New Roman"/>
          <w:sz w:val="24"/>
          <w:szCs w:val="24"/>
          <w:lang w:val="en-GB"/>
        </w:rPr>
      </w:pPr>
      <w:r w:rsidRPr="005A28F5">
        <w:rPr>
          <w:rFonts w:ascii="Times New Roman" w:hAnsi="Times New Roman" w:cs="Times New Roman"/>
          <w:sz w:val="24"/>
          <w:szCs w:val="24"/>
          <w:lang w:val="en-GB"/>
        </w:rPr>
        <w:t xml:space="preserve">In the Indian EWAS, a single </w:t>
      </w:r>
      <w:r w:rsidR="00B12EF9" w:rsidRPr="005A28F5">
        <w:rPr>
          <w:rFonts w:ascii="Times New Roman" w:hAnsi="Times New Roman" w:cs="Times New Roman"/>
          <w:sz w:val="24"/>
          <w:szCs w:val="24"/>
          <w:lang w:val="en-GB"/>
        </w:rPr>
        <w:t>CpG</w:t>
      </w:r>
      <w:r w:rsidRPr="005A28F5">
        <w:rPr>
          <w:rFonts w:ascii="Times New Roman" w:hAnsi="Times New Roman" w:cs="Times New Roman"/>
          <w:sz w:val="24"/>
          <w:szCs w:val="24"/>
          <w:lang w:val="en-GB"/>
        </w:rPr>
        <w:t xml:space="preserve">, cg24940138, mapping to </w:t>
      </w:r>
      <w:r w:rsidR="008E7547" w:rsidRPr="005A28F5">
        <w:rPr>
          <w:rFonts w:ascii="Times New Roman" w:hAnsi="Times New Roman" w:cs="Times New Roman"/>
          <w:sz w:val="24"/>
          <w:szCs w:val="24"/>
          <w:lang w:val="en-GB"/>
        </w:rPr>
        <w:t xml:space="preserve">the </w:t>
      </w:r>
      <w:r w:rsidRPr="005A28F5">
        <w:rPr>
          <w:rFonts w:ascii="Times New Roman" w:hAnsi="Times New Roman" w:cs="Times New Roman"/>
          <w:sz w:val="24"/>
          <w:szCs w:val="24"/>
          <w:lang w:val="en-GB"/>
        </w:rPr>
        <w:t>transmembrane protein 106A (</w:t>
      </w:r>
      <w:r w:rsidRPr="005A28F5">
        <w:rPr>
          <w:rFonts w:ascii="Times New Roman" w:hAnsi="Times New Roman" w:cs="Times New Roman"/>
          <w:i/>
          <w:sz w:val="24"/>
          <w:szCs w:val="24"/>
          <w:lang w:val="en-GB"/>
        </w:rPr>
        <w:t>TMEM106A</w:t>
      </w:r>
      <w:r w:rsidRPr="005A28F5">
        <w:rPr>
          <w:rFonts w:ascii="Times New Roman" w:hAnsi="Times New Roman" w:cs="Times New Roman"/>
          <w:sz w:val="24"/>
          <w:szCs w:val="24"/>
          <w:lang w:val="en-GB"/>
        </w:rPr>
        <w:t xml:space="preserve">) </w:t>
      </w:r>
      <w:r w:rsidR="00CE4E52" w:rsidRPr="005A28F5">
        <w:rPr>
          <w:rFonts w:ascii="Times New Roman" w:hAnsi="Times New Roman" w:cs="Times New Roman"/>
          <w:sz w:val="24"/>
          <w:szCs w:val="24"/>
          <w:lang w:val="en-GB"/>
        </w:rPr>
        <w:t xml:space="preserve">gene </w:t>
      </w:r>
      <w:r w:rsidRPr="005A28F5">
        <w:rPr>
          <w:rFonts w:ascii="Times New Roman" w:hAnsi="Times New Roman" w:cs="Times New Roman"/>
          <w:sz w:val="24"/>
          <w:szCs w:val="24"/>
          <w:lang w:val="en-GB"/>
        </w:rPr>
        <w:t xml:space="preserve">passed our pre-specified </w:t>
      </w:r>
      <w:r w:rsidR="001A1402" w:rsidRPr="005A28F5">
        <w:rPr>
          <w:rFonts w:ascii="Times New Roman" w:hAnsi="Times New Roman" w:cs="Times New Roman"/>
          <w:sz w:val="24"/>
          <w:szCs w:val="24"/>
          <w:lang w:val="en-GB"/>
        </w:rPr>
        <w:t xml:space="preserve">5% </w:t>
      </w:r>
      <w:r w:rsidRPr="005A28F5">
        <w:rPr>
          <w:rFonts w:ascii="Times New Roman" w:hAnsi="Times New Roman" w:cs="Times New Roman"/>
          <w:sz w:val="24"/>
          <w:szCs w:val="24"/>
          <w:lang w:val="en-GB"/>
        </w:rPr>
        <w:t xml:space="preserve">FDR threshold for identifying nutrition-associated DMPs. The magnitude of the effect was however very small, showing a </w:t>
      </w:r>
      <w:r w:rsidRPr="005A28F5">
        <w:rPr>
          <w:rFonts w:ascii="Times New Roman" w:hAnsi="Times New Roman" w:cs="Times New Roman"/>
          <w:sz w:val="24"/>
          <w:szCs w:val="24"/>
          <w:u w:color="FF644E"/>
          <w:lang w:val="en-GB"/>
        </w:rPr>
        <w:t xml:space="preserve">0.1% decrease in methylation associated with the intervention </w:t>
      </w:r>
      <w:r w:rsidRPr="005A28F5">
        <w:rPr>
          <w:rFonts w:ascii="Times New Roman" w:hAnsi="Times New Roman" w:cs="Times New Roman"/>
          <w:sz w:val="24"/>
          <w:szCs w:val="24"/>
          <w:lang w:val="en-GB"/>
        </w:rPr>
        <w:t>(Table 4). S</w:t>
      </w:r>
      <w:r w:rsidR="00CE4E52" w:rsidRPr="005A28F5">
        <w:rPr>
          <w:rFonts w:ascii="Times New Roman" w:hAnsi="Times New Roman" w:cs="Times New Roman"/>
          <w:sz w:val="24"/>
          <w:szCs w:val="24"/>
          <w:lang w:val="en-GB"/>
        </w:rPr>
        <w:t>ub</w:t>
      </w:r>
      <w:r w:rsidR="009F1508"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significance threshold methylation differences were generally very small, in contrast t</w:t>
      </w:r>
      <w:r w:rsidR="00403290" w:rsidRPr="005A28F5">
        <w:rPr>
          <w:rFonts w:ascii="Times New Roman" w:hAnsi="Times New Roman" w:cs="Times New Roman"/>
          <w:sz w:val="24"/>
          <w:szCs w:val="24"/>
          <w:lang w:val="en-GB"/>
        </w:rPr>
        <w:t xml:space="preserve">o the </w:t>
      </w:r>
      <w:r w:rsidR="003A03F0" w:rsidRPr="005A28F5">
        <w:rPr>
          <w:rFonts w:ascii="Times New Roman" w:hAnsi="Times New Roman" w:cs="Times New Roman"/>
          <w:sz w:val="24"/>
          <w:szCs w:val="24"/>
          <w:lang w:val="en-GB"/>
        </w:rPr>
        <w:t xml:space="preserve">larger observed differences in the </w:t>
      </w:r>
      <w:r w:rsidR="00403290" w:rsidRPr="005A28F5">
        <w:rPr>
          <w:rFonts w:ascii="Times New Roman" w:hAnsi="Times New Roman" w:cs="Times New Roman"/>
          <w:sz w:val="24"/>
          <w:szCs w:val="24"/>
          <w:lang w:val="en-GB"/>
        </w:rPr>
        <w:t xml:space="preserve">Gambian results </w:t>
      </w:r>
      <w:r w:rsidRPr="005A28F5">
        <w:rPr>
          <w:rFonts w:ascii="Times New Roman" w:hAnsi="Times New Roman" w:cs="Times New Roman"/>
          <w:sz w:val="24"/>
          <w:szCs w:val="24"/>
          <w:lang w:val="en-GB"/>
        </w:rPr>
        <w:t xml:space="preserve">(Figure 1, Tables 2, 4). Region-level analysis in the Indian EWAS did not reveal any intervention associated DMRs passing FDR </w:t>
      </w:r>
      <w:r w:rsidR="00833FCF" w:rsidRPr="005A28F5">
        <w:rPr>
          <w:rFonts w:ascii="Times New Roman" w:hAnsi="Times New Roman" w:cs="Times New Roman"/>
          <w:sz w:val="24"/>
          <w:szCs w:val="24"/>
          <w:lang w:val="en-GB"/>
        </w:rPr>
        <w:t xml:space="preserve">&lt; </w:t>
      </w:r>
      <w:r w:rsidRPr="005A28F5">
        <w:rPr>
          <w:rFonts w:ascii="Times New Roman" w:hAnsi="Times New Roman" w:cs="Times New Roman"/>
          <w:sz w:val="24"/>
          <w:szCs w:val="24"/>
          <w:lang w:val="en-GB"/>
        </w:rPr>
        <w:t xml:space="preserve">5%. </w:t>
      </w:r>
      <w:r w:rsidR="004666F1" w:rsidRPr="005A28F5">
        <w:rPr>
          <w:rFonts w:ascii="Times New Roman" w:hAnsi="Times New Roman" w:cs="Times New Roman"/>
          <w:sz w:val="24"/>
          <w:szCs w:val="24"/>
          <w:lang w:val="en-GB"/>
        </w:rPr>
        <w:t xml:space="preserve">Overall, based on the findings from </w:t>
      </w:r>
      <w:r w:rsidR="00B12EF9" w:rsidRPr="005A28F5">
        <w:rPr>
          <w:rFonts w:ascii="Times New Roman" w:hAnsi="Times New Roman" w:cs="Times New Roman"/>
          <w:sz w:val="24"/>
          <w:szCs w:val="24"/>
          <w:lang w:val="en-GB"/>
        </w:rPr>
        <w:t>CpG</w:t>
      </w:r>
      <w:r w:rsidR="004666F1" w:rsidRPr="005A28F5">
        <w:rPr>
          <w:rFonts w:ascii="Times New Roman" w:hAnsi="Times New Roman" w:cs="Times New Roman"/>
          <w:sz w:val="24"/>
          <w:szCs w:val="24"/>
          <w:lang w:val="en-GB"/>
        </w:rPr>
        <w:t xml:space="preserve"> level and regional analyses, </w:t>
      </w:r>
      <w:r w:rsidR="00CE4E52" w:rsidRPr="005A28F5">
        <w:rPr>
          <w:rFonts w:ascii="Times New Roman" w:hAnsi="Times New Roman" w:cs="Times New Roman"/>
          <w:sz w:val="24"/>
          <w:szCs w:val="24"/>
          <w:lang w:val="en-GB"/>
        </w:rPr>
        <w:t xml:space="preserve">the </w:t>
      </w:r>
      <w:r w:rsidRPr="005A28F5">
        <w:rPr>
          <w:rFonts w:ascii="Times New Roman" w:hAnsi="Times New Roman" w:cs="Times New Roman"/>
          <w:sz w:val="24"/>
          <w:szCs w:val="24"/>
          <w:lang w:val="en-GB"/>
        </w:rPr>
        <w:t xml:space="preserve">maternal intervention </w:t>
      </w:r>
      <w:r w:rsidR="00CE4E52" w:rsidRPr="005A28F5">
        <w:rPr>
          <w:rFonts w:ascii="Times New Roman" w:hAnsi="Times New Roman" w:cs="Times New Roman"/>
          <w:sz w:val="24"/>
          <w:szCs w:val="24"/>
          <w:lang w:val="en-GB"/>
        </w:rPr>
        <w:t xml:space="preserve">in the Indian trial did not appear to </w:t>
      </w:r>
      <w:r w:rsidR="00130288" w:rsidRPr="005A28F5">
        <w:rPr>
          <w:rFonts w:ascii="Times New Roman" w:hAnsi="Times New Roman" w:cs="Times New Roman"/>
          <w:sz w:val="24"/>
          <w:szCs w:val="24"/>
          <w:lang w:val="en-GB"/>
        </w:rPr>
        <w:t>inf</w:t>
      </w:r>
      <w:r w:rsidR="003A03F0" w:rsidRPr="005A28F5">
        <w:rPr>
          <w:rFonts w:ascii="Times New Roman" w:hAnsi="Times New Roman" w:cs="Times New Roman"/>
          <w:sz w:val="24"/>
          <w:szCs w:val="24"/>
          <w:lang w:val="en-GB"/>
        </w:rPr>
        <w:t>l</w:t>
      </w:r>
      <w:r w:rsidR="00130288" w:rsidRPr="005A28F5">
        <w:rPr>
          <w:rFonts w:ascii="Times New Roman" w:hAnsi="Times New Roman" w:cs="Times New Roman"/>
          <w:sz w:val="24"/>
          <w:szCs w:val="24"/>
          <w:lang w:val="en-GB"/>
        </w:rPr>
        <w:t xml:space="preserve">uence </w:t>
      </w:r>
      <w:r w:rsidRPr="005A28F5">
        <w:rPr>
          <w:rFonts w:ascii="Times New Roman" w:hAnsi="Times New Roman" w:cs="Times New Roman"/>
          <w:sz w:val="24"/>
          <w:szCs w:val="24"/>
          <w:lang w:val="en-GB"/>
        </w:rPr>
        <w:t>DNAm</w:t>
      </w:r>
      <w:r w:rsidR="00C5366E" w:rsidRPr="005A28F5">
        <w:rPr>
          <w:rFonts w:ascii="Times New Roman" w:hAnsi="Times New Roman" w:cs="Times New Roman"/>
          <w:sz w:val="24"/>
          <w:szCs w:val="24"/>
          <w:lang w:val="en-GB"/>
        </w:rPr>
        <w:t xml:space="preserve"> in the children</w:t>
      </w:r>
      <w:r w:rsidRPr="005A28F5">
        <w:rPr>
          <w:rFonts w:ascii="Times New Roman" w:hAnsi="Times New Roman" w:cs="Times New Roman"/>
          <w:sz w:val="24"/>
          <w:szCs w:val="24"/>
          <w:lang w:val="en-GB"/>
        </w:rPr>
        <w:t xml:space="preserve"> </w:t>
      </w:r>
      <w:r w:rsidR="00C5366E" w:rsidRPr="005A28F5">
        <w:rPr>
          <w:rFonts w:ascii="Times New Roman" w:hAnsi="Times New Roman" w:cs="Times New Roman"/>
          <w:sz w:val="24"/>
          <w:szCs w:val="24"/>
          <w:lang w:val="en-GB"/>
        </w:rPr>
        <w:t xml:space="preserve">at the sites </w:t>
      </w:r>
      <w:proofErr w:type="spellStart"/>
      <w:r w:rsidR="0089667A" w:rsidRPr="005A28F5">
        <w:rPr>
          <w:rFonts w:ascii="Times New Roman" w:hAnsi="Times New Roman" w:cs="Times New Roman"/>
          <w:sz w:val="24"/>
          <w:szCs w:val="24"/>
          <w:lang w:val="en-GB"/>
        </w:rPr>
        <w:t>assesssed</w:t>
      </w:r>
      <w:proofErr w:type="spellEnd"/>
      <w:r w:rsidR="0089667A" w:rsidRPr="005A28F5">
        <w:rPr>
          <w:rFonts w:ascii="Times New Roman" w:hAnsi="Times New Roman" w:cs="Times New Roman"/>
          <w:sz w:val="24"/>
          <w:szCs w:val="24"/>
          <w:lang w:val="en-GB"/>
        </w:rPr>
        <w:t xml:space="preserve"> on the</w:t>
      </w:r>
      <w:r w:rsidR="00C5366E" w:rsidRPr="005A28F5">
        <w:rPr>
          <w:rFonts w:ascii="Times New Roman" w:hAnsi="Times New Roman" w:cs="Times New Roman"/>
          <w:sz w:val="24"/>
          <w:szCs w:val="24"/>
          <w:lang w:val="en-GB"/>
        </w:rPr>
        <w:t xml:space="preserve"> EPIC array</w:t>
      </w:r>
      <w:r w:rsidR="00AB6294" w:rsidRPr="005A28F5">
        <w:rPr>
          <w:rFonts w:ascii="Times New Roman" w:hAnsi="Times New Roman" w:cs="Times New Roman"/>
          <w:sz w:val="24"/>
          <w:szCs w:val="24"/>
          <w:lang w:val="en-GB"/>
        </w:rPr>
        <w:t>.</w:t>
      </w:r>
    </w:p>
    <w:p w14:paraId="7B9C4FA8" w14:textId="13C11BF8" w:rsidR="00E01BB2" w:rsidRPr="005A28F5" w:rsidRDefault="00E01BB2" w:rsidP="001A64D3">
      <w:pPr>
        <w:pStyle w:val="BodyA"/>
        <w:spacing w:line="360" w:lineRule="auto"/>
        <w:outlineLvl w:val="0"/>
        <w:rPr>
          <w:rFonts w:ascii="Times New Roman" w:eastAsia="Cambria" w:hAnsi="Times New Roman" w:cs="Times New Roman"/>
          <w:sz w:val="24"/>
          <w:szCs w:val="24"/>
          <w:lang w:val="en-GB"/>
        </w:rPr>
      </w:pPr>
    </w:p>
    <w:p w14:paraId="1438BAF5" w14:textId="2CA6495D" w:rsidR="00215DF0" w:rsidRPr="005A28F5" w:rsidRDefault="007B06D2" w:rsidP="001A64D3">
      <w:pPr>
        <w:pStyle w:val="BodyA"/>
        <w:spacing w:line="360" w:lineRule="auto"/>
        <w:outlineLvl w:val="0"/>
        <w:rPr>
          <w:rFonts w:ascii="Times New Roman" w:eastAsia="Cambria" w:hAnsi="Times New Roman" w:cs="Times New Roman"/>
          <w:color w:val="FF644E"/>
          <w:sz w:val="24"/>
          <w:szCs w:val="24"/>
          <w:u w:color="FF644E"/>
          <w:lang w:val="en-GB"/>
        </w:rPr>
      </w:pPr>
      <w:r w:rsidRPr="005A28F5">
        <w:rPr>
          <w:rFonts w:ascii="Times New Roman" w:hAnsi="Times New Roman" w:cs="Times New Roman"/>
          <w:sz w:val="24"/>
          <w:szCs w:val="24"/>
          <w:lang w:val="en-GB"/>
        </w:rPr>
        <w:lastRenderedPageBreak/>
        <w:t>We</w:t>
      </w:r>
      <w:r w:rsidR="0089667A" w:rsidRPr="005A28F5">
        <w:rPr>
          <w:rFonts w:ascii="Times New Roman" w:hAnsi="Times New Roman" w:cs="Times New Roman"/>
          <w:sz w:val="24"/>
          <w:szCs w:val="24"/>
          <w:lang w:val="en-GB"/>
        </w:rPr>
        <w:t xml:space="preserve"> next</w:t>
      </w:r>
      <w:r w:rsidRPr="005A28F5">
        <w:rPr>
          <w:rFonts w:ascii="Times New Roman" w:hAnsi="Times New Roman" w:cs="Times New Roman"/>
          <w:sz w:val="24"/>
          <w:szCs w:val="24"/>
          <w:lang w:val="en-GB"/>
        </w:rPr>
        <w:t xml:space="preserve"> </w:t>
      </w:r>
      <w:r w:rsidR="00A10502" w:rsidRPr="005A28F5">
        <w:rPr>
          <w:rFonts w:ascii="Times New Roman" w:hAnsi="Times New Roman" w:cs="Times New Roman"/>
          <w:sz w:val="24"/>
          <w:szCs w:val="24"/>
          <w:lang w:val="en-GB"/>
        </w:rPr>
        <w:t>investigated whether the top hits</w:t>
      </w:r>
      <w:r w:rsidR="00BC3B0C" w:rsidRPr="005A28F5">
        <w:rPr>
          <w:rFonts w:ascii="Times New Roman" w:hAnsi="Times New Roman" w:cs="Times New Roman"/>
          <w:sz w:val="24"/>
          <w:szCs w:val="24"/>
          <w:u w:color="FF644E"/>
          <w:lang w:val="en-GB"/>
        </w:rPr>
        <w:t xml:space="preserve"> from the </w:t>
      </w:r>
      <w:r w:rsidR="00BC3B0C" w:rsidRPr="005A28F5">
        <w:rPr>
          <w:rFonts w:ascii="Times New Roman" w:hAnsi="Times New Roman" w:cs="Times New Roman"/>
          <w:sz w:val="24"/>
          <w:szCs w:val="24"/>
          <w:lang w:val="en-GB"/>
        </w:rPr>
        <w:t xml:space="preserve">Gambian </w:t>
      </w:r>
      <w:r w:rsidR="00C5366E" w:rsidRPr="005A28F5">
        <w:rPr>
          <w:rFonts w:ascii="Times New Roman" w:hAnsi="Times New Roman" w:cs="Times New Roman"/>
          <w:sz w:val="24"/>
          <w:szCs w:val="24"/>
          <w:u w:color="FF644E"/>
          <w:lang w:val="en-GB"/>
        </w:rPr>
        <w:t>EWAS</w:t>
      </w:r>
      <w:r w:rsidR="0089667A" w:rsidRPr="005A28F5">
        <w:rPr>
          <w:rFonts w:ascii="Times New Roman" w:hAnsi="Times New Roman" w:cs="Times New Roman"/>
          <w:sz w:val="24"/>
          <w:szCs w:val="24"/>
          <w:u w:color="FF644E"/>
          <w:lang w:val="en-GB"/>
        </w:rPr>
        <w:t xml:space="preserve"> i</w:t>
      </w:r>
      <w:r w:rsidR="00BC3B0C" w:rsidRPr="005A28F5">
        <w:rPr>
          <w:rFonts w:ascii="Times New Roman" w:hAnsi="Times New Roman" w:cs="Times New Roman"/>
          <w:sz w:val="24"/>
          <w:szCs w:val="24"/>
          <w:u w:color="FF644E"/>
          <w:lang w:val="en-GB"/>
        </w:rPr>
        <w:t xml:space="preserve">ncluding DMPs at FDR </w:t>
      </w:r>
      <w:r w:rsidR="00833FCF" w:rsidRPr="005A28F5">
        <w:rPr>
          <w:rFonts w:ascii="Times New Roman" w:hAnsi="Times New Roman" w:cs="Times New Roman"/>
          <w:sz w:val="24"/>
          <w:szCs w:val="24"/>
          <w:u w:color="FF644E"/>
          <w:lang w:val="en-GB"/>
        </w:rPr>
        <w:t xml:space="preserve">&lt; </w:t>
      </w:r>
      <w:r w:rsidR="00BC3B0C" w:rsidRPr="005A28F5">
        <w:rPr>
          <w:rFonts w:ascii="Times New Roman" w:hAnsi="Times New Roman" w:cs="Times New Roman"/>
          <w:sz w:val="24"/>
          <w:szCs w:val="24"/>
          <w:u w:color="FF644E"/>
          <w:lang w:val="en-GB"/>
        </w:rPr>
        <w:t>5%</w:t>
      </w:r>
      <w:r w:rsidR="00F64F1D" w:rsidRPr="005A28F5">
        <w:rPr>
          <w:rFonts w:ascii="Times New Roman" w:hAnsi="Times New Roman" w:cs="Times New Roman"/>
          <w:sz w:val="24"/>
          <w:szCs w:val="24"/>
          <w:u w:color="FF644E"/>
          <w:lang w:val="en-GB"/>
        </w:rPr>
        <w:t xml:space="preserve"> </w:t>
      </w:r>
      <w:r w:rsidR="00BC3B0C" w:rsidRPr="005A28F5">
        <w:rPr>
          <w:rFonts w:ascii="Times New Roman" w:hAnsi="Times New Roman" w:cs="Times New Roman"/>
          <w:sz w:val="24"/>
          <w:szCs w:val="24"/>
          <w:u w:color="FF644E"/>
          <w:lang w:val="en-GB"/>
        </w:rPr>
        <w:t xml:space="preserve">and those in DMRs </w:t>
      </w:r>
      <w:r w:rsidR="005B5FB3" w:rsidRPr="005A28F5">
        <w:rPr>
          <w:rFonts w:ascii="Times New Roman" w:hAnsi="Times New Roman" w:cs="Times New Roman"/>
          <w:sz w:val="24"/>
          <w:szCs w:val="24"/>
          <w:u w:color="FF644E"/>
          <w:lang w:val="en-GB"/>
        </w:rPr>
        <w:t xml:space="preserve">passing the regional </w:t>
      </w:r>
      <w:r w:rsidR="009562D0" w:rsidRPr="005A28F5">
        <w:rPr>
          <w:rFonts w:ascii="Times New Roman" w:hAnsi="Times New Roman" w:cs="Times New Roman"/>
          <w:sz w:val="24"/>
          <w:szCs w:val="24"/>
          <w:u w:color="FF644E"/>
          <w:lang w:val="en-GB"/>
        </w:rPr>
        <w:t>5%</w:t>
      </w:r>
      <w:r w:rsidR="00AD2461" w:rsidRPr="005A28F5">
        <w:rPr>
          <w:rFonts w:ascii="Times New Roman" w:hAnsi="Times New Roman" w:cs="Times New Roman"/>
          <w:sz w:val="24"/>
          <w:szCs w:val="24"/>
          <w:u w:color="FF644E"/>
          <w:lang w:val="en-GB"/>
        </w:rPr>
        <w:t xml:space="preserve"> FDR</w:t>
      </w:r>
      <w:r w:rsidR="009562D0" w:rsidRPr="005A28F5">
        <w:rPr>
          <w:rFonts w:ascii="Times New Roman" w:hAnsi="Times New Roman" w:cs="Times New Roman"/>
          <w:sz w:val="24"/>
          <w:szCs w:val="24"/>
          <w:u w:color="FF644E"/>
          <w:lang w:val="en-GB"/>
        </w:rPr>
        <w:t xml:space="preserve"> </w:t>
      </w:r>
      <w:r w:rsidR="005B5FB3" w:rsidRPr="005A28F5">
        <w:rPr>
          <w:rFonts w:ascii="Times New Roman" w:hAnsi="Times New Roman" w:cs="Times New Roman"/>
          <w:sz w:val="24"/>
          <w:szCs w:val="24"/>
          <w:u w:color="FF644E"/>
          <w:lang w:val="en-GB"/>
        </w:rPr>
        <w:t>threshold</w:t>
      </w:r>
      <w:r w:rsidR="00C5366E" w:rsidRPr="005A28F5">
        <w:rPr>
          <w:rFonts w:ascii="Times New Roman" w:hAnsi="Times New Roman" w:cs="Times New Roman"/>
          <w:sz w:val="24"/>
          <w:szCs w:val="24"/>
          <w:u w:color="FF644E"/>
          <w:lang w:val="en-GB"/>
        </w:rPr>
        <w:t xml:space="preserve"> (</w:t>
      </w:r>
      <w:r w:rsidR="00BC3B0C" w:rsidRPr="005A28F5">
        <w:rPr>
          <w:rFonts w:ascii="Times New Roman" w:hAnsi="Times New Roman" w:cs="Times New Roman"/>
          <w:sz w:val="24"/>
          <w:szCs w:val="24"/>
          <w:u w:color="FF644E"/>
          <w:lang w:val="en-GB"/>
        </w:rPr>
        <w:t>as listed in Table 2)</w:t>
      </w:r>
      <w:r w:rsidR="009F1508" w:rsidRPr="005A28F5">
        <w:rPr>
          <w:rFonts w:ascii="Times New Roman" w:hAnsi="Times New Roman" w:cs="Times New Roman"/>
          <w:sz w:val="24"/>
          <w:szCs w:val="24"/>
          <w:u w:color="FF644E"/>
          <w:lang w:val="en-GB"/>
        </w:rPr>
        <w:t>,</w:t>
      </w:r>
      <w:r w:rsidR="009F1508" w:rsidRPr="005A28F5">
        <w:rPr>
          <w:rFonts w:ascii="Times New Roman" w:hAnsi="Times New Roman" w:cs="Times New Roman"/>
          <w:color w:val="FF644E"/>
          <w:sz w:val="24"/>
          <w:szCs w:val="24"/>
          <w:u w:color="FF644E"/>
          <w:lang w:val="en-GB"/>
        </w:rPr>
        <w:t xml:space="preserve"> </w:t>
      </w:r>
      <w:r w:rsidR="0089667A" w:rsidRPr="005A28F5">
        <w:rPr>
          <w:rFonts w:ascii="Times New Roman" w:hAnsi="Times New Roman" w:cs="Times New Roman"/>
          <w:color w:val="000000" w:themeColor="text1"/>
          <w:sz w:val="24"/>
          <w:szCs w:val="24"/>
          <w:u w:color="FF644E"/>
          <w:lang w:val="en-GB"/>
        </w:rPr>
        <w:t xml:space="preserve">showed evidence for replication in the </w:t>
      </w:r>
      <w:r w:rsidR="00BC3B0C" w:rsidRPr="005A28F5">
        <w:rPr>
          <w:rFonts w:ascii="Times New Roman" w:hAnsi="Times New Roman" w:cs="Times New Roman"/>
          <w:sz w:val="24"/>
          <w:szCs w:val="24"/>
          <w:lang w:val="en-GB"/>
        </w:rPr>
        <w:t xml:space="preserve">Indian EWAS results.  None of the Gambian intervention-associated </w:t>
      </w:r>
      <w:r w:rsidR="00B12EF9" w:rsidRPr="005A28F5">
        <w:rPr>
          <w:rFonts w:ascii="Times New Roman" w:hAnsi="Times New Roman" w:cs="Times New Roman"/>
          <w:sz w:val="24"/>
          <w:szCs w:val="24"/>
          <w:lang w:val="en-GB"/>
        </w:rPr>
        <w:t>CpG</w:t>
      </w:r>
      <w:r w:rsidR="00BC3B0C" w:rsidRPr="005A28F5">
        <w:rPr>
          <w:rFonts w:ascii="Times New Roman" w:hAnsi="Times New Roman" w:cs="Times New Roman"/>
          <w:sz w:val="24"/>
          <w:szCs w:val="24"/>
          <w:lang w:val="en-GB"/>
        </w:rPr>
        <w:t>s appeared as top ranking hits in the Indian EWAS (</w:t>
      </w:r>
      <w:r w:rsidR="00C10299">
        <w:rPr>
          <w:rFonts w:ascii="Times New Roman" w:hAnsi="Times New Roman" w:cs="Times New Roman"/>
          <w:sz w:val="24"/>
          <w:szCs w:val="24"/>
          <w:lang w:val="en-GB"/>
        </w:rPr>
        <w:t>Supplemental</w:t>
      </w:r>
      <w:r w:rsidR="00BC3B0C" w:rsidRPr="005A28F5">
        <w:rPr>
          <w:rFonts w:ascii="Times New Roman" w:hAnsi="Times New Roman" w:cs="Times New Roman"/>
          <w:sz w:val="24"/>
          <w:szCs w:val="24"/>
          <w:lang w:val="en-GB"/>
        </w:rPr>
        <w:t xml:space="preserve"> Table </w:t>
      </w:r>
      <w:r w:rsidR="00567404">
        <w:rPr>
          <w:rFonts w:ascii="Times New Roman" w:hAnsi="Times New Roman" w:cs="Times New Roman"/>
          <w:sz w:val="24"/>
          <w:szCs w:val="24"/>
          <w:lang w:val="en-GB"/>
        </w:rPr>
        <w:t>4</w:t>
      </w:r>
      <w:r w:rsidR="00BC3B0C" w:rsidRPr="005A28F5">
        <w:rPr>
          <w:rFonts w:ascii="Times New Roman" w:hAnsi="Times New Roman" w:cs="Times New Roman"/>
          <w:sz w:val="24"/>
          <w:szCs w:val="24"/>
          <w:lang w:val="en-GB"/>
        </w:rPr>
        <w:t xml:space="preserve">). Two </w:t>
      </w:r>
      <w:r w:rsidR="00B12EF9" w:rsidRPr="005A28F5">
        <w:rPr>
          <w:rFonts w:ascii="Times New Roman" w:hAnsi="Times New Roman" w:cs="Times New Roman"/>
          <w:sz w:val="24"/>
          <w:szCs w:val="24"/>
          <w:lang w:val="en-GB"/>
        </w:rPr>
        <w:t>CpG</w:t>
      </w:r>
      <w:r w:rsidR="00BC3B0C" w:rsidRPr="005A28F5">
        <w:rPr>
          <w:rFonts w:ascii="Times New Roman" w:hAnsi="Times New Roman" w:cs="Times New Roman"/>
          <w:sz w:val="24"/>
          <w:szCs w:val="24"/>
          <w:lang w:val="en-GB"/>
        </w:rPr>
        <w:t xml:space="preserve">s mapping to </w:t>
      </w:r>
      <w:r w:rsidR="00BC3B0C" w:rsidRPr="005A28F5">
        <w:rPr>
          <w:rFonts w:ascii="Times New Roman" w:hAnsi="Times New Roman" w:cs="Times New Roman"/>
          <w:i/>
          <w:sz w:val="24"/>
          <w:szCs w:val="24"/>
          <w:lang w:val="en-GB"/>
        </w:rPr>
        <w:t>LZTS</w:t>
      </w:r>
      <w:proofErr w:type="gramStart"/>
      <w:r w:rsidR="00BC3B0C" w:rsidRPr="005A28F5">
        <w:rPr>
          <w:rFonts w:ascii="Times New Roman" w:hAnsi="Times New Roman" w:cs="Times New Roman"/>
          <w:i/>
          <w:sz w:val="24"/>
          <w:szCs w:val="24"/>
          <w:lang w:val="en-GB"/>
        </w:rPr>
        <w:t>1</w:t>
      </w:r>
      <w:r w:rsidR="00BC3B0C" w:rsidRPr="005A28F5">
        <w:rPr>
          <w:rFonts w:ascii="Times New Roman" w:hAnsi="Times New Roman" w:cs="Times New Roman"/>
          <w:sz w:val="24"/>
          <w:szCs w:val="24"/>
          <w:lang w:val="en-GB"/>
        </w:rPr>
        <w:t xml:space="preserve"> :</w:t>
      </w:r>
      <w:proofErr w:type="gramEnd"/>
      <w:r w:rsidR="00BC3B0C" w:rsidRPr="005A28F5">
        <w:rPr>
          <w:rFonts w:ascii="Times New Roman" w:hAnsi="Times New Roman" w:cs="Times New Roman"/>
          <w:sz w:val="24"/>
          <w:szCs w:val="24"/>
          <w:lang w:val="en-GB"/>
        </w:rPr>
        <w:t xml:space="preserve"> cg27655507 and cg15631458, were highly ranked (&gt; 98</w:t>
      </w:r>
      <w:r w:rsidR="00BC3B0C" w:rsidRPr="005A28F5">
        <w:rPr>
          <w:rFonts w:ascii="Times New Roman" w:hAnsi="Times New Roman" w:cs="Times New Roman"/>
          <w:sz w:val="24"/>
          <w:szCs w:val="24"/>
          <w:vertAlign w:val="superscript"/>
          <w:lang w:val="en-GB"/>
        </w:rPr>
        <w:t>th</w:t>
      </w:r>
      <w:r w:rsidR="00BC3B0C" w:rsidRPr="005A28F5">
        <w:rPr>
          <w:rFonts w:ascii="Times New Roman" w:hAnsi="Times New Roman" w:cs="Times New Roman"/>
          <w:sz w:val="24"/>
          <w:szCs w:val="24"/>
          <w:lang w:val="en-GB"/>
        </w:rPr>
        <w:t xml:space="preserve"> rank percentile) </w:t>
      </w:r>
      <w:r w:rsidR="00525CC1" w:rsidRPr="005A28F5">
        <w:rPr>
          <w:rFonts w:ascii="Times New Roman" w:hAnsi="Times New Roman" w:cs="Times New Roman"/>
          <w:sz w:val="24"/>
          <w:szCs w:val="24"/>
          <w:lang w:val="en-GB"/>
        </w:rPr>
        <w:t>with 3 out of 4 CpGs making up the identified DMR showing</w:t>
      </w:r>
      <w:r w:rsidR="00BC3B0C" w:rsidRPr="005A28F5">
        <w:rPr>
          <w:rFonts w:ascii="Times New Roman" w:hAnsi="Times New Roman" w:cs="Times New Roman"/>
          <w:sz w:val="24"/>
          <w:szCs w:val="24"/>
          <w:lang w:val="en-GB"/>
        </w:rPr>
        <w:t xml:space="preserve"> some consistency of effect direction between the cohorts. However, the methylation differences were small (&lt;</w:t>
      </w:r>
      <w:r w:rsidR="002317BD" w:rsidRPr="005A28F5">
        <w:rPr>
          <w:rFonts w:ascii="Times New Roman" w:hAnsi="Times New Roman" w:cs="Times New Roman"/>
          <w:sz w:val="24"/>
          <w:szCs w:val="24"/>
          <w:lang w:val="en-GB"/>
        </w:rPr>
        <w:t xml:space="preserve"> </w:t>
      </w:r>
      <w:r w:rsidR="00BC3B0C" w:rsidRPr="005A28F5">
        <w:rPr>
          <w:rFonts w:ascii="Times New Roman" w:hAnsi="Times New Roman" w:cs="Times New Roman"/>
          <w:sz w:val="24"/>
          <w:szCs w:val="24"/>
          <w:lang w:val="en-GB"/>
        </w:rPr>
        <w:t xml:space="preserve">1%) and these were not </w:t>
      </w:r>
      <w:r w:rsidR="00F93439" w:rsidRPr="005A28F5">
        <w:rPr>
          <w:rFonts w:ascii="Times New Roman" w:hAnsi="Times New Roman" w:cs="Times New Roman"/>
          <w:sz w:val="24"/>
          <w:szCs w:val="24"/>
          <w:lang w:val="en-GB"/>
        </w:rPr>
        <w:t>significant at FDR 5%</w:t>
      </w:r>
      <w:r w:rsidR="00BC3B0C" w:rsidRPr="005A28F5">
        <w:rPr>
          <w:rFonts w:ascii="Times New Roman" w:hAnsi="Times New Roman" w:cs="Times New Roman"/>
          <w:sz w:val="24"/>
          <w:szCs w:val="24"/>
          <w:lang w:val="en-GB"/>
        </w:rPr>
        <w:t>, in keeping with the overall patterns observed in the Indian cohort.</w:t>
      </w:r>
      <w:r w:rsidR="00072424" w:rsidRPr="005A28F5">
        <w:rPr>
          <w:rFonts w:ascii="Times New Roman" w:hAnsi="Times New Roman" w:cs="Times New Roman"/>
          <w:sz w:val="24"/>
          <w:szCs w:val="24"/>
          <w:lang w:val="en-GB"/>
        </w:rPr>
        <w:t xml:space="preserve"> </w:t>
      </w:r>
      <w:r w:rsidR="00021AB7" w:rsidRPr="005A28F5">
        <w:rPr>
          <w:rFonts w:ascii="Times New Roman" w:hAnsi="Times New Roman" w:cs="Times New Roman"/>
          <w:sz w:val="24"/>
          <w:szCs w:val="24"/>
          <w:lang w:val="en-GB"/>
        </w:rPr>
        <w:t xml:space="preserve">Extended DMP and DMR results are available in </w:t>
      </w:r>
      <w:r w:rsidR="00C10299">
        <w:rPr>
          <w:rFonts w:ascii="Times New Roman" w:hAnsi="Times New Roman" w:cs="Times New Roman"/>
          <w:sz w:val="24"/>
          <w:szCs w:val="24"/>
          <w:lang w:val="en-GB"/>
        </w:rPr>
        <w:t>Supplemental</w:t>
      </w:r>
      <w:r w:rsidR="00021AB7" w:rsidRPr="005A28F5">
        <w:rPr>
          <w:rFonts w:ascii="Times New Roman" w:hAnsi="Times New Roman" w:cs="Times New Roman"/>
          <w:sz w:val="24"/>
          <w:szCs w:val="24"/>
          <w:lang w:val="en-GB"/>
        </w:rPr>
        <w:t xml:space="preserve"> </w:t>
      </w:r>
      <w:r w:rsidR="00135683">
        <w:rPr>
          <w:rFonts w:ascii="Times New Roman" w:hAnsi="Times New Roman" w:cs="Times New Roman"/>
          <w:sz w:val="24"/>
          <w:szCs w:val="24"/>
          <w:lang w:val="en-GB"/>
        </w:rPr>
        <w:t>Extended Results</w:t>
      </w:r>
      <w:r w:rsidR="00021AB7" w:rsidRPr="005A28F5">
        <w:rPr>
          <w:rFonts w:ascii="Times New Roman" w:hAnsi="Times New Roman" w:cs="Times New Roman"/>
          <w:sz w:val="24"/>
          <w:szCs w:val="24"/>
          <w:lang w:val="en-GB"/>
        </w:rPr>
        <w:t>.</w:t>
      </w:r>
    </w:p>
    <w:p w14:paraId="715C1B46" w14:textId="77777777" w:rsidR="00616A21" w:rsidRPr="005A28F5" w:rsidRDefault="00616A21" w:rsidP="001A64D3">
      <w:pPr>
        <w:pStyle w:val="BodyA"/>
        <w:spacing w:line="360" w:lineRule="auto"/>
        <w:outlineLvl w:val="0"/>
        <w:rPr>
          <w:rFonts w:ascii="Times New Roman" w:eastAsia="Cambria" w:hAnsi="Times New Roman" w:cs="Times New Roman"/>
          <w:color w:val="FF644E"/>
          <w:sz w:val="24"/>
          <w:szCs w:val="24"/>
          <w:u w:color="FF644E"/>
          <w:lang w:val="en-GB"/>
        </w:rPr>
      </w:pPr>
    </w:p>
    <w:p w14:paraId="147565B8" w14:textId="02DA854E" w:rsidR="00E01BB2" w:rsidRPr="003F29C8" w:rsidRDefault="00BC3B0C" w:rsidP="001A64D3">
      <w:pPr>
        <w:pStyle w:val="BodyA"/>
        <w:spacing w:line="360" w:lineRule="auto"/>
        <w:outlineLvl w:val="0"/>
        <w:rPr>
          <w:rFonts w:ascii="Times New Roman" w:eastAsia="Cambria" w:hAnsi="Times New Roman" w:cs="Times New Roman"/>
          <w:sz w:val="28"/>
          <w:szCs w:val="28"/>
          <w:lang w:val="en-GB"/>
        </w:rPr>
      </w:pPr>
      <w:r w:rsidRPr="003F29C8">
        <w:rPr>
          <w:rFonts w:ascii="Times New Roman" w:hAnsi="Times New Roman" w:cs="Times New Roman"/>
          <w:sz w:val="28"/>
          <w:szCs w:val="28"/>
          <w:lang w:val="en-GB"/>
        </w:rPr>
        <w:t>DNA methylation at candidate loci</w:t>
      </w:r>
    </w:p>
    <w:p w14:paraId="76CBF166" w14:textId="133E1EE2" w:rsidR="00E01BB2" w:rsidRPr="005A28F5" w:rsidRDefault="00E11FE3" w:rsidP="001A64D3">
      <w:pPr>
        <w:pStyle w:val="BodyA"/>
        <w:spacing w:line="360" w:lineRule="auto"/>
        <w:outlineLvl w:val="0"/>
        <w:rPr>
          <w:rFonts w:ascii="Times New Roman" w:hAnsi="Times New Roman" w:cs="Times New Roman"/>
          <w:sz w:val="24"/>
          <w:szCs w:val="24"/>
          <w:shd w:val="clear" w:color="auto" w:fill="FFFFFF"/>
          <w:lang w:val="en-GB"/>
        </w:rPr>
      </w:pPr>
      <w:r w:rsidRPr="005A28F5">
        <w:rPr>
          <w:rFonts w:ascii="Times New Roman" w:hAnsi="Times New Roman" w:cs="Times New Roman"/>
          <w:sz w:val="24"/>
          <w:szCs w:val="24"/>
          <w:shd w:val="clear" w:color="auto" w:fill="FFFFFF"/>
          <w:lang w:val="en-GB"/>
        </w:rPr>
        <w:t>DNAm</w:t>
      </w:r>
      <w:r w:rsidR="00BC3B0C" w:rsidRPr="005A28F5">
        <w:rPr>
          <w:rFonts w:ascii="Times New Roman" w:hAnsi="Times New Roman" w:cs="Times New Roman"/>
          <w:sz w:val="24"/>
          <w:szCs w:val="24"/>
          <w:shd w:val="clear" w:color="auto" w:fill="FFFFFF"/>
          <w:lang w:val="en-GB"/>
        </w:rPr>
        <w:t xml:space="preserve"> </w:t>
      </w:r>
      <w:r w:rsidR="002F3FDF" w:rsidRPr="005A28F5">
        <w:rPr>
          <w:rFonts w:ascii="Times New Roman" w:hAnsi="Times New Roman" w:cs="Times New Roman"/>
          <w:sz w:val="24"/>
          <w:szCs w:val="24"/>
          <w:shd w:val="clear" w:color="auto" w:fill="FFFFFF"/>
          <w:lang w:val="en-GB"/>
        </w:rPr>
        <w:t xml:space="preserve">differences </w:t>
      </w:r>
      <w:r w:rsidR="00BC3B0C" w:rsidRPr="005A28F5">
        <w:rPr>
          <w:rFonts w:ascii="Times New Roman" w:hAnsi="Times New Roman" w:cs="Times New Roman"/>
          <w:sz w:val="24"/>
          <w:szCs w:val="24"/>
          <w:shd w:val="clear" w:color="auto" w:fill="FFFFFF"/>
          <w:lang w:val="en-GB"/>
        </w:rPr>
        <w:t>w</w:t>
      </w:r>
      <w:r w:rsidR="002F3FDF" w:rsidRPr="005A28F5">
        <w:rPr>
          <w:rFonts w:ascii="Times New Roman" w:hAnsi="Times New Roman" w:cs="Times New Roman"/>
          <w:sz w:val="24"/>
          <w:szCs w:val="24"/>
          <w:shd w:val="clear" w:color="auto" w:fill="FFFFFF"/>
          <w:lang w:val="en-GB"/>
        </w:rPr>
        <w:t>ere</w:t>
      </w:r>
      <w:r w:rsidR="00BC3B0C" w:rsidRPr="005A28F5">
        <w:rPr>
          <w:rFonts w:ascii="Times New Roman" w:hAnsi="Times New Roman" w:cs="Times New Roman"/>
          <w:sz w:val="24"/>
          <w:szCs w:val="24"/>
          <w:shd w:val="clear" w:color="auto" w:fill="FFFFFF"/>
          <w:lang w:val="en-GB"/>
        </w:rPr>
        <w:t xml:space="preserve"> assessed </w:t>
      </w:r>
      <w:r w:rsidR="0089667A" w:rsidRPr="005A28F5">
        <w:rPr>
          <w:rFonts w:ascii="Times New Roman" w:hAnsi="Times New Roman" w:cs="Times New Roman"/>
          <w:sz w:val="24"/>
          <w:szCs w:val="24"/>
          <w:shd w:val="clear" w:color="auto" w:fill="FFFFFF"/>
          <w:lang w:val="en-GB"/>
        </w:rPr>
        <w:t>at</w:t>
      </w:r>
      <w:r w:rsidR="00BC3B0C" w:rsidRPr="005A28F5">
        <w:rPr>
          <w:rFonts w:ascii="Times New Roman" w:hAnsi="Times New Roman" w:cs="Times New Roman"/>
          <w:sz w:val="24"/>
          <w:szCs w:val="24"/>
          <w:shd w:val="clear" w:color="auto" w:fill="FFFFFF"/>
          <w:lang w:val="en-GB"/>
        </w:rPr>
        <w:t xml:space="preserve"> </w:t>
      </w:r>
      <w:r w:rsidR="00D96C5A" w:rsidRPr="005A28F5">
        <w:rPr>
          <w:rFonts w:ascii="Times New Roman" w:hAnsi="Times New Roman" w:cs="Times New Roman"/>
          <w:sz w:val="24"/>
          <w:szCs w:val="24"/>
          <w:shd w:val="clear" w:color="auto" w:fill="FFFFFF"/>
          <w:lang w:val="en-GB"/>
        </w:rPr>
        <w:t xml:space="preserve">10 </w:t>
      </w:r>
      <w:r w:rsidR="00BC3B0C" w:rsidRPr="005A28F5">
        <w:rPr>
          <w:rFonts w:ascii="Times New Roman" w:hAnsi="Times New Roman" w:cs="Times New Roman"/>
          <w:sz w:val="24"/>
          <w:szCs w:val="24"/>
          <w:shd w:val="clear" w:color="auto" w:fill="FFFFFF"/>
          <w:lang w:val="en-GB"/>
        </w:rPr>
        <w:t xml:space="preserve">candidate loci </w:t>
      </w:r>
      <w:r w:rsidR="005B4710" w:rsidRPr="005A28F5">
        <w:rPr>
          <w:rFonts w:ascii="Times New Roman" w:hAnsi="Times New Roman" w:cs="Times New Roman"/>
          <w:sz w:val="24"/>
          <w:szCs w:val="24"/>
          <w:shd w:val="clear" w:color="auto" w:fill="FFFFFF"/>
          <w:lang w:val="en-GB"/>
        </w:rPr>
        <w:t xml:space="preserve">mapping to </w:t>
      </w:r>
      <w:r w:rsidR="00D96C5A" w:rsidRPr="005A28F5">
        <w:rPr>
          <w:rFonts w:ascii="Times New Roman" w:hAnsi="Times New Roman" w:cs="Times New Roman"/>
          <w:sz w:val="24"/>
          <w:szCs w:val="24"/>
          <w:shd w:val="clear" w:color="auto" w:fill="FFFFFF"/>
          <w:lang w:val="en-GB"/>
        </w:rPr>
        <w:t xml:space="preserve">8 </w:t>
      </w:r>
      <w:r w:rsidR="00BC3B0C" w:rsidRPr="005A28F5">
        <w:rPr>
          <w:rFonts w:ascii="Times New Roman" w:hAnsi="Times New Roman" w:cs="Times New Roman"/>
          <w:sz w:val="24"/>
          <w:szCs w:val="24"/>
          <w:shd w:val="clear" w:color="auto" w:fill="FFFFFF"/>
          <w:lang w:val="en-GB"/>
        </w:rPr>
        <w:t xml:space="preserve">genes with </w:t>
      </w:r>
      <w:r w:rsidR="00BC3B0C" w:rsidRPr="005A28F5">
        <w:rPr>
          <w:rFonts w:ascii="Times New Roman" w:hAnsi="Times New Roman" w:cs="Times New Roman"/>
          <w:sz w:val="24"/>
          <w:szCs w:val="24"/>
          <w:u w:color="0432FF"/>
          <w:lang w:val="en-GB"/>
        </w:rPr>
        <w:t xml:space="preserve">prior evidence </w:t>
      </w:r>
      <w:r w:rsidR="00BA0FA9" w:rsidRPr="005A28F5">
        <w:rPr>
          <w:rFonts w:ascii="Times New Roman" w:hAnsi="Times New Roman" w:cs="Times New Roman"/>
          <w:sz w:val="24"/>
          <w:szCs w:val="24"/>
          <w:u w:color="0432FF"/>
          <w:lang w:val="en-GB"/>
        </w:rPr>
        <w:t>for sensitivity to</w:t>
      </w:r>
      <w:r w:rsidR="0067137D" w:rsidRPr="005A28F5">
        <w:rPr>
          <w:rFonts w:ascii="Times New Roman" w:hAnsi="Times New Roman" w:cs="Times New Roman"/>
          <w:sz w:val="24"/>
          <w:szCs w:val="24"/>
          <w:u w:color="0432FF"/>
          <w:lang w:val="en-GB"/>
        </w:rPr>
        <w:t xml:space="preserve"> maternal</w:t>
      </w:r>
      <w:r w:rsidR="00BA0FA9" w:rsidRPr="005A28F5">
        <w:rPr>
          <w:rFonts w:ascii="Times New Roman" w:hAnsi="Times New Roman" w:cs="Times New Roman"/>
          <w:sz w:val="24"/>
          <w:szCs w:val="24"/>
          <w:u w:color="0432FF"/>
          <w:lang w:val="en-GB"/>
        </w:rPr>
        <w:t xml:space="preserve"> </w:t>
      </w:r>
      <w:r w:rsidR="00BC3B0C" w:rsidRPr="005A28F5">
        <w:rPr>
          <w:rFonts w:ascii="Times New Roman" w:hAnsi="Times New Roman" w:cs="Times New Roman"/>
          <w:sz w:val="24"/>
          <w:szCs w:val="24"/>
          <w:u w:color="0432FF"/>
          <w:lang w:val="en-GB"/>
        </w:rPr>
        <w:t>nutrition</w:t>
      </w:r>
      <w:r w:rsidR="0067137D" w:rsidRPr="005A28F5">
        <w:rPr>
          <w:rFonts w:ascii="Times New Roman" w:hAnsi="Times New Roman" w:cs="Times New Roman"/>
          <w:sz w:val="24"/>
          <w:szCs w:val="24"/>
          <w:u w:color="0432FF"/>
          <w:lang w:val="en-GB"/>
        </w:rPr>
        <w:t xml:space="preserve"> during periconception or in gestation</w:t>
      </w:r>
      <w:r w:rsidR="0089667A" w:rsidRPr="005A28F5">
        <w:rPr>
          <w:rFonts w:ascii="Times New Roman" w:hAnsi="Times New Roman" w:cs="Times New Roman"/>
          <w:sz w:val="24"/>
          <w:szCs w:val="24"/>
          <w:u w:color="0432FF"/>
          <w:lang w:val="en-GB"/>
        </w:rPr>
        <w:t xml:space="preserve">, </w:t>
      </w:r>
      <w:r w:rsidR="00BC3B0C" w:rsidRPr="005A28F5">
        <w:rPr>
          <w:rFonts w:ascii="Times New Roman" w:hAnsi="Times New Roman" w:cs="Times New Roman"/>
          <w:sz w:val="24"/>
          <w:szCs w:val="24"/>
          <w:u w:color="0432FF"/>
          <w:lang w:val="en-GB"/>
        </w:rPr>
        <w:t xml:space="preserve">and/or </w:t>
      </w:r>
      <w:r w:rsidR="00E175ED" w:rsidRPr="005A28F5">
        <w:rPr>
          <w:rFonts w:ascii="Times New Roman" w:hAnsi="Times New Roman" w:cs="Times New Roman"/>
          <w:sz w:val="24"/>
          <w:szCs w:val="24"/>
          <w:u w:color="0432FF"/>
          <w:lang w:val="en-GB"/>
        </w:rPr>
        <w:t xml:space="preserve">association with </w:t>
      </w:r>
      <w:r w:rsidR="0067137D" w:rsidRPr="005A28F5">
        <w:rPr>
          <w:rFonts w:ascii="Times New Roman" w:hAnsi="Times New Roman" w:cs="Times New Roman"/>
          <w:sz w:val="24"/>
          <w:szCs w:val="24"/>
          <w:u w:color="0432FF"/>
          <w:lang w:val="en-GB"/>
        </w:rPr>
        <w:t xml:space="preserve">relevant </w:t>
      </w:r>
      <w:r w:rsidR="00BC3B0C" w:rsidRPr="005A28F5">
        <w:rPr>
          <w:rFonts w:ascii="Times New Roman" w:hAnsi="Times New Roman" w:cs="Times New Roman"/>
          <w:sz w:val="24"/>
          <w:szCs w:val="24"/>
          <w:u w:color="0432FF"/>
          <w:lang w:val="en-GB"/>
        </w:rPr>
        <w:t>health outcomes</w:t>
      </w:r>
      <w:r w:rsidR="0089667A" w:rsidRPr="005A28F5">
        <w:rPr>
          <w:rFonts w:ascii="Times New Roman" w:hAnsi="Times New Roman" w:cs="Times New Roman"/>
          <w:sz w:val="24"/>
          <w:szCs w:val="24"/>
          <w:u w:color="0432FF"/>
          <w:lang w:val="en-GB"/>
        </w:rPr>
        <w:t xml:space="preserve"> </w:t>
      </w:r>
      <w:r w:rsidR="0089667A" w:rsidRPr="005A28F5">
        <w:rPr>
          <w:rFonts w:ascii="Times New Roman" w:hAnsi="Times New Roman" w:cs="Times New Roman"/>
          <w:sz w:val="24"/>
          <w:szCs w:val="24"/>
          <w:lang w:val="en-GB"/>
        </w:rPr>
        <w:t>(</w:t>
      </w:r>
      <w:r w:rsidR="00C10299">
        <w:rPr>
          <w:rFonts w:ascii="Times New Roman" w:hAnsi="Times New Roman" w:cs="Times New Roman"/>
          <w:sz w:val="24"/>
          <w:szCs w:val="24"/>
          <w:lang w:val="en-GB"/>
        </w:rPr>
        <w:t>Supplemental</w:t>
      </w:r>
      <w:r w:rsidR="0089667A" w:rsidRPr="005A28F5">
        <w:rPr>
          <w:rFonts w:ascii="Times New Roman" w:hAnsi="Times New Roman" w:cs="Times New Roman"/>
          <w:sz w:val="24"/>
          <w:szCs w:val="24"/>
          <w:lang w:val="en-GB"/>
        </w:rPr>
        <w:t xml:space="preserve"> Table </w:t>
      </w:r>
      <w:r w:rsidR="00567404">
        <w:rPr>
          <w:rFonts w:ascii="Times New Roman" w:hAnsi="Times New Roman" w:cs="Times New Roman"/>
          <w:sz w:val="24"/>
          <w:szCs w:val="24"/>
          <w:lang w:val="en-GB"/>
        </w:rPr>
        <w:t>1</w:t>
      </w:r>
      <w:r w:rsidR="0089667A" w:rsidRPr="005A28F5">
        <w:rPr>
          <w:rFonts w:ascii="Times New Roman" w:hAnsi="Times New Roman" w:cs="Times New Roman"/>
          <w:sz w:val="24"/>
          <w:szCs w:val="24"/>
          <w:lang w:val="en-GB"/>
        </w:rPr>
        <w:t>)</w:t>
      </w:r>
      <w:r w:rsidR="0089667A" w:rsidRPr="005A28F5">
        <w:rPr>
          <w:rFonts w:ascii="Times New Roman" w:hAnsi="Times New Roman" w:cs="Times New Roman"/>
          <w:sz w:val="24"/>
          <w:szCs w:val="24"/>
          <w:u w:color="0432FF"/>
          <w:lang w:val="en-GB"/>
        </w:rPr>
        <w:t xml:space="preserve">, </w:t>
      </w:r>
      <w:r w:rsidR="00BC3B0C" w:rsidRPr="005A28F5">
        <w:rPr>
          <w:rFonts w:ascii="Times New Roman" w:hAnsi="Times New Roman" w:cs="Times New Roman"/>
          <w:sz w:val="24"/>
          <w:szCs w:val="24"/>
          <w:shd w:val="clear" w:color="auto" w:fill="FFFFFF"/>
          <w:lang w:val="en-GB"/>
        </w:rPr>
        <w:t xml:space="preserve">by performing pyrosequencing on samples from both cohorts. </w:t>
      </w:r>
      <w:r w:rsidR="00215DF0" w:rsidRPr="005A28F5">
        <w:rPr>
          <w:rFonts w:ascii="Times New Roman" w:hAnsi="Times New Roman" w:cs="Times New Roman"/>
          <w:sz w:val="24"/>
          <w:szCs w:val="24"/>
          <w:shd w:val="clear" w:color="auto" w:fill="FFFFFF"/>
          <w:lang w:val="en-GB"/>
        </w:rPr>
        <w:t xml:space="preserve">No </w:t>
      </w:r>
      <w:r w:rsidR="00BC3B0C" w:rsidRPr="005A28F5">
        <w:rPr>
          <w:rFonts w:ascii="Times New Roman" w:hAnsi="Times New Roman" w:cs="Times New Roman"/>
          <w:sz w:val="24"/>
          <w:szCs w:val="24"/>
          <w:shd w:val="clear" w:color="auto" w:fill="FFFFFF"/>
          <w:lang w:val="en-GB"/>
        </w:rPr>
        <w:t>significant intervention</w:t>
      </w:r>
      <w:r w:rsidR="000F4A77" w:rsidRPr="005A28F5">
        <w:rPr>
          <w:rFonts w:ascii="Times New Roman" w:hAnsi="Times New Roman" w:cs="Times New Roman"/>
          <w:sz w:val="24"/>
          <w:szCs w:val="24"/>
          <w:shd w:val="clear" w:color="auto" w:fill="FFFFFF"/>
          <w:lang w:val="en-GB"/>
        </w:rPr>
        <w:t>-</w:t>
      </w:r>
      <w:r w:rsidR="00BC3B0C" w:rsidRPr="005A28F5">
        <w:rPr>
          <w:rFonts w:ascii="Times New Roman" w:hAnsi="Times New Roman" w:cs="Times New Roman"/>
          <w:sz w:val="24"/>
          <w:szCs w:val="24"/>
          <w:shd w:val="clear" w:color="auto" w:fill="FFFFFF"/>
          <w:lang w:val="en-GB"/>
        </w:rPr>
        <w:t xml:space="preserve">associated </w:t>
      </w:r>
      <w:r w:rsidR="00215DF0" w:rsidRPr="005A28F5">
        <w:rPr>
          <w:rFonts w:ascii="Times New Roman" w:hAnsi="Times New Roman" w:cs="Times New Roman"/>
          <w:sz w:val="24"/>
          <w:szCs w:val="24"/>
          <w:shd w:val="clear" w:color="auto" w:fill="FFFFFF"/>
          <w:lang w:val="en-GB"/>
        </w:rPr>
        <w:t xml:space="preserve">regional </w:t>
      </w:r>
      <w:r w:rsidR="00BC3B0C" w:rsidRPr="005A28F5">
        <w:rPr>
          <w:rFonts w:ascii="Times New Roman" w:hAnsi="Times New Roman" w:cs="Times New Roman"/>
          <w:sz w:val="24"/>
          <w:szCs w:val="24"/>
          <w:shd w:val="clear" w:color="auto" w:fill="FFFFFF"/>
          <w:lang w:val="en-GB"/>
        </w:rPr>
        <w:t xml:space="preserve">methylation differences </w:t>
      </w:r>
      <w:r w:rsidR="00215DF0" w:rsidRPr="005A28F5">
        <w:rPr>
          <w:rFonts w:ascii="Times New Roman" w:hAnsi="Times New Roman" w:cs="Times New Roman"/>
          <w:sz w:val="24"/>
          <w:szCs w:val="24"/>
          <w:shd w:val="clear" w:color="auto" w:fill="FFFFFF"/>
          <w:lang w:val="en-GB"/>
        </w:rPr>
        <w:t xml:space="preserve">were identified </w:t>
      </w:r>
      <w:r w:rsidR="00CA6361" w:rsidRPr="005A28F5">
        <w:rPr>
          <w:rFonts w:ascii="Times New Roman" w:hAnsi="Times New Roman" w:cs="Times New Roman"/>
          <w:sz w:val="24"/>
          <w:szCs w:val="24"/>
          <w:shd w:val="clear" w:color="auto" w:fill="FFFFFF"/>
          <w:lang w:val="en-GB"/>
        </w:rPr>
        <w:t>passing</w:t>
      </w:r>
      <w:r w:rsidR="00BC3B0C" w:rsidRPr="005A28F5">
        <w:rPr>
          <w:rFonts w:ascii="Times New Roman" w:hAnsi="Times New Roman" w:cs="Times New Roman"/>
          <w:sz w:val="24"/>
          <w:szCs w:val="24"/>
          <w:shd w:val="clear" w:color="auto" w:fill="FFFFFF"/>
          <w:lang w:val="en-GB"/>
        </w:rPr>
        <w:t xml:space="preserve"> FDR </w:t>
      </w:r>
      <w:r w:rsidR="00833FCF" w:rsidRPr="005A28F5">
        <w:rPr>
          <w:rFonts w:ascii="Times New Roman" w:hAnsi="Times New Roman" w:cs="Times New Roman"/>
          <w:sz w:val="24"/>
          <w:szCs w:val="24"/>
          <w:shd w:val="clear" w:color="auto" w:fill="FFFFFF"/>
          <w:lang w:val="en-GB"/>
        </w:rPr>
        <w:t xml:space="preserve">&lt; </w:t>
      </w:r>
      <w:r w:rsidR="00BC3B0C" w:rsidRPr="005A28F5">
        <w:rPr>
          <w:rFonts w:ascii="Times New Roman" w:hAnsi="Times New Roman" w:cs="Times New Roman"/>
          <w:sz w:val="24"/>
          <w:szCs w:val="24"/>
          <w:shd w:val="clear" w:color="auto" w:fill="FFFFFF"/>
          <w:lang w:val="en-GB"/>
        </w:rPr>
        <w:t>5%</w:t>
      </w:r>
      <w:r w:rsidR="00CA6361" w:rsidRPr="005A28F5">
        <w:rPr>
          <w:rFonts w:ascii="Times New Roman" w:hAnsi="Times New Roman" w:cs="Times New Roman"/>
          <w:sz w:val="24"/>
          <w:szCs w:val="24"/>
          <w:shd w:val="clear" w:color="auto" w:fill="FFFFFF"/>
          <w:lang w:val="en-GB"/>
        </w:rPr>
        <w:t xml:space="preserve"> </w:t>
      </w:r>
      <w:r w:rsidR="00BC3B0C" w:rsidRPr="005A28F5">
        <w:rPr>
          <w:rFonts w:ascii="Times New Roman" w:hAnsi="Times New Roman" w:cs="Times New Roman"/>
          <w:sz w:val="24"/>
          <w:szCs w:val="24"/>
          <w:shd w:val="clear" w:color="auto" w:fill="FFFFFF"/>
          <w:lang w:val="en-GB"/>
        </w:rPr>
        <w:t>in the</w:t>
      </w:r>
      <w:r w:rsidR="0089667A" w:rsidRPr="005A28F5">
        <w:rPr>
          <w:rFonts w:ascii="Times New Roman" w:hAnsi="Times New Roman" w:cs="Times New Roman"/>
          <w:sz w:val="24"/>
          <w:szCs w:val="24"/>
          <w:shd w:val="clear" w:color="auto" w:fill="FFFFFF"/>
          <w:lang w:val="en-GB"/>
        </w:rPr>
        <w:t xml:space="preserve"> Gambian</w:t>
      </w:r>
      <w:r w:rsidR="00BC3B0C" w:rsidRPr="005A28F5">
        <w:rPr>
          <w:rFonts w:ascii="Times New Roman" w:hAnsi="Times New Roman" w:cs="Times New Roman"/>
          <w:sz w:val="24"/>
          <w:szCs w:val="24"/>
          <w:shd w:val="clear" w:color="auto" w:fill="FFFFFF"/>
          <w:lang w:val="en-GB"/>
        </w:rPr>
        <w:t xml:space="preserve"> </w:t>
      </w:r>
      <w:r w:rsidR="002638B5" w:rsidRPr="005A28F5">
        <w:rPr>
          <w:rFonts w:ascii="Times New Roman" w:hAnsi="Times New Roman" w:cs="Times New Roman"/>
          <w:sz w:val="24"/>
          <w:szCs w:val="24"/>
          <w:shd w:val="clear" w:color="auto" w:fill="FFFFFF"/>
          <w:lang w:val="en-GB"/>
        </w:rPr>
        <w:t xml:space="preserve">or Indian </w:t>
      </w:r>
      <w:r w:rsidR="00BC3B0C" w:rsidRPr="005A28F5">
        <w:rPr>
          <w:rFonts w:ascii="Times New Roman" w:hAnsi="Times New Roman" w:cs="Times New Roman"/>
          <w:sz w:val="24"/>
          <w:szCs w:val="24"/>
          <w:shd w:val="clear" w:color="auto" w:fill="FFFFFF"/>
          <w:lang w:val="en-GB"/>
        </w:rPr>
        <w:t>candidates analysis</w:t>
      </w:r>
      <w:r w:rsidR="002725B5" w:rsidRPr="005A28F5">
        <w:rPr>
          <w:rFonts w:ascii="Times New Roman" w:hAnsi="Times New Roman" w:cs="Times New Roman"/>
          <w:sz w:val="24"/>
          <w:szCs w:val="24"/>
          <w:shd w:val="clear" w:color="auto" w:fill="FFFFFF"/>
          <w:lang w:val="en-GB"/>
        </w:rPr>
        <w:t xml:space="preserve"> </w:t>
      </w:r>
      <w:r w:rsidR="00805D8F" w:rsidRPr="005A28F5">
        <w:rPr>
          <w:rFonts w:ascii="Times New Roman" w:hAnsi="Times New Roman" w:cs="Times New Roman"/>
          <w:sz w:val="24"/>
          <w:szCs w:val="24"/>
          <w:lang w:val="en-GB"/>
        </w:rPr>
        <w:t>(</w:t>
      </w:r>
      <w:r w:rsidR="00C10299">
        <w:rPr>
          <w:rFonts w:ascii="Times New Roman" w:hAnsi="Times New Roman" w:cs="Times New Roman"/>
          <w:sz w:val="24"/>
          <w:szCs w:val="24"/>
          <w:lang w:val="en-GB"/>
        </w:rPr>
        <w:t>Supplemental</w:t>
      </w:r>
      <w:r w:rsidR="00805D8F" w:rsidRPr="005A28F5">
        <w:rPr>
          <w:rFonts w:ascii="Times New Roman" w:hAnsi="Times New Roman" w:cs="Times New Roman"/>
          <w:sz w:val="24"/>
          <w:szCs w:val="24"/>
          <w:lang w:val="en-GB"/>
        </w:rPr>
        <w:t xml:space="preserve"> Table </w:t>
      </w:r>
      <w:r w:rsidR="00567404">
        <w:rPr>
          <w:rFonts w:ascii="Times New Roman" w:hAnsi="Times New Roman" w:cs="Times New Roman"/>
          <w:sz w:val="24"/>
          <w:szCs w:val="24"/>
          <w:lang w:val="en-GB"/>
        </w:rPr>
        <w:t>5</w:t>
      </w:r>
      <w:r w:rsidR="002638B5" w:rsidRPr="005A28F5">
        <w:rPr>
          <w:rFonts w:ascii="Times New Roman" w:hAnsi="Times New Roman" w:cs="Times New Roman"/>
          <w:sz w:val="24"/>
          <w:szCs w:val="24"/>
          <w:lang w:val="en-GB"/>
        </w:rPr>
        <w:t xml:space="preserve">, </w:t>
      </w:r>
      <w:r w:rsidR="00C10299">
        <w:rPr>
          <w:rFonts w:ascii="Times New Roman" w:hAnsi="Times New Roman" w:cs="Times New Roman"/>
          <w:sz w:val="24"/>
          <w:szCs w:val="24"/>
          <w:lang w:val="en-GB"/>
        </w:rPr>
        <w:t>Supplemental</w:t>
      </w:r>
      <w:r w:rsidR="002638B5" w:rsidRPr="005A28F5">
        <w:rPr>
          <w:rFonts w:ascii="Times New Roman" w:hAnsi="Times New Roman" w:cs="Times New Roman"/>
          <w:sz w:val="24"/>
          <w:szCs w:val="24"/>
          <w:lang w:val="en-GB"/>
        </w:rPr>
        <w:t xml:space="preserve"> Table </w:t>
      </w:r>
      <w:r w:rsidR="00567404">
        <w:rPr>
          <w:rFonts w:ascii="Times New Roman" w:hAnsi="Times New Roman" w:cs="Times New Roman"/>
          <w:sz w:val="24"/>
          <w:szCs w:val="24"/>
          <w:lang w:val="en-GB"/>
        </w:rPr>
        <w:t>6</w:t>
      </w:r>
      <w:r w:rsidR="00805D8F" w:rsidRPr="005A28F5">
        <w:rPr>
          <w:rFonts w:ascii="Times New Roman" w:hAnsi="Times New Roman" w:cs="Times New Roman"/>
          <w:sz w:val="24"/>
          <w:szCs w:val="24"/>
          <w:lang w:val="en-GB"/>
        </w:rPr>
        <w:t>)</w:t>
      </w:r>
      <w:r w:rsidR="00805D8F" w:rsidRPr="005A28F5">
        <w:rPr>
          <w:rFonts w:ascii="Times New Roman" w:hAnsi="Times New Roman" w:cs="Times New Roman"/>
          <w:sz w:val="24"/>
          <w:szCs w:val="24"/>
          <w:shd w:val="clear" w:color="auto" w:fill="FFFFFF"/>
          <w:lang w:val="en-GB"/>
        </w:rPr>
        <w:t>.</w:t>
      </w:r>
      <w:r w:rsidR="006D4ECC" w:rsidRPr="005A28F5">
        <w:rPr>
          <w:rFonts w:ascii="Times New Roman" w:hAnsi="Times New Roman" w:cs="Times New Roman"/>
          <w:sz w:val="24"/>
          <w:szCs w:val="24"/>
          <w:shd w:val="clear" w:color="auto" w:fill="FFFFFF"/>
          <w:lang w:val="en-GB"/>
        </w:rPr>
        <w:t xml:space="preserve"> </w:t>
      </w:r>
      <w:r w:rsidR="00525CC1" w:rsidRPr="005A28F5">
        <w:rPr>
          <w:rFonts w:ascii="Times New Roman" w:hAnsi="Times New Roman" w:cs="Times New Roman"/>
          <w:sz w:val="24"/>
          <w:szCs w:val="24"/>
          <w:shd w:val="clear" w:color="auto" w:fill="FFFFFF"/>
          <w:lang w:val="en-GB"/>
        </w:rPr>
        <w:t>However, t</w:t>
      </w:r>
      <w:r w:rsidR="007B06D2" w:rsidRPr="005A28F5">
        <w:rPr>
          <w:rFonts w:ascii="Times New Roman" w:hAnsi="Times New Roman" w:cs="Times New Roman"/>
          <w:sz w:val="24"/>
          <w:szCs w:val="24"/>
          <w:shd w:val="clear" w:color="auto" w:fill="FFFFFF"/>
          <w:lang w:val="en-GB"/>
        </w:rPr>
        <w:t xml:space="preserve">wo </w:t>
      </w:r>
      <w:r w:rsidR="00BC3B0C" w:rsidRPr="005A28F5">
        <w:rPr>
          <w:rFonts w:ascii="Times New Roman" w:hAnsi="Times New Roman" w:cs="Times New Roman"/>
          <w:sz w:val="24"/>
          <w:szCs w:val="24"/>
          <w:shd w:val="clear" w:color="auto" w:fill="FFFFFF"/>
          <w:lang w:val="en-GB"/>
        </w:rPr>
        <w:t>candidates</w:t>
      </w:r>
      <w:r w:rsidR="006D4ECC" w:rsidRPr="005A28F5">
        <w:rPr>
          <w:rFonts w:ascii="Times New Roman" w:hAnsi="Times New Roman" w:cs="Times New Roman"/>
          <w:sz w:val="24"/>
          <w:szCs w:val="24"/>
          <w:shd w:val="clear" w:color="auto" w:fill="FFFFFF"/>
          <w:lang w:val="en-GB"/>
        </w:rPr>
        <w:t>,</w:t>
      </w:r>
      <w:r w:rsidR="002638B5" w:rsidRPr="005A28F5">
        <w:rPr>
          <w:rFonts w:ascii="Times New Roman" w:hAnsi="Times New Roman" w:cs="Times New Roman"/>
          <w:sz w:val="24"/>
          <w:szCs w:val="24"/>
          <w:shd w:val="clear" w:color="auto" w:fill="FFFFFF"/>
          <w:lang w:val="en-GB"/>
        </w:rPr>
        <w:t xml:space="preserve"> </w:t>
      </w:r>
      <w:r w:rsidR="007B06D2" w:rsidRPr="005A28F5">
        <w:rPr>
          <w:rFonts w:ascii="Times New Roman" w:hAnsi="Times New Roman" w:cs="Times New Roman"/>
          <w:i/>
          <w:sz w:val="24"/>
          <w:szCs w:val="24"/>
          <w:shd w:val="clear" w:color="auto" w:fill="FFFFFF"/>
          <w:lang w:val="en-GB"/>
        </w:rPr>
        <w:t>H19</w:t>
      </w:r>
      <w:r w:rsidR="007B06D2" w:rsidRPr="005A28F5">
        <w:rPr>
          <w:rFonts w:ascii="Times New Roman" w:hAnsi="Times New Roman" w:cs="Times New Roman"/>
          <w:sz w:val="24"/>
          <w:szCs w:val="24"/>
          <w:shd w:val="clear" w:color="auto" w:fill="FFFFFF"/>
          <w:lang w:val="en-GB"/>
        </w:rPr>
        <w:t xml:space="preserve"> and </w:t>
      </w:r>
      <w:r w:rsidR="007B06D2" w:rsidRPr="005A28F5">
        <w:rPr>
          <w:rFonts w:ascii="Times New Roman" w:hAnsi="Times New Roman" w:cs="Times New Roman"/>
          <w:i/>
          <w:sz w:val="24"/>
          <w:szCs w:val="24"/>
          <w:shd w:val="clear" w:color="auto" w:fill="FFFFFF"/>
          <w:lang w:val="en-GB"/>
        </w:rPr>
        <w:t>PAX8</w:t>
      </w:r>
      <w:r w:rsidR="006D4ECC" w:rsidRPr="005A28F5">
        <w:rPr>
          <w:rFonts w:ascii="Times New Roman" w:hAnsi="Times New Roman" w:cs="Times New Roman"/>
          <w:i/>
          <w:sz w:val="24"/>
          <w:szCs w:val="24"/>
          <w:shd w:val="clear" w:color="auto" w:fill="FFFFFF"/>
          <w:lang w:val="en-GB"/>
        </w:rPr>
        <w:t xml:space="preserve">, </w:t>
      </w:r>
      <w:r w:rsidR="002638B5" w:rsidRPr="005A28F5">
        <w:rPr>
          <w:rFonts w:ascii="Times New Roman" w:hAnsi="Times New Roman" w:cs="Times New Roman"/>
          <w:sz w:val="24"/>
          <w:szCs w:val="24"/>
          <w:shd w:val="clear" w:color="auto" w:fill="FFFFFF"/>
          <w:lang w:val="en-GB"/>
        </w:rPr>
        <w:t xml:space="preserve">did show </w:t>
      </w:r>
      <w:r w:rsidR="007C3D95" w:rsidRPr="005A28F5">
        <w:rPr>
          <w:rFonts w:ascii="Times New Roman" w:hAnsi="Times New Roman" w:cs="Times New Roman"/>
          <w:sz w:val="24"/>
          <w:szCs w:val="24"/>
          <w:shd w:val="clear" w:color="auto" w:fill="FFFFFF"/>
          <w:lang w:val="en-GB"/>
        </w:rPr>
        <w:t xml:space="preserve">regional and </w:t>
      </w:r>
      <w:r w:rsidR="00B2010D" w:rsidRPr="005A28F5">
        <w:rPr>
          <w:rFonts w:ascii="Times New Roman" w:hAnsi="Times New Roman" w:cs="Times New Roman"/>
          <w:sz w:val="24"/>
          <w:szCs w:val="24"/>
          <w:shd w:val="clear" w:color="auto" w:fill="FFFFFF"/>
          <w:lang w:val="en-GB"/>
        </w:rPr>
        <w:t xml:space="preserve">multiple site level </w:t>
      </w:r>
      <w:r w:rsidR="00C95B89" w:rsidRPr="005A28F5">
        <w:rPr>
          <w:rFonts w:ascii="Times New Roman" w:hAnsi="Times New Roman" w:cs="Times New Roman"/>
          <w:sz w:val="24"/>
          <w:szCs w:val="24"/>
          <w:shd w:val="clear" w:color="auto" w:fill="FFFFFF"/>
          <w:lang w:val="en-GB"/>
        </w:rPr>
        <w:t xml:space="preserve">associations </w:t>
      </w:r>
      <w:r w:rsidR="00984B43" w:rsidRPr="005A28F5">
        <w:rPr>
          <w:rFonts w:ascii="Times New Roman" w:hAnsi="Times New Roman" w:cs="Times New Roman"/>
          <w:sz w:val="24"/>
          <w:szCs w:val="24"/>
          <w:shd w:val="clear" w:color="auto" w:fill="FFFFFF"/>
          <w:lang w:val="en-GB"/>
        </w:rPr>
        <w:t xml:space="preserve">at nominal p &lt; 0.05 </w:t>
      </w:r>
      <w:r w:rsidR="00F158BC" w:rsidRPr="005A28F5">
        <w:rPr>
          <w:rFonts w:ascii="Times New Roman" w:hAnsi="Times New Roman" w:cs="Times New Roman"/>
          <w:sz w:val="24"/>
          <w:szCs w:val="24"/>
          <w:shd w:val="clear" w:color="auto" w:fill="FFFFFF"/>
          <w:lang w:val="en-GB"/>
        </w:rPr>
        <w:t>with a consistent effect direction</w:t>
      </w:r>
      <w:r w:rsidR="006D4ECC" w:rsidRPr="005A28F5">
        <w:rPr>
          <w:rFonts w:ascii="Times New Roman" w:hAnsi="Times New Roman" w:cs="Times New Roman"/>
          <w:sz w:val="24"/>
          <w:szCs w:val="24"/>
          <w:shd w:val="clear" w:color="auto" w:fill="FFFFFF"/>
          <w:lang w:val="en-GB"/>
        </w:rPr>
        <w:t xml:space="preserve"> in the Gambian cohort</w:t>
      </w:r>
      <w:r w:rsidR="00F158BC" w:rsidRPr="005A28F5">
        <w:rPr>
          <w:rFonts w:ascii="Times New Roman" w:hAnsi="Times New Roman" w:cs="Times New Roman"/>
          <w:sz w:val="24"/>
          <w:szCs w:val="24"/>
          <w:shd w:val="clear" w:color="auto" w:fill="FFFFFF"/>
          <w:lang w:val="en-GB"/>
        </w:rPr>
        <w:t xml:space="preserve"> </w:t>
      </w:r>
      <w:r w:rsidR="00BC3B0C" w:rsidRPr="005A28F5">
        <w:rPr>
          <w:rFonts w:ascii="Times New Roman" w:hAnsi="Times New Roman" w:cs="Times New Roman"/>
          <w:sz w:val="24"/>
          <w:szCs w:val="24"/>
          <w:u w:color="FF644E"/>
          <w:shd w:val="clear" w:color="auto" w:fill="FFFFFF"/>
          <w:lang w:val="en-GB"/>
        </w:rPr>
        <w:t>(</w:t>
      </w:r>
      <w:r w:rsidR="00C10299">
        <w:rPr>
          <w:rFonts w:ascii="Times New Roman" w:hAnsi="Times New Roman" w:cs="Times New Roman"/>
          <w:sz w:val="24"/>
          <w:szCs w:val="24"/>
          <w:u w:color="FF644E"/>
          <w:shd w:val="clear" w:color="auto" w:fill="FFFFFF"/>
          <w:lang w:val="en-GB"/>
        </w:rPr>
        <w:t>Supplemental</w:t>
      </w:r>
      <w:r w:rsidR="00805D8F" w:rsidRPr="005A28F5">
        <w:rPr>
          <w:rFonts w:ascii="Times New Roman" w:hAnsi="Times New Roman" w:cs="Times New Roman"/>
          <w:sz w:val="24"/>
          <w:szCs w:val="24"/>
          <w:u w:color="FF644E"/>
          <w:shd w:val="clear" w:color="auto" w:fill="FFFFFF"/>
          <w:lang w:val="en-GB"/>
        </w:rPr>
        <w:t xml:space="preserve"> Table </w:t>
      </w:r>
      <w:r w:rsidR="00567404">
        <w:rPr>
          <w:rFonts w:ascii="Times New Roman" w:hAnsi="Times New Roman" w:cs="Times New Roman"/>
          <w:sz w:val="24"/>
          <w:szCs w:val="24"/>
          <w:u w:color="FF644E"/>
          <w:shd w:val="clear" w:color="auto" w:fill="FFFFFF"/>
          <w:lang w:val="en-GB"/>
        </w:rPr>
        <w:t>7</w:t>
      </w:r>
      <w:r w:rsidR="00BC3B0C" w:rsidRPr="005A28F5">
        <w:rPr>
          <w:rFonts w:ascii="Times New Roman" w:hAnsi="Times New Roman" w:cs="Times New Roman"/>
          <w:sz w:val="24"/>
          <w:szCs w:val="24"/>
          <w:u w:color="FF644E"/>
          <w:shd w:val="clear" w:color="auto" w:fill="FFFFFF"/>
          <w:lang w:val="en-GB"/>
        </w:rPr>
        <w:t>)</w:t>
      </w:r>
      <w:r w:rsidR="00BC3B0C" w:rsidRPr="005A28F5">
        <w:rPr>
          <w:rFonts w:ascii="Times New Roman" w:hAnsi="Times New Roman" w:cs="Times New Roman"/>
          <w:sz w:val="24"/>
          <w:szCs w:val="24"/>
          <w:lang w:val="en-GB"/>
        </w:rPr>
        <w:t>.</w:t>
      </w:r>
      <w:r w:rsidR="007B06D2" w:rsidRPr="005A28F5">
        <w:rPr>
          <w:rFonts w:ascii="Times New Roman" w:hAnsi="Times New Roman" w:cs="Times New Roman"/>
          <w:sz w:val="24"/>
          <w:szCs w:val="24"/>
          <w:lang w:val="en-GB"/>
        </w:rPr>
        <w:t xml:space="preserve"> </w:t>
      </w:r>
    </w:p>
    <w:p w14:paraId="64D05B27" w14:textId="77777777" w:rsidR="00E01BB2" w:rsidRPr="005A28F5" w:rsidRDefault="00E01BB2" w:rsidP="001A64D3">
      <w:pPr>
        <w:pStyle w:val="BodyA"/>
        <w:spacing w:line="360" w:lineRule="auto"/>
        <w:rPr>
          <w:rFonts w:ascii="Times New Roman" w:eastAsia="Times New Roman" w:hAnsi="Times New Roman" w:cs="Times New Roman"/>
          <w:sz w:val="24"/>
          <w:szCs w:val="24"/>
          <w:lang w:val="en-GB"/>
        </w:rPr>
      </w:pPr>
    </w:p>
    <w:p w14:paraId="2845DFA8" w14:textId="77777777" w:rsidR="00E01BB2" w:rsidRPr="003F29C8" w:rsidRDefault="00BC3B0C" w:rsidP="001A64D3">
      <w:pPr>
        <w:pStyle w:val="BodyA"/>
        <w:spacing w:line="360" w:lineRule="auto"/>
        <w:rPr>
          <w:rFonts w:ascii="Times New Roman" w:eastAsia="Cambria" w:hAnsi="Times New Roman" w:cs="Times New Roman"/>
          <w:sz w:val="28"/>
          <w:szCs w:val="28"/>
          <w:lang w:val="en-GB"/>
        </w:rPr>
      </w:pPr>
      <w:r w:rsidRPr="003F29C8">
        <w:rPr>
          <w:rFonts w:ascii="Times New Roman" w:hAnsi="Times New Roman" w:cs="Times New Roman"/>
          <w:sz w:val="28"/>
          <w:szCs w:val="28"/>
          <w:lang w:val="en-GB"/>
        </w:rPr>
        <w:t>Influence of genetic variation and gene-environment interactions</w:t>
      </w:r>
    </w:p>
    <w:p w14:paraId="1BA1E682" w14:textId="51337EC5" w:rsidR="00E01BB2" w:rsidRPr="005A28F5" w:rsidRDefault="00BC3B0C" w:rsidP="001A64D3">
      <w:pPr>
        <w:pStyle w:val="BodyA"/>
        <w:spacing w:line="360" w:lineRule="auto"/>
        <w:rPr>
          <w:rFonts w:ascii="Times New Roman" w:eastAsia="Cambria" w:hAnsi="Times New Roman" w:cs="Times New Roman"/>
          <w:sz w:val="24"/>
          <w:szCs w:val="24"/>
          <w:shd w:val="clear" w:color="auto" w:fill="FFFFFF"/>
          <w:lang w:val="en-GB"/>
        </w:rPr>
      </w:pPr>
      <w:r w:rsidRPr="005A28F5">
        <w:rPr>
          <w:rFonts w:ascii="Times New Roman" w:hAnsi="Times New Roman" w:cs="Times New Roman"/>
          <w:sz w:val="24"/>
          <w:szCs w:val="24"/>
          <w:shd w:val="clear" w:color="auto" w:fill="FFFFFF"/>
          <w:lang w:val="en-GB"/>
        </w:rPr>
        <w:t xml:space="preserve">To investigate the potential influence of genetic variation on nutrition-associated </w:t>
      </w:r>
      <w:r w:rsidR="00E11FE3" w:rsidRPr="005A28F5">
        <w:rPr>
          <w:rFonts w:ascii="Times New Roman" w:hAnsi="Times New Roman" w:cs="Times New Roman"/>
          <w:sz w:val="24"/>
          <w:szCs w:val="24"/>
          <w:shd w:val="clear" w:color="auto" w:fill="FFFFFF"/>
          <w:lang w:val="en-GB"/>
        </w:rPr>
        <w:t>DNAm</w:t>
      </w:r>
      <w:r w:rsidRPr="005A28F5">
        <w:rPr>
          <w:rFonts w:ascii="Times New Roman" w:hAnsi="Times New Roman" w:cs="Times New Roman"/>
          <w:sz w:val="24"/>
          <w:szCs w:val="24"/>
          <w:shd w:val="clear" w:color="auto" w:fill="FFFFFF"/>
          <w:lang w:val="en-GB"/>
        </w:rPr>
        <w:t xml:space="preserve">, we carried out a genome-wide mQTL screen using the </w:t>
      </w:r>
      <w:r w:rsidRPr="00805047">
        <w:rPr>
          <w:rFonts w:ascii="Times New Roman" w:hAnsi="Times New Roman" w:cs="Times New Roman"/>
          <w:sz w:val="24"/>
          <w:szCs w:val="24"/>
          <w:shd w:val="clear" w:color="auto" w:fill="FFFFFF"/>
          <w:lang w:val="en-GB"/>
        </w:rPr>
        <w:t>GEM</w:t>
      </w:r>
      <w:r w:rsidRPr="005A28F5">
        <w:rPr>
          <w:rFonts w:ascii="Times New Roman" w:hAnsi="Times New Roman" w:cs="Times New Roman"/>
          <w:sz w:val="24"/>
          <w:szCs w:val="24"/>
          <w:shd w:val="clear" w:color="auto" w:fill="FFFFFF"/>
          <w:lang w:val="en-GB"/>
        </w:rPr>
        <w:t xml:space="preserve"> package </w:t>
      </w:r>
      <w:r w:rsidR="00572105" w:rsidRPr="005A28F5">
        <w:rPr>
          <w:rFonts w:ascii="Times New Roman" w:hAnsi="Times New Roman" w:cs="Times New Roman"/>
          <w:sz w:val="24"/>
          <w:szCs w:val="24"/>
          <w:shd w:val="clear" w:color="auto" w:fill="FFFFFF"/>
          <w:lang w:val="en-GB"/>
        </w:rPr>
        <w:fldChar w:fldCharType="begin" w:fldLock="1"/>
      </w:r>
      <w:r w:rsidR="000C3130">
        <w:rPr>
          <w:rFonts w:ascii="Times New Roman" w:hAnsi="Times New Roman" w:cs="Times New Roman"/>
          <w:sz w:val="24"/>
          <w:szCs w:val="24"/>
          <w:shd w:val="clear" w:color="auto" w:fill="FFFFFF"/>
          <w:lang w:val="en-GB"/>
        </w:rPr>
        <w:instrText>ADDIN CSL_CITATION {"citationItems":[{"id":"ITEM-1","itemData":{"DOI":"10.1186/s12859-016-1161-z","ISSN":"1471-2105","author":[{"dropping-particle":"","family":"Pan","given":"Hong","non-dropping-particle":"","parse-names":false,"suffix":""},{"dropping-particle":"","family":"Holbrook","given":"Joanna D","non-dropping-particle":"","parse-names":false,"suffix":""},{"dropping-particle":"","family":"Karnani","given":"Neerja","non-dropping-particle":"","parse-names":false,"suffix":""},{"dropping-particle":"","family":"Kwoh","given":"Chee Keong","non-dropping-particle":"","parse-names":false,"suffix":""}],"container-title":"BMC Bioinformatics","id":"ITEM-1","issue":"1","issued":{"date-parts":[["2016","12","2"]]},"page":"299","publisher":"BMC Bioinformatics","title":"Gene, Environment and Methylation (GEM): a tool suite to efficiently navigate large scale epigenome wide association studies and integrate genotype and interaction between genotype and environment","type":"article-journal","volume":"17"},"uris":["http://www.mendeley.com/documents/?uuid=3a583a17-4152-4a04-bd3a-2b7cd1251107"]}],"mendeley":{"formattedCitation":"(45)","plainTextFormattedCitation":"(45)","previouslyFormattedCitation":"(45)"},"properties":{"noteIndex":0},"schema":"https://github.com/citation-style-language/schema/raw/master/csl-citation.json"}</w:instrText>
      </w:r>
      <w:r w:rsidR="00572105" w:rsidRPr="005A28F5">
        <w:rPr>
          <w:rFonts w:ascii="Times New Roman" w:hAnsi="Times New Roman" w:cs="Times New Roman"/>
          <w:sz w:val="24"/>
          <w:szCs w:val="24"/>
          <w:shd w:val="clear" w:color="auto" w:fill="FFFFFF"/>
          <w:lang w:val="en-GB"/>
        </w:rPr>
        <w:fldChar w:fldCharType="separate"/>
      </w:r>
      <w:r w:rsidR="002A7D5D" w:rsidRPr="002A7D5D">
        <w:rPr>
          <w:rFonts w:ascii="Times New Roman" w:hAnsi="Times New Roman" w:cs="Times New Roman"/>
          <w:noProof/>
          <w:sz w:val="24"/>
          <w:szCs w:val="24"/>
          <w:shd w:val="clear" w:color="auto" w:fill="FFFFFF"/>
          <w:lang w:val="en-GB"/>
        </w:rPr>
        <w:t>(45)</w:t>
      </w:r>
      <w:r w:rsidR="00572105" w:rsidRPr="005A28F5">
        <w:rPr>
          <w:rFonts w:ascii="Times New Roman" w:hAnsi="Times New Roman" w:cs="Times New Roman"/>
          <w:sz w:val="24"/>
          <w:szCs w:val="24"/>
          <w:shd w:val="clear" w:color="auto" w:fill="FFFFFF"/>
          <w:lang w:val="en-GB"/>
        </w:rPr>
        <w:fldChar w:fldCharType="end"/>
      </w:r>
      <w:r w:rsidR="00572105" w:rsidRPr="005A28F5">
        <w:rPr>
          <w:rFonts w:ascii="Times New Roman" w:hAnsi="Times New Roman" w:cs="Times New Roman"/>
          <w:sz w:val="24"/>
          <w:szCs w:val="24"/>
          <w:shd w:val="clear" w:color="auto" w:fill="FFFFFF"/>
          <w:lang w:val="en-GB"/>
        </w:rPr>
        <w:t>,</w:t>
      </w:r>
      <w:r w:rsidRPr="005A28F5">
        <w:rPr>
          <w:rFonts w:ascii="Times New Roman" w:hAnsi="Times New Roman" w:cs="Times New Roman"/>
          <w:sz w:val="24"/>
          <w:szCs w:val="24"/>
          <w:shd w:val="clear" w:color="auto" w:fill="FFFFFF"/>
          <w:lang w:val="en-GB"/>
        </w:rPr>
        <w:t xml:space="preserve"> testing </w:t>
      </w:r>
      <w:r w:rsidR="004366A8" w:rsidRPr="005A28F5">
        <w:rPr>
          <w:rFonts w:ascii="Times New Roman" w:hAnsi="Times New Roman" w:cs="Times New Roman"/>
          <w:sz w:val="24"/>
          <w:szCs w:val="24"/>
          <w:shd w:val="clear" w:color="auto" w:fill="FFFFFF"/>
          <w:lang w:val="en-GB"/>
        </w:rPr>
        <w:t xml:space="preserve">all </w:t>
      </w:r>
      <w:r w:rsidR="00B359EC" w:rsidRPr="005A28F5">
        <w:rPr>
          <w:rFonts w:ascii="Times New Roman" w:hAnsi="Times New Roman" w:cs="Times New Roman"/>
          <w:sz w:val="24"/>
          <w:szCs w:val="24"/>
          <w:shd w:val="clear" w:color="auto" w:fill="FFFFFF"/>
          <w:lang w:val="en-GB"/>
        </w:rPr>
        <w:t xml:space="preserve">Gambian </w:t>
      </w:r>
      <w:r w:rsidR="00B12EF9" w:rsidRPr="005A28F5">
        <w:rPr>
          <w:rFonts w:ascii="Times New Roman" w:hAnsi="Times New Roman" w:cs="Times New Roman"/>
          <w:sz w:val="24"/>
          <w:szCs w:val="24"/>
          <w:shd w:val="clear" w:color="auto" w:fill="FFFFFF"/>
          <w:lang w:val="en-GB"/>
        </w:rPr>
        <w:t>CpG</w:t>
      </w:r>
      <w:r w:rsidRPr="005A28F5">
        <w:rPr>
          <w:rFonts w:ascii="Times New Roman" w:hAnsi="Times New Roman" w:cs="Times New Roman"/>
          <w:sz w:val="24"/>
          <w:szCs w:val="24"/>
          <w:shd w:val="clear" w:color="auto" w:fill="FFFFFF"/>
          <w:lang w:val="en-GB"/>
        </w:rPr>
        <w:t xml:space="preserve">s within </w:t>
      </w:r>
      <w:r w:rsidR="00B359EC" w:rsidRPr="005A28F5">
        <w:rPr>
          <w:rFonts w:ascii="Times New Roman" w:hAnsi="Times New Roman" w:cs="Times New Roman"/>
          <w:sz w:val="24"/>
          <w:szCs w:val="24"/>
          <w:shd w:val="clear" w:color="auto" w:fill="FFFFFF"/>
          <w:lang w:val="en-GB"/>
        </w:rPr>
        <w:t xml:space="preserve">the </w:t>
      </w:r>
      <w:r w:rsidRPr="005A28F5">
        <w:rPr>
          <w:rFonts w:ascii="Times New Roman" w:hAnsi="Times New Roman" w:cs="Times New Roman"/>
          <w:sz w:val="24"/>
          <w:szCs w:val="24"/>
          <w:shd w:val="clear" w:color="auto" w:fill="FFFFFF"/>
          <w:lang w:val="en-GB"/>
        </w:rPr>
        <w:t xml:space="preserve">identified </w:t>
      </w:r>
      <w:r w:rsidR="00B359EC" w:rsidRPr="005A28F5">
        <w:rPr>
          <w:rFonts w:ascii="Times New Roman" w:hAnsi="Times New Roman" w:cs="Times New Roman"/>
          <w:sz w:val="24"/>
          <w:szCs w:val="24"/>
          <w:shd w:val="clear" w:color="auto" w:fill="FFFFFF"/>
          <w:lang w:val="en-GB"/>
        </w:rPr>
        <w:t xml:space="preserve">intervention-associated </w:t>
      </w:r>
      <w:r w:rsidRPr="005A28F5">
        <w:rPr>
          <w:rFonts w:ascii="Times New Roman" w:hAnsi="Times New Roman" w:cs="Times New Roman"/>
          <w:sz w:val="24"/>
          <w:szCs w:val="24"/>
          <w:shd w:val="clear" w:color="auto" w:fill="FFFFFF"/>
          <w:lang w:val="en-GB"/>
        </w:rPr>
        <w:t xml:space="preserve">DMRs at </w:t>
      </w:r>
      <w:r w:rsidR="00C04928" w:rsidRPr="005A28F5">
        <w:rPr>
          <w:rFonts w:ascii="Times New Roman" w:hAnsi="Times New Roman" w:cs="Times New Roman"/>
          <w:sz w:val="24"/>
          <w:szCs w:val="24"/>
          <w:shd w:val="clear" w:color="auto" w:fill="FFFFFF"/>
          <w:lang w:val="en-GB"/>
        </w:rPr>
        <w:t xml:space="preserve">regional </w:t>
      </w:r>
      <w:r w:rsidRPr="005A28F5">
        <w:rPr>
          <w:rFonts w:ascii="Times New Roman" w:hAnsi="Times New Roman" w:cs="Times New Roman"/>
          <w:sz w:val="24"/>
          <w:szCs w:val="24"/>
          <w:shd w:val="clear" w:color="auto" w:fill="FFFFFF"/>
          <w:lang w:val="en-GB"/>
        </w:rPr>
        <w:t xml:space="preserve">FDR &lt; 5%. </w:t>
      </w:r>
      <w:r w:rsidR="00A969E2" w:rsidRPr="005A28F5">
        <w:rPr>
          <w:rFonts w:ascii="Times New Roman" w:hAnsi="Times New Roman" w:cs="Times New Roman"/>
          <w:sz w:val="24"/>
          <w:szCs w:val="24"/>
          <w:shd w:val="clear" w:color="auto" w:fill="FFFFFF"/>
          <w:lang w:val="en-GB"/>
        </w:rPr>
        <w:t xml:space="preserve">Following </w:t>
      </w:r>
      <w:r w:rsidR="007C01F8" w:rsidRPr="005A28F5">
        <w:rPr>
          <w:rFonts w:ascii="Times New Roman" w:hAnsi="Times New Roman" w:cs="Times New Roman"/>
          <w:sz w:val="24"/>
          <w:szCs w:val="24"/>
          <w:shd w:val="clear" w:color="auto" w:fill="FFFFFF"/>
          <w:lang w:val="en-GB"/>
        </w:rPr>
        <w:t>quality control,</w:t>
      </w:r>
      <w:r w:rsidRPr="005A28F5">
        <w:rPr>
          <w:rFonts w:ascii="Times New Roman" w:hAnsi="Times New Roman" w:cs="Times New Roman"/>
          <w:sz w:val="24"/>
          <w:szCs w:val="24"/>
          <w:shd w:val="clear" w:color="auto" w:fill="FFFFFF"/>
          <w:lang w:val="en-GB"/>
        </w:rPr>
        <w:t xml:space="preserve"> </w:t>
      </w:r>
      <w:r w:rsidRPr="005A28F5">
        <w:rPr>
          <w:rFonts w:ascii="Times New Roman" w:hAnsi="Times New Roman" w:cs="Times New Roman"/>
          <w:sz w:val="24"/>
          <w:szCs w:val="24"/>
          <w:lang w:val="en-GB"/>
        </w:rPr>
        <w:t xml:space="preserve">286,552 </w:t>
      </w:r>
      <w:r w:rsidRPr="005A28F5">
        <w:rPr>
          <w:rFonts w:ascii="Times New Roman" w:hAnsi="Times New Roman" w:cs="Times New Roman"/>
          <w:sz w:val="24"/>
          <w:szCs w:val="24"/>
          <w:shd w:val="clear" w:color="auto" w:fill="FFFFFF"/>
          <w:lang w:val="en-GB"/>
        </w:rPr>
        <w:t xml:space="preserve">SNPs </w:t>
      </w:r>
      <w:r w:rsidR="007C01F8" w:rsidRPr="005A28F5">
        <w:rPr>
          <w:rFonts w:ascii="Times New Roman" w:hAnsi="Times New Roman" w:cs="Times New Roman"/>
          <w:sz w:val="24"/>
          <w:szCs w:val="24"/>
          <w:shd w:val="clear" w:color="auto" w:fill="FFFFFF"/>
          <w:lang w:val="en-GB"/>
        </w:rPr>
        <w:t xml:space="preserve">with a minor allele frequency &gt; 0.05 </w:t>
      </w:r>
      <w:r w:rsidRPr="005A28F5">
        <w:rPr>
          <w:rFonts w:ascii="Times New Roman" w:hAnsi="Times New Roman" w:cs="Times New Roman"/>
          <w:sz w:val="24"/>
          <w:szCs w:val="24"/>
          <w:shd w:val="clear" w:color="auto" w:fill="FFFFFF"/>
          <w:lang w:val="en-GB"/>
        </w:rPr>
        <w:t>were obtained for all Gambian samples using the Illumina GSA genotyping array</w:t>
      </w:r>
      <w:r w:rsidR="007C01F8" w:rsidRPr="005A28F5">
        <w:rPr>
          <w:rFonts w:ascii="Times New Roman" w:hAnsi="Times New Roman" w:cs="Times New Roman"/>
          <w:sz w:val="24"/>
          <w:szCs w:val="24"/>
          <w:shd w:val="clear" w:color="auto" w:fill="FFFFFF"/>
          <w:lang w:val="en-GB"/>
        </w:rPr>
        <w:t xml:space="preserve"> (see Methods)</w:t>
      </w:r>
      <w:r w:rsidRPr="005A28F5">
        <w:rPr>
          <w:rFonts w:ascii="Times New Roman" w:hAnsi="Times New Roman" w:cs="Times New Roman"/>
          <w:sz w:val="24"/>
          <w:szCs w:val="24"/>
          <w:shd w:val="clear" w:color="auto" w:fill="FFFFFF"/>
          <w:lang w:val="en-GB"/>
        </w:rPr>
        <w:t xml:space="preserve">. Genotype (G) models identified 7 </w:t>
      </w:r>
      <w:r w:rsidRPr="005A28F5">
        <w:rPr>
          <w:rFonts w:ascii="Times New Roman" w:hAnsi="Times New Roman" w:cs="Times New Roman"/>
          <w:i/>
          <w:sz w:val="24"/>
          <w:szCs w:val="24"/>
          <w:shd w:val="clear" w:color="auto" w:fill="FFFFFF"/>
          <w:lang w:val="en-GB"/>
        </w:rPr>
        <w:t>ESM1</w:t>
      </w:r>
      <w:r w:rsidRPr="005A28F5">
        <w:rPr>
          <w:rFonts w:ascii="Times New Roman" w:hAnsi="Times New Roman" w:cs="Times New Roman"/>
          <w:sz w:val="24"/>
          <w:szCs w:val="24"/>
          <w:shd w:val="clear" w:color="auto" w:fill="FFFFFF"/>
          <w:lang w:val="en-GB"/>
        </w:rPr>
        <w:t xml:space="preserve"> </w:t>
      </w:r>
      <w:r w:rsidR="00B12EF9" w:rsidRPr="005A28F5">
        <w:rPr>
          <w:rFonts w:ascii="Times New Roman" w:hAnsi="Times New Roman" w:cs="Times New Roman"/>
          <w:sz w:val="24"/>
          <w:szCs w:val="24"/>
          <w:shd w:val="clear" w:color="auto" w:fill="FFFFFF"/>
          <w:lang w:val="en-GB"/>
        </w:rPr>
        <w:t>CpG</w:t>
      </w:r>
      <w:r w:rsidRPr="005A28F5">
        <w:rPr>
          <w:rFonts w:ascii="Times New Roman" w:hAnsi="Times New Roman" w:cs="Times New Roman"/>
          <w:sz w:val="24"/>
          <w:szCs w:val="24"/>
          <w:shd w:val="clear" w:color="auto" w:fill="FFFFFF"/>
          <w:lang w:val="en-GB"/>
        </w:rPr>
        <w:t xml:space="preserve">s </w:t>
      </w:r>
      <w:r w:rsidR="00833FCF" w:rsidRPr="005A28F5">
        <w:rPr>
          <w:rFonts w:ascii="Times New Roman" w:hAnsi="Times New Roman" w:cs="Times New Roman"/>
          <w:sz w:val="24"/>
          <w:szCs w:val="24"/>
          <w:shd w:val="clear" w:color="auto" w:fill="FFFFFF"/>
          <w:lang w:val="en-GB"/>
        </w:rPr>
        <w:t>showing evidence of mQTL effects at FDR &lt; 5%</w:t>
      </w:r>
      <w:r w:rsidR="007E7646" w:rsidRPr="005A28F5">
        <w:rPr>
          <w:rFonts w:ascii="Times New Roman" w:hAnsi="Times New Roman" w:cs="Times New Roman"/>
          <w:sz w:val="24"/>
          <w:szCs w:val="24"/>
          <w:shd w:val="clear" w:color="auto" w:fill="FFFFFF"/>
          <w:lang w:val="en-GB"/>
        </w:rPr>
        <w:t>. M</w:t>
      </w:r>
      <w:r w:rsidRPr="005A28F5">
        <w:rPr>
          <w:rFonts w:ascii="Times New Roman" w:hAnsi="Times New Roman" w:cs="Times New Roman"/>
          <w:sz w:val="24"/>
          <w:szCs w:val="24"/>
          <w:shd w:val="clear" w:color="auto" w:fill="FFFFFF"/>
          <w:lang w:val="en-GB"/>
        </w:rPr>
        <w:t xml:space="preserve">ethylation status </w:t>
      </w:r>
      <w:r w:rsidR="007E7646" w:rsidRPr="005A28F5">
        <w:rPr>
          <w:rFonts w:ascii="Times New Roman" w:hAnsi="Times New Roman" w:cs="Times New Roman"/>
          <w:sz w:val="24"/>
          <w:szCs w:val="24"/>
          <w:shd w:val="clear" w:color="auto" w:fill="FFFFFF"/>
          <w:lang w:val="en-GB"/>
        </w:rPr>
        <w:t xml:space="preserve">at all 7 CpGs was </w:t>
      </w:r>
      <w:r w:rsidR="00502943" w:rsidRPr="005A28F5">
        <w:rPr>
          <w:rFonts w:ascii="Times New Roman" w:hAnsi="Times New Roman" w:cs="Times New Roman"/>
          <w:sz w:val="24"/>
          <w:szCs w:val="24"/>
          <w:shd w:val="clear" w:color="auto" w:fill="FFFFFF"/>
          <w:lang w:val="en-GB"/>
        </w:rPr>
        <w:t>associated with</w:t>
      </w:r>
      <w:r w:rsidRPr="005A28F5">
        <w:rPr>
          <w:rFonts w:ascii="Times New Roman" w:hAnsi="Times New Roman" w:cs="Times New Roman"/>
          <w:sz w:val="24"/>
          <w:szCs w:val="24"/>
          <w:shd w:val="clear" w:color="auto" w:fill="FFFFFF"/>
          <w:lang w:val="en-GB"/>
        </w:rPr>
        <w:t xml:space="preserve"> a single SNP: rs1423249, </w:t>
      </w:r>
      <w:r w:rsidR="00EF64DF" w:rsidRPr="005A28F5">
        <w:rPr>
          <w:rFonts w:ascii="Times New Roman" w:hAnsi="Times New Roman" w:cs="Times New Roman"/>
          <w:sz w:val="24"/>
          <w:szCs w:val="24"/>
          <w:shd w:val="clear" w:color="auto" w:fill="FFFFFF"/>
          <w:lang w:val="en-GB"/>
        </w:rPr>
        <w:t>in the 3’ UTR of the</w:t>
      </w:r>
      <w:r w:rsidRPr="005A28F5">
        <w:rPr>
          <w:rFonts w:ascii="Times New Roman" w:hAnsi="Times New Roman" w:cs="Times New Roman"/>
          <w:sz w:val="24"/>
          <w:szCs w:val="24"/>
          <w:shd w:val="clear" w:color="auto" w:fill="FFFFFF"/>
          <w:lang w:val="en-GB"/>
        </w:rPr>
        <w:t xml:space="preserve"> </w:t>
      </w:r>
      <w:r w:rsidRPr="005A28F5">
        <w:rPr>
          <w:rFonts w:ascii="Times New Roman" w:hAnsi="Times New Roman" w:cs="Times New Roman"/>
          <w:i/>
          <w:sz w:val="24"/>
          <w:szCs w:val="24"/>
          <w:shd w:val="clear" w:color="auto" w:fill="FFFFFF"/>
          <w:lang w:val="en-GB"/>
        </w:rPr>
        <w:t>ESM1</w:t>
      </w:r>
      <w:r w:rsidRPr="005A28F5">
        <w:rPr>
          <w:rFonts w:ascii="Times New Roman" w:hAnsi="Times New Roman" w:cs="Times New Roman"/>
          <w:sz w:val="24"/>
          <w:szCs w:val="24"/>
          <w:shd w:val="clear" w:color="auto" w:fill="FFFFFF"/>
          <w:lang w:val="en-GB"/>
        </w:rPr>
        <w:t xml:space="preserve"> </w:t>
      </w:r>
      <w:r w:rsidR="00893B85" w:rsidRPr="005A28F5">
        <w:rPr>
          <w:rFonts w:ascii="Times New Roman" w:hAnsi="Times New Roman" w:cs="Times New Roman"/>
          <w:sz w:val="24"/>
          <w:szCs w:val="24"/>
          <w:shd w:val="clear" w:color="auto" w:fill="FFFFFF"/>
          <w:lang w:val="en-GB"/>
        </w:rPr>
        <w:t>gene</w:t>
      </w:r>
      <w:r w:rsidR="00E175ED" w:rsidRPr="005A28F5">
        <w:rPr>
          <w:rFonts w:ascii="Times New Roman" w:hAnsi="Times New Roman" w:cs="Times New Roman"/>
          <w:sz w:val="24"/>
          <w:szCs w:val="24"/>
          <w:shd w:val="clear" w:color="auto" w:fill="FFFFFF"/>
          <w:lang w:val="en-GB"/>
        </w:rPr>
        <w:t xml:space="preserve">, </w:t>
      </w:r>
      <w:r w:rsidRPr="005A28F5">
        <w:rPr>
          <w:rFonts w:ascii="Times New Roman" w:hAnsi="Times New Roman" w:cs="Times New Roman"/>
          <w:sz w:val="24"/>
          <w:szCs w:val="24"/>
          <w:u w:color="FF644E"/>
          <w:shd w:val="clear" w:color="auto" w:fill="FFFFFF"/>
          <w:lang w:val="en-GB"/>
        </w:rPr>
        <w:t xml:space="preserve">with each variant allele </w:t>
      </w:r>
      <w:r w:rsidR="00D802CE" w:rsidRPr="005A28F5">
        <w:rPr>
          <w:rFonts w:ascii="Times New Roman" w:hAnsi="Times New Roman" w:cs="Times New Roman"/>
          <w:sz w:val="24"/>
          <w:szCs w:val="24"/>
          <w:u w:color="FF644E"/>
          <w:shd w:val="clear" w:color="auto" w:fill="FFFFFF"/>
          <w:lang w:val="en-GB"/>
        </w:rPr>
        <w:t xml:space="preserve">associated with a </w:t>
      </w:r>
      <w:r w:rsidRPr="005A28F5">
        <w:rPr>
          <w:rFonts w:ascii="Times New Roman" w:hAnsi="Times New Roman" w:cs="Times New Roman"/>
          <w:sz w:val="24"/>
          <w:szCs w:val="24"/>
          <w:shd w:val="clear" w:color="auto" w:fill="FFFFFF"/>
          <w:lang w:val="en-GB"/>
        </w:rPr>
        <w:t xml:space="preserve">0.02-0.04 </w:t>
      </w:r>
      <w:r w:rsidR="00D802CE" w:rsidRPr="005A28F5">
        <w:rPr>
          <w:rFonts w:ascii="Times New Roman" w:hAnsi="Times New Roman" w:cs="Times New Roman"/>
          <w:sz w:val="24"/>
          <w:szCs w:val="24"/>
          <w:shd w:val="clear" w:color="auto" w:fill="FFFFFF"/>
          <w:lang w:val="en-GB"/>
        </w:rPr>
        <w:t xml:space="preserve">increase in </w:t>
      </w:r>
      <w:r w:rsidR="00D802CE" w:rsidRPr="005A28F5">
        <w:rPr>
          <w:rFonts w:ascii="Times New Roman" w:hAnsi="Times New Roman" w:cs="Times New Roman"/>
          <w:sz w:val="24"/>
          <w:szCs w:val="24"/>
          <w:u w:color="FF644E"/>
          <w:shd w:val="clear" w:color="auto" w:fill="FFFFFF"/>
          <w:lang w:val="en-GB"/>
        </w:rPr>
        <w:t xml:space="preserve">mean methylation Beta values </w:t>
      </w:r>
      <w:r w:rsidRPr="005A28F5">
        <w:rPr>
          <w:rFonts w:ascii="Times New Roman" w:hAnsi="Times New Roman" w:cs="Times New Roman"/>
          <w:sz w:val="24"/>
          <w:szCs w:val="24"/>
          <w:shd w:val="clear" w:color="auto" w:fill="FFFFFF"/>
          <w:lang w:val="en-GB"/>
        </w:rPr>
        <w:t>(</w:t>
      </w:r>
      <w:r w:rsidR="00C10299">
        <w:rPr>
          <w:rFonts w:ascii="Times New Roman" w:hAnsi="Times New Roman" w:cs="Times New Roman"/>
          <w:sz w:val="24"/>
          <w:szCs w:val="24"/>
          <w:shd w:val="clear" w:color="auto" w:fill="FFFFFF"/>
          <w:lang w:val="en-GB"/>
        </w:rPr>
        <w:t>Supplemental</w:t>
      </w:r>
      <w:r w:rsidRPr="005A28F5">
        <w:rPr>
          <w:rFonts w:ascii="Times New Roman" w:hAnsi="Times New Roman" w:cs="Times New Roman"/>
          <w:sz w:val="24"/>
          <w:szCs w:val="24"/>
          <w:shd w:val="clear" w:color="auto" w:fill="FFFFFF"/>
          <w:lang w:val="en-GB"/>
        </w:rPr>
        <w:t xml:space="preserve"> Table </w:t>
      </w:r>
      <w:r w:rsidR="00567404">
        <w:rPr>
          <w:rFonts w:ascii="Times New Roman" w:hAnsi="Times New Roman" w:cs="Times New Roman"/>
          <w:sz w:val="24"/>
          <w:szCs w:val="24"/>
          <w:shd w:val="clear" w:color="auto" w:fill="FFFFFF"/>
          <w:lang w:val="en-GB"/>
        </w:rPr>
        <w:t>8</w:t>
      </w:r>
      <w:r w:rsidRPr="005A28F5">
        <w:rPr>
          <w:rFonts w:ascii="Times New Roman" w:hAnsi="Times New Roman" w:cs="Times New Roman"/>
          <w:sz w:val="24"/>
          <w:szCs w:val="24"/>
          <w:shd w:val="clear" w:color="auto" w:fill="FFFFFF"/>
          <w:lang w:val="en-GB"/>
        </w:rPr>
        <w:t xml:space="preserve">, </w:t>
      </w:r>
      <w:r w:rsidR="00C10299">
        <w:rPr>
          <w:rFonts w:ascii="Times New Roman" w:hAnsi="Times New Roman" w:cs="Times New Roman"/>
          <w:sz w:val="24"/>
          <w:szCs w:val="24"/>
          <w:shd w:val="clear" w:color="auto" w:fill="FFFFFF"/>
          <w:lang w:val="en-GB"/>
        </w:rPr>
        <w:t>Supplemental</w:t>
      </w:r>
      <w:r w:rsidRPr="005A28F5">
        <w:rPr>
          <w:rFonts w:ascii="Times New Roman" w:hAnsi="Times New Roman" w:cs="Times New Roman"/>
          <w:sz w:val="24"/>
          <w:szCs w:val="24"/>
          <w:shd w:val="clear" w:color="auto" w:fill="FFFFFF"/>
          <w:lang w:val="en-GB"/>
        </w:rPr>
        <w:t xml:space="preserve"> Figure </w:t>
      </w:r>
      <w:r w:rsidR="009C53F4">
        <w:rPr>
          <w:rFonts w:ascii="Times New Roman" w:hAnsi="Times New Roman" w:cs="Times New Roman"/>
          <w:sz w:val="24"/>
          <w:szCs w:val="24"/>
          <w:shd w:val="clear" w:color="auto" w:fill="FFFFFF"/>
          <w:lang w:val="en-GB"/>
        </w:rPr>
        <w:t>2</w:t>
      </w:r>
      <w:r w:rsidRPr="005A28F5">
        <w:rPr>
          <w:rFonts w:ascii="Times New Roman" w:hAnsi="Times New Roman" w:cs="Times New Roman"/>
          <w:sz w:val="24"/>
          <w:szCs w:val="24"/>
          <w:shd w:val="clear" w:color="auto" w:fill="FFFFFF"/>
          <w:lang w:val="en-GB"/>
        </w:rPr>
        <w:t>). No other significant mQTLs were identified</w:t>
      </w:r>
      <w:r w:rsidR="00833FCF" w:rsidRPr="005A28F5">
        <w:rPr>
          <w:rFonts w:ascii="Times New Roman" w:hAnsi="Times New Roman" w:cs="Times New Roman"/>
          <w:sz w:val="24"/>
          <w:szCs w:val="24"/>
          <w:shd w:val="clear" w:color="auto" w:fill="FFFFFF"/>
          <w:lang w:val="en-GB"/>
        </w:rPr>
        <w:t xml:space="preserve">. </w:t>
      </w:r>
      <w:r w:rsidR="00D802CE" w:rsidRPr="005A28F5">
        <w:rPr>
          <w:rFonts w:ascii="Times New Roman" w:hAnsi="Times New Roman" w:cs="Times New Roman"/>
          <w:sz w:val="24"/>
          <w:szCs w:val="24"/>
          <w:shd w:val="clear" w:color="auto" w:fill="FFFFFF"/>
          <w:lang w:val="en-GB"/>
        </w:rPr>
        <w:t>G</w:t>
      </w:r>
      <w:r w:rsidRPr="005A28F5">
        <w:rPr>
          <w:rFonts w:ascii="Times New Roman" w:hAnsi="Times New Roman" w:cs="Times New Roman"/>
          <w:sz w:val="24"/>
          <w:szCs w:val="24"/>
          <w:shd w:val="clear" w:color="auto" w:fill="FFFFFF"/>
          <w:lang w:val="en-GB"/>
        </w:rPr>
        <w:t xml:space="preserve">enotype x environment (nutritional intervention) interaction (G x E) models did not identify any interactions passing FDR </w:t>
      </w:r>
      <w:r w:rsidR="00833FCF" w:rsidRPr="005A28F5">
        <w:rPr>
          <w:rFonts w:ascii="Times New Roman" w:hAnsi="Times New Roman" w:cs="Times New Roman"/>
          <w:sz w:val="24"/>
          <w:szCs w:val="24"/>
          <w:shd w:val="clear" w:color="auto" w:fill="FFFFFF"/>
          <w:lang w:val="en-GB"/>
        </w:rPr>
        <w:t xml:space="preserve">&lt; </w:t>
      </w:r>
      <w:r w:rsidRPr="005A28F5">
        <w:rPr>
          <w:rFonts w:ascii="Times New Roman" w:hAnsi="Times New Roman" w:cs="Times New Roman"/>
          <w:sz w:val="24"/>
          <w:szCs w:val="24"/>
          <w:shd w:val="clear" w:color="auto" w:fill="FFFFFF"/>
          <w:lang w:val="en-GB"/>
        </w:rPr>
        <w:t xml:space="preserve">5%. A high resolution mQTL analysis using </w:t>
      </w:r>
      <w:r w:rsidR="000515FB" w:rsidRPr="005A28F5">
        <w:rPr>
          <w:rFonts w:ascii="Times New Roman" w:hAnsi="Times New Roman" w:cs="Times New Roman"/>
          <w:color w:val="000000" w:themeColor="text1"/>
          <w:sz w:val="24"/>
          <w:szCs w:val="24"/>
          <w:shd w:val="clear" w:color="auto" w:fill="FFFFFF"/>
          <w:lang w:val="en-GB"/>
        </w:rPr>
        <w:lastRenderedPageBreak/>
        <w:t>405,939</w:t>
      </w:r>
      <w:r w:rsidR="00BB401C" w:rsidRPr="005A28F5">
        <w:rPr>
          <w:rFonts w:ascii="Times New Roman" w:hAnsi="Times New Roman" w:cs="Times New Roman"/>
          <w:color w:val="000000" w:themeColor="text1"/>
          <w:sz w:val="24"/>
          <w:szCs w:val="24"/>
          <w:shd w:val="clear" w:color="auto" w:fill="FFFFFF"/>
          <w:lang w:val="en-GB"/>
        </w:rPr>
        <w:t xml:space="preserve"> </w:t>
      </w:r>
      <w:r w:rsidR="00BB401C" w:rsidRPr="005A28F5">
        <w:rPr>
          <w:rFonts w:ascii="Times New Roman" w:hAnsi="Times New Roman" w:cs="Times New Roman"/>
          <w:sz w:val="24"/>
          <w:szCs w:val="24"/>
          <w:shd w:val="clear" w:color="auto" w:fill="FFFFFF"/>
          <w:lang w:val="en-GB"/>
        </w:rPr>
        <w:t xml:space="preserve">SNPs from </w:t>
      </w:r>
      <w:r w:rsidRPr="005A28F5">
        <w:rPr>
          <w:rFonts w:ascii="Times New Roman" w:hAnsi="Times New Roman" w:cs="Times New Roman"/>
          <w:sz w:val="24"/>
          <w:szCs w:val="24"/>
          <w:shd w:val="clear" w:color="auto" w:fill="FFFFFF"/>
          <w:lang w:val="en-GB"/>
        </w:rPr>
        <w:t xml:space="preserve">imputed </w:t>
      </w:r>
      <w:r w:rsidR="00D11F8B" w:rsidRPr="005A28F5">
        <w:rPr>
          <w:rFonts w:ascii="Times New Roman" w:hAnsi="Times New Roman" w:cs="Times New Roman"/>
          <w:sz w:val="24"/>
          <w:szCs w:val="24"/>
          <w:shd w:val="clear" w:color="auto" w:fill="FFFFFF"/>
          <w:lang w:val="en-GB"/>
        </w:rPr>
        <w:t xml:space="preserve">genotype </w:t>
      </w:r>
      <w:r w:rsidRPr="005A28F5">
        <w:rPr>
          <w:rFonts w:ascii="Times New Roman" w:hAnsi="Times New Roman" w:cs="Times New Roman"/>
          <w:sz w:val="24"/>
          <w:szCs w:val="24"/>
          <w:shd w:val="clear" w:color="auto" w:fill="FFFFFF"/>
          <w:lang w:val="en-GB"/>
        </w:rPr>
        <w:t xml:space="preserve">data </w:t>
      </w:r>
      <w:r w:rsidR="00F57DE1" w:rsidRPr="005A28F5">
        <w:rPr>
          <w:rFonts w:ascii="Times New Roman" w:hAnsi="Times New Roman" w:cs="Times New Roman"/>
          <w:sz w:val="24"/>
          <w:szCs w:val="24"/>
          <w:shd w:val="clear" w:color="auto" w:fill="FFFFFF"/>
          <w:lang w:val="en-GB"/>
        </w:rPr>
        <w:t>for</w:t>
      </w:r>
      <w:r w:rsidRPr="005A28F5">
        <w:rPr>
          <w:rFonts w:ascii="Times New Roman" w:hAnsi="Times New Roman" w:cs="Times New Roman"/>
          <w:sz w:val="24"/>
          <w:szCs w:val="24"/>
          <w:shd w:val="clear" w:color="auto" w:fill="FFFFFF"/>
          <w:lang w:val="en-GB"/>
        </w:rPr>
        <w:t xml:space="preserve"> chromosome 5 did not reveal any additional SNPs driving methylation at </w:t>
      </w:r>
      <w:r w:rsidRPr="005A28F5">
        <w:rPr>
          <w:rFonts w:ascii="Times New Roman" w:hAnsi="Times New Roman" w:cs="Times New Roman"/>
          <w:i/>
          <w:sz w:val="24"/>
          <w:szCs w:val="24"/>
          <w:shd w:val="clear" w:color="auto" w:fill="FFFFFF"/>
          <w:lang w:val="en-GB"/>
        </w:rPr>
        <w:t>ESM1</w:t>
      </w:r>
      <w:r w:rsidRPr="005A28F5">
        <w:rPr>
          <w:rFonts w:ascii="Times New Roman" w:hAnsi="Times New Roman" w:cs="Times New Roman"/>
          <w:sz w:val="24"/>
          <w:szCs w:val="24"/>
          <w:shd w:val="clear" w:color="auto" w:fill="FFFFFF"/>
          <w:lang w:val="en-GB"/>
        </w:rPr>
        <w:t>, beyond the association with rs1423249 already identified.</w:t>
      </w:r>
    </w:p>
    <w:p w14:paraId="3C6A0097" w14:textId="77777777" w:rsidR="00E01BB2" w:rsidRPr="005A28F5" w:rsidRDefault="00E01BB2" w:rsidP="001A64D3">
      <w:pPr>
        <w:pStyle w:val="BodyA"/>
        <w:spacing w:line="360" w:lineRule="auto"/>
        <w:rPr>
          <w:rFonts w:ascii="Times New Roman" w:eastAsia="Cambria" w:hAnsi="Times New Roman" w:cs="Times New Roman"/>
          <w:sz w:val="24"/>
          <w:szCs w:val="24"/>
          <w:shd w:val="clear" w:color="auto" w:fill="FFFFFF"/>
          <w:lang w:val="en-GB"/>
        </w:rPr>
      </w:pPr>
    </w:p>
    <w:p w14:paraId="49A580B0" w14:textId="5D3444F4" w:rsidR="00E01BB2" w:rsidRPr="005A28F5" w:rsidRDefault="00BC3B0C" w:rsidP="001A64D3">
      <w:pPr>
        <w:pStyle w:val="BodyA"/>
        <w:spacing w:line="360" w:lineRule="auto"/>
        <w:rPr>
          <w:rFonts w:ascii="Times New Roman" w:eastAsia="Cambria" w:hAnsi="Times New Roman" w:cs="Times New Roman"/>
          <w:sz w:val="24"/>
          <w:szCs w:val="24"/>
          <w:shd w:val="clear" w:color="auto" w:fill="FFFFFF"/>
          <w:lang w:val="en-GB"/>
        </w:rPr>
      </w:pPr>
      <w:r w:rsidRPr="005A28F5">
        <w:rPr>
          <w:rFonts w:ascii="Times New Roman" w:hAnsi="Times New Roman" w:cs="Times New Roman"/>
          <w:sz w:val="24"/>
          <w:szCs w:val="24"/>
          <w:shd w:val="clear" w:color="auto" w:fill="FFFFFF"/>
          <w:lang w:val="en-GB"/>
        </w:rPr>
        <w:t xml:space="preserve">Additional linear modelling showed that for all 7 </w:t>
      </w:r>
      <w:r w:rsidRPr="005A28F5">
        <w:rPr>
          <w:rFonts w:ascii="Times New Roman" w:hAnsi="Times New Roman" w:cs="Times New Roman"/>
          <w:i/>
          <w:sz w:val="24"/>
          <w:szCs w:val="24"/>
          <w:shd w:val="clear" w:color="auto" w:fill="FFFFFF"/>
          <w:lang w:val="en-GB"/>
        </w:rPr>
        <w:t>ESM1</w:t>
      </w:r>
      <w:r w:rsidRPr="005A28F5">
        <w:rPr>
          <w:rFonts w:ascii="Times New Roman" w:hAnsi="Times New Roman" w:cs="Times New Roman"/>
          <w:sz w:val="24"/>
          <w:szCs w:val="24"/>
          <w:shd w:val="clear" w:color="auto" w:fill="FFFFFF"/>
          <w:lang w:val="en-GB"/>
        </w:rPr>
        <w:t xml:space="preserve"> </w:t>
      </w:r>
      <w:r w:rsidR="00B12EF9" w:rsidRPr="005A28F5">
        <w:rPr>
          <w:rFonts w:ascii="Times New Roman" w:hAnsi="Times New Roman" w:cs="Times New Roman"/>
          <w:sz w:val="24"/>
          <w:szCs w:val="24"/>
          <w:shd w:val="clear" w:color="auto" w:fill="FFFFFF"/>
          <w:lang w:val="en-GB"/>
        </w:rPr>
        <w:t>CpG</w:t>
      </w:r>
      <w:r w:rsidRPr="005A28F5">
        <w:rPr>
          <w:rFonts w:ascii="Times New Roman" w:hAnsi="Times New Roman" w:cs="Times New Roman"/>
          <w:sz w:val="24"/>
          <w:szCs w:val="24"/>
          <w:shd w:val="clear" w:color="auto" w:fill="FFFFFF"/>
          <w:lang w:val="en-GB"/>
        </w:rPr>
        <w:t xml:space="preserve">s with the </w:t>
      </w:r>
      <w:r w:rsidRPr="005A28F5">
        <w:rPr>
          <w:rFonts w:ascii="Times New Roman" w:hAnsi="Times New Roman" w:cs="Times New Roman"/>
          <w:i/>
          <w:sz w:val="24"/>
          <w:szCs w:val="24"/>
          <w:shd w:val="clear" w:color="auto" w:fill="FFFFFF"/>
          <w:lang w:val="en-GB"/>
        </w:rPr>
        <w:t>cis</w:t>
      </w:r>
      <w:r w:rsidRPr="005A28F5">
        <w:rPr>
          <w:rFonts w:ascii="Times New Roman" w:hAnsi="Times New Roman" w:cs="Times New Roman"/>
          <w:sz w:val="24"/>
          <w:szCs w:val="24"/>
          <w:shd w:val="clear" w:color="auto" w:fill="FFFFFF"/>
          <w:lang w:val="en-GB"/>
        </w:rPr>
        <w:t xml:space="preserve"> mQTL rs1423249, a G + E model including both genotype (mQTL) and intervention as main </w:t>
      </w:r>
      <w:r w:rsidR="003A03F0" w:rsidRPr="005A28F5">
        <w:rPr>
          <w:rFonts w:ascii="Times New Roman" w:hAnsi="Times New Roman" w:cs="Times New Roman"/>
          <w:sz w:val="24"/>
          <w:szCs w:val="24"/>
          <w:shd w:val="clear" w:color="auto" w:fill="FFFFFF"/>
          <w:lang w:val="en-GB"/>
        </w:rPr>
        <w:t xml:space="preserve">effects provided the best fit </w:t>
      </w:r>
      <w:r w:rsidR="00B16B55" w:rsidRPr="005A28F5">
        <w:rPr>
          <w:rFonts w:ascii="Times New Roman" w:hAnsi="Times New Roman" w:cs="Times New Roman"/>
          <w:sz w:val="24"/>
          <w:szCs w:val="24"/>
          <w:shd w:val="clear" w:color="auto" w:fill="FFFFFF"/>
          <w:lang w:val="en-GB"/>
        </w:rPr>
        <w:t>[</w:t>
      </w:r>
      <w:r w:rsidRPr="005A28F5">
        <w:rPr>
          <w:rFonts w:ascii="Times New Roman" w:hAnsi="Times New Roman" w:cs="Times New Roman"/>
          <w:sz w:val="24"/>
          <w:szCs w:val="24"/>
          <w:shd w:val="clear" w:color="auto" w:fill="FFFFFF"/>
          <w:lang w:val="en-GB"/>
        </w:rPr>
        <w:t>higher adjusted R</w:t>
      </w:r>
      <w:r w:rsidRPr="005A28F5">
        <w:rPr>
          <w:rFonts w:ascii="Times New Roman" w:hAnsi="Times New Roman" w:cs="Times New Roman"/>
          <w:sz w:val="24"/>
          <w:szCs w:val="24"/>
          <w:shd w:val="clear" w:color="auto" w:fill="FFFFFF"/>
          <w:vertAlign w:val="superscript"/>
          <w:lang w:val="en-GB"/>
        </w:rPr>
        <w:t>2</w:t>
      </w:r>
      <w:r w:rsidRPr="005A28F5">
        <w:rPr>
          <w:rFonts w:ascii="Times New Roman" w:hAnsi="Times New Roman" w:cs="Times New Roman"/>
          <w:sz w:val="24"/>
          <w:szCs w:val="24"/>
          <w:shd w:val="clear" w:color="auto" w:fill="FFFFFF"/>
          <w:lang w:val="en-GB"/>
        </w:rPr>
        <w:t xml:space="preserve"> and smaller </w:t>
      </w:r>
      <w:r w:rsidR="00E175ED" w:rsidRPr="005A28F5">
        <w:rPr>
          <w:rFonts w:ascii="Times New Roman" w:hAnsi="Times New Roman" w:cs="Times New Roman"/>
          <w:sz w:val="24"/>
          <w:szCs w:val="24"/>
          <w:shd w:val="clear" w:color="auto" w:fill="FFFFFF"/>
          <w:lang w:val="en-GB"/>
        </w:rPr>
        <w:t>Akaike information criterion</w:t>
      </w:r>
      <w:r w:rsidR="00B16B55" w:rsidRPr="005A28F5">
        <w:rPr>
          <w:rFonts w:ascii="Times New Roman" w:hAnsi="Times New Roman" w:cs="Times New Roman"/>
          <w:sz w:val="24"/>
          <w:szCs w:val="24"/>
          <w:shd w:val="clear" w:color="auto" w:fill="FFFFFF"/>
          <w:lang w:val="en-GB"/>
        </w:rPr>
        <w:t xml:space="preserve"> (AIC)]</w:t>
      </w:r>
      <w:r w:rsidRPr="005A28F5">
        <w:rPr>
          <w:rFonts w:ascii="Times New Roman" w:hAnsi="Times New Roman" w:cs="Times New Roman"/>
          <w:sz w:val="24"/>
          <w:szCs w:val="24"/>
          <w:shd w:val="clear" w:color="auto" w:fill="FFFFFF"/>
          <w:lang w:val="en-GB"/>
        </w:rPr>
        <w:t xml:space="preserve"> compared to G, E or G x E models (</w:t>
      </w:r>
      <w:r w:rsidR="00C10299">
        <w:rPr>
          <w:rFonts w:ascii="Times New Roman" w:hAnsi="Times New Roman" w:cs="Times New Roman"/>
          <w:sz w:val="24"/>
          <w:szCs w:val="24"/>
          <w:shd w:val="clear" w:color="auto" w:fill="FFFFFF"/>
          <w:lang w:val="en-GB"/>
        </w:rPr>
        <w:t>Supplemental</w:t>
      </w:r>
      <w:r w:rsidRPr="005A28F5">
        <w:rPr>
          <w:rFonts w:ascii="Times New Roman" w:hAnsi="Times New Roman" w:cs="Times New Roman"/>
          <w:sz w:val="24"/>
          <w:szCs w:val="24"/>
          <w:shd w:val="clear" w:color="auto" w:fill="FFFFFF"/>
          <w:lang w:val="en-GB"/>
        </w:rPr>
        <w:t xml:space="preserve"> Table </w:t>
      </w:r>
      <w:r w:rsidR="005428E2">
        <w:rPr>
          <w:rFonts w:ascii="Times New Roman" w:hAnsi="Times New Roman" w:cs="Times New Roman"/>
          <w:sz w:val="24"/>
          <w:szCs w:val="24"/>
          <w:shd w:val="clear" w:color="auto" w:fill="FFFFFF"/>
          <w:lang w:val="en-GB"/>
        </w:rPr>
        <w:t>9</w:t>
      </w:r>
      <w:r w:rsidR="005428E2" w:rsidRPr="005A28F5">
        <w:rPr>
          <w:rFonts w:ascii="Times New Roman" w:hAnsi="Times New Roman" w:cs="Times New Roman"/>
          <w:sz w:val="24"/>
          <w:szCs w:val="24"/>
          <w:shd w:val="clear" w:color="auto" w:fill="FFFFFF"/>
          <w:lang w:val="en-GB"/>
        </w:rPr>
        <w:t xml:space="preserve"> </w:t>
      </w:r>
      <w:r w:rsidR="00D67903" w:rsidRPr="005A28F5">
        <w:rPr>
          <w:rFonts w:ascii="Times New Roman" w:hAnsi="Times New Roman" w:cs="Times New Roman"/>
          <w:sz w:val="24"/>
          <w:szCs w:val="24"/>
          <w:shd w:val="clear" w:color="auto" w:fill="FFFFFF"/>
          <w:lang w:val="en-GB"/>
        </w:rPr>
        <w:t xml:space="preserve">and </w:t>
      </w:r>
      <w:r w:rsidR="00C10299">
        <w:rPr>
          <w:rFonts w:ascii="Times New Roman" w:hAnsi="Times New Roman" w:cs="Times New Roman"/>
          <w:sz w:val="24"/>
          <w:szCs w:val="24"/>
          <w:shd w:val="clear" w:color="auto" w:fill="FFFFFF"/>
          <w:lang w:val="en-GB"/>
        </w:rPr>
        <w:t>Supplemental</w:t>
      </w:r>
      <w:r w:rsidR="00D67903" w:rsidRPr="005A28F5">
        <w:rPr>
          <w:rFonts w:ascii="Times New Roman" w:hAnsi="Times New Roman" w:cs="Times New Roman"/>
          <w:sz w:val="24"/>
          <w:szCs w:val="24"/>
          <w:shd w:val="clear" w:color="auto" w:fill="FFFFFF"/>
          <w:lang w:val="en-GB"/>
        </w:rPr>
        <w:t xml:space="preserve"> Methods</w:t>
      </w:r>
      <w:r w:rsidRPr="005A28F5">
        <w:rPr>
          <w:rFonts w:ascii="Times New Roman" w:hAnsi="Times New Roman" w:cs="Times New Roman"/>
          <w:sz w:val="24"/>
          <w:szCs w:val="24"/>
          <w:shd w:val="clear" w:color="auto" w:fill="FFFFFF"/>
          <w:lang w:val="en-GB"/>
        </w:rPr>
        <w:t xml:space="preserve">). For all 7 </w:t>
      </w:r>
      <w:r w:rsidRPr="005A28F5">
        <w:rPr>
          <w:rFonts w:ascii="Times New Roman" w:hAnsi="Times New Roman" w:cs="Times New Roman"/>
          <w:i/>
          <w:sz w:val="24"/>
          <w:szCs w:val="24"/>
          <w:shd w:val="clear" w:color="auto" w:fill="FFFFFF"/>
          <w:lang w:val="en-GB"/>
        </w:rPr>
        <w:t>ESM1</w:t>
      </w:r>
      <w:r w:rsidRPr="005A28F5">
        <w:rPr>
          <w:rFonts w:ascii="Times New Roman" w:hAnsi="Times New Roman" w:cs="Times New Roman"/>
          <w:sz w:val="24"/>
          <w:szCs w:val="24"/>
          <w:shd w:val="clear" w:color="auto" w:fill="FFFFFF"/>
          <w:lang w:val="en-GB"/>
        </w:rPr>
        <w:t xml:space="preserve"> </w:t>
      </w:r>
      <w:r w:rsidR="00B12EF9" w:rsidRPr="005A28F5">
        <w:rPr>
          <w:rFonts w:ascii="Times New Roman" w:hAnsi="Times New Roman" w:cs="Times New Roman"/>
          <w:sz w:val="24"/>
          <w:szCs w:val="24"/>
          <w:shd w:val="clear" w:color="auto" w:fill="FFFFFF"/>
          <w:lang w:val="en-GB"/>
        </w:rPr>
        <w:t>CpG</w:t>
      </w:r>
      <w:r w:rsidRPr="005A28F5">
        <w:rPr>
          <w:rFonts w:ascii="Times New Roman" w:hAnsi="Times New Roman" w:cs="Times New Roman"/>
          <w:sz w:val="24"/>
          <w:szCs w:val="24"/>
          <w:shd w:val="clear" w:color="auto" w:fill="FFFFFF"/>
          <w:lang w:val="en-GB"/>
        </w:rPr>
        <w:t>s, the combined G + E models suggest that intervention and mQTL (allelic) main effects are highly significant and similar in magnitude (</w:t>
      </w:r>
      <w:r w:rsidR="00C10299">
        <w:rPr>
          <w:rFonts w:ascii="Times New Roman" w:hAnsi="Times New Roman" w:cs="Times New Roman"/>
          <w:sz w:val="24"/>
          <w:szCs w:val="24"/>
          <w:shd w:val="clear" w:color="auto" w:fill="FFFFFF"/>
          <w:lang w:val="en-GB"/>
        </w:rPr>
        <w:t>Supplemental</w:t>
      </w:r>
      <w:r w:rsidRPr="005A28F5">
        <w:rPr>
          <w:rFonts w:ascii="Times New Roman" w:hAnsi="Times New Roman" w:cs="Times New Roman"/>
          <w:sz w:val="24"/>
          <w:szCs w:val="24"/>
          <w:shd w:val="clear" w:color="auto" w:fill="FFFFFF"/>
          <w:lang w:val="en-GB"/>
        </w:rPr>
        <w:t xml:space="preserve"> Table </w:t>
      </w:r>
      <w:r w:rsidR="005428E2">
        <w:rPr>
          <w:rFonts w:ascii="Times New Roman" w:hAnsi="Times New Roman" w:cs="Times New Roman"/>
          <w:sz w:val="24"/>
          <w:szCs w:val="24"/>
          <w:shd w:val="clear" w:color="auto" w:fill="FFFFFF"/>
          <w:lang w:val="en-GB"/>
        </w:rPr>
        <w:t>10</w:t>
      </w:r>
      <w:r w:rsidRPr="005A28F5">
        <w:rPr>
          <w:rFonts w:ascii="Times New Roman" w:hAnsi="Times New Roman" w:cs="Times New Roman"/>
          <w:sz w:val="24"/>
          <w:szCs w:val="24"/>
          <w:shd w:val="clear" w:color="auto" w:fill="FFFFFF"/>
          <w:lang w:val="en-GB"/>
        </w:rPr>
        <w:t>).</w:t>
      </w:r>
    </w:p>
    <w:p w14:paraId="791B2303" w14:textId="77777777" w:rsidR="006E2307" w:rsidRPr="005A28F5" w:rsidRDefault="006E2307" w:rsidP="001A64D3">
      <w:pPr>
        <w:pStyle w:val="BodyA"/>
        <w:spacing w:line="360" w:lineRule="auto"/>
        <w:rPr>
          <w:rFonts w:ascii="Times New Roman" w:eastAsia="Cambria" w:hAnsi="Times New Roman" w:cs="Times New Roman"/>
          <w:color w:val="FF644E"/>
          <w:sz w:val="24"/>
          <w:szCs w:val="24"/>
          <w:u w:color="FF644E"/>
          <w:shd w:val="clear" w:color="auto" w:fill="FFFFFF"/>
          <w:lang w:val="en-GB"/>
        </w:rPr>
      </w:pPr>
    </w:p>
    <w:p w14:paraId="645E237A" w14:textId="39463DF3" w:rsidR="002B47EA" w:rsidRPr="005A28F5" w:rsidRDefault="00A10502" w:rsidP="001A64D3">
      <w:pPr>
        <w:pStyle w:val="BodyA"/>
        <w:spacing w:line="360" w:lineRule="auto"/>
        <w:rPr>
          <w:rFonts w:ascii="Times New Roman" w:hAnsi="Times New Roman" w:cs="Times New Roman"/>
          <w:sz w:val="24"/>
          <w:szCs w:val="24"/>
          <w:lang w:val="en-GB"/>
        </w:rPr>
      </w:pPr>
      <w:r w:rsidRPr="005A28F5">
        <w:rPr>
          <w:rFonts w:ascii="Times New Roman" w:hAnsi="Times New Roman" w:cs="Times New Roman"/>
          <w:sz w:val="24"/>
          <w:szCs w:val="24"/>
          <w:shd w:val="clear" w:color="auto" w:fill="FFFFFF"/>
          <w:lang w:val="en-GB"/>
        </w:rPr>
        <w:t>mQTLs may suggest regulatory pathways underlying reported GWAS signals for common diseases</w:t>
      </w:r>
      <w:r w:rsidRPr="005A28F5">
        <w:rPr>
          <w:rFonts w:ascii="Times New Roman" w:hAnsi="Times New Roman" w:cs="Times New Roman"/>
          <w:color w:val="FF644E" w:themeColor="accent5"/>
          <w:sz w:val="24"/>
          <w:szCs w:val="24"/>
          <w:shd w:val="clear" w:color="auto" w:fill="FFFFFF"/>
          <w:lang w:val="en-GB"/>
        </w:rPr>
        <w:t xml:space="preserve"> </w:t>
      </w:r>
      <w:r w:rsidRPr="005A28F5">
        <w:rPr>
          <w:rFonts w:ascii="Times New Roman" w:hAnsi="Times New Roman" w:cs="Times New Roman"/>
          <w:color w:val="000000" w:themeColor="text1"/>
          <w:sz w:val="24"/>
          <w:szCs w:val="24"/>
          <w:shd w:val="clear" w:color="auto" w:fill="FFFFFF"/>
          <w:lang w:val="en-GB"/>
        </w:rPr>
        <w:fldChar w:fldCharType="begin" w:fldLock="1"/>
      </w:r>
      <w:r w:rsidR="000C3130">
        <w:rPr>
          <w:rFonts w:ascii="Times New Roman" w:hAnsi="Times New Roman" w:cs="Times New Roman"/>
          <w:color w:val="000000" w:themeColor="text1"/>
          <w:sz w:val="24"/>
          <w:szCs w:val="24"/>
          <w:shd w:val="clear" w:color="auto" w:fill="FFFFFF"/>
          <w:lang w:val="en-GB"/>
        </w:rPr>
        <w:instrText>ADDIN CSL_CITATION {"citationItems":[{"id":"ITEM-1","itemData":{"DOI":"10.1186/s13059-017-1250-y","ISSN":"1474760X","PMID":"28629478","abstract":"Studies on genetic–epigenetic interactions, including the mapping of methylation quantitative trait loci (mQTLs) and haplotype-dependent allele-specific DNA methylation (hap-ASM), have become a major focus in the post-genome-wide-association-study (GWAS) era. Such maps can nominate regulatory sequence variants that underlie GWAS signals for common diseases, ranging from neuropsychiatric disorders to cancers. Conversely, mQTLs need to be filtered out when searching for non-genetic effects in epigenome-wide association studies (EWAS). Sequence variants in CCCTC-binding factor (CTCF) and transcription factor binding sites have been mechanistically linked to mQTLs and hap-ASM. Identifying these sites can point to disease-associated transcriptional pathways, with implications for targeted treatment and prevention.","author":[{"dropping-particle":"","family":"Do","given":"Catherine","non-dropping-particle":"","parse-names":false,"suffix":""},{"dropping-particle":"","family":"Shearer","given":"Alyssa","non-dropping-particle":"","parse-names":false,"suffix":""},{"dropping-particle":"","family":"Suzuki","given":"Masako","non-dropping-particle":"","parse-names":false,"suffix":""},{"dropping-particle":"","family":"Terry","given":"Mary Beth","non-dropping-particle":"","parse-names":false,"suffix":""},{"dropping-particle":"","family":"Gelernter","given":"Joel","non-dropping-particle":"","parse-names":false,"suffix":""},{"dropping-particle":"","family":"Greally","given":"John M.","non-dropping-particle":"","parse-names":false,"suffix":""},{"dropping-particle":"","family":"Tycko","given":"Benjamin","non-dropping-particle":"","parse-names":false,"suffix":""}],"container-title":"Genome Biology","id":"ITEM-1","issue":"1","issued":{"date-parts":[["2017"]]},"page":"1-22","publisher":"Genome Biology","title":"Genetic-epigenetic interactions in cis: A major focus in the post-GWAS era","type":"article-journal","volume":"18"},"uris":["http://www.mendeley.com/documents/?uuid=1cc6f628-6594-4b01-a273-ea5ccf8c800d"]}],"mendeley":{"formattedCitation":"(47)","plainTextFormattedCitation":"(47)","previouslyFormattedCitation":"(47)"},"properties":{"noteIndex":0},"schema":"https://github.com/citation-style-language/schema/raw/master/csl-citation.json"}</w:instrText>
      </w:r>
      <w:r w:rsidRPr="005A28F5">
        <w:rPr>
          <w:rFonts w:ascii="Times New Roman" w:hAnsi="Times New Roman" w:cs="Times New Roman"/>
          <w:color w:val="000000" w:themeColor="text1"/>
          <w:sz w:val="24"/>
          <w:szCs w:val="24"/>
          <w:shd w:val="clear" w:color="auto" w:fill="FFFFFF"/>
          <w:lang w:val="en-GB"/>
        </w:rPr>
        <w:fldChar w:fldCharType="separate"/>
      </w:r>
      <w:r w:rsidR="002A7D5D" w:rsidRPr="002A7D5D">
        <w:rPr>
          <w:rFonts w:ascii="Times New Roman" w:hAnsi="Times New Roman" w:cs="Times New Roman"/>
          <w:noProof/>
          <w:color w:val="000000" w:themeColor="text1"/>
          <w:sz w:val="24"/>
          <w:szCs w:val="24"/>
          <w:shd w:val="clear" w:color="auto" w:fill="FFFFFF"/>
          <w:lang w:val="en-GB"/>
        </w:rPr>
        <w:t>(47)</w:t>
      </w:r>
      <w:r w:rsidRPr="005A28F5">
        <w:rPr>
          <w:rFonts w:ascii="Times New Roman" w:hAnsi="Times New Roman" w:cs="Times New Roman"/>
          <w:color w:val="000000" w:themeColor="text1"/>
          <w:sz w:val="24"/>
          <w:szCs w:val="24"/>
          <w:shd w:val="clear" w:color="auto" w:fill="FFFFFF"/>
          <w:lang w:val="en-GB"/>
        </w:rPr>
        <w:fldChar w:fldCharType="end"/>
      </w:r>
      <w:r w:rsidRPr="005A28F5">
        <w:rPr>
          <w:rFonts w:ascii="Times New Roman" w:hAnsi="Times New Roman" w:cs="Times New Roman"/>
          <w:color w:val="000000" w:themeColor="text1"/>
          <w:sz w:val="24"/>
          <w:szCs w:val="24"/>
          <w:shd w:val="clear" w:color="auto" w:fill="FFFFFF"/>
          <w:lang w:val="en-GB"/>
        </w:rPr>
        <w:t xml:space="preserve">. </w:t>
      </w:r>
      <w:r w:rsidRPr="005A28F5">
        <w:rPr>
          <w:rFonts w:ascii="Times New Roman" w:hAnsi="Times New Roman" w:cs="Times New Roman"/>
          <w:sz w:val="24"/>
          <w:szCs w:val="24"/>
          <w:shd w:val="clear" w:color="auto" w:fill="FFFFFF"/>
          <w:lang w:val="en-GB"/>
        </w:rPr>
        <w:t xml:space="preserve">We therefore used </w:t>
      </w:r>
      <w:r w:rsidRPr="005A28F5">
        <w:rPr>
          <w:rFonts w:ascii="Times New Roman" w:hAnsi="Times New Roman" w:cs="Times New Roman"/>
          <w:sz w:val="24"/>
          <w:szCs w:val="24"/>
          <w:lang w:val="en-GB"/>
        </w:rPr>
        <w:t>t</w:t>
      </w:r>
      <w:r w:rsidRPr="005A28F5">
        <w:rPr>
          <w:rFonts w:ascii="Times New Roman" w:hAnsi="Times New Roman" w:cs="Times New Roman"/>
          <w:sz w:val="24"/>
          <w:szCs w:val="24"/>
          <w:shd w:val="clear" w:color="auto" w:fill="FFFFFF"/>
          <w:lang w:val="en-GB"/>
        </w:rPr>
        <w:t>he</w:t>
      </w:r>
      <w:r w:rsidRPr="005A28F5">
        <w:rPr>
          <w:rFonts w:ascii="Times New Roman" w:hAnsi="Times New Roman" w:cs="Times New Roman"/>
          <w:sz w:val="24"/>
          <w:szCs w:val="24"/>
          <w:lang w:val="en-GB"/>
        </w:rPr>
        <w:t xml:space="preserve"> </w:t>
      </w:r>
      <w:r w:rsidR="006E2722" w:rsidRPr="005A28F5">
        <w:rPr>
          <w:rFonts w:ascii="Times New Roman" w:hAnsi="Times New Roman" w:cs="Times New Roman"/>
          <w:sz w:val="24"/>
          <w:szCs w:val="24"/>
          <w:lang w:val="en-GB"/>
        </w:rPr>
        <w:t xml:space="preserve">single genome-wide significant </w:t>
      </w:r>
      <w:r w:rsidR="00EE578B" w:rsidRPr="005A28F5">
        <w:rPr>
          <w:rFonts w:ascii="Times New Roman" w:hAnsi="Times New Roman" w:cs="Times New Roman"/>
          <w:i/>
          <w:sz w:val="24"/>
          <w:szCs w:val="24"/>
          <w:lang w:val="en-GB"/>
        </w:rPr>
        <w:t>ESM1</w:t>
      </w:r>
      <w:r w:rsidR="00EE578B" w:rsidRPr="005A28F5">
        <w:rPr>
          <w:rFonts w:ascii="Times New Roman" w:hAnsi="Times New Roman" w:cs="Times New Roman"/>
          <w:sz w:val="24"/>
          <w:szCs w:val="24"/>
          <w:lang w:val="en-GB"/>
        </w:rPr>
        <w:t xml:space="preserve"> </w:t>
      </w:r>
      <w:r w:rsidRPr="005A28F5">
        <w:rPr>
          <w:rFonts w:ascii="Times New Roman" w:hAnsi="Times New Roman" w:cs="Times New Roman"/>
          <w:i/>
          <w:sz w:val="24"/>
          <w:szCs w:val="24"/>
          <w:lang w:val="en-GB"/>
        </w:rPr>
        <w:t>cis</w:t>
      </w:r>
      <w:r w:rsidRPr="005A28F5">
        <w:rPr>
          <w:rFonts w:ascii="Times New Roman" w:hAnsi="Times New Roman" w:cs="Times New Roman"/>
          <w:sz w:val="24"/>
          <w:szCs w:val="24"/>
          <w:lang w:val="en-GB"/>
        </w:rPr>
        <w:t xml:space="preserve"> mQTL to search a database of previously published GWAS associations </w:t>
      </w:r>
      <w:r w:rsidRPr="005A28F5">
        <w:rPr>
          <w:rStyle w:val="None"/>
          <w:rFonts w:ascii="Times New Roman" w:hAnsi="Times New Roman" w:cs="Times New Roman"/>
          <w:sz w:val="24"/>
          <w:szCs w:val="24"/>
          <w:lang w:val="en-GB"/>
        </w:rPr>
        <w:fldChar w:fldCharType="begin" w:fldLock="1"/>
      </w:r>
      <w:r w:rsidR="000C3130">
        <w:rPr>
          <w:rStyle w:val="None"/>
          <w:rFonts w:ascii="Times New Roman" w:hAnsi="Times New Roman" w:cs="Times New Roman"/>
          <w:sz w:val="24"/>
          <w:szCs w:val="24"/>
          <w:lang w:val="en-GB"/>
        </w:rPr>
        <w:instrText>ADDIN CSL_CITATION {"citationItems":[{"id":"ITEM-1","itemData":{"DOI":"10.1093/bioinformatics/btw373","ISBN":"13674811 (Electronic)","ISSN":"1367-4803","PMID":"27318201","abstract":"PhenoScanner is a curated database of publicly available results from large-scale genetic association studies. This tool aims to facilitate 'phenome scans', the cross-referencing of genetic variants with many phenotypes, to help aid understanding of disease pathways and biology. The database currently contains over 350 million association results and over 10 million unique genetic variants, mostly single nucleotide polymorphisms. It is accompanied by a web-based tool that queries the database for associations with user-specified variants, providing results according to the same effect and non-effect alleles for each input variant. The tool provides the option of searching for trait associations with proxies of the input variants, calculated using the European samples from 1000 Genomes and Hapmap. AVAILABILITY AND IMPLEMENTATION PhenoScanner is available at www.phenoscanner.medschl.cam.ac.uk CONTACT: jrs95@medschl.cam.ac.ukSupplementary information: Supplementary data are available at Bioinformatics online.","author":[{"dropping-particle":"","family":"Staley","given":"James R.","non-dropping-particle":"","parse-names":false,"suffix":""},{"dropping-particle":"","family":"Blackshaw","given":"James","non-dropping-particle":"","parse-names":false,"suffix":""},{"dropping-particle":"","family":"Kamat","given":"Mihir A.","non-dropping-particle":"","parse-names":false,"suffix":""},{"dropping-particle":"","family":"Ellis","given":"Steve","non-dropping-particle":"","parse-names":false,"suffix":""},{"dropping-particle":"","family":"Surendran","given":"Praveen","non-dropping-particle":"","parse-names":false,"suffix":""},{"dropping-particle":"","family":"Sun","given":"Benjamin B.","non-dropping-particle":"","parse-names":false,"suffix":""},{"dropping-particle":"","family":"Paul","given":"Dirk S.","non-dropping-particle":"","parse-names":false,"suffix":""},{"dropping-particle":"","family":"Freitag","given":"Daniel","non-dropping-particle":"","parse-names":false,"suffix":""},{"dropping-particle":"","family":"Burgess","given":"Stephen","non-dropping-particle":"","parse-names":false,"suffix":""},{"dropping-particle":"","family":"Danesh","given":"John","non-dropping-particle":"","parse-names":false,"suffix":""},{"dropping-particle":"","family":"Young","given":"Robin","non-dropping-particle":"","parse-names":false,"suffix":""},{"dropping-particle":"","family":"Butterworth","given":"Adam S.","non-dropping-particle":"","parse-names":false,"suffix":""}],"container-title":"Bioinformatics","id":"ITEM-1","issue":"20","issued":{"date-parts":[["2016","10"]]},"page":"3207-3209","title":"PhenoScanner: a database of human genotype–phenotype associations","type":"article-journal","volume":"32"},"uris":["http://www.mendeley.com/documents/?uuid=f7f625c0-a109-44ae-838d-7dce82cd9432"]}],"mendeley":{"formattedCitation":"(43)","plainTextFormattedCitation":"(43)","previouslyFormattedCitation":"(43)"},"properties":{"noteIndex":0},"schema":"https://github.com/citation-style-language/schema/raw/master/csl-citation.json"}</w:instrText>
      </w:r>
      <w:r w:rsidRPr="005A28F5">
        <w:rPr>
          <w:rStyle w:val="None"/>
          <w:rFonts w:ascii="Times New Roman" w:hAnsi="Times New Roman" w:cs="Times New Roman"/>
          <w:sz w:val="24"/>
          <w:szCs w:val="24"/>
          <w:lang w:val="en-GB"/>
        </w:rPr>
        <w:fldChar w:fldCharType="separate"/>
      </w:r>
      <w:r w:rsidR="002A7D5D" w:rsidRPr="002A7D5D">
        <w:rPr>
          <w:rStyle w:val="None"/>
          <w:rFonts w:ascii="Times New Roman" w:hAnsi="Times New Roman" w:cs="Times New Roman"/>
          <w:noProof/>
          <w:sz w:val="24"/>
          <w:szCs w:val="24"/>
          <w:lang w:val="en-GB"/>
        </w:rPr>
        <w:t>(43)</w:t>
      </w:r>
      <w:r w:rsidRPr="005A28F5">
        <w:rPr>
          <w:rStyle w:val="None"/>
          <w:rFonts w:ascii="Times New Roman" w:hAnsi="Times New Roman" w:cs="Times New Roman"/>
          <w:sz w:val="24"/>
          <w:szCs w:val="24"/>
          <w:lang w:val="en-GB"/>
        </w:rPr>
        <w:fldChar w:fldCharType="end"/>
      </w:r>
      <w:r w:rsidRPr="005A28F5">
        <w:rPr>
          <w:rFonts w:ascii="Times New Roman" w:hAnsi="Times New Roman" w:cs="Times New Roman"/>
          <w:sz w:val="24"/>
          <w:szCs w:val="24"/>
          <w:lang w:val="en-GB"/>
        </w:rPr>
        <w:t xml:space="preserve">. We found </w:t>
      </w:r>
      <w:r w:rsidR="00753B21" w:rsidRPr="005A28F5">
        <w:rPr>
          <w:rFonts w:ascii="Times New Roman" w:hAnsi="Times New Roman" w:cs="Times New Roman"/>
          <w:sz w:val="24"/>
          <w:szCs w:val="24"/>
          <w:lang w:val="en-GB"/>
        </w:rPr>
        <w:t xml:space="preserve">suggestive </w:t>
      </w:r>
      <w:r w:rsidR="003A2907" w:rsidRPr="005A28F5">
        <w:rPr>
          <w:rFonts w:ascii="Times New Roman" w:hAnsi="Times New Roman" w:cs="Times New Roman"/>
          <w:sz w:val="24"/>
          <w:szCs w:val="24"/>
          <w:lang w:val="en-GB"/>
        </w:rPr>
        <w:t>evidence that rs1423249 and</w:t>
      </w:r>
      <w:r w:rsidR="006D4ECC" w:rsidRPr="005A28F5">
        <w:rPr>
          <w:rFonts w:ascii="Times New Roman" w:hAnsi="Times New Roman" w:cs="Times New Roman"/>
          <w:sz w:val="24"/>
          <w:szCs w:val="24"/>
          <w:lang w:val="en-GB"/>
        </w:rPr>
        <w:t>/or</w:t>
      </w:r>
      <w:r w:rsidR="003A2907" w:rsidRPr="005A28F5">
        <w:rPr>
          <w:rFonts w:ascii="Times New Roman" w:hAnsi="Times New Roman" w:cs="Times New Roman"/>
          <w:sz w:val="24"/>
          <w:szCs w:val="24"/>
          <w:lang w:val="en-GB"/>
        </w:rPr>
        <w:t xml:space="preserve"> associated SNPs in strong LD are associated with pericarditis and kidney function </w:t>
      </w:r>
      <w:r w:rsidRPr="005A28F5">
        <w:rPr>
          <w:rFonts w:ascii="Times New Roman" w:hAnsi="Times New Roman" w:cs="Times New Roman"/>
          <w:sz w:val="24"/>
          <w:szCs w:val="24"/>
          <w:lang w:val="en-GB"/>
        </w:rPr>
        <w:t>(</w:t>
      </w:r>
      <w:r w:rsidR="00C10299">
        <w:rPr>
          <w:rFonts w:ascii="Times New Roman" w:hAnsi="Times New Roman" w:cs="Times New Roman"/>
          <w:sz w:val="24"/>
          <w:szCs w:val="24"/>
          <w:lang w:val="en-GB"/>
        </w:rPr>
        <w:t>Supplemental</w:t>
      </w:r>
      <w:r w:rsidRPr="005A28F5">
        <w:rPr>
          <w:rFonts w:ascii="Times New Roman" w:hAnsi="Times New Roman" w:cs="Times New Roman"/>
          <w:sz w:val="24"/>
          <w:szCs w:val="24"/>
          <w:lang w:val="en-GB"/>
        </w:rPr>
        <w:t xml:space="preserve"> Table </w:t>
      </w:r>
      <w:r w:rsidR="005428E2">
        <w:rPr>
          <w:rFonts w:ascii="Times New Roman" w:hAnsi="Times New Roman" w:cs="Times New Roman"/>
          <w:sz w:val="24"/>
          <w:szCs w:val="24"/>
          <w:lang w:val="en-GB"/>
        </w:rPr>
        <w:t>11</w:t>
      </w:r>
      <w:r w:rsidRPr="005A28F5">
        <w:rPr>
          <w:rFonts w:ascii="Times New Roman" w:hAnsi="Times New Roman" w:cs="Times New Roman"/>
          <w:sz w:val="24"/>
          <w:szCs w:val="24"/>
          <w:lang w:val="en-GB"/>
        </w:rPr>
        <w:t>).</w:t>
      </w:r>
    </w:p>
    <w:p w14:paraId="1EBB90F3" w14:textId="77777777" w:rsidR="00D47D99" w:rsidRPr="005A28F5" w:rsidRDefault="00D47D99" w:rsidP="001A64D3">
      <w:pPr>
        <w:pStyle w:val="BodyA"/>
        <w:spacing w:line="360" w:lineRule="auto"/>
        <w:rPr>
          <w:rFonts w:ascii="Times New Roman" w:hAnsi="Times New Roman" w:cs="Times New Roman"/>
          <w:sz w:val="24"/>
          <w:szCs w:val="24"/>
          <w:lang w:val="en-GB"/>
        </w:rPr>
      </w:pPr>
    </w:p>
    <w:p w14:paraId="4F2663E2" w14:textId="57A15C48" w:rsidR="00E01BB2" w:rsidRPr="003F29C8" w:rsidRDefault="00BC3B0C" w:rsidP="001A64D3">
      <w:pPr>
        <w:pStyle w:val="BodyA"/>
        <w:spacing w:line="360" w:lineRule="auto"/>
        <w:outlineLvl w:val="0"/>
        <w:rPr>
          <w:rFonts w:ascii="Times New Roman" w:eastAsia="Cambria" w:hAnsi="Times New Roman" w:cs="Times New Roman"/>
          <w:sz w:val="28"/>
          <w:szCs w:val="28"/>
          <w:lang w:val="en-GB"/>
        </w:rPr>
      </w:pPr>
      <w:r w:rsidRPr="003F29C8">
        <w:rPr>
          <w:rFonts w:ascii="Times New Roman" w:hAnsi="Times New Roman" w:cs="Times New Roman"/>
          <w:sz w:val="28"/>
          <w:szCs w:val="28"/>
          <w:lang w:val="en-GB"/>
        </w:rPr>
        <w:t>Enrichment of metastable epialleles and imprinted genes</w:t>
      </w:r>
    </w:p>
    <w:p w14:paraId="0ED2C160" w14:textId="095304FC" w:rsidR="00E01BB2" w:rsidRPr="005A28F5" w:rsidRDefault="00BC3B0C" w:rsidP="001A64D3">
      <w:pPr>
        <w:pStyle w:val="BodyA"/>
        <w:spacing w:line="360" w:lineRule="auto"/>
        <w:rPr>
          <w:rFonts w:ascii="Times New Roman" w:eastAsia="Cambria" w:hAnsi="Times New Roman" w:cs="Times New Roman"/>
          <w:sz w:val="28"/>
          <w:szCs w:val="28"/>
          <w:lang w:val="en-GB"/>
        </w:rPr>
      </w:pPr>
      <w:r w:rsidRPr="005A28F5">
        <w:rPr>
          <w:rFonts w:ascii="Times New Roman" w:hAnsi="Times New Roman" w:cs="Times New Roman"/>
          <w:sz w:val="24"/>
          <w:szCs w:val="24"/>
          <w:shd w:val="clear" w:color="auto" w:fill="FFFFFF"/>
          <w:lang w:val="en-GB"/>
        </w:rPr>
        <w:t xml:space="preserve">To </w:t>
      </w:r>
      <w:r w:rsidR="00F57DE1" w:rsidRPr="005A28F5">
        <w:rPr>
          <w:rFonts w:ascii="Times New Roman" w:hAnsi="Times New Roman" w:cs="Times New Roman"/>
          <w:sz w:val="24"/>
          <w:szCs w:val="24"/>
          <w:shd w:val="clear" w:color="auto" w:fill="FFFFFF"/>
          <w:lang w:val="en-GB"/>
        </w:rPr>
        <w:t>assess the</w:t>
      </w:r>
      <w:r w:rsidRPr="005A28F5">
        <w:rPr>
          <w:rFonts w:ascii="Times New Roman" w:hAnsi="Times New Roman" w:cs="Times New Roman"/>
          <w:sz w:val="24"/>
          <w:szCs w:val="24"/>
          <w:shd w:val="clear" w:color="auto" w:fill="FFFFFF"/>
          <w:lang w:val="en-GB"/>
        </w:rPr>
        <w:t xml:space="preserve"> presence of </w:t>
      </w:r>
      <w:r w:rsidRPr="005A28F5">
        <w:rPr>
          <w:rFonts w:ascii="Times New Roman" w:hAnsi="Times New Roman" w:cs="Times New Roman"/>
          <w:color w:val="000000" w:themeColor="text1"/>
          <w:sz w:val="24"/>
          <w:szCs w:val="24"/>
          <w:shd w:val="clear" w:color="auto" w:fill="FFFFFF"/>
          <w:lang w:val="en-GB"/>
        </w:rPr>
        <w:t>sub-threshold</w:t>
      </w:r>
      <w:r w:rsidR="00BE1515" w:rsidRPr="005A28F5">
        <w:rPr>
          <w:rFonts w:ascii="Times New Roman" w:hAnsi="Times New Roman" w:cs="Times New Roman"/>
          <w:color w:val="000000" w:themeColor="text1"/>
          <w:sz w:val="24"/>
          <w:szCs w:val="24"/>
          <w:shd w:val="clear" w:color="auto" w:fill="FFFFFF"/>
          <w:lang w:val="en-GB"/>
        </w:rPr>
        <w:t xml:space="preserve"> </w:t>
      </w:r>
      <w:r w:rsidRPr="005A28F5">
        <w:rPr>
          <w:rFonts w:ascii="Times New Roman" w:hAnsi="Times New Roman" w:cs="Times New Roman"/>
          <w:color w:val="000000" w:themeColor="text1"/>
          <w:sz w:val="24"/>
          <w:szCs w:val="24"/>
          <w:shd w:val="clear" w:color="auto" w:fill="FFFFFF"/>
          <w:lang w:val="en-GB"/>
        </w:rPr>
        <w:t xml:space="preserve">signals </w:t>
      </w:r>
      <w:r w:rsidR="00CB0805">
        <w:rPr>
          <w:rFonts w:ascii="Times New Roman" w:hAnsi="Times New Roman" w:cs="Times New Roman"/>
          <w:color w:val="000000" w:themeColor="text1"/>
          <w:sz w:val="24"/>
          <w:szCs w:val="24"/>
          <w:shd w:val="clear" w:color="auto" w:fill="FFFFFF"/>
          <w:lang w:val="en-GB"/>
        </w:rPr>
        <w:t xml:space="preserve">sensitive to periconceptional nutrition </w:t>
      </w:r>
      <w:r w:rsidR="007E5060" w:rsidRPr="005A28F5">
        <w:rPr>
          <w:rFonts w:ascii="Times New Roman" w:hAnsi="Times New Roman" w:cs="Times New Roman"/>
          <w:color w:val="000000" w:themeColor="text1"/>
          <w:sz w:val="24"/>
          <w:szCs w:val="24"/>
          <w:shd w:val="clear" w:color="auto" w:fill="FFFFFF"/>
          <w:lang w:val="en-GB"/>
        </w:rPr>
        <w:t xml:space="preserve">(at </w:t>
      </w:r>
      <w:r w:rsidRPr="005A28F5">
        <w:rPr>
          <w:rFonts w:ascii="Times New Roman" w:hAnsi="Times New Roman" w:cs="Times New Roman"/>
          <w:color w:val="000000" w:themeColor="text1"/>
          <w:sz w:val="24"/>
          <w:szCs w:val="24"/>
          <w:shd w:val="clear" w:color="auto" w:fill="FFFFFF"/>
          <w:lang w:val="en-GB"/>
        </w:rPr>
        <w:t xml:space="preserve">nominal </w:t>
      </w:r>
      <w:r w:rsidRPr="005A28F5">
        <w:rPr>
          <w:rFonts w:ascii="Times New Roman" w:hAnsi="Times New Roman" w:cs="Times New Roman"/>
          <w:color w:val="000000" w:themeColor="text1"/>
          <w:sz w:val="24"/>
          <w:szCs w:val="24"/>
          <w:lang w:val="en-GB"/>
        </w:rPr>
        <w:t>p &lt; 0.05 and absolute methylation beta difference &gt;= 2%</w:t>
      </w:r>
      <w:r w:rsidR="007E5060" w:rsidRPr="005A28F5">
        <w:rPr>
          <w:rFonts w:ascii="Times New Roman" w:hAnsi="Times New Roman" w:cs="Times New Roman"/>
          <w:color w:val="000000" w:themeColor="text1"/>
          <w:sz w:val="24"/>
          <w:szCs w:val="24"/>
          <w:lang w:val="en-GB"/>
        </w:rPr>
        <w:t>)</w:t>
      </w:r>
      <w:r w:rsidRPr="005A28F5">
        <w:rPr>
          <w:rFonts w:ascii="Times New Roman" w:hAnsi="Times New Roman" w:cs="Times New Roman"/>
          <w:color w:val="000000" w:themeColor="text1"/>
          <w:sz w:val="24"/>
          <w:szCs w:val="24"/>
          <w:shd w:val="clear" w:color="auto" w:fill="FFFFFF"/>
          <w:lang w:val="en-GB"/>
        </w:rPr>
        <w:t xml:space="preserve">, </w:t>
      </w:r>
      <w:r w:rsidR="007E69FA" w:rsidRPr="005A28F5">
        <w:rPr>
          <w:rFonts w:ascii="Times New Roman" w:hAnsi="Times New Roman" w:cs="Times New Roman"/>
          <w:color w:val="000000" w:themeColor="text1"/>
          <w:sz w:val="24"/>
          <w:szCs w:val="24"/>
          <w:shd w:val="clear" w:color="auto" w:fill="FFFFFF"/>
          <w:lang w:val="en-GB"/>
        </w:rPr>
        <w:t>we tested for enrichment</w:t>
      </w:r>
      <w:r w:rsidRPr="005A28F5">
        <w:rPr>
          <w:rFonts w:ascii="Times New Roman" w:hAnsi="Times New Roman" w:cs="Times New Roman"/>
          <w:color w:val="000000" w:themeColor="text1"/>
          <w:sz w:val="24"/>
          <w:szCs w:val="24"/>
          <w:shd w:val="clear" w:color="auto" w:fill="FFFFFF"/>
          <w:lang w:val="en-GB"/>
        </w:rPr>
        <w:t xml:space="preserve"> </w:t>
      </w:r>
      <w:r w:rsidR="00105618" w:rsidRPr="005A28F5">
        <w:rPr>
          <w:rFonts w:ascii="Times New Roman" w:hAnsi="Times New Roman" w:cs="Times New Roman"/>
          <w:color w:val="000000" w:themeColor="text1"/>
          <w:sz w:val="24"/>
          <w:szCs w:val="24"/>
          <w:shd w:val="clear" w:color="auto" w:fill="FFFFFF"/>
          <w:lang w:val="en-GB"/>
        </w:rPr>
        <w:t xml:space="preserve">of </w:t>
      </w:r>
      <w:r w:rsidR="0071368D" w:rsidRPr="005A28F5">
        <w:rPr>
          <w:rFonts w:ascii="Times New Roman" w:hAnsi="Times New Roman" w:cs="Times New Roman"/>
          <w:color w:val="000000" w:themeColor="text1"/>
          <w:sz w:val="24"/>
          <w:szCs w:val="24"/>
          <w:shd w:val="clear" w:color="auto" w:fill="FFFFFF"/>
          <w:lang w:val="en-GB"/>
        </w:rPr>
        <w:t xml:space="preserve">putative metastable epialleles </w:t>
      </w:r>
      <w:r w:rsidR="001546CA" w:rsidRPr="005A28F5">
        <w:rPr>
          <w:rFonts w:ascii="Times New Roman" w:hAnsi="Times New Roman" w:cs="Times New Roman"/>
          <w:color w:val="000000" w:themeColor="text1"/>
          <w:sz w:val="24"/>
          <w:szCs w:val="24"/>
          <w:shd w:val="clear" w:color="auto" w:fill="FFFFFF"/>
          <w:lang w:val="en-GB"/>
        </w:rPr>
        <w:t xml:space="preserve">(MEs) </w:t>
      </w:r>
      <w:r w:rsidR="00DB6D5E" w:rsidRPr="005A28F5">
        <w:rPr>
          <w:rFonts w:ascii="Times New Roman" w:hAnsi="Times New Roman" w:cs="Times New Roman"/>
          <w:color w:val="000000" w:themeColor="text1"/>
          <w:sz w:val="24"/>
          <w:szCs w:val="24"/>
          <w:shd w:val="clear" w:color="auto" w:fill="FFFFFF"/>
          <w:lang w:val="en-GB"/>
        </w:rPr>
        <w:t xml:space="preserve">and CpGs associated with genomic imprinting </w:t>
      </w:r>
      <w:r w:rsidR="0071368D" w:rsidRPr="005A28F5">
        <w:rPr>
          <w:rFonts w:ascii="Times New Roman" w:hAnsi="Times New Roman" w:cs="Times New Roman"/>
          <w:color w:val="000000" w:themeColor="text1"/>
          <w:sz w:val="24"/>
          <w:szCs w:val="24"/>
          <w:shd w:val="clear" w:color="auto" w:fill="FFFFFF"/>
          <w:lang w:val="en-GB"/>
        </w:rPr>
        <w:t xml:space="preserve">– loci </w:t>
      </w:r>
      <w:r w:rsidRPr="005A28F5">
        <w:rPr>
          <w:rFonts w:ascii="Times New Roman" w:hAnsi="Times New Roman" w:cs="Times New Roman"/>
          <w:color w:val="000000" w:themeColor="text1"/>
          <w:sz w:val="24"/>
          <w:szCs w:val="24"/>
          <w:shd w:val="clear" w:color="auto" w:fill="FFFFFF"/>
          <w:lang w:val="en-GB"/>
        </w:rPr>
        <w:t>with prior evidence for sensitivity to periconceptional nutrition</w:t>
      </w:r>
      <w:r w:rsidR="00DB6D5E" w:rsidRPr="005A28F5">
        <w:rPr>
          <w:rFonts w:ascii="Times New Roman" w:hAnsi="Times New Roman" w:cs="Times New Roman"/>
          <w:color w:val="000000" w:themeColor="text1"/>
          <w:sz w:val="24"/>
          <w:szCs w:val="24"/>
          <w:shd w:val="clear" w:color="auto" w:fill="FFFFFF"/>
          <w:lang w:val="en-GB"/>
        </w:rPr>
        <w:fldChar w:fldCharType="begin" w:fldLock="1"/>
      </w:r>
      <w:r w:rsidR="000C3130">
        <w:rPr>
          <w:rFonts w:ascii="Times New Roman" w:hAnsi="Times New Roman" w:cs="Times New Roman"/>
          <w:color w:val="000000" w:themeColor="text1"/>
          <w:sz w:val="24"/>
          <w:szCs w:val="24"/>
          <w:shd w:val="clear" w:color="auto" w:fill="FFFFFF"/>
          <w:lang w:val="en-GB"/>
        </w:rPr>
        <w:instrText>ADDIN CSL_CITATION {"citationItems":[{"id":"ITEM-1","itemData":{"DOI":"10.1186/s13059-017-1374-0","ISSN":"1474-760X","PMID":"29310692","abstract":"Monozygotic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uris":["http://www.mendeley.com/documents/?uuid=3bb5de50-9974-4281-8d76-a9e03dcbac83"]},{"id":"ITEM-2","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Communications","id":"ITEM-2","issued":{"date-parts":[["2014","4","29"]]},"language":"en","page":"1-7","publisher":"Nature Publishing Group","title":"Maternal nutrition at conception modulates DNA methylation of human metastable epialleles","type":"article-journal","volume":"5"},"uris":["http://www.mendeley.com/documents/?uuid=6b5f8d86-1622-402c-bdf7-397885c014d1"]},{"id":"ITEM-3","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Epidemiology","id":"ITEM-3","issue":"August","issued":{"date-parts":[["2018","8","17"]]},"page":"1-28","title":"Candidate genes linking maternal nutrient exposure to offspring health via DNA methylation: a review of existing evidence in humans with specific focus on one-carbon metabolism","type":"article-journal"},"uris":["http://www.mendeley.com/documents/?uuid=444e4c97-0b67-4638-8308-cf6d2307c1b0"]}],"mendeley":{"formattedCitation":"(9,18,39)","plainTextFormattedCitation":"(9,18,39)","previouslyFormattedCitation":"(9,18,39)"},"properties":{"noteIndex":0},"schema":"https://github.com/citation-style-language/schema/raw/master/csl-citation.json"}</w:instrText>
      </w:r>
      <w:r w:rsidR="00DB6D5E" w:rsidRPr="005A28F5">
        <w:rPr>
          <w:rFonts w:ascii="Times New Roman" w:hAnsi="Times New Roman" w:cs="Times New Roman"/>
          <w:color w:val="000000" w:themeColor="text1"/>
          <w:sz w:val="24"/>
          <w:szCs w:val="24"/>
          <w:shd w:val="clear" w:color="auto" w:fill="FFFFFF"/>
          <w:lang w:val="en-GB"/>
        </w:rPr>
        <w:fldChar w:fldCharType="separate"/>
      </w:r>
      <w:r w:rsidR="002A7D5D" w:rsidRPr="002A7D5D">
        <w:rPr>
          <w:rFonts w:ascii="Times New Roman" w:hAnsi="Times New Roman" w:cs="Times New Roman"/>
          <w:noProof/>
          <w:color w:val="000000" w:themeColor="text1"/>
          <w:sz w:val="24"/>
          <w:szCs w:val="24"/>
          <w:shd w:val="clear" w:color="auto" w:fill="FFFFFF"/>
          <w:lang w:val="en-GB"/>
        </w:rPr>
        <w:t>(9,18,39)</w:t>
      </w:r>
      <w:r w:rsidR="00DB6D5E" w:rsidRPr="005A28F5">
        <w:rPr>
          <w:rFonts w:ascii="Times New Roman" w:hAnsi="Times New Roman" w:cs="Times New Roman"/>
          <w:color w:val="000000" w:themeColor="text1"/>
          <w:sz w:val="24"/>
          <w:szCs w:val="24"/>
          <w:shd w:val="clear" w:color="auto" w:fill="FFFFFF"/>
          <w:lang w:val="en-GB"/>
        </w:rPr>
        <w:fldChar w:fldCharType="end"/>
      </w:r>
      <w:r w:rsidRPr="005A28F5">
        <w:rPr>
          <w:rFonts w:ascii="Times New Roman" w:hAnsi="Times New Roman" w:cs="Times New Roman"/>
          <w:color w:val="000000" w:themeColor="text1"/>
          <w:sz w:val="24"/>
          <w:szCs w:val="24"/>
          <w:shd w:val="clear" w:color="auto" w:fill="FFFFFF"/>
          <w:lang w:val="en-GB"/>
        </w:rPr>
        <w:t>.</w:t>
      </w:r>
      <w:r w:rsidRPr="005A28F5">
        <w:rPr>
          <w:rFonts w:ascii="Times New Roman" w:hAnsi="Times New Roman" w:cs="Times New Roman"/>
          <w:color w:val="000000" w:themeColor="text1"/>
          <w:sz w:val="24"/>
          <w:szCs w:val="24"/>
          <w:lang w:val="en-GB"/>
        </w:rPr>
        <w:t xml:space="preserve"> </w:t>
      </w:r>
      <w:r w:rsidR="007E69FA" w:rsidRPr="005A28F5">
        <w:rPr>
          <w:rFonts w:ascii="Times New Roman" w:hAnsi="Times New Roman" w:cs="Times New Roman"/>
          <w:color w:val="000000" w:themeColor="text1"/>
          <w:sz w:val="24"/>
          <w:szCs w:val="24"/>
          <w:shd w:val="clear" w:color="auto" w:fill="FFFFFF"/>
          <w:lang w:val="en-GB"/>
        </w:rPr>
        <w:t>The r</w:t>
      </w:r>
      <w:r w:rsidRPr="005A28F5">
        <w:rPr>
          <w:rFonts w:ascii="Times New Roman" w:hAnsi="Times New Roman" w:cs="Times New Roman"/>
          <w:color w:val="000000" w:themeColor="text1"/>
          <w:sz w:val="24"/>
          <w:szCs w:val="24"/>
          <w:shd w:val="clear" w:color="auto" w:fill="FFFFFF"/>
          <w:lang w:val="en-GB"/>
        </w:rPr>
        <w:t xml:space="preserve">esults </w:t>
      </w:r>
      <w:r w:rsidRPr="005A28F5">
        <w:rPr>
          <w:rFonts w:ascii="Times New Roman" w:hAnsi="Times New Roman" w:cs="Times New Roman"/>
          <w:sz w:val="24"/>
          <w:szCs w:val="24"/>
          <w:shd w:val="clear" w:color="auto" w:fill="FFFFFF"/>
          <w:lang w:val="en-GB"/>
        </w:rPr>
        <w:t xml:space="preserve">are shown in Table </w:t>
      </w:r>
      <w:r w:rsidR="00137AFD" w:rsidRPr="005A28F5">
        <w:rPr>
          <w:rFonts w:ascii="Times New Roman" w:hAnsi="Times New Roman" w:cs="Times New Roman"/>
          <w:sz w:val="24"/>
          <w:szCs w:val="24"/>
          <w:shd w:val="clear" w:color="auto" w:fill="FFFFFF"/>
          <w:lang w:val="en-GB"/>
        </w:rPr>
        <w:t>5</w:t>
      </w:r>
      <w:r w:rsidRPr="005A28F5">
        <w:rPr>
          <w:rFonts w:ascii="Times New Roman" w:hAnsi="Times New Roman" w:cs="Times New Roman"/>
          <w:sz w:val="24"/>
          <w:szCs w:val="24"/>
          <w:shd w:val="clear" w:color="auto" w:fill="FFFFFF"/>
          <w:lang w:val="en-GB"/>
        </w:rPr>
        <w:t xml:space="preserve">. </w:t>
      </w:r>
      <w:r w:rsidR="007E69FA" w:rsidRPr="005A28F5">
        <w:rPr>
          <w:rFonts w:ascii="Times New Roman" w:hAnsi="Times New Roman" w:cs="Times New Roman"/>
          <w:sz w:val="24"/>
          <w:szCs w:val="24"/>
          <w:shd w:val="clear" w:color="auto" w:fill="FFFFFF"/>
          <w:lang w:val="en-GB"/>
        </w:rPr>
        <w:t>In the Gambian EWAS results there was</w:t>
      </w:r>
      <w:r w:rsidRPr="005A28F5">
        <w:rPr>
          <w:rFonts w:ascii="Times New Roman" w:hAnsi="Times New Roman" w:cs="Times New Roman"/>
          <w:sz w:val="24"/>
          <w:szCs w:val="24"/>
          <w:shd w:val="clear" w:color="auto" w:fill="FFFFFF"/>
          <w:lang w:val="en-GB"/>
        </w:rPr>
        <w:t xml:space="preserve"> strong evidence for enrichment</w:t>
      </w:r>
      <w:r w:rsidR="007E69FA" w:rsidRPr="005A28F5">
        <w:rPr>
          <w:rFonts w:ascii="Times New Roman" w:hAnsi="Times New Roman" w:cs="Times New Roman"/>
          <w:sz w:val="24"/>
          <w:szCs w:val="24"/>
          <w:lang w:val="en-GB"/>
        </w:rPr>
        <w:t xml:space="preserve"> of ME</w:t>
      </w:r>
      <w:r w:rsidR="007E7646" w:rsidRPr="005A28F5">
        <w:rPr>
          <w:rFonts w:ascii="Times New Roman" w:hAnsi="Times New Roman" w:cs="Times New Roman"/>
          <w:sz w:val="24"/>
          <w:szCs w:val="24"/>
          <w:lang w:val="en-GB"/>
        </w:rPr>
        <w:t>s</w:t>
      </w:r>
      <w:r w:rsidR="007E69FA" w:rsidRPr="005A28F5">
        <w:rPr>
          <w:rFonts w:ascii="Times New Roman" w:hAnsi="Times New Roman" w:cs="Times New Roman"/>
          <w:sz w:val="24"/>
          <w:szCs w:val="24"/>
          <w:lang w:val="en-GB"/>
        </w:rPr>
        <w:t xml:space="preserve"> CpGs (p </w:t>
      </w:r>
      <w:r w:rsidR="00A47669" w:rsidRPr="005A28F5">
        <w:rPr>
          <w:rFonts w:ascii="Times New Roman" w:hAnsi="Times New Roman" w:cs="Times New Roman"/>
          <w:sz w:val="24"/>
          <w:szCs w:val="24"/>
          <w:lang w:val="en-GB"/>
        </w:rPr>
        <w:t>&lt;</w:t>
      </w:r>
      <w:r w:rsidR="007E69FA" w:rsidRPr="005A28F5">
        <w:rPr>
          <w:rFonts w:ascii="Times New Roman" w:hAnsi="Times New Roman" w:cs="Times New Roman"/>
          <w:sz w:val="24"/>
          <w:szCs w:val="24"/>
          <w:lang w:val="en-GB"/>
        </w:rPr>
        <w:t xml:space="preserve"> 0.0001) </w:t>
      </w:r>
      <w:r w:rsidRPr="005A28F5">
        <w:rPr>
          <w:rFonts w:ascii="Times New Roman" w:hAnsi="Times New Roman" w:cs="Times New Roman"/>
          <w:sz w:val="24"/>
          <w:szCs w:val="24"/>
          <w:lang w:val="en-GB"/>
        </w:rPr>
        <w:t>and some evidence for enrichment of CpGs associated with</w:t>
      </w:r>
      <w:r w:rsidR="007E69FA" w:rsidRPr="005A28F5">
        <w:rPr>
          <w:rFonts w:ascii="Times New Roman" w:hAnsi="Times New Roman" w:cs="Times New Roman"/>
          <w:sz w:val="24"/>
          <w:szCs w:val="24"/>
          <w:lang w:val="en-GB"/>
        </w:rPr>
        <w:t xml:space="preserve"> </w:t>
      </w:r>
      <w:r w:rsidR="00F57DE1" w:rsidRPr="005A28F5">
        <w:rPr>
          <w:rFonts w:ascii="Times New Roman" w:hAnsi="Times New Roman" w:cs="Times New Roman"/>
          <w:sz w:val="24"/>
          <w:szCs w:val="24"/>
          <w:lang w:val="en-GB"/>
        </w:rPr>
        <w:t xml:space="preserve">imprinted regions  </w:t>
      </w:r>
      <w:r w:rsidR="007E69FA" w:rsidRPr="005A28F5">
        <w:rPr>
          <w:rFonts w:ascii="Times New Roman" w:hAnsi="Times New Roman" w:cs="Times New Roman"/>
          <w:sz w:val="24"/>
          <w:szCs w:val="24"/>
          <w:lang w:val="en-GB"/>
        </w:rPr>
        <w:t xml:space="preserve">(p = 0.013), while </w:t>
      </w:r>
      <w:r w:rsidRPr="005A28F5">
        <w:rPr>
          <w:rFonts w:ascii="Times New Roman" w:hAnsi="Times New Roman" w:cs="Times New Roman"/>
          <w:sz w:val="24"/>
          <w:szCs w:val="24"/>
          <w:lang w:val="en-GB"/>
        </w:rPr>
        <w:t xml:space="preserve">enrichment was </w:t>
      </w:r>
      <w:r w:rsidR="002479B2" w:rsidRPr="005A28F5">
        <w:rPr>
          <w:rFonts w:ascii="Times New Roman" w:hAnsi="Times New Roman" w:cs="Times New Roman"/>
          <w:sz w:val="24"/>
          <w:szCs w:val="24"/>
          <w:lang w:val="en-GB"/>
        </w:rPr>
        <w:t xml:space="preserve">not </w:t>
      </w:r>
      <w:r w:rsidRPr="005A28F5">
        <w:rPr>
          <w:rFonts w:ascii="Times New Roman" w:hAnsi="Times New Roman" w:cs="Times New Roman"/>
          <w:sz w:val="24"/>
          <w:szCs w:val="24"/>
          <w:lang w:val="en-GB"/>
        </w:rPr>
        <w:t xml:space="preserve">observed for </w:t>
      </w:r>
      <w:r w:rsidR="002479B2" w:rsidRPr="005A28F5">
        <w:rPr>
          <w:rFonts w:ascii="Times New Roman" w:hAnsi="Times New Roman" w:cs="Times New Roman"/>
          <w:sz w:val="24"/>
          <w:szCs w:val="24"/>
          <w:lang w:val="en-GB"/>
        </w:rPr>
        <w:t>the</w:t>
      </w:r>
      <w:r w:rsidR="00A47669" w:rsidRPr="005A28F5">
        <w:rPr>
          <w:rFonts w:ascii="Times New Roman" w:hAnsi="Times New Roman" w:cs="Times New Roman"/>
          <w:sz w:val="24"/>
          <w:szCs w:val="24"/>
          <w:lang w:val="en-GB"/>
        </w:rPr>
        <w:t xml:space="preserve"> </w:t>
      </w:r>
      <w:r w:rsidR="007E69FA" w:rsidRPr="005A28F5">
        <w:rPr>
          <w:rFonts w:ascii="Times New Roman" w:hAnsi="Times New Roman" w:cs="Times New Roman"/>
          <w:sz w:val="24"/>
          <w:szCs w:val="24"/>
          <w:lang w:val="en-GB"/>
        </w:rPr>
        <w:t>high-variance control set</w:t>
      </w:r>
      <w:r w:rsidRPr="005A28F5">
        <w:rPr>
          <w:rFonts w:ascii="Times New Roman" w:hAnsi="Times New Roman" w:cs="Times New Roman"/>
          <w:sz w:val="24"/>
          <w:szCs w:val="24"/>
          <w:lang w:val="en-GB"/>
        </w:rPr>
        <w:t xml:space="preserve">. </w:t>
      </w:r>
      <w:r w:rsidR="007E5060" w:rsidRPr="005A28F5">
        <w:rPr>
          <w:rFonts w:ascii="Times New Roman" w:hAnsi="Times New Roman" w:cs="Times New Roman"/>
          <w:color w:val="000000" w:themeColor="text1"/>
          <w:sz w:val="24"/>
          <w:szCs w:val="24"/>
          <w:u w:color="FF644E"/>
          <w:lang w:val="en-GB"/>
        </w:rPr>
        <w:t>T</w:t>
      </w:r>
      <w:r w:rsidR="007E69FA" w:rsidRPr="005A28F5">
        <w:rPr>
          <w:rFonts w:ascii="Times New Roman" w:hAnsi="Times New Roman" w:cs="Times New Roman"/>
          <w:color w:val="000000" w:themeColor="text1"/>
          <w:sz w:val="24"/>
          <w:szCs w:val="24"/>
          <w:u w:color="FF644E"/>
          <w:lang w:val="en-GB"/>
        </w:rPr>
        <w:t>here was no evidence for enrichment of any of the tested sets</w:t>
      </w:r>
      <w:r w:rsidR="007E5060" w:rsidRPr="005A28F5">
        <w:rPr>
          <w:rFonts w:ascii="Times New Roman" w:hAnsi="Times New Roman" w:cs="Times New Roman"/>
          <w:color w:val="000000" w:themeColor="text1"/>
          <w:sz w:val="24"/>
          <w:szCs w:val="24"/>
          <w:u w:color="FF644E"/>
          <w:lang w:val="en-GB"/>
        </w:rPr>
        <w:t xml:space="preserve"> in the Indian cohort</w:t>
      </w:r>
      <w:r w:rsidR="007E69FA" w:rsidRPr="005A28F5">
        <w:rPr>
          <w:rFonts w:ascii="Times New Roman" w:hAnsi="Times New Roman" w:cs="Times New Roman"/>
          <w:color w:val="000000" w:themeColor="text1"/>
          <w:sz w:val="24"/>
          <w:szCs w:val="24"/>
          <w:u w:color="FF644E"/>
          <w:lang w:val="en-GB"/>
        </w:rPr>
        <w:t>.</w:t>
      </w:r>
    </w:p>
    <w:p w14:paraId="4874D632" w14:textId="46A086FE" w:rsidR="00E01BB2" w:rsidRPr="005A28F5" w:rsidRDefault="00E01BB2" w:rsidP="001A64D3">
      <w:pPr>
        <w:pStyle w:val="BodyA"/>
        <w:spacing w:line="360" w:lineRule="auto"/>
        <w:rPr>
          <w:rFonts w:ascii="Times New Roman" w:eastAsia="Times New Roman" w:hAnsi="Times New Roman" w:cs="Times New Roman"/>
          <w:sz w:val="24"/>
          <w:szCs w:val="24"/>
          <w:lang w:val="en-GB"/>
        </w:rPr>
      </w:pPr>
    </w:p>
    <w:p w14:paraId="47886708" w14:textId="77777777" w:rsidR="00E01BB2" w:rsidRPr="003F29C8" w:rsidRDefault="00BC3B0C" w:rsidP="001A64D3">
      <w:pPr>
        <w:pStyle w:val="BodyA"/>
        <w:spacing w:line="360" w:lineRule="auto"/>
        <w:outlineLvl w:val="0"/>
        <w:rPr>
          <w:rFonts w:ascii="Times New Roman" w:eastAsia="Cambria" w:hAnsi="Times New Roman" w:cs="Times New Roman"/>
          <w:sz w:val="28"/>
          <w:szCs w:val="28"/>
          <w:lang w:val="en-GB"/>
        </w:rPr>
      </w:pPr>
      <w:r w:rsidRPr="003F29C8">
        <w:rPr>
          <w:rFonts w:ascii="Times New Roman" w:hAnsi="Times New Roman" w:cs="Times New Roman"/>
          <w:sz w:val="28"/>
          <w:szCs w:val="28"/>
          <w:lang w:val="en-GB"/>
        </w:rPr>
        <w:t>Sensitivity analyses</w:t>
      </w:r>
    </w:p>
    <w:p w14:paraId="1268A5A5" w14:textId="1C084595" w:rsidR="00E01BB2" w:rsidRPr="005A28F5" w:rsidRDefault="00BC3B0C" w:rsidP="001A64D3">
      <w:pPr>
        <w:pStyle w:val="BodyA"/>
        <w:spacing w:line="360" w:lineRule="auto"/>
        <w:outlineLvl w:val="0"/>
        <w:rPr>
          <w:rFonts w:ascii="Times New Roman" w:hAnsi="Times New Roman" w:cs="Times New Roman"/>
          <w:sz w:val="24"/>
          <w:szCs w:val="24"/>
          <w:lang w:val="en-GB"/>
        </w:rPr>
      </w:pPr>
      <w:r w:rsidRPr="005A28F5">
        <w:rPr>
          <w:rFonts w:ascii="Times New Roman" w:hAnsi="Times New Roman" w:cs="Times New Roman"/>
          <w:sz w:val="24"/>
          <w:szCs w:val="24"/>
          <w:lang w:val="en-GB"/>
        </w:rPr>
        <w:t>The 6 DMPs</w:t>
      </w:r>
      <w:r w:rsidR="00E175ED" w:rsidRPr="005A28F5">
        <w:rPr>
          <w:rFonts w:ascii="Times New Roman" w:hAnsi="Times New Roman" w:cs="Times New Roman"/>
          <w:sz w:val="24"/>
          <w:szCs w:val="24"/>
          <w:lang w:val="en-GB"/>
        </w:rPr>
        <w:t xml:space="preserve"> identified in the</w:t>
      </w:r>
      <w:r w:rsidRPr="005A28F5">
        <w:rPr>
          <w:rFonts w:ascii="Times New Roman" w:hAnsi="Times New Roman" w:cs="Times New Roman"/>
          <w:sz w:val="24"/>
          <w:szCs w:val="24"/>
          <w:lang w:val="en-GB"/>
        </w:rPr>
        <w:t xml:space="preserve"> </w:t>
      </w:r>
      <w:r w:rsidR="00E175ED" w:rsidRPr="005A28F5">
        <w:rPr>
          <w:rFonts w:ascii="Times New Roman" w:hAnsi="Times New Roman" w:cs="Times New Roman"/>
          <w:sz w:val="24"/>
          <w:szCs w:val="24"/>
          <w:lang w:val="en-GB"/>
        </w:rPr>
        <w:t xml:space="preserve">Gambian EWAS </w:t>
      </w:r>
      <w:r w:rsidRPr="005A28F5">
        <w:rPr>
          <w:rFonts w:ascii="Times New Roman" w:hAnsi="Times New Roman" w:cs="Times New Roman"/>
          <w:sz w:val="24"/>
          <w:szCs w:val="24"/>
          <w:lang w:val="en-GB"/>
        </w:rPr>
        <w:t xml:space="preserve">were robust to batch/technical variable modelling strategy, with </w:t>
      </w:r>
      <w:r w:rsidR="00B12EF9" w:rsidRPr="005A28F5">
        <w:rPr>
          <w:rFonts w:ascii="Times New Roman" w:hAnsi="Times New Roman" w:cs="Times New Roman"/>
          <w:sz w:val="24"/>
          <w:szCs w:val="24"/>
          <w:lang w:val="en-GB"/>
        </w:rPr>
        <w:t>CpG</w:t>
      </w:r>
      <w:r w:rsidRPr="005A28F5">
        <w:rPr>
          <w:rFonts w:ascii="Times New Roman" w:hAnsi="Times New Roman" w:cs="Times New Roman"/>
          <w:sz w:val="24"/>
          <w:szCs w:val="24"/>
          <w:lang w:val="en-GB"/>
        </w:rPr>
        <w:t xml:space="preserve">s mapping to </w:t>
      </w:r>
      <w:r w:rsidRPr="005A28F5">
        <w:rPr>
          <w:rFonts w:ascii="Times New Roman" w:hAnsi="Times New Roman" w:cs="Times New Roman"/>
          <w:i/>
          <w:sz w:val="24"/>
          <w:szCs w:val="24"/>
          <w:lang w:val="en-GB"/>
        </w:rPr>
        <w:t>ESM1</w:t>
      </w:r>
      <w:r w:rsidRPr="005A28F5">
        <w:rPr>
          <w:rFonts w:ascii="Times New Roman" w:hAnsi="Times New Roman" w:cs="Times New Roman"/>
          <w:sz w:val="24"/>
          <w:szCs w:val="24"/>
          <w:lang w:val="en-GB"/>
        </w:rPr>
        <w:t xml:space="preserve"> consistently in the top-ranked</w:t>
      </w:r>
      <w:r w:rsidR="00E175ED" w:rsidRPr="005A28F5">
        <w:rPr>
          <w:rFonts w:ascii="Times New Roman" w:hAnsi="Times New Roman" w:cs="Times New Roman"/>
          <w:sz w:val="24"/>
          <w:szCs w:val="24"/>
          <w:lang w:val="en-GB"/>
        </w:rPr>
        <w:t xml:space="preserve"> CpGs</w:t>
      </w:r>
      <w:r w:rsidRPr="005A28F5">
        <w:rPr>
          <w:rFonts w:ascii="Times New Roman" w:hAnsi="Times New Roman" w:cs="Times New Roman"/>
          <w:sz w:val="24"/>
          <w:szCs w:val="24"/>
          <w:lang w:val="en-GB"/>
        </w:rPr>
        <w:t xml:space="preserve"> (</w:t>
      </w:r>
      <w:r w:rsidR="00C10299">
        <w:rPr>
          <w:rFonts w:ascii="Times New Roman" w:hAnsi="Times New Roman" w:cs="Times New Roman"/>
          <w:sz w:val="24"/>
          <w:szCs w:val="24"/>
          <w:lang w:val="en-GB"/>
        </w:rPr>
        <w:t>Supplemental</w:t>
      </w:r>
      <w:r w:rsidRPr="005A28F5">
        <w:rPr>
          <w:rFonts w:ascii="Times New Roman" w:hAnsi="Times New Roman" w:cs="Times New Roman"/>
          <w:sz w:val="24"/>
          <w:szCs w:val="24"/>
          <w:lang w:val="en-GB"/>
        </w:rPr>
        <w:t xml:space="preserve"> Table </w:t>
      </w:r>
      <w:r w:rsidR="005428E2">
        <w:rPr>
          <w:rFonts w:ascii="Times New Roman" w:hAnsi="Times New Roman" w:cs="Times New Roman"/>
          <w:sz w:val="24"/>
          <w:szCs w:val="24"/>
          <w:lang w:val="en-GB"/>
        </w:rPr>
        <w:t>12</w:t>
      </w:r>
      <w:r w:rsidRPr="005A28F5">
        <w:rPr>
          <w:rFonts w:ascii="Times New Roman" w:hAnsi="Times New Roman" w:cs="Times New Roman"/>
          <w:sz w:val="24"/>
          <w:szCs w:val="24"/>
          <w:lang w:val="en-GB"/>
        </w:rPr>
        <w:t xml:space="preserve">). </w:t>
      </w:r>
      <w:r w:rsidR="00944FA6" w:rsidRPr="005A28F5">
        <w:rPr>
          <w:rFonts w:ascii="Times New Roman" w:hAnsi="Times New Roman" w:cs="Times New Roman"/>
          <w:sz w:val="24"/>
          <w:szCs w:val="24"/>
          <w:lang w:val="en-GB"/>
        </w:rPr>
        <w:t xml:space="preserve">No DMPs contained </w:t>
      </w:r>
      <w:r w:rsidRPr="005A28F5">
        <w:rPr>
          <w:rFonts w:ascii="Times New Roman" w:hAnsi="Times New Roman" w:cs="Times New Roman"/>
          <w:sz w:val="24"/>
          <w:szCs w:val="24"/>
          <w:lang w:val="en-GB"/>
        </w:rPr>
        <w:t>common African SNPs either</w:t>
      </w:r>
      <w:r w:rsidR="00906794" w:rsidRPr="005A28F5">
        <w:rPr>
          <w:rFonts w:ascii="Times New Roman" w:hAnsi="Times New Roman" w:cs="Times New Roman"/>
          <w:sz w:val="24"/>
          <w:szCs w:val="24"/>
          <w:lang w:val="en-GB"/>
        </w:rPr>
        <w:t xml:space="preserve"> </w:t>
      </w:r>
      <w:r w:rsidR="00016E47" w:rsidRPr="005A28F5">
        <w:rPr>
          <w:rFonts w:ascii="Times New Roman" w:hAnsi="Times New Roman" w:cs="Times New Roman"/>
          <w:sz w:val="24"/>
          <w:szCs w:val="24"/>
          <w:lang w:val="en-GB"/>
        </w:rPr>
        <w:t>at the CpG</w:t>
      </w:r>
      <w:r w:rsidR="00997543" w:rsidRPr="005A28F5">
        <w:rPr>
          <w:rFonts w:ascii="Times New Roman" w:hAnsi="Times New Roman" w:cs="Times New Roman"/>
          <w:sz w:val="24"/>
          <w:szCs w:val="24"/>
          <w:lang w:val="en-GB"/>
        </w:rPr>
        <w:t>,</w:t>
      </w:r>
      <w:r w:rsidR="00016E47" w:rsidRPr="005A28F5">
        <w:rPr>
          <w:rFonts w:ascii="Times New Roman" w:hAnsi="Times New Roman" w:cs="Times New Roman"/>
          <w:sz w:val="24"/>
          <w:szCs w:val="24"/>
          <w:lang w:val="en-GB"/>
        </w:rPr>
        <w:t xml:space="preserve"> or </w:t>
      </w:r>
      <w:r w:rsidR="00906794" w:rsidRPr="005A28F5">
        <w:rPr>
          <w:rFonts w:ascii="Times New Roman" w:hAnsi="Times New Roman" w:cs="Times New Roman"/>
          <w:sz w:val="24"/>
          <w:szCs w:val="24"/>
          <w:lang w:val="en-GB"/>
        </w:rPr>
        <w:t>within 50 bp</w:t>
      </w:r>
      <w:r w:rsidRPr="005A28F5">
        <w:rPr>
          <w:rFonts w:ascii="Times New Roman" w:hAnsi="Times New Roman" w:cs="Times New Roman"/>
          <w:sz w:val="24"/>
          <w:szCs w:val="24"/>
          <w:lang w:val="en-GB"/>
        </w:rPr>
        <w:t xml:space="preserve"> that might </w:t>
      </w:r>
      <w:r w:rsidR="007E69FA" w:rsidRPr="005A28F5">
        <w:rPr>
          <w:rFonts w:ascii="Times New Roman" w:hAnsi="Times New Roman" w:cs="Times New Roman"/>
          <w:sz w:val="24"/>
          <w:szCs w:val="24"/>
          <w:lang w:val="en-GB"/>
        </w:rPr>
        <w:t>interfere with</w:t>
      </w:r>
      <w:r w:rsidRPr="005A28F5">
        <w:rPr>
          <w:rFonts w:ascii="Times New Roman" w:hAnsi="Times New Roman" w:cs="Times New Roman"/>
          <w:sz w:val="24"/>
          <w:szCs w:val="24"/>
          <w:lang w:val="en-GB"/>
        </w:rPr>
        <w:t xml:space="preserve"> </w:t>
      </w:r>
      <w:r w:rsidR="00F56F06" w:rsidRPr="005A28F5">
        <w:rPr>
          <w:rFonts w:ascii="Times New Roman" w:hAnsi="Times New Roman" w:cs="Times New Roman"/>
          <w:sz w:val="24"/>
          <w:szCs w:val="24"/>
          <w:lang w:val="en-GB"/>
        </w:rPr>
        <w:t xml:space="preserve">probe </w:t>
      </w:r>
      <w:r w:rsidR="006228B9" w:rsidRPr="005A28F5">
        <w:rPr>
          <w:rFonts w:ascii="Times New Roman" w:hAnsi="Times New Roman" w:cs="Times New Roman"/>
          <w:sz w:val="24"/>
          <w:szCs w:val="24"/>
          <w:lang w:val="en-GB"/>
        </w:rPr>
        <w:t xml:space="preserve">hybridisation </w:t>
      </w:r>
      <w:r w:rsidRPr="005A28F5">
        <w:rPr>
          <w:rFonts w:ascii="Times New Roman" w:hAnsi="Times New Roman" w:cs="Times New Roman"/>
          <w:sz w:val="24"/>
          <w:szCs w:val="24"/>
          <w:lang w:val="en-GB"/>
        </w:rPr>
        <w:t>(see Methods)</w:t>
      </w:r>
      <w:r w:rsidR="00A751C3" w:rsidRPr="005A28F5">
        <w:rPr>
          <w:rFonts w:ascii="Times New Roman" w:hAnsi="Times New Roman" w:cs="Times New Roman"/>
          <w:sz w:val="24"/>
          <w:szCs w:val="24"/>
          <w:lang w:val="en-GB"/>
        </w:rPr>
        <w:t xml:space="preserve">. </w:t>
      </w:r>
      <w:r w:rsidR="002479B2" w:rsidRPr="005A28F5">
        <w:rPr>
          <w:rFonts w:ascii="Times New Roman" w:hAnsi="Times New Roman" w:cs="Times New Roman"/>
          <w:sz w:val="24"/>
          <w:szCs w:val="24"/>
          <w:lang w:val="en-GB"/>
        </w:rPr>
        <w:t>Further, m</w:t>
      </w:r>
      <w:r w:rsidRPr="005A28F5">
        <w:rPr>
          <w:rFonts w:ascii="Times New Roman" w:hAnsi="Times New Roman" w:cs="Times New Roman"/>
          <w:sz w:val="24"/>
          <w:szCs w:val="24"/>
          <w:lang w:val="en-GB"/>
        </w:rPr>
        <w:t xml:space="preserve">ethylation differences at these </w:t>
      </w:r>
      <w:r w:rsidR="00A751C3" w:rsidRPr="005A28F5">
        <w:rPr>
          <w:rFonts w:ascii="Times New Roman" w:hAnsi="Times New Roman" w:cs="Times New Roman"/>
          <w:sz w:val="24"/>
          <w:szCs w:val="24"/>
          <w:lang w:val="en-GB"/>
        </w:rPr>
        <w:t xml:space="preserve">DMPs </w:t>
      </w:r>
      <w:r w:rsidR="002479B2" w:rsidRPr="005A28F5">
        <w:rPr>
          <w:rFonts w:ascii="Times New Roman" w:hAnsi="Times New Roman" w:cs="Times New Roman"/>
          <w:sz w:val="24"/>
          <w:szCs w:val="24"/>
          <w:lang w:val="en-GB"/>
        </w:rPr>
        <w:t xml:space="preserve">were </w:t>
      </w:r>
      <w:r w:rsidRPr="005A28F5">
        <w:rPr>
          <w:rFonts w:ascii="Times New Roman" w:hAnsi="Times New Roman" w:cs="Times New Roman"/>
          <w:sz w:val="24"/>
          <w:szCs w:val="24"/>
          <w:lang w:val="en-GB"/>
        </w:rPr>
        <w:t xml:space="preserve">not driven by </w:t>
      </w:r>
      <w:r w:rsidR="00A84B6E" w:rsidRPr="005A28F5">
        <w:rPr>
          <w:rFonts w:ascii="Times New Roman" w:hAnsi="Times New Roman" w:cs="Times New Roman"/>
          <w:sz w:val="24"/>
          <w:szCs w:val="24"/>
          <w:lang w:val="en-GB"/>
        </w:rPr>
        <w:t>sex imbalance</w:t>
      </w:r>
      <w:r w:rsidRPr="005A28F5">
        <w:rPr>
          <w:rFonts w:ascii="Times New Roman" w:hAnsi="Times New Roman" w:cs="Times New Roman"/>
          <w:sz w:val="24"/>
          <w:szCs w:val="24"/>
          <w:lang w:val="en-GB"/>
        </w:rPr>
        <w:t xml:space="preserve"> between intervention and control </w:t>
      </w:r>
      <w:r w:rsidRPr="005A28F5">
        <w:rPr>
          <w:rFonts w:ascii="Times New Roman" w:hAnsi="Times New Roman" w:cs="Times New Roman"/>
          <w:sz w:val="24"/>
          <w:szCs w:val="24"/>
          <w:lang w:val="en-GB"/>
        </w:rPr>
        <w:lastRenderedPageBreak/>
        <w:t>groups (</w:t>
      </w:r>
      <w:r w:rsidR="00C10299">
        <w:rPr>
          <w:rFonts w:ascii="Times New Roman" w:hAnsi="Times New Roman" w:cs="Times New Roman"/>
          <w:sz w:val="24"/>
          <w:szCs w:val="24"/>
          <w:lang w:val="en-GB"/>
        </w:rPr>
        <w:t>Supplemental</w:t>
      </w:r>
      <w:r w:rsidRPr="005A28F5">
        <w:rPr>
          <w:rFonts w:ascii="Times New Roman" w:hAnsi="Times New Roman" w:cs="Times New Roman"/>
          <w:sz w:val="24"/>
          <w:szCs w:val="24"/>
          <w:lang w:val="en-GB"/>
        </w:rPr>
        <w:t xml:space="preserve"> Table </w:t>
      </w:r>
      <w:r w:rsidR="005428E2">
        <w:rPr>
          <w:rFonts w:ascii="Times New Roman" w:hAnsi="Times New Roman" w:cs="Times New Roman"/>
          <w:sz w:val="24"/>
          <w:szCs w:val="24"/>
          <w:lang w:val="en-GB"/>
        </w:rPr>
        <w:t>13</w:t>
      </w:r>
      <w:r w:rsidRPr="005A28F5">
        <w:rPr>
          <w:rFonts w:ascii="Times New Roman" w:hAnsi="Times New Roman" w:cs="Times New Roman"/>
          <w:sz w:val="24"/>
          <w:szCs w:val="24"/>
          <w:lang w:val="en-GB"/>
        </w:rPr>
        <w:t xml:space="preserve">). Lastly, </w:t>
      </w:r>
      <w:r w:rsidR="006E2CD9" w:rsidRPr="005A28F5">
        <w:rPr>
          <w:rFonts w:ascii="Times New Roman" w:hAnsi="Times New Roman" w:cs="Times New Roman"/>
          <w:sz w:val="24"/>
          <w:szCs w:val="24"/>
          <w:lang w:val="en-GB"/>
        </w:rPr>
        <w:t xml:space="preserve">there was </w:t>
      </w:r>
      <w:r w:rsidRPr="005A28F5">
        <w:rPr>
          <w:rFonts w:ascii="Times New Roman" w:hAnsi="Times New Roman" w:cs="Times New Roman"/>
          <w:sz w:val="24"/>
          <w:szCs w:val="24"/>
          <w:lang w:val="en-GB"/>
        </w:rPr>
        <w:t>no evidence for an interaction between the intervention a</w:t>
      </w:r>
      <w:r w:rsidR="006E2CD9" w:rsidRPr="005A28F5">
        <w:rPr>
          <w:rFonts w:ascii="Times New Roman" w:hAnsi="Times New Roman" w:cs="Times New Roman"/>
          <w:sz w:val="24"/>
          <w:szCs w:val="24"/>
          <w:lang w:val="en-GB"/>
        </w:rPr>
        <w:t>nd Gambian season of conception (</w:t>
      </w:r>
      <w:r w:rsidR="00BA2E91" w:rsidRPr="005A28F5">
        <w:rPr>
          <w:rFonts w:ascii="Times New Roman" w:hAnsi="Times New Roman" w:cs="Times New Roman"/>
          <w:sz w:val="24"/>
          <w:szCs w:val="24"/>
          <w:lang w:val="en-GB"/>
        </w:rPr>
        <w:t>SoC</w:t>
      </w:r>
      <w:r w:rsidR="002479B2" w:rsidRPr="005A28F5">
        <w:rPr>
          <w:rFonts w:ascii="Times New Roman" w:hAnsi="Times New Roman" w:cs="Times New Roman"/>
          <w:sz w:val="24"/>
          <w:szCs w:val="24"/>
          <w:lang w:val="en-GB"/>
        </w:rPr>
        <w:t>)</w:t>
      </w:r>
      <w:r w:rsidR="00590A66">
        <w:rPr>
          <w:rFonts w:ascii="Times New Roman" w:hAnsi="Times New Roman" w:cs="Times New Roman"/>
          <w:sz w:val="24"/>
          <w:szCs w:val="24"/>
          <w:lang w:val="en-GB"/>
        </w:rPr>
        <w:t xml:space="preserve"> at the 6 DMPs tested</w:t>
      </w:r>
      <w:r w:rsidR="002479B2" w:rsidRPr="005A28F5">
        <w:rPr>
          <w:rFonts w:ascii="Times New Roman" w:hAnsi="Times New Roman" w:cs="Times New Roman"/>
          <w:sz w:val="24"/>
          <w:szCs w:val="24"/>
          <w:lang w:val="en-GB"/>
        </w:rPr>
        <w:t xml:space="preserve"> (</w:t>
      </w:r>
      <w:r w:rsidR="00C10299">
        <w:rPr>
          <w:rFonts w:ascii="Times New Roman" w:hAnsi="Times New Roman" w:cs="Times New Roman"/>
          <w:sz w:val="24"/>
          <w:szCs w:val="24"/>
          <w:lang w:val="en-GB"/>
        </w:rPr>
        <w:t>Supplemental</w:t>
      </w:r>
      <w:r w:rsidR="006E2CD9" w:rsidRPr="005A28F5">
        <w:rPr>
          <w:rFonts w:ascii="Times New Roman" w:hAnsi="Times New Roman" w:cs="Times New Roman"/>
          <w:sz w:val="24"/>
          <w:szCs w:val="24"/>
          <w:lang w:val="en-GB"/>
        </w:rPr>
        <w:t xml:space="preserve"> Table </w:t>
      </w:r>
      <w:r w:rsidR="005428E2">
        <w:rPr>
          <w:rFonts w:ascii="Times New Roman" w:hAnsi="Times New Roman" w:cs="Times New Roman"/>
          <w:sz w:val="24"/>
          <w:szCs w:val="24"/>
          <w:lang w:val="en-GB"/>
        </w:rPr>
        <w:t>14</w:t>
      </w:r>
      <w:r w:rsidR="006E2CD9" w:rsidRPr="005A28F5">
        <w:rPr>
          <w:rFonts w:ascii="Times New Roman" w:hAnsi="Times New Roman" w:cs="Times New Roman"/>
          <w:sz w:val="24"/>
          <w:szCs w:val="24"/>
          <w:lang w:val="en-GB"/>
        </w:rPr>
        <w:t>),</w:t>
      </w:r>
      <w:r w:rsidR="00A751C3" w:rsidRPr="005A28F5">
        <w:rPr>
          <w:rFonts w:ascii="Times New Roman" w:hAnsi="Times New Roman" w:cs="Times New Roman"/>
          <w:sz w:val="24"/>
          <w:szCs w:val="24"/>
          <w:lang w:val="en-GB"/>
        </w:rPr>
        <w:t xml:space="preserve"> </w:t>
      </w:r>
      <w:r w:rsidR="006E2CD9" w:rsidRPr="005A28F5">
        <w:rPr>
          <w:rFonts w:ascii="Times New Roman" w:hAnsi="Times New Roman" w:cs="Times New Roman"/>
          <w:sz w:val="24"/>
          <w:szCs w:val="24"/>
          <w:lang w:val="en-GB"/>
        </w:rPr>
        <w:t>a nutrition-related exposure previously shown to predict DNAm</w:t>
      </w:r>
      <w:r w:rsidR="007E5060" w:rsidRPr="005A28F5">
        <w:rPr>
          <w:rFonts w:ascii="Times New Roman" w:hAnsi="Times New Roman" w:cs="Times New Roman"/>
          <w:sz w:val="24"/>
          <w:szCs w:val="24"/>
          <w:lang w:val="en-GB"/>
        </w:rPr>
        <w:t xml:space="preserve"> in Gambians</w:t>
      </w:r>
      <w:r w:rsidR="006E2CD9" w:rsidRPr="005A28F5">
        <w:rPr>
          <w:rFonts w:ascii="Times New Roman" w:hAnsi="Times New Roman" w:cs="Times New Roman"/>
          <w:sz w:val="24"/>
          <w:szCs w:val="24"/>
          <w:lang w:val="en-GB"/>
        </w:rPr>
        <w:t xml:space="preserve"> </w:t>
      </w:r>
      <w:r w:rsidR="006E2CD9" w:rsidRPr="005A28F5">
        <w:rPr>
          <w:rFonts w:ascii="Times New Roman" w:hAnsi="Times New Roman" w:cs="Times New Roman"/>
          <w:sz w:val="24"/>
          <w:szCs w:val="24"/>
          <w:lang w:val="en-GB"/>
        </w:rPr>
        <w:fldChar w:fldCharType="begin" w:fldLock="1"/>
      </w:r>
      <w:r w:rsidR="001754FE">
        <w:rPr>
          <w:rFonts w:ascii="Times New Roman" w:hAnsi="Times New Roman" w:cs="Times New Roman"/>
          <w:sz w:val="24"/>
          <w:szCs w:val="24"/>
          <w:lang w:val="en-GB"/>
        </w:rPr>
        <w:instrText>ADDIN CSL_CITATION {"citationItems":[{"id":"ITEM-1","itemData":{"DOI":"10.1186/s13059-015-0660-y","ISSN":"1465-6906","PMID":"26062908","abstract":"Matt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Biology","id":"ITEM-1","issue":"1","issued":{"date-parts":[["2015","6","11"]]},"page":"118","title":"Independent genomewide screens identify the tumor suppressor VTRNA2-1 as a human epiallele responsive to periconceptional environment","type":"article-journal","volume":"16"},"uris":["http://www.mendeley.com/documents/?uuid=db7922a2-ba21-4a5a-bf94-b08008d95786"]},{"id":"ITEM-2","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Communications","id":"ITEM-2","issued":{"date-parts":[["2014","4","29"]]},"language":"en","page":"1-7","publisher":"Nature Publishing Group","title":"Maternal nutrition at conception modulates DNA methylation of human metastable epialleles","type":"article-journal","volume":"5"},"uris":["http://www.mendeley.com/documents/?uuid=6b5f8d86-1622-402c-bdf7-397885c014d1"]}],"mendeley":{"formattedCitation":"(17,18)","plainTextFormattedCitation":"(17,18)","previouslyFormattedCitation":"(17,18)"},"properties":{"noteIndex":0},"schema":"https://github.com/citation-style-language/schema/raw/master/csl-citation.json"}</w:instrText>
      </w:r>
      <w:r w:rsidR="006E2CD9" w:rsidRPr="005A28F5">
        <w:rPr>
          <w:rFonts w:ascii="Times New Roman" w:hAnsi="Times New Roman" w:cs="Times New Roman"/>
          <w:sz w:val="24"/>
          <w:szCs w:val="24"/>
          <w:lang w:val="en-GB"/>
        </w:rPr>
        <w:fldChar w:fldCharType="separate"/>
      </w:r>
      <w:r w:rsidR="00453860" w:rsidRPr="00453860">
        <w:rPr>
          <w:rFonts w:ascii="Times New Roman" w:hAnsi="Times New Roman" w:cs="Times New Roman"/>
          <w:noProof/>
          <w:sz w:val="24"/>
          <w:szCs w:val="24"/>
          <w:lang w:val="en-GB"/>
        </w:rPr>
        <w:t>(17,18)</w:t>
      </w:r>
      <w:r w:rsidR="006E2CD9" w:rsidRPr="005A28F5">
        <w:rPr>
          <w:rFonts w:ascii="Times New Roman" w:hAnsi="Times New Roman" w:cs="Times New Roman"/>
          <w:sz w:val="24"/>
          <w:szCs w:val="24"/>
          <w:lang w:val="en-GB"/>
        </w:rPr>
        <w:fldChar w:fldCharType="end"/>
      </w:r>
      <w:r w:rsidRPr="005A28F5">
        <w:rPr>
          <w:rFonts w:ascii="Times New Roman" w:hAnsi="Times New Roman" w:cs="Times New Roman"/>
          <w:sz w:val="24"/>
          <w:szCs w:val="24"/>
          <w:lang w:val="en-GB"/>
        </w:rPr>
        <w:t>. A similar analysis for candidate loci also found no evidence for a</w:t>
      </w:r>
      <w:r w:rsidR="00BA2E91" w:rsidRPr="005A28F5">
        <w:rPr>
          <w:rFonts w:ascii="Times New Roman" w:hAnsi="Times New Roman" w:cs="Times New Roman"/>
          <w:sz w:val="24"/>
          <w:szCs w:val="24"/>
          <w:lang w:val="en-GB"/>
        </w:rPr>
        <w:t xml:space="preserve"> SoC</w:t>
      </w:r>
      <w:r w:rsidRPr="005A28F5">
        <w:rPr>
          <w:rFonts w:ascii="Times New Roman" w:hAnsi="Times New Roman" w:cs="Times New Roman"/>
          <w:sz w:val="24"/>
          <w:szCs w:val="24"/>
          <w:lang w:val="en-GB"/>
        </w:rPr>
        <w:t xml:space="preserve"> interaction effect (</w:t>
      </w:r>
      <w:r w:rsidR="00C10299">
        <w:rPr>
          <w:rFonts w:ascii="Times New Roman" w:hAnsi="Times New Roman" w:cs="Times New Roman"/>
          <w:sz w:val="24"/>
          <w:szCs w:val="24"/>
          <w:lang w:val="en-GB"/>
        </w:rPr>
        <w:t>Supplemental</w:t>
      </w:r>
      <w:r w:rsidRPr="005A28F5">
        <w:rPr>
          <w:rFonts w:ascii="Times New Roman" w:hAnsi="Times New Roman" w:cs="Times New Roman"/>
          <w:sz w:val="24"/>
          <w:szCs w:val="24"/>
          <w:lang w:val="en-GB"/>
        </w:rPr>
        <w:t xml:space="preserve"> Table </w:t>
      </w:r>
      <w:r w:rsidR="005428E2">
        <w:rPr>
          <w:rFonts w:ascii="Times New Roman" w:hAnsi="Times New Roman" w:cs="Times New Roman"/>
          <w:sz w:val="24"/>
          <w:szCs w:val="24"/>
          <w:lang w:val="en-GB"/>
        </w:rPr>
        <w:t>15</w:t>
      </w:r>
      <w:r w:rsidRPr="005A28F5">
        <w:rPr>
          <w:rFonts w:ascii="Times New Roman" w:hAnsi="Times New Roman" w:cs="Times New Roman"/>
          <w:sz w:val="24"/>
          <w:szCs w:val="24"/>
          <w:lang w:val="en-GB"/>
        </w:rPr>
        <w:t xml:space="preserve">). </w:t>
      </w:r>
    </w:p>
    <w:p w14:paraId="1461D7BE" w14:textId="28011562" w:rsidR="00E01BB2" w:rsidRPr="005A28F5" w:rsidRDefault="006526E5" w:rsidP="001A64D3">
      <w:pPr>
        <w:pStyle w:val="BodyA"/>
        <w:spacing w:line="360" w:lineRule="auto"/>
        <w:outlineLvl w:val="0"/>
        <w:rPr>
          <w:rFonts w:ascii="Times New Roman" w:hAnsi="Times New Roman" w:cs="Times New Roman"/>
          <w:sz w:val="24"/>
          <w:szCs w:val="24"/>
          <w:lang w:val="en-GB"/>
        </w:rPr>
      </w:pPr>
      <w:r w:rsidRPr="005A28F5">
        <w:rPr>
          <w:rFonts w:ascii="Times New Roman" w:hAnsi="Times New Roman" w:cs="Times New Roman"/>
          <w:sz w:val="24"/>
          <w:szCs w:val="24"/>
          <w:lang w:val="en-GB"/>
        </w:rPr>
        <w:t xml:space="preserve">We </w:t>
      </w:r>
      <w:r w:rsidR="007E5060" w:rsidRPr="005A28F5">
        <w:rPr>
          <w:rFonts w:ascii="Times New Roman" w:hAnsi="Times New Roman" w:cs="Times New Roman"/>
          <w:sz w:val="24"/>
          <w:szCs w:val="24"/>
          <w:lang w:val="en-GB"/>
        </w:rPr>
        <w:t xml:space="preserve">did not </w:t>
      </w:r>
      <w:r w:rsidRPr="005A28F5">
        <w:rPr>
          <w:rFonts w:ascii="Times New Roman" w:hAnsi="Times New Roman" w:cs="Times New Roman"/>
          <w:sz w:val="24"/>
          <w:szCs w:val="24"/>
          <w:lang w:val="en-GB"/>
        </w:rPr>
        <w:t xml:space="preserve">identify </w:t>
      </w:r>
      <w:r w:rsidR="007E5060" w:rsidRPr="005A28F5">
        <w:rPr>
          <w:rFonts w:ascii="Times New Roman" w:hAnsi="Times New Roman" w:cs="Times New Roman"/>
          <w:sz w:val="24"/>
          <w:szCs w:val="24"/>
          <w:lang w:val="en-GB"/>
        </w:rPr>
        <w:t xml:space="preserve">an </w:t>
      </w:r>
      <w:r w:rsidRPr="005A28F5">
        <w:rPr>
          <w:rFonts w:ascii="Times New Roman" w:hAnsi="Times New Roman" w:cs="Times New Roman"/>
          <w:sz w:val="24"/>
          <w:szCs w:val="24"/>
          <w:lang w:val="en-GB"/>
        </w:rPr>
        <w:t xml:space="preserve">intervention </w:t>
      </w:r>
      <w:r w:rsidR="007E5060" w:rsidRPr="005A28F5">
        <w:rPr>
          <w:rFonts w:ascii="Times New Roman" w:hAnsi="Times New Roman" w:cs="Times New Roman"/>
          <w:sz w:val="24"/>
          <w:szCs w:val="24"/>
          <w:lang w:val="en-GB"/>
        </w:rPr>
        <w:t xml:space="preserve">effect </w:t>
      </w:r>
      <w:r w:rsidRPr="005A28F5">
        <w:rPr>
          <w:rFonts w:ascii="Times New Roman" w:hAnsi="Times New Roman" w:cs="Times New Roman"/>
          <w:sz w:val="24"/>
          <w:szCs w:val="24"/>
          <w:lang w:val="en-GB"/>
        </w:rPr>
        <w:t>in the Indian cohort</w:t>
      </w:r>
      <w:r w:rsidR="00BC3B0C" w:rsidRPr="005A28F5">
        <w:rPr>
          <w:rFonts w:ascii="Times New Roman" w:hAnsi="Times New Roman" w:cs="Times New Roman"/>
          <w:sz w:val="24"/>
          <w:szCs w:val="24"/>
          <w:lang w:val="en-GB"/>
        </w:rPr>
        <w:t>, as evidenced by the observed small methylation differences</w:t>
      </w:r>
      <w:r w:rsidR="007E69FA" w:rsidRPr="005A28F5">
        <w:rPr>
          <w:rFonts w:ascii="Times New Roman" w:hAnsi="Times New Roman" w:cs="Times New Roman"/>
          <w:sz w:val="24"/>
          <w:szCs w:val="24"/>
          <w:lang w:val="en-GB"/>
        </w:rPr>
        <w:t>, the presence of only a single DMP</w:t>
      </w:r>
      <w:r w:rsidR="00BC3B0C" w:rsidRPr="005A28F5">
        <w:rPr>
          <w:rFonts w:ascii="Times New Roman" w:hAnsi="Times New Roman" w:cs="Times New Roman"/>
          <w:sz w:val="24"/>
          <w:szCs w:val="24"/>
          <w:lang w:val="en-GB"/>
        </w:rPr>
        <w:t xml:space="preserve"> </w:t>
      </w:r>
      <w:r w:rsidR="007E5060" w:rsidRPr="005A28F5">
        <w:rPr>
          <w:rFonts w:ascii="Times New Roman" w:hAnsi="Times New Roman" w:cs="Times New Roman"/>
          <w:sz w:val="24"/>
          <w:szCs w:val="24"/>
          <w:lang w:val="en-GB"/>
        </w:rPr>
        <w:t xml:space="preserve">passing FDR &lt; 5% </w:t>
      </w:r>
      <w:r w:rsidR="00BC3B0C" w:rsidRPr="005A28F5">
        <w:rPr>
          <w:rFonts w:ascii="Times New Roman" w:hAnsi="Times New Roman" w:cs="Times New Roman"/>
          <w:sz w:val="24"/>
          <w:szCs w:val="24"/>
          <w:lang w:val="en-GB"/>
        </w:rPr>
        <w:t>and</w:t>
      </w:r>
      <w:r w:rsidR="007E69FA" w:rsidRPr="005A28F5">
        <w:rPr>
          <w:rFonts w:ascii="Times New Roman" w:hAnsi="Times New Roman" w:cs="Times New Roman"/>
          <w:sz w:val="24"/>
          <w:szCs w:val="24"/>
          <w:lang w:val="en-GB"/>
        </w:rPr>
        <w:t xml:space="preserve"> absence of any</w:t>
      </w:r>
      <w:r w:rsidR="00BC3B0C" w:rsidRPr="005A28F5">
        <w:rPr>
          <w:rFonts w:ascii="Times New Roman" w:hAnsi="Times New Roman" w:cs="Times New Roman"/>
          <w:sz w:val="24"/>
          <w:szCs w:val="24"/>
          <w:lang w:val="en-GB"/>
        </w:rPr>
        <w:t xml:space="preserve"> DMRs, and </w:t>
      </w:r>
      <w:r w:rsidR="006E2CD9" w:rsidRPr="005A28F5">
        <w:rPr>
          <w:rFonts w:ascii="Times New Roman" w:hAnsi="Times New Roman" w:cs="Times New Roman"/>
          <w:sz w:val="24"/>
          <w:szCs w:val="24"/>
          <w:lang w:val="en-GB"/>
        </w:rPr>
        <w:t>the obser</w:t>
      </w:r>
      <w:r w:rsidR="00A84B6E" w:rsidRPr="005A28F5">
        <w:rPr>
          <w:rFonts w:ascii="Times New Roman" w:hAnsi="Times New Roman" w:cs="Times New Roman"/>
          <w:sz w:val="24"/>
          <w:szCs w:val="24"/>
          <w:lang w:val="en-GB"/>
        </w:rPr>
        <w:t>vation that the</w:t>
      </w:r>
      <w:r w:rsidR="00BC3B0C" w:rsidRPr="005A28F5">
        <w:rPr>
          <w:rFonts w:ascii="Times New Roman" w:hAnsi="Times New Roman" w:cs="Times New Roman"/>
          <w:sz w:val="24"/>
          <w:szCs w:val="24"/>
          <w:lang w:val="en-GB"/>
        </w:rPr>
        <w:t xml:space="preserve"> top </w:t>
      </w:r>
      <w:r w:rsidR="00247184" w:rsidRPr="005A28F5">
        <w:rPr>
          <w:rFonts w:ascii="Times New Roman" w:hAnsi="Times New Roman" w:cs="Times New Roman"/>
          <w:sz w:val="24"/>
          <w:szCs w:val="24"/>
          <w:lang w:val="en-GB"/>
        </w:rPr>
        <w:t>ranking CpGs</w:t>
      </w:r>
      <w:r w:rsidR="00A84B6E" w:rsidRPr="005A28F5">
        <w:rPr>
          <w:rFonts w:ascii="Times New Roman" w:hAnsi="Times New Roman" w:cs="Times New Roman"/>
          <w:sz w:val="24"/>
          <w:szCs w:val="24"/>
          <w:lang w:val="en-GB"/>
        </w:rPr>
        <w:t xml:space="preserve"> were not replicated using</w:t>
      </w:r>
      <w:r w:rsidR="00BC3B0C" w:rsidRPr="005A28F5">
        <w:rPr>
          <w:rFonts w:ascii="Times New Roman" w:hAnsi="Times New Roman" w:cs="Times New Roman"/>
          <w:sz w:val="24"/>
          <w:szCs w:val="24"/>
          <w:lang w:val="en-GB"/>
        </w:rPr>
        <w:t xml:space="preserve"> different modelling strategies (data not shown). A number of sensitivity analyses were performed to test other possible explanations for </w:t>
      </w:r>
      <w:r w:rsidR="00247184" w:rsidRPr="005A28F5">
        <w:rPr>
          <w:rFonts w:ascii="Times New Roman" w:hAnsi="Times New Roman" w:cs="Times New Roman"/>
          <w:sz w:val="24"/>
          <w:szCs w:val="24"/>
          <w:lang w:val="en-GB"/>
        </w:rPr>
        <w:t xml:space="preserve">this </w:t>
      </w:r>
      <w:r w:rsidR="00BC3B0C" w:rsidRPr="005A28F5">
        <w:rPr>
          <w:rFonts w:ascii="Times New Roman" w:hAnsi="Times New Roman" w:cs="Times New Roman"/>
          <w:sz w:val="24"/>
          <w:szCs w:val="24"/>
          <w:lang w:val="en-GB"/>
        </w:rPr>
        <w:t>result (</w:t>
      </w:r>
      <w:r w:rsidR="00C10299">
        <w:rPr>
          <w:rFonts w:ascii="Times New Roman" w:hAnsi="Times New Roman" w:cs="Times New Roman"/>
          <w:sz w:val="24"/>
          <w:szCs w:val="24"/>
          <w:lang w:val="en-GB"/>
        </w:rPr>
        <w:t>Supplemental</w:t>
      </w:r>
      <w:r w:rsidR="00BC3B0C" w:rsidRPr="005A28F5">
        <w:rPr>
          <w:rFonts w:ascii="Times New Roman" w:hAnsi="Times New Roman" w:cs="Times New Roman"/>
          <w:sz w:val="24"/>
          <w:szCs w:val="24"/>
          <w:lang w:val="en-GB"/>
        </w:rPr>
        <w:t xml:space="preserve"> Methods). Firstly, a positive control analysis </w:t>
      </w:r>
      <w:r w:rsidR="00A751C3" w:rsidRPr="005A28F5">
        <w:rPr>
          <w:rFonts w:ascii="Times New Roman" w:hAnsi="Times New Roman" w:cs="Times New Roman"/>
          <w:sz w:val="24"/>
          <w:szCs w:val="24"/>
          <w:lang w:val="en-GB"/>
        </w:rPr>
        <w:t>with maternal BMI</w:t>
      </w:r>
      <w:r w:rsidR="00BC3B0C" w:rsidRPr="005A28F5">
        <w:rPr>
          <w:rFonts w:ascii="Times New Roman" w:hAnsi="Times New Roman" w:cs="Times New Roman"/>
          <w:sz w:val="24"/>
          <w:szCs w:val="24"/>
          <w:lang w:val="en-GB"/>
        </w:rPr>
        <w:t xml:space="preserve">, an exposure with prior evidence of an effect on offspring methylation, </w:t>
      </w:r>
      <w:r w:rsidR="000509FF" w:rsidRPr="005A28F5">
        <w:rPr>
          <w:rFonts w:ascii="Times New Roman" w:hAnsi="Times New Roman" w:cs="Times New Roman"/>
          <w:sz w:val="24"/>
          <w:szCs w:val="24"/>
          <w:lang w:val="en-GB"/>
        </w:rPr>
        <w:t>showed an effect size distribution indicative of a non-null effect</w:t>
      </w:r>
      <w:r w:rsidR="00A751C3" w:rsidRPr="005A28F5">
        <w:rPr>
          <w:rFonts w:ascii="Times New Roman" w:hAnsi="Times New Roman" w:cs="Times New Roman"/>
          <w:sz w:val="24"/>
          <w:szCs w:val="24"/>
          <w:lang w:val="en-GB"/>
        </w:rPr>
        <w:t xml:space="preserve"> </w:t>
      </w:r>
      <w:r w:rsidR="00BC3B0C" w:rsidRPr="005A28F5">
        <w:rPr>
          <w:rFonts w:ascii="Times New Roman" w:hAnsi="Times New Roman" w:cs="Times New Roman"/>
          <w:sz w:val="24"/>
          <w:szCs w:val="24"/>
          <w:lang w:val="en-GB"/>
        </w:rPr>
        <w:t>following the same analysis pipeline (</w:t>
      </w:r>
      <w:r w:rsidR="00C10299">
        <w:rPr>
          <w:rFonts w:ascii="Times New Roman" w:hAnsi="Times New Roman" w:cs="Times New Roman"/>
          <w:sz w:val="24"/>
          <w:szCs w:val="24"/>
          <w:lang w:val="en-GB"/>
        </w:rPr>
        <w:t>Supplemental</w:t>
      </w:r>
      <w:r w:rsidR="00BC3B0C" w:rsidRPr="005A28F5">
        <w:rPr>
          <w:rFonts w:ascii="Times New Roman" w:hAnsi="Times New Roman" w:cs="Times New Roman"/>
          <w:sz w:val="24"/>
          <w:szCs w:val="24"/>
          <w:lang w:val="en-GB"/>
        </w:rPr>
        <w:t xml:space="preserve"> Figure </w:t>
      </w:r>
      <w:r w:rsidR="009C53F4">
        <w:rPr>
          <w:rFonts w:ascii="Times New Roman" w:hAnsi="Times New Roman" w:cs="Times New Roman"/>
          <w:sz w:val="24"/>
          <w:szCs w:val="24"/>
          <w:lang w:val="en-GB"/>
        </w:rPr>
        <w:t>3</w:t>
      </w:r>
      <w:r w:rsidR="000509FF" w:rsidRPr="005A28F5">
        <w:rPr>
          <w:rFonts w:ascii="Times New Roman" w:hAnsi="Times New Roman" w:cs="Times New Roman"/>
          <w:sz w:val="24"/>
          <w:szCs w:val="24"/>
          <w:lang w:val="en-GB"/>
        </w:rPr>
        <w:t>, Figure 1b</w:t>
      </w:r>
      <w:r w:rsidR="00BC3B0C" w:rsidRPr="005A28F5">
        <w:rPr>
          <w:rFonts w:ascii="Times New Roman" w:hAnsi="Times New Roman" w:cs="Times New Roman"/>
          <w:sz w:val="24"/>
          <w:szCs w:val="24"/>
          <w:lang w:val="en-GB"/>
        </w:rPr>
        <w:t xml:space="preserve">). </w:t>
      </w:r>
      <w:r w:rsidR="0032715B" w:rsidRPr="005A28F5">
        <w:rPr>
          <w:rStyle w:val="None"/>
          <w:rFonts w:ascii="Times New Roman" w:hAnsi="Times New Roman" w:cs="Times New Roman"/>
          <w:color w:val="000000" w:themeColor="text1"/>
          <w:sz w:val="24"/>
          <w:szCs w:val="24"/>
          <w:lang w:val="en-GB"/>
        </w:rPr>
        <w:t>A previous study in the same Indian cohort revealed an interaction between intervention and maternal BMI on birthweight</w:t>
      </w:r>
      <w:r w:rsidR="00F94334" w:rsidRPr="005A28F5">
        <w:rPr>
          <w:rStyle w:val="None"/>
          <w:rFonts w:ascii="Times New Roman" w:hAnsi="Times New Roman" w:cs="Times New Roman"/>
          <w:color w:val="000000" w:themeColor="text1"/>
          <w:sz w:val="24"/>
          <w:szCs w:val="24"/>
          <w:lang w:val="en-GB"/>
        </w:rPr>
        <w:t xml:space="preserve"> of children</w:t>
      </w:r>
      <w:r w:rsidR="0032715B" w:rsidRPr="005A28F5">
        <w:rPr>
          <w:rStyle w:val="None"/>
          <w:rFonts w:ascii="Times New Roman" w:hAnsi="Times New Roman" w:cs="Times New Roman"/>
          <w:color w:val="000000" w:themeColor="text1"/>
          <w:sz w:val="24"/>
          <w:szCs w:val="24"/>
          <w:lang w:val="en-GB"/>
        </w:rPr>
        <w:t xml:space="preserve"> </w:t>
      </w:r>
      <w:r w:rsidR="0032715B" w:rsidRPr="005A28F5">
        <w:rPr>
          <w:rStyle w:val="None"/>
          <w:rFonts w:ascii="Times New Roman" w:hAnsi="Times New Roman" w:cs="Times New Roman"/>
          <w:color w:val="000000" w:themeColor="text1"/>
          <w:sz w:val="24"/>
          <w:szCs w:val="24"/>
          <w:lang w:val="en-GB"/>
        </w:rPr>
        <w:fldChar w:fldCharType="begin" w:fldLock="1"/>
      </w:r>
      <w:r w:rsidR="00897103">
        <w:rPr>
          <w:rStyle w:val="None"/>
          <w:rFonts w:ascii="Times New Roman" w:hAnsi="Times New Roman" w:cs="Times New Roman"/>
          <w:color w:val="000000" w:themeColor="text1"/>
          <w:sz w:val="24"/>
          <w:szCs w:val="24"/>
          <w:lang w:val="en-GB"/>
        </w:rPr>
        <w:instrText>ADDIN CSL_CITATION {"citationItems":[{"id":"ITEM-1","itemData":{"DOI":"10.3945/ajcn.114.084921.1","ISBN":"0002-9165","ISSN":"1938-3207","PMID":"25332324","author":[{"dropping-particle":"","family":"Potdar","given":"Ramesh D","non-dropping-particle":"","parse-names":false,"suffix":""},{"dropping-particle":"","family":"Sahariah","given":"Sirazul a","non-dropping-particle":"","parse-names":false,"suffix":""},{"dropping-particle":"","family":"Gandhi","given":"Meera","non-dropping-particle":"","parse-names":false,"suffix":""},{"dropping-particle":"","family":"Kehoe","given":"Sarah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Dayama","given":"Monika","non-dropping-particle":"","parse-names":false,"suffix":""},{"dropping-particle":"","family":"Jha","given":"Swati","non-dropping-particle":"","parse-names":false,"suffix":""},{"dropping-particle":"","family":"Lawande","given":"Ashwin","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hheda-gala","given":"Purvi","non-dropping-particle":"","parse-names":false,"suffix":""},{"dropping-particle":"","family":"Muley-lotankar","given":"Priyadarshini","non-dropping-particle":"","parse-names":false,"suffix":""},{"dropping-particle":"","family":"Subbulakshmi","given":"G","non-dropping-particle":"","parse-names":false,"suffix":""},{"dropping-particle":"","family":"Wills","given":"Andrew K","non-dropping-particle":"","parse-names":false,"suffix":""},{"dropping-particle":"","family":"Cox","given":"Vanessa a","non-dropping-particle":"","parse-names":false,"suffix":""},{"dropping-particle":"","family":"Taskar","given":"Vijaya","non-dropping-particle":"","parse-names":false,"suffix":""},{"dropping-particle":"","family":"Barker","given":"David J P","non-dropping-particle":"","parse-names":false,"suffix":""},{"dropping-particle":"","family":"Jackson","given":"Alan a","non-dropping-particle":"","parse-names":false,"suffix":""},{"dropping-particle":"","family":"Margetts","given":"Barrie M","non-dropping-particle":"","parse-names":false,"suffix":""},{"dropping-particle":"","family":"Fall","given":"Caroline H D","non-dropping-particle":"","parse-names":false,"suffix":""}],"container-title":"Am J Clin Nutr","id":"ITEM-1","issued":{"date-parts":[["2014"]]},"page":"1257-1268","title":"Improving women’ s diet quality preconceptionally and during gestation: effects on birth weight and prevalence of low birth weight-a randomized controlled efficacy trial in India (Mumbai Maternal Nutrition Project)","type":"article-journal","volume":"100"},"uris":["http://www.mendeley.com/documents/?uuid=1c2ece84-83d3-4ec1-bab4-c98da6f5350c"]}],"mendeley":{"formattedCitation":"(25)","plainTextFormattedCitation":"(25)","previouslyFormattedCitation":"(25)"},"properties":{"noteIndex":0},"schema":"https://github.com/citation-style-language/schema/raw/master/csl-citation.json"}</w:instrText>
      </w:r>
      <w:r w:rsidR="0032715B" w:rsidRPr="005A28F5">
        <w:rPr>
          <w:rStyle w:val="None"/>
          <w:rFonts w:ascii="Times New Roman" w:hAnsi="Times New Roman" w:cs="Times New Roman"/>
          <w:color w:val="000000" w:themeColor="text1"/>
          <w:sz w:val="24"/>
          <w:szCs w:val="24"/>
          <w:lang w:val="en-GB"/>
        </w:rPr>
        <w:fldChar w:fldCharType="separate"/>
      </w:r>
      <w:r w:rsidR="001754FE" w:rsidRPr="001754FE">
        <w:rPr>
          <w:rStyle w:val="None"/>
          <w:rFonts w:ascii="Times New Roman" w:hAnsi="Times New Roman" w:cs="Times New Roman"/>
          <w:noProof/>
          <w:color w:val="000000" w:themeColor="text1"/>
          <w:sz w:val="24"/>
          <w:szCs w:val="24"/>
          <w:lang w:val="en-GB"/>
        </w:rPr>
        <w:t>(25)</w:t>
      </w:r>
      <w:r w:rsidR="0032715B" w:rsidRPr="005A28F5">
        <w:rPr>
          <w:rStyle w:val="None"/>
          <w:rFonts w:ascii="Times New Roman" w:hAnsi="Times New Roman" w:cs="Times New Roman"/>
          <w:color w:val="000000" w:themeColor="text1"/>
          <w:sz w:val="24"/>
          <w:szCs w:val="24"/>
          <w:lang w:val="en-GB"/>
        </w:rPr>
        <w:fldChar w:fldCharType="end"/>
      </w:r>
      <w:r w:rsidR="0032715B" w:rsidRPr="005A28F5">
        <w:rPr>
          <w:rStyle w:val="None"/>
          <w:rFonts w:ascii="Times New Roman" w:hAnsi="Times New Roman" w:cs="Times New Roman"/>
          <w:color w:val="000000" w:themeColor="text1"/>
          <w:sz w:val="24"/>
          <w:szCs w:val="24"/>
          <w:lang w:val="en-GB"/>
        </w:rPr>
        <w:t xml:space="preserve">. </w:t>
      </w:r>
      <w:r w:rsidR="00702A97" w:rsidRPr="005A28F5">
        <w:rPr>
          <w:rFonts w:ascii="Times New Roman" w:hAnsi="Times New Roman" w:cs="Times New Roman"/>
          <w:sz w:val="24"/>
          <w:szCs w:val="24"/>
          <w:lang w:val="en-GB"/>
        </w:rPr>
        <w:t xml:space="preserve">We </w:t>
      </w:r>
      <w:r w:rsidR="00557D04" w:rsidRPr="005A28F5">
        <w:rPr>
          <w:rFonts w:ascii="Times New Roman" w:hAnsi="Times New Roman" w:cs="Times New Roman"/>
          <w:sz w:val="24"/>
          <w:szCs w:val="24"/>
          <w:lang w:val="en-GB"/>
        </w:rPr>
        <w:t xml:space="preserve">therefore </w:t>
      </w:r>
      <w:r w:rsidR="00F6133C" w:rsidRPr="005A28F5">
        <w:rPr>
          <w:rFonts w:ascii="Times New Roman" w:hAnsi="Times New Roman" w:cs="Times New Roman"/>
          <w:sz w:val="24"/>
          <w:szCs w:val="24"/>
          <w:lang w:val="en-GB"/>
        </w:rPr>
        <w:t>tested for</w:t>
      </w:r>
      <w:r w:rsidR="002479B2" w:rsidRPr="005A28F5">
        <w:rPr>
          <w:rFonts w:ascii="Times New Roman" w:hAnsi="Times New Roman" w:cs="Times New Roman"/>
          <w:sz w:val="24"/>
          <w:szCs w:val="24"/>
          <w:lang w:val="en-GB"/>
        </w:rPr>
        <w:t xml:space="preserve"> </w:t>
      </w:r>
      <w:r w:rsidR="00702A97" w:rsidRPr="005A28F5">
        <w:rPr>
          <w:rFonts w:ascii="Times New Roman" w:hAnsi="Times New Roman" w:cs="Times New Roman"/>
          <w:sz w:val="24"/>
          <w:szCs w:val="24"/>
          <w:lang w:val="en-GB"/>
        </w:rPr>
        <w:t xml:space="preserve">interaction between intervention and maternal BMI, </w:t>
      </w:r>
      <w:r w:rsidR="00B16471" w:rsidRPr="005A28F5">
        <w:rPr>
          <w:rFonts w:ascii="Times New Roman" w:hAnsi="Times New Roman" w:cs="Times New Roman"/>
          <w:sz w:val="24"/>
          <w:szCs w:val="24"/>
          <w:lang w:val="en-GB"/>
        </w:rPr>
        <w:t xml:space="preserve">and </w:t>
      </w:r>
      <w:r w:rsidR="00F6133C" w:rsidRPr="005A28F5">
        <w:rPr>
          <w:rFonts w:ascii="Times New Roman" w:hAnsi="Times New Roman" w:cs="Times New Roman"/>
          <w:sz w:val="24"/>
          <w:szCs w:val="24"/>
          <w:lang w:val="en-GB"/>
        </w:rPr>
        <w:t xml:space="preserve">also for </w:t>
      </w:r>
      <w:r w:rsidR="00702A97" w:rsidRPr="005A28F5">
        <w:rPr>
          <w:rFonts w:ascii="Times New Roman" w:hAnsi="Times New Roman" w:cs="Times New Roman"/>
          <w:sz w:val="24"/>
          <w:szCs w:val="24"/>
          <w:lang w:val="en-GB"/>
        </w:rPr>
        <w:t>differences in intervention effects on DNAm between maternal BMI s</w:t>
      </w:r>
      <w:r w:rsidR="00D12C23" w:rsidRPr="005A28F5">
        <w:rPr>
          <w:rFonts w:ascii="Times New Roman" w:hAnsi="Times New Roman" w:cs="Times New Roman"/>
          <w:sz w:val="24"/>
          <w:szCs w:val="24"/>
          <w:lang w:val="en-GB"/>
        </w:rPr>
        <w:t>trata</w:t>
      </w:r>
      <w:r w:rsidR="00F6133C" w:rsidRPr="005A28F5">
        <w:rPr>
          <w:rFonts w:ascii="Times New Roman" w:hAnsi="Times New Roman" w:cs="Times New Roman"/>
          <w:sz w:val="24"/>
          <w:szCs w:val="24"/>
          <w:lang w:val="en-GB"/>
        </w:rPr>
        <w:t>. We did not</w:t>
      </w:r>
      <w:r w:rsidR="002479B2" w:rsidRPr="005A28F5">
        <w:rPr>
          <w:rFonts w:ascii="Times New Roman" w:hAnsi="Times New Roman" w:cs="Times New Roman"/>
          <w:sz w:val="24"/>
          <w:szCs w:val="24"/>
          <w:lang w:val="en-GB"/>
        </w:rPr>
        <w:t xml:space="preserve"> find </w:t>
      </w:r>
      <w:r w:rsidR="00F6133C" w:rsidRPr="005A28F5">
        <w:rPr>
          <w:rFonts w:ascii="Times New Roman" w:hAnsi="Times New Roman" w:cs="Times New Roman"/>
          <w:sz w:val="24"/>
          <w:szCs w:val="24"/>
          <w:lang w:val="en-GB"/>
        </w:rPr>
        <w:t xml:space="preserve">any </w:t>
      </w:r>
      <w:r w:rsidR="002479B2" w:rsidRPr="005A28F5">
        <w:rPr>
          <w:rFonts w:ascii="Times New Roman" w:hAnsi="Times New Roman" w:cs="Times New Roman"/>
          <w:sz w:val="24"/>
          <w:szCs w:val="24"/>
          <w:lang w:val="en-GB"/>
        </w:rPr>
        <w:t xml:space="preserve">evidence for </w:t>
      </w:r>
      <w:r w:rsidR="00F6133C" w:rsidRPr="005A28F5">
        <w:rPr>
          <w:rFonts w:ascii="Times New Roman" w:hAnsi="Times New Roman" w:cs="Times New Roman"/>
          <w:sz w:val="24"/>
          <w:szCs w:val="24"/>
          <w:lang w:val="en-GB"/>
        </w:rPr>
        <w:t>either a significant interaction</w:t>
      </w:r>
      <w:r w:rsidR="00D12C23" w:rsidRPr="005A28F5">
        <w:rPr>
          <w:rFonts w:ascii="Times New Roman" w:hAnsi="Times New Roman" w:cs="Times New Roman"/>
          <w:sz w:val="24"/>
          <w:szCs w:val="24"/>
          <w:lang w:val="en-GB"/>
        </w:rPr>
        <w:t xml:space="preserve"> </w:t>
      </w:r>
      <w:r w:rsidR="00F6133C" w:rsidRPr="005A28F5">
        <w:rPr>
          <w:rFonts w:ascii="Times New Roman" w:hAnsi="Times New Roman" w:cs="Times New Roman"/>
          <w:sz w:val="24"/>
          <w:szCs w:val="24"/>
          <w:lang w:val="en-GB"/>
        </w:rPr>
        <w:t xml:space="preserve">between maternal BMI and intervention, or differences in size of intervention effect between maternal BMI subgroups </w:t>
      </w:r>
      <w:r w:rsidR="00D12C23" w:rsidRPr="005A28F5">
        <w:rPr>
          <w:rFonts w:ascii="Times New Roman" w:hAnsi="Times New Roman" w:cs="Times New Roman"/>
          <w:sz w:val="24"/>
          <w:szCs w:val="24"/>
          <w:lang w:val="en-GB"/>
        </w:rPr>
        <w:t>(</w:t>
      </w:r>
      <w:r w:rsidR="00C10299">
        <w:rPr>
          <w:rFonts w:ascii="Times New Roman" w:hAnsi="Times New Roman" w:cs="Times New Roman"/>
          <w:sz w:val="24"/>
          <w:szCs w:val="24"/>
          <w:lang w:val="en-GB"/>
        </w:rPr>
        <w:t>Supplemental</w:t>
      </w:r>
      <w:r w:rsidR="00D12C23" w:rsidRPr="005A28F5">
        <w:rPr>
          <w:rFonts w:ascii="Times New Roman" w:hAnsi="Times New Roman" w:cs="Times New Roman"/>
          <w:sz w:val="24"/>
          <w:szCs w:val="24"/>
          <w:lang w:val="en-GB"/>
        </w:rPr>
        <w:t xml:space="preserve"> Figure </w:t>
      </w:r>
      <w:r w:rsidR="009C53F4">
        <w:rPr>
          <w:rFonts w:ascii="Times New Roman" w:hAnsi="Times New Roman" w:cs="Times New Roman"/>
          <w:sz w:val="24"/>
          <w:szCs w:val="24"/>
          <w:lang w:val="en-GB"/>
        </w:rPr>
        <w:t>4</w:t>
      </w:r>
      <w:r w:rsidR="00702A97" w:rsidRPr="005A28F5">
        <w:rPr>
          <w:rFonts w:ascii="Times New Roman" w:hAnsi="Times New Roman" w:cs="Times New Roman"/>
          <w:sz w:val="24"/>
          <w:szCs w:val="24"/>
          <w:lang w:val="en-GB"/>
        </w:rPr>
        <w:t xml:space="preserve">). </w:t>
      </w:r>
      <w:r w:rsidR="00A1473D" w:rsidRPr="005A28F5">
        <w:rPr>
          <w:rFonts w:ascii="Times New Roman" w:hAnsi="Times New Roman" w:cs="Times New Roman"/>
          <w:sz w:val="24"/>
          <w:szCs w:val="24"/>
          <w:lang w:val="en-GB"/>
        </w:rPr>
        <w:t xml:space="preserve">We also found no evidence of an interaction between intervention and </w:t>
      </w:r>
      <w:r w:rsidR="00702A97" w:rsidRPr="005A28F5">
        <w:rPr>
          <w:rFonts w:ascii="Times New Roman" w:hAnsi="Times New Roman" w:cs="Times New Roman"/>
          <w:sz w:val="24"/>
          <w:szCs w:val="24"/>
          <w:lang w:val="en-GB"/>
        </w:rPr>
        <w:t>compliance (</w:t>
      </w:r>
      <w:r w:rsidR="00C10299">
        <w:rPr>
          <w:rFonts w:ascii="Times New Roman" w:hAnsi="Times New Roman" w:cs="Times New Roman"/>
          <w:sz w:val="24"/>
          <w:szCs w:val="24"/>
          <w:lang w:val="en-GB"/>
        </w:rPr>
        <w:t>Supplemental</w:t>
      </w:r>
      <w:r w:rsidR="00702A97" w:rsidRPr="005A28F5">
        <w:rPr>
          <w:rFonts w:ascii="Times New Roman" w:hAnsi="Times New Roman" w:cs="Times New Roman"/>
          <w:sz w:val="24"/>
          <w:szCs w:val="24"/>
          <w:lang w:val="en-GB"/>
        </w:rPr>
        <w:t xml:space="preserve"> Figure </w:t>
      </w:r>
      <w:r w:rsidR="009C53F4">
        <w:rPr>
          <w:rFonts w:ascii="Times New Roman" w:hAnsi="Times New Roman" w:cs="Times New Roman"/>
          <w:sz w:val="24"/>
          <w:szCs w:val="24"/>
          <w:lang w:val="en-GB"/>
        </w:rPr>
        <w:t>5</w:t>
      </w:r>
      <w:r w:rsidR="00F8695C">
        <w:rPr>
          <w:rFonts w:ascii="Times New Roman" w:hAnsi="Times New Roman" w:cs="Times New Roman"/>
          <w:sz w:val="24"/>
          <w:szCs w:val="24"/>
          <w:lang w:val="en-GB"/>
        </w:rPr>
        <w:t>; Supplemental Results)</w:t>
      </w:r>
      <w:r w:rsidR="00B379E5">
        <w:rPr>
          <w:rFonts w:ascii="Times New Roman" w:hAnsi="Times New Roman" w:cs="Times New Roman"/>
          <w:sz w:val="24"/>
          <w:szCs w:val="24"/>
          <w:lang w:val="en-GB"/>
        </w:rPr>
        <w:t>,</w:t>
      </w:r>
      <w:r w:rsidR="00F8695C">
        <w:rPr>
          <w:rFonts w:ascii="Times New Roman" w:hAnsi="Times New Roman" w:cs="Times New Roman"/>
          <w:sz w:val="24"/>
          <w:szCs w:val="24"/>
          <w:lang w:val="en-GB"/>
        </w:rPr>
        <w:t xml:space="preserve"> or of any significant effect of the intervention in an analysis restricted to fully compliant women (</w:t>
      </w:r>
      <w:r w:rsidR="00D762EE" w:rsidRPr="00791F94">
        <w:rPr>
          <w:rFonts w:ascii="Times New Roman" w:hAnsi="Times New Roman" w:cs="Times New Roman"/>
          <w:sz w:val="24"/>
          <w:szCs w:val="24"/>
          <w:lang w:val="en-GB"/>
        </w:rPr>
        <w:t xml:space="preserve">Supplementary Table </w:t>
      </w:r>
      <w:r w:rsidR="00791F94">
        <w:rPr>
          <w:rFonts w:ascii="Times New Roman" w:hAnsi="Times New Roman" w:cs="Times New Roman"/>
          <w:sz w:val="24"/>
          <w:szCs w:val="24"/>
          <w:lang w:val="en-GB"/>
        </w:rPr>
        <w:t>16</w:t>
      </w:r>
      <w:r w:rsidR="00F8695C">
        <w:rPr>
          <w:rFonts w:ascii="Times New Roman" w:hAnsi="Times New Roman" w:cs="Times New Roman"/>
          <w:sz w:val="24"/>
          <w:szCs w:val="24"/>
          <w:lang w:val="en-GB"/>
        </w:rPr>
        <w:t>; Supplemental Results</w:t>
      </w:r>
      <w:r w:rsidR="00702A97" w:rsidRPr="005A28F5">
        <w:rPr>
          <w:rFonts w:ascii="Times New Roman" w:hAnsi="Times New Roman" w:cs="Times New Roman"/>
          <w:sz w:val="24"/>
          <w:szCs w:val="24"/>
          <w:lang w:val="en-GB"/>
        </w:rPr>
        <w:t>)</w:t>
      </w:r>
      <w:r w:rsidR="00A1473D" w:rsidRPr="005A28F5">
        <w:rPr>
          <w:rFonts w:ascii="Times New Roman" w:hAnsi="Times New Roman" w:cs="Times New Roman"/>
          <w:sz w:val="24"/>
          <w:szCs w:val="24"/>
          <w:lang w:val="en-GB"/>
        </w:rPr>
        <w:t>.</w:t>
      </w:r>
    </w:p>
    <w:p w14:paraId="30B98305" w14:textId="77777777" w:rsidR="00C71A28" w:rsidRPr="005A28F5" w:rsidRDefault="00C71A28" w:rsidP="001A64D3">
      <w:pPr>
        <w:pStyle w:val="BodyA"/>
        <w:spacing w:line="360" w:lineRule="auto"/>
        <w:outlineLvl w:val="0"/>
        <w:rPr>
          <w:rFonts w:ascii="Times New Roman" w:hAnsi="Times New Roman" w:cs="Times New Roman"/>
          <w:sz w:val="24"/>
          <w:szCs w:val="24"/>
          <w:lang w:val="en-GB"/>
        </w:rPr>
      </w:pPr>
    </w:p>
    <w:p w14:paraId="089E62C7" w14:textId="70D02B54" w:rsidR="00E01BB2" w:rsidRPr="003F29C8" w:rsidRDefault="00BC3B0C" w:rsidP="001A64D3">
      <w:pPr>
        <w:pStyle w:val="BodyA"/>
        <w:spacing w:line="360" w:lineRule="auto"/>
        <w:outlineLvl w:val="0"/>
        <w:rPr>
          <w:rFonts w:ascii="Times New Roman" w:eastAsia="Cambria" w:hAnsi="Times New Roman" w:cs="Times New Roman"/>
          <w:sz w:val="28"/>
          <w:szCs w:val="28"/>
          <w:lang w:val="en-GB"/>
        </w:rPr>
      </w:pPr>
      <w:r w:rsidRPr="003F29C8">
        <w:rPr>
          <w:rFonts w:ascii="Times New Roman" w:hAnsi="Times New Roman" w:cs="Times New Roman"/>
          <w:sz w:val="28"/>
          <w:szCs w:val="28"/>
          <w:lang w:val="en-GB"/>
        </w:rPr>
        <w:t>Technical validati</w:t>
      </w:r>
      <w:r w:rsidR="00A10502" w:rsidRPr="003F29C8">
        <w:rPr>
          <w:rFonts w:ascii="Times New Roman" w:hAnsi="Times New Roman" w:cs="Times New Roman"/>
          <w:sz w:val="28"/>
          <w:szCs w:val="28"/>
          <w:lang w:val="en-GB"/>
        </w:rPr>
        <w:t>on and cross</w:t>
      </w:r>
      <w:r w:rsidR="00F94334" w:rsidRPr="003F29C8">
        <w:rPr>
          <w:rFonts w:ascii="Times New Roman" w:hAnsi="Times New Roman" w:cs="Times New Roman"/>
          <w:sz w:val="28"/>
          <w:szCs w:val="28"/>
          <w:lang w:val="en-GB"/>
        </w:rPr>
        <w:t>-</w:t>
      </w:r>
      <w:r w:rsidR="00A10502" w:rsidRPr="003F29C8">
        <w:rPr>
          <w:rFonts w:ascii="Times New Roman" w:hAnsi="Times New Roman" w:cs="Times New Roman"/>
          <w:sz w:val="28"/>
          <w:szCs w:val="28"/>
          <w:lang w:val="en-GB"/>
        </w:rPr>
        <w:t>tissue replication</w:t>
      </w:r>
    </w:p>
    <w:p w14:paraId="3F401C19" w14:textId="67C125E6" w:rsidR="00E01BB2" w:rsidRPr="005A28F5" w:rsidRDefault="00BC3B0C" w:rsidP="001A64D3">
      <w:pPr>
        <w:pStyle w:val="BodyA"/>
        <w:spacing w:line="360" w:lineRule="auto"/>
        <w:outlineLvl w:val="0"/>
        <w:rPr>
          <w:rFonts w:ascii="Times New Roman" w:eastAsia="Cambria" w:hAnsi="Times New Roman" w:cs="Times New Roman"/>
          <w:color w:val="000000" w:themeColor="text1"/>
          <w:sz w:val="24"/>
          <w:szCs w:val="24"/>
          <w:lang w:val="en-GB"/>
        </w:rPr>
      </w:pPr>
      <w:r w:rsidRPr="005A28F5">
        <w:rPr>
          <w:rFonts w:ascii="Times New Roman" w:hAnsi="Times New Roman" w:cs="Times New Roman"/>
          <w:sz w:val="24"/>
          <w:szCs w:val="24"/>
          <w:lang w:val="en-GB"/>
        </w:rPr>
        <w:t xml:space="preserve">Technical validation of </w:t>
      </w:r>
      <w:r w:rsidRPr="005A28F5">
        <w:rPr>
          <w:rFonts w:ascii="Times New Roman" w:hAnsi="Times New Roman" w:cs="Times New Roman"/>
          <w:i/>
          <w:sz w:val="24"/>
          <w:szCs w:val="24"/>
          <w:lang w:val="en-GB"/>
        </w:rPr>
        <w:t>ESM1</w:t>
      </w:r>
      <w:r w:rsidRPr="005A28F5">
        <w:rPr>
          <w:rFonts w:ascii="Times New Roman" w:hAnsi="Times New Roman" w:cs="Times New Roman"/>
          <w:sz w:val="24"/>
          <w:szCs w:val="24"/>
          <w:lang w:val="en-GB"/>
        </w:rPr>
        <w:t xml:space="preserve"> and </w:t>
      </w:r>
      <w:r w:rsidRPr="005A28F5">
        <w:rPr>
          <w:rFonts w:ascii="Times New Roman" w:hAnsi="Times New Roman" w:cs="Times New Roman"/>
          <w:i/>
          <w:sz w:val="24"/>
          <w:szCs w:val="24"/>
          <w:lang w:val="en-GB"/>
        </w:rPr>
        <w:t>L</w:t>
      </w:r>
      <w:r w:rsidR="00C95B89" w:rsidRPr="005A28F5">
        <w:rPr>
          <w:rFonts w:ascii="Times New Roman" w:hAnsi="Times New Roman" w:cs="Times New Roman"/>
          <w:i/>
          <w:sz w:val="24"/>
          <w:szCs w:val="24"/>
          <w:lang w:val="en-GB"/>
        </w:rPr>
        <w:t>Z</w:t>
      </w:r>
      <w:r w:rsidRPr="005A28F5">
        <w:rPr>
          <w:rFonts w:ascii="Times New Roman" w:hAnsi="Times New Roman" w:cs="Times New Roman"/>
          <w:i/>
          <w:sz w:val="24"/>
          <w:szCs w:val="24"/>
          <w:lang w:val="en-GB"/>
        </w:rPr>
        <w:t>T</w:t>
      </w:r>
      <w:r w:rsidR="00C95B89" w:rsidRPr="005A28F5">
        <w:rPr>
          <w:rFonts w:ascii="Times New Roman" w:hAnsi="Times New Roman" w:cs="Times New Roman"/>
          <w:i/>
          <w:sz w:val="24"/>
          <w:szCs w:val="24"/>
          <w:lang w:val="en-GB"/>
        </w:rPr>
        <w:t>S</w:t>
      </w:r>
      <w:r w:rsidRPr="005A28F5">
        <w:rPr>
          <w:rFonts w:ascii="Times New Roman" w:hAnsi="Times New Roman" w:cs="Times New Roman"/>
          <w:i/>
          <w:sz w:val="24"/>
          <w:szCs w:val="24"/>
          <w:lang w:val="en-GB"/>
        </w:rPr>
        <w:t>1</w:t>
      </w:r>
      <w:r w:rsidRPr="005A28F5">
        <w:rPr>
          <w:rFonts w:ascii="Times New Roman" w:hAnsi="Times New Roman" w:cs="Times New Roman"/>
          <w:sz w:val="24"/>
          <w:szCs w:val="24"/>
          <w:lang w:val="en-GB"/>
        </w:rPr>
        <w:t xml:space="preserve"> methylation was performed in</w:t>
      </w:r>
      <w:r w:rsidR="00E77EC7" w:rsidRPr="005A28F5">
        <w:rPr>
          <w:rFonts w:ascii="Times New Roman" w:hAnsi="Times New Roman" w:cs="Times New Roman"/>
          <w:sz w:val="24"/>
          <w:szCs w:val="24"/>
          <w:lang w:val="en-GB"/>
        </w:rPr>
        <w:t xml:space="preserve"> 92 samples from</w:t>
      </w:r>
      <w:r w:rsidRPr="005A28F5">
        <w:rPr>
          <w:rFonts w:ascii="Times New Roman" w:hAnsi="Times New Roman" w:cs="Times New Roman"/>
          <w:sz w:val="24"/>
          <w:szCs w:val="24"/>
          <w:lang w:val="en-GB"/>
        </w:rPr>
        <w:t xml:space="preserve"> both cohorts by pyrosequencing all four significant DMPs located in the </w:t>
      </w:r>
      <w:r w:rsidRPr="005A28F5">
        <w:rPr>
          <w:rFonts w:ascii="Times New Roman" w:hAnsi="Times New Roman" w:cs="Times New Roman"/>
          <w:i/>
          <w:sz w:val="24"/>
          <w:szCs w:val="24"/>
          <w:lang w:val="en-GB"/>
        </w:rPr>
        <w:t>ESM1</w:t>
      </w:r>
      <w:r w:rsidRPr="005A28F5">
        <w:rPr>
          <w:rFonts w:ascii="Times New Roman" w:hAnsi="Times New Roman" w:cs="Times New Roman"/>
          <w:sz w:val="24"/>
          <w:szCs w:val="24"/>
          <w:lang w:val="en-GB"/>
        </w:rPr>
        <w:t xml:space="preserve"> DMR (cg14972155, cg06837426, cg20451680, cg20673840; all FDR</w:t>
      </w:r>
      <w:r w:rsidR="00520986"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&lt;</w:t>
      </w:r>
      <w:r w:rsidR="00520986"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 xml:space="preserve">5%) and the most significant DMP in the </w:t>
      </w:r>
      <w:r w:rsidRPr="005A28F5">
        <w:rPr>
          <w:rFonts w:ascii="Times New Roman" w:hAnsi="Times New Roman" w:cs="Times New Roman"/>
          <w:i/>
          <w:sz w:val="24"/>
          <w:szCs w:val="24"/>
          <w:lang w:val="en-GB"/>
        </w:rPr>
        <w:t>LZTS1</w:t>
      </w:r>
      <w:r w:rsidR="00DA26BB" w:rsidRPr="005A28F5">
        <w:rPr>
          <w:rFonts w:ascii="Times New Roman" w:hAnsi="Times New Roman" w:cs="Times New Roman"/>
          <w:sz w:val="24"/>
          <w:szCs w:val="24"/>
          <w:lang w:val="en-GB"/>
        </w:rPr>
        <w:t xml:space="preserve"> DMR (cg27655507; FDR~5%</w:t>
      </w:r>
      <w:r w:rsidRPr="005A28F5">
        <w:rPr>
          <w:rFonts w:ascii="Times New Roman" w:hAnsi="Times New Roman" w:cs="Times New Roman"/>
          <w:sz w:val="24"/>
          <w:szCs w:val="24"/>
          <w:lang w:val="en-GB"/>
        </w:rPr>
        <w:t>) (</w:t>
      </w:r>
      <w:r w:rsidR="00520986" w:rsidRPr="005A28F5">
        <w:rPr>
          <w:rFonts w:ascii="Times New Roman" w:hAnsi="Times New Roman" w:cs="Times New Roman"/>
          <w:sz w:val="24"/>
          <w:szCs w:val="24"/>
          <w:lang w:val="en-GB"/>
        </w:rPr>
        <w:t xml:space="preserve">further details in </w:t>
      </w:r>
      <w:r w:rsidR="00C10299">
        <w:rPr>
          <w:rFonts w:ascii="Times New Roman" w:hAnsi="Times New Roman" w:cs="Times New Roman"/>
          <w:sz w:val="24"/>
          <w:szCs w:val="24"/>
          <w:lang w:val="en-GB"/>
        </w:rPr>
        <w:t>Supplemental</w:t>
      </w:r>
      <w:r w:rsidR="00520986" w:rsidRPr="005A28F5">
        <w:rPr>
          <w:rFonts w:ascii="Times New Roman" w:hAnsi="Times New Roman" w:cs="Times New Roman"/>
          <w:sz w:val="24"/>
          <w:szCs w:val="24"/>
          <w:lang w:val="en-GB"/>
        </w:rPr>
        <w:t xml:space="preserve"> Methods, </w:t>
      </w:r>
      <w:r w:rsidRPr="005A28F5">
        <w:rPr>
          <w:rFonts w:ascii="Times New Roman" w:hAnsi="Times New Roman" w:cs="Times New Roman"/>
          <w:sz w:val="24"/>
          <w:szCs w:val="24"/>
          <w:lang w:val="en-GB"/>
        </w:rPr>
        <w:t xml:space="preserve">pyrosequencing primers in </w:t>
      </w:r>
      <w:r w:rsidR="00C10299">
        <w:rPr>
          <w:rFonts w:ascii="Times New Roman" w:hAnsi="Times New Roman" w:cs="Times New Roman"/>
          <w:sz w:val="24"/>
          <w:szCs w:val="24"/>
          <w:lang w:val="en-GB"/>
        </w:rPr>
        <w:t>Supplemental</w:t>
      </w:r>
      <w:r w:rsidRPr="005A28F5">
        <w:rPr>
          <w:rFonts w:ascii="Times New Roman" w:hAnsi="Times New Roman" w:cs="Times New Roman"/>
          <w:sz w:val="24"/>
          <w:szCs w:val="24"/>
          <w:lang w:val="en-GB"/>
        </w:rPr>
        <w:t xml:space="preserve"> Table </w:t>
      </w:r>
      <w:r w:rsidR="004D2A47">
        <w:rPr>
          <w:rFonts w:ascii="Times New Roman" w:hAnsi="Times New Roman" w:cs="Times New Roman"/>
          <w:sz w:val="24"/>
          <w:szCs w:val="24"/>
          <w:lang w:val="en-GB"/>
        </w:rPr>
        <w:t>17</w:t>
      </w:r>
      <w:r w:rsidRPr="005A28F5">
        <w:rPr>
          <w:rFonts w:ascii="Times New Roman" w:hAnsi="Times New Roman" w:cs="Times New Roman"/>
          <w:sz w:val="24"/>
          <w:szCs w:val="24"/>
          <w:lang w:val="en-GB"/>
        </w:rPr>
        <w:t xml:space="preserve">). We found </w:t>
      </w:r>
      <w:r w:rsidR="003741D3" w:rsidRPr="005A28F5">
        <w:rPr>
          <w:rFonts w:ascii="Times New Roman" w:hAnsi="Times New Roman" w:cs="Times New Roman"/>
          <w:sz w:val="24"/>
          <w:szCs w:val="24"/>
          <w:lang w:val="en-GB"/>
        </w:rPr>
        <w:t xml:space="preserve">very </w:t>
      </w:r>
      <w:r w:rsidRPr="005A28F5">
        <w:rPr>
          <w:rFonts w:ascii="Times New Roman" w:hAnsi="Times New Roman" w:cs="Times New Roman"/>
          <w:sz w:val="24"/>
          <w:szCs w:val="24"/>
          <w:lang w:val="en-GB"/>
        </w:rPr>
        <w:t xml:space="preserve">good agreement between the methylation values obtained on the EPIC array and pyrosequencing platforms, with </w:t>
      </w:r>
      <w:r w:rsidR="00F675BC" w:rsidRPr="005A28F5">
        <w:rPr>
          <w:rFonts w:ascii="Times New Roman" w:hAnsi="Times New Roman" w:cs="Times New Roman"/>
          <w:sz w:val="24"/>
          <w:szCs w:val="24"/>
          <w:lang w:val="en-GB"/>
        </w:rPr>
        <w:t>Spearman’s</w:t>
      </w:r>
      <w:r w:rsidRPr="005A28F5">
        <w:rPr>
          <w:rFonts w:ascii="Times New Roman" w:hAnsi="Times New Roman" w:cs="Times New Roman"/>
          <w:sz w:val="24"/>
          <w:szCs w:val="24"/>
          <w:lang w:val="en-GB"/>
        </w:rPr>
        <w:t xml:space="preserve"> </w:t>
      </w:r>
      <w:r w:rsidR="00296FF5" w:rsidRPr="005A28F5">
        <w:rPr>
          <w:rFonts w:ascii="Times New Roman" w:hAnsi="Times New Roman" w:cs="Times New Roman"/>
          <w:sz w:val="24"/>
          <w:szCs w:val="24"/>
          <w:lang w:val="en-GB"/>
        </w:rPr>
        <w:t xml:space="preserve">rank </w:t>
      </w:r>
      <w:r w:rsidRPr="005A28F5">
        <w:rPr>
          <w:rFonts w:ascii="Times New Roman" w:hAnsi="Times New Roman" w:cs="Times New Roman"/>
          <w:sz w:val="24"/>
          <w:szCs w:val="24"/>
          <w:lang w:val="en-GB"/>
        </w:rPr>
        <w:t xml:space="preserve">correlation </w:t>
      </w:r>
      <w:r w:rsidR="00296FF5" w:rsidRPr="005A28F5">
        <w:rPr>
          <w:rFonts w:ascii="Times New Roman" w:hAnsi="Times New Roman" w:cs="Times New Roman"/>
          <w:sz w:val="24"/>
          <w:szCs w:val="24"/>
          <w:lang w:val="en-GB"/>
        </w:rPr>
        <w:t xml:space="preserve">coefficient </w:t>
      </w:r>
      <w:r w:rsidRPr="005A28F5">
        <w:rPr>
          <w:rFonts w:ascii="Times New Roman" w:hAnsi="Times New Roman" w:cs="Times New Roman"/>
          <w:sz w:val="24"/>
          <w:szCs w:val="24"/>
          <w:lang w:val="en-GB"/>
        </w:rPr>
        <w:t>in the range 0.8</w:t>
      </w:r>
      <w:r w:rsidR="00520986"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w:t>
      </w:r>
      <w:r w:rsidR="00520986"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0.9</w:t>
      </w:r>
      <w:r w:rsidR="003741D3" w:rsidRPr="005A28F5">
        <w:rPr>
          <w:rFonts w:ascii="Times New Roman" w:hAnsi="Times New Roman" w:cs="Times New Roman"/>
          <w:sz w:val="24"/>
          <w:szCs w:val="24"/>
          <w:lang w:val="en-GB"/>
        </w:rPr>
        <w:t xml:space="preserve">, all p &lt; </w:t>
      </w:r>
      <w:r w:rsidR="003741D3" w:rsidRPr="005A28F5">
        <w:rPr>
          <w:rFonts w:ascii="Times New Roman" w:hAnsi="Times New Roman" w:cs="Times New Roman"/>
          <w:color w:val="000000" w:themeColor="text1"/>
          <w:sz w:val="24"/>
          <w:szCs w:val="24"/>
          <w:lang w:val="en-GB"/>
        </w:rPr>
        <w:t>2.2 x 10</w:t>
      </w:r>
      <w:r w:rsidR="003741D3" w:rsidRPr="005A28F5">
        <w:rPr>
          <w:rFonts w:ascii="Times New Roman" w:hAnsi="Times New Roman" w:cs="Times New Roman"/>
          <w:color w:val="000000" w:themeColor="text1"/>
          <w:sz w:val="24"/>
          <w:szCs w:val="24"/>
          <w:vertAlign w:val="superscript"/>
          <w:lang w:val="en-GB"/>
        </w:rPr>
        <w:t>-16</w:t>
      </w:r>
      <w:r w:rsidRPr="005A28F5">
        <w:rPr>
          <w:rFonts w:ascii="Times New Roman" w:hAnsi="Times New Roman" w:cs="Times New Roman"/>
          <w:color w:val="000000" w:themeColor="text1"/>
          <w:sz w:val="24"/>
          <w:szCs w:val="24"/>
          <w:lang w:val="en-GB"/>
        </w:rPr>
        <w:t xml:space="preserve"> (</w:t>
      </w:r>
      <w:r w:rsidR="00C10299">
        <w:rPr>
          <w:rFonts w:ascii="Times New Roman" w:hAnsi="Times New Roman" w:cs="Times New Roman"/>
          <w:color w:val="000000" w:themeColor="text1"/>
          <w:sz w:val="24"/>
          <w:szCs w:val="24"/>
          <w:lang w:val="en-GB"/>
        </w:rPr>
        <w:t>Supplemental</w:t>
      </w:r>
      <w:r w:rsidRPr="005A28F5">
        <w:rPr>
          <w:rFonts w:ascii="Times New Roman" w:hAnsi="Times New Roman" w:cs="Times New Roman"/>
          <w:color w:val="000000" w:themeColor="text1"/>
          <w:sz w:val="24"/>
          <w:szCs w:val="24"/>
          <w:lang w:val="en-GB"/>
        </w:rPr>
        <w:t xml:space="preserve"> Figures </w:t>
      </w:r>
      <w:r w:rsidR="009C53F4">
        <w:rPr>
          <w:rFonts w:ascii="Times New Roman" w:hAnsi="Times New Roman" w:cs="Times New Roman"/>
          <w:color w:val="000000" w:themeColor="text1"/>
          <w:sz w:val="24"/>
          <w:szCs w:val="24"/>
          <w:lang w:val="en-GB"/>
        </w:rPr>
        <w:t>6</w:t>
      </w:r>
      <w:r w:rsidRPr="005A28F5">
        <w:rPr>
          <w:rFonts w:ascii="Times New Roman" w:hAnsi="Times New Roman" w:cs="Times New Roman"/>
          <w:color w:val="000000" w:themeColor="text1"/>
          <w:sz w:val="24"/>
          <w:szCs w:val="24"/>
          <w:lang w:val="en-GB"/>
        </w:rPr>
        <w:t xml:space="preserve"> and </w:t>
      </w:r>
      <w:r w:rsidR="009C53F4">
        <w:rPr>
          <w:rFonts w:ascii="Times New Roman" w:hAnsi="Times New Roman" w:cs="Times New Roman"/>
          <w:color w:val="000000" w:themeColor="text1"/>
          <w:sz w:val="24"/>
          <w:szCs w:val="24"/>
          <w:lang w:val="en-GB"/>
        </w:rPr>
        <w:t>7</w:t>
      </w:r>
      <w:r w:rsidRPr="005A28F5">
        <w:rPr>
          <w:rFonts w:ascii="Times New Roman" w:hAnsi="Times New Roman" w:cs="Times New Roman"/>
          <w:color w:val="000000" w:themeColor="text1"/>
          <w:sz w:val="24"/>
          <w:szCs w:val="24"/>
          <w:lang w:val="en-GB"/>
        </w:rPr>
        <w:t xml:space="preserve">).  </w:t>
      </w:r>
    </w:p>
    <w:p w14:paraId="7AB5ACCF" w14:textId="77777777" w:rsidR="00AF4A2B" w:rsidRPr="005A28F5" w:rsidRDefault="00AF4A2B" w:rsidP="001A64D3">
      <w:pPr>
        <w:pStyle w:val="BodyA"/>
        <w:spacing w:line="360" w:lineRule="auto"/>
        <w:outlineLvl w:val="0"/>
        <w:rPr>
          <w:rFonts w:ascii="Times New Roman" w:eastAsia="Cambria" w:hAnsi="Times New Roman" w:cs="Times New Roman"/>
          <w:color w:val="000000" w:themeColor="text1"/>
          <w:sz w:val="24"/>
          <w:szCs w:val="24"/>
        </w:rPr>
      </w:pPr>
    </w:p>
    <w:p w14:paraId="4C3EB48E" w14:textId="2C7A20A8" w:rsidR="00E16668" w:rsidRPr="005A28F5" w:rsidRDefault="00BF2B0C" w:rsidP="001A64D3">
      <w:pPr>
        <w:pStyle w:val="BodyA"/>
        <w:spacing w:line="360" w:lineRule="auto"/>
        <w:outlineLvl w:val="0"/>
        <w:rPr>
          <w:rFonts w:ascii="Times New Roman" w:eastAsia="Cambria" w:hAnsi="Times New Roman" w:cs="Times New Roman"/>
          <w:sz w:val="24"/>
          <w:szCs w:val="24"/>
          <w:lang w:val="en-GB"/>
        </w:rPr>
      </w:pPr>
      <w:r w:rsidRPr="005A28F5">
        <w:rPr>
          <w:rFonts w:ascii="Times New Roman" w:hAnsi="Times New Roman" w:cs="Times New Roman"/>
          <w:color w:val="000000" w:themeColor="text1"/>
          <w:sz w:val="24"/>
          <w:szCs w:val="24"/>
          <w:u w:color="2E4A8B"/>
          <w:shd w:val="clear" w:color="auto" w:fill="FFFFFF"/>
          <w:lang w:val="en-GB"/>
        </w:rPr>
        <w:lastRenderedPageBreak/>
        <w:t xml:space="preserve">To assess tissue-specificity </w:t>
      </w:r>
      <w:r w:rsidR="00972B45" w:rsidRPr="005A28F5">
        <w:rPr>
          <w:rFonts w:ascii="Times New Roman" w:hAnsi="Times New Roman" w:cs="Times New Roman"/>
          <w:color w:val="000000" w:themeColor="text1"/>
          <w:sz w:val="24"/>
          <w:szCs w:val="24"/>
          <w:u w:color="2E4A8B"/>
          <w:shd w:val="clear" w:color="auto" w:fill="FFFFFF"/>
          <w:lang w:val="en-GB"/>
        </w:rPr>
        <w:t xml:space="preserve">of DNAm, </w:t>
      </w:r>
      <w:r w:rsidRPr="005A28F5">
        <w:rPr>
          <w:rFonts w:ascii="Times New Roman" w:hAnsi="Times New Roman" w:cs="Times New Roman"/>
          <w:color w:val="000000" w:themeColor="text1"/>
          <w:sz w:val="24"/>
          <w:szCs w:val="24"/>
          <w:u w:color="2E4A8B"/>
          <w:shd w:val="clear" w:color="auto" w:fill="FFFFFF"/>
          <w:lang w:val="en-GB"/>
        </w:rPr>
        <w:t xml:space="preserve">and to detect </w:t>
      </w:r>
      <w:r w:rsidR="00972B45" w:rsidRPr="005A28F5">
        <w:rPr>
          <w:rFonts w:ascii="Times New Roman" w:hAnsi="Times New Roman" w:cs="Times New Roman"/>
          <w:color w:val="000000" w:themeColor="text1"/>
          <w:sz w:val="24"/>
          <w:szCs w:val="24"/>
          <w:u w:color="2E4A8B"/>
          <w:shd w:val="clear" w:color="auto" w:fill="FFFFFF"/>
          <w:lang w:val="en-GB"/>
        </w:rPr>
        <w:t>patterns of systemic interindividual variation in DNAm suggestive of putative metastability</w:t>
      </w:r>
      <w:r w:rsidR="00E24113" w:rsidRPr="005A28F5">
        <w:rPr>
          <w:rFonts w:ascii="Times New Roman" w:hAnsi="Times New Roman" w:cs="Times New Roman"/>
          <w:color w:val="000000" w:themeColor="text1"/>
          <w:sz w:val="24"/>
          <w:szCs w:val="24"/>
          <w:u w:color="2E4A8B"/>
          <w:shd w:val="clear" w:color="auto" w:fill="FFFFFF"/>
          <w:lang w:val="en-GB"/>
        </w:rPr>
        <w:t xml:space="preserve">, </w:t>
      </w:r>
      <w:r w:rsidR="00BC3B0C" w:rsidRPr="005A28F5">
        <w:rPr>
          <w:rFonts w:ascii="Times New Roman" w:hAnsi="Times New Roman" w:cs="Times New Roman"/>
          <w:color w:val="000000" w:themeColor="text1"/>
          <w:sz w:val="24"/>
          <w:szCs w:val="24"/>
          <w:u w:color="2E4A8B"/>
          <w:shd w:val="clear" w:color="auto" w:fill="FFFFFF"/>
          <w:lang w:val="en-GB"/>
        </w:rPr>
        <w:t>we performed bisulphite pyrosequencing for DNA derived from buccal and blood cells</w:t>
      </w:r>
      <w:r w:rsidR="006C722C" w:rsidRPr="005A28F5">
        <w:rPr>
          <w:rFonts w:ascii="Times New Roman" w:hAnsi="Times New Roman" w:cs="Times New Roman"/>
          <w:color w:val="000000" w:themeColor="text1"/>
          <w:sz w:val="24"/>
          <w:szCs w:val="24"/>
          <w:u w:color="2E4A8B"/>
          <w:shd w:val="clear" w:color="auto" w:fill="FFFFFF"/>
          <w:lang w:val="en-GB"/>
        </w:rPr>
        <w:t xml:space="preserve"> in</w:t>
      </w:r>
      <w:r w:rsidR="00612E2F" w:rsidRPr="005A28F5">
        <w:rPr>
          <w:rFonts w:ascii="Times New Roman" w:hAnsi="Times New Roman" w:cs="Times New Roman"/>
          <w:color w:val="000000" w:themeColor="text1"/>
          <w:sz w:val="24"/>
          <w:szCs w:val="24"/>
          <w:u w:color="2E4A8B"/>
          <w:shd w:val="clear" w:color="auto" w:fill="FFFFFF"/>
          <w:lang w:val="en-GB"/>
        </w:rPr>
        <w:t xml:space="preserve"> </w:t>
      </w:r>
      <w:r w:rsidR="00612E2F" w:rsidRPr="005A28F5">
        <w:rPr>
          <w:rFonts w:ascii="Times New Roman" w:hAnsi="Times New Roman" w:cs="Times New Roman"/>
          <w:sz w:val="24"/>
          <w:szCs w:val="24"/>
          <w:u w:color="2E4A8B"/>
          <w:shd w:val="clear" w:color="auto" w:fill="FFFFFF"/>
          <w:lang w:val="en-GB"/>
        </w:rPr>
        <w:t>92 samples</w:t>
      </w:r>
      <w:r w:rsidR="00FD1A55" w:rsidRPr="005A28F5">
        <w:rPr>
          <w:rFonts w:ascii="Times New Roman" w:hAnsi="Times New Roman" w:cs="Times New Roman"/>
          <w:sz w:val="24"/>
          <w:szCs w:val="24"/>
          <w:u w:color="2E4A8B"/>
          <w:shd w:val="clear" w:color="auto" w:fill="FFFFFF"/>
          <w:lang w:val="en-GB"/>
        </w:rPr>
        <w:t xml:space="preserve"> from the Gambian cohort</w:t>
      </w:r>
      <w:r w:rsidR="00E24113" w:rsidRPr="005A28F5">
        <w:rPr>
          <w:rFonts w:ascii="Times New Roman" w:hAnsi="Times New Roman" w:cs="Times New Roman"/>
          <w:sz w:val="24"/>
          <w:szCs w:val="24"/>
          <w:u w:color="2E4A8B"/>
          <w:shd w:val="clear" w:color="auto" w:fill="FFFFFF"/>
          <w:lang w:val="en-GB"/>
        </w:rPr>
        <w:t xml:space="preserve"> at the </w:t>
      </w:r>
      <w:r w:rsidR="00E24113" w:rsidRPr="005A28F5">
        <w:rPr>
          <w:rFonts w:ascii="Times New Roman" w:hAnsi="Times New Roman" w:cs="Times New Roman"/>
          <w:i/>
          <w:sz w:val="24"/>
          <w:szCs w:val="24"/>
          <w:u w:color="2E4A8B"/>
          <w:shd w:val="clear" w:color="auto" w:fill="FFFFFF"/>
          <w:lang w:val="en-GB"/>
        </w:rPr>
        <w:t xml:space="preserve">ESM1 </w:t>
      </w:r>
      <w:r w:rsidR="00E24113" w:rsidRPr="005A28F5">
        <w:rPr>
          <w:rFonts w:ascii="Times New Roman" w:hAnsi="Times New Roman" w:cs="Times New Roman"/>
          <w:sz w:val="24"/>
          <w:szCs w:val="24"/>
          <w:u w:color="2E4A8B"/>
          <w:shd w:val="clear" w:color="auto" w:fill="FFFFFF"/>
          <w:lang w:val="en-GB"/>
        </w:rPr>
        <w:t xml:space="preserve">and </w:t>
      </w:r>
      <w:r w:rsidR="00E24113" w:rsidRPr="005A28F5">
        <w:rPr>
          <w:rFonts w:ascii="Times New Roman" w:hAnsi="Times New Roman" w:cs="Times New Roman"/>
          <w:i/>
          <w:sz w:val="24"/>
          <w:szCs w:val="24"/>
          <w:u w:color="2E4A8B"/>
          <w:shd w:val="clear" w:color="auto" w:fill="FFFFFF"/>
          <w:lang w:val="en-GB"/>
        </w:rPr>
        <w:t>LZTS1</w:t>
      </w:r>
      <w:r w:rsidR="00E24113" w:rsidRPr="005A28F5">
        <w:rPr>
          <w:rFonts w:ascii="Times New Roman" w:hAnsi="Times New Roman" w:cs="Times New Roman"/>
          <w:sz w:val="24"/>
          <w:szCs w:val="24"/>
          <w:u w:color="2E4A8B"/>
          <w:shd w:val="clear" w:color="auto" w:fill="FFFFFF"/>
          <w:lang w:val="en-GB"/>
        </w:rPr>
        <w:t xml:space="preserve"> loci listed above</w:t>
      </w:r>
      <w:r w:rsidR="00BC3B0C" w:rsidRPr="005A28F5">
        <w:rPr>
          <w:rFonts w:ascii="Times New Roman" w:hAnsi="Times New Roman" w:cs="Times New Roman"/>
          <w:sz w:val="24"/>
          <w:szCs w:val="24"/>
          <w:u w:color="2E4A8B"/>
          <w:shd w:val="clear" w:color="auto" w:fill="FFFFFF"/>
          <w:lang w:val="en-GB"/>
        </w:rPr>
        <w:t xml:space="preserve">. </w:t>
      </w:r>
      <w:r w:rsidR="00E24113" w:rsidRPr="005A28F5">
        <w:rPr>
          <w:rFonts w:ascii="Times New Roman" w:hAnsi="Times New Roman" w:cs="Times New Roman"/>
          <w:sz w:val="24"/>
          <w:szCs w:val="24"/>
          <w:u w:color="2E4A8B"/>
          <w:shd w:val="clear" w:color="auto" w:fill="FFFFFF"/>
          <w:lang w:val="en-GB"/>
        </w:rPr>
        <w:t xml:space="preserve">We found blood and buccal DNAm was </w:t>
      </w:r>
      <w:r w:rsidR="007E5060" w:rsidRPr="005A28F5">
        <w:rPr>
          <w:rFonts w:ascii="Times New Roman" w:hAnsi="Times New Roman" w:cs="Times New Roman"/>
          <w:sz w:val="24"/>
          <w:szCs w:val="24"/>
          <w:u w:color="2E4A8B"/>
          <w:shd w:val="clear" w:color="auto" w:fill="FFFFFF"/>
          <w:lang w:val="en-GB"/>
        </w:rPr>
        <w:t>c</w:t>
      </w:r>
      <w:r w:rsidR="00CC681D" w:rsidRPr="005A28F5">
        <w:rPr>
          <w:rFonts w:ascii="Times New Roman" w:hAnsi="Times New Roman" w:cs="Times New Roman"/>
          <w:sz w:val="24"/>
          <w:szCs w:val="24"/>
          <w:u w:color="2E4A8B"/>
          <w:shd w:val="clear" w:color="auto" w:fill="FFFFFF"/>
          <w:lang w:val="en-GB"/>
        </w:rPr>
        <w:t xml:space="preserve">orrelated across all tested loci </w:t>
      </w:r>
      <w:r w:rsidR="00BC3B0C" w:rsidRPr="005A28F5">
        <w:rPr>
          <w:rFonts w:ascii="Times New Roman" w:hAnsi="Times New Roman" w:cs="Times New Roman"/>
          <w:sz w:val="24"/>
          <w:szCs w:val="24"/>
          <w:u w:color="2E4A8B"/>
          <w:shd w:val="clear" w:color="auto" w:fill="FFFFFF"/>
          <w:lang w:val="en-GB"/>
        </w:rPr>
        <w:t>(</w:t>
      </w:r>
      <w:r w:rsidR="00CC681D" w:rsidRPr="005A28F5">
        <w:rPr>
          <w:rFonts w:ascii="Times New Roman" w:hAnsi="Times New Roman" w:cs="Times New Roman"/>
          <w:sz w:val="24"/>
          <w:szCs w:val="24"/>
          <w:u w:color="2E4A8B"/>
          <w:shd w:val="clear" w:color="auto" w:fill="FFFFFF"/>
          <w:lang w:val="en-GB"/>
        </w:rPr>
        <w:t>Spearman’s</w:t>
      </w:r>
      <w:r w:rsidR="00BC3B0C" w:rsidRPr="005A28F5">
        <w:rPr>
          <w:rFonts w:ascii="Times New Roman" w:hAnsi="Times New Roman" w:cs="Times New Roman"/>
          <w:sz w:val="24"/>
          <w:szCs w:val="24"/>
          <w:u w:color="2E4A8B"/>
          <w:shd w:val="clear" w:color="auto" w:fill="FFFFFF"/>
          <w:lang w:val="en-GB"/>
        </w:rPr>
        <w:t xml:space="preserve"> rho = 0.36</w:t>
      </w:r>
      <w:r w:rsidR="000C58F0" w:rsidRPr="005A28F5">
        <w:rPr>
          <w:rFonts w:ascii="Times New Roman" w:hAnsi="Times New Roman" w:cs="Times New Roman"/>
          <w:sz w:val="24"/>
          <w:szCs w:val="24"/>
          <w:u w:color="2E4A8B"/>
          <w:shd w:val="clear" w:color="auto" w:fill="FFFFFF"/>
          <w:lang w:val="en-GB"/>
        </w:rPr>
        <w:t xml:space="preserve"> </w:t>
      </w:r>
      <w:r w:rsidR="00BC3B0C" w:rsidRPr="005A28F5">
        <w:rPr>
          <w:rFonts w:ascii="Times New Roman" w:hAnsi="Times New Roman" w:cs="Times New Roman"/>
          <w:sz w:val="24"/>
          <w:szCs w:val="24"/>
          <w:u w:color="2E4A8B"/>
          <w:shd w:val="clear" w:color="auto" w:fill="FFFFFF"/>
          <w:lang w:val="en-GB"/>
        </w:rPr>
        <w:t>-</w:t>
      </w:r>
      <w:r w:rsidR="000C58F0" w:rsidRPr="005A28F5">
        <w:rPr>
          <w:rFonts w:ascii="Times New Roman" w:hAnsi="Times New Roman" w:cs="Times New Roman"/>
          <w:sz w:val="24"/>
          <w:szCs w:val="24"/>
          <w:u w:color="2E4A8B"/>
          <w:shd w:val="clear" w:color="auto" w:fill="FFFFFF"/>
          <w:lang w:val="en-GB"/>
        </w:rPr>
        <w:t xml:space="preserve"> </w:t>
      </w:r>
      <w:r w:rsidR="00BC3B0C" w:rsidRPr="005A28F5">
        <w:rPr>
          <w:rFonts w:ascii="Times New Roman" w:hAnsi="Times New Roman" w:cs="Times New Roman"/>
          <w:sz w:val="24"/>
          <w:szCs w:val="24"/>
          <w:u w:color="2E4A8B"/>
          <w:shd w:val="clear" w:color="auto" w:fill="FFFFFF"/>
          <w:lang w:val="en-GB"/>
        </w:rPr>
        <w:t>0.</w:t>
      </w:r>
      <w:r w:rsidR="00CC681D" w:rsidRPr="005A28F5">
        <w:rPr>
          <w:rFonts w:ascii="Times New Roman" w:hAnsi="Times New Roman" w:cs="Times New Roman"/>
          <w:sz w:val="24"/>
          <w:szCs w:val="24"/>
          <w:u w:color="2E4A8B"/>
          <w:shd w:val="clear" w:color="auto" w:fill="FFFFFF"/>
          <w:lang w:val="en-GB"/>
        </w:rPr>
        <w:t>5</w:t>
      </w:r>
      <w:r w:rsidR="000A7491" w:rsidRPr="005A28F5">
        <w:rPr>
          <w:rFonts w:ascii="Times New Roman" w:hAnsi="Times New Roman" w:cs="Times New Roman"/>
          <w:sz w:val="24"/>
          <w:szCs w:val="24"/>
          <w:u w:color="2E4A8B"/>
          <w:shd w:val="clear" w:color="auto" w:fill="FFFFFF"/>
          <w:lang w:val="en-GB"/>
        </w:rPr>
        <w:t>0</w:t>
      </w:r>
      <w:r w:rsidR="00BC3B0C" w:rsidRPr="005A28F5">
        <w:rPr>
          <w:rFonts w:ascii="Times New Roman" w:hAnsi="Times New Roman" w:cs="Times New Roman"/>
          <w:sz w:val="24"/>
          <w:szCs w:val="24"/>
          <w:u w:color="2E4A8B"/>
          <w:shd w:val="clear" w:color="auto" w:fill="FFFFFF"/>
          <w:lang w:val="en-GB"/>
        </w:rPr>
        <w:t>; N = 75</w:t>
      </w:r>
      <w:r w:rsidR="00520986" w:rsidRPr="005A28F5">
        <w:rPr>
          <w:rFonts w:ascii="Times New Roman" w:hAnsi="Times New Roman" w:cs="Times New Roman"/>
          <w:sz w:val="24"/>
          <w:szCs w:val="24"/>
          <w:u w:color="2E4A8B"/>
          <w:shd w:val="clear" w:color="auto" w:fill="FFFFFF"/>
          <w:lang w:val="en-GB"/>
        </w:rPr>
        <w:t xml:space="preserve"> </w:t>
      </w:r>
      <w:r w:rsidR="00BC3B0C" w:rsidRPr="005A28F5">
        <w:rPr>
          <w:rFonts w:ascii="Times New Roman" w:hAnsi="Times New Roman" w:cs="Times New Roman"/>
          <w:sz w:val="24"/>
          <w:szCs w:val="24"/>
          <w:u w:color="2E4A8B"/>
          <w:shd w:val="clear" w:color="auto" w:fill="FFFFFF"/>
          <w:lang w:val="en-GB"/>
        </w:rPr>
        <w:t>-</w:t>
      </w:r>
      <w:r w:rsidR="00520986" w:rsidRPr="005A28F5">
        <w:rPr>
          <w:rFonts w:ascii="Times New Roman" w:hAnsi="Times New Roman" w:cs="Times New Roman"/>
          <w:sz w:val="24"/>
          <w:szCs w:val="24"/>
          <w:u w:color="2E4A8B"/>
          <w:shd w:val="clear" w:color="auto" w:fill="FFFFFF"/>
          <w:lang w:val="en-GB"/>
        </w:rPr>
        <w:t xml:space="preserve"> </w:t>
      </w:r>
      <w:proofErr w:type="gramStart"/>
      <w:r w:rsidR="00BC3B0C" w:rsidRPr="005A28F5">
        <w:rPr>
          <w:rFonts w:ascii="Times New Roman" w:hAnsi="Times New Roman" w:cs="Times New Roman"/>
          <w:sz w:val="24"/>
          <w:szCs w:val="24"/>
          <w:u w:color="2E4A8B"/>
          <w:shd w:val="clear" w:color="auto" w:fill="FFFFFF"/>
          <w:lang w:val="en-GB"/>
        </w:rPr>
        <w:t>89 ,</w:t>
      </w:r>
      <w:proofErr w:type="gramEnd"/>
      <w:r w:rsidR="00BC3B0C" w:rsidRPr="005A28F5">
        <w:rPr>
          <w:rFonts w:ascii="Times New Roman" w:hAnsi="Times New Roman" w:cs="Times New Roman"/>
          <w:sz w:val="24"/>
          <w:szCs w:val="24"/>
          <w:u w:color="2E4A8B"/>
          <w:shd w:val="clear" w:color="auto" w:fill="FFFFFF"/>
          <w:lang w:val="en-GB"/>
        </w:rPr>
        <w:t xml:space="preserve"> </w:t>
      </w:r>
      <w:r w:rsidR="00CC681D" w:rsidRPr="005A28F5">
        <w:rPr>
          <w:rFonts w:ascii="Times New Roman" w:hAnsi="Times New Roman" w:cs="Times New Roman"/>
          <w:sz w:val="24"/>
          <w:szCs w:val="24"/>
          <w:u w:color="2E4A8B"/>
          <w:shd w:val="clear" w:color="auto" w:fill="FFFFFF"/>
          <w:lang w:val="en-GB"/>
        </w:rPr>
        <w:t xml:space="preserve">all </w:t>
      </w:r>
      <w:r w:rsidR="00BC3B0C" w:rsidRPr="005A28F5">
        <w:rPr>
          <w:rFonts w:ascii="Times New Roman" w:hAnsi="Times New Roman" w:cs="Times New Roman"/>
          <w:sz w:val="24"/>
          <w:szCs w:val="24"/>
          <w:u w:color="2E4A8B"/>
          <w:shd w:val="clear" w:color="auto" w:fill="FFFFFF"/>
          <w:lang w:val="en-GB"/>
        </w:rPr>
        <w:t>p value</w:t>
      </w:r>
      <w:r w:rsidR="00CC681D" w:rsidRPr="005A28F5">
        <w:rPr>
          <w:rFonts w:ascii="Times New Roman" w:hAnsi="Times New Roman" w:cs="Times New Roman"/>
          <w:sz w:val="24"/>
          <w:szCs w:val="24"/>
          <w:u w:color="2E4A8B"/>
          <w:shd w:val="clear" w:color="auto" w:fill="FFFFFF"/>
          <w:lang w:val="en-GB"/>
        </w:rPr>
        <w:t>s</w:t>
      </w:r>
      <w:r w:rsidR="00BC3B0C" w:rsidRPr="005A28F5">
        <w:rPr>
          <w:rFonts w:ascii="Times New Roman" w:hAnsi="Times New Roman" w:cs="Times New Roman"/>
          <w:sz w:val="24"/>
          <w:szCs w:val="24"/>
          <w:u w:color="2E4A8B"/>
          <w:shd w:val="clear" w:color="auto" w:fill="FFFFFF"/>
          <w:lang w:val="en-GB"/>
        </w:rPr>
        <w:t xml:space="preserve">  &lt; </w:t>
      </w:r>
      <w:r w:rsidR="00520986" w:rsidRPr="005A28F5">
        <w:rPr>
          <w:rFonts w:ascii="Times New Roman" w:hAnsi="Times New Roman" w:cs="Times New Roman"/>
          <w:sz w:val="24"/>
          <w:szCs w:val="24"/>
          <w:u w:color="2E4A8B"/>
          <w:shd w:val="clear" w:color="auto" w:fill="FFFFFF"/>
          <w:lang w:val="en-GB"/>
        </w:rPr>
        <w:t xml:space="preserve"> </w:t>
      </w:r>
      <w:r w:rsidR="00BC3B0C" w:rsidRPr="005A28F5">
        <w:rPr>
          <w:rFonts w:ascii="Times New Roman" w:hAnsi="Times New Roman" w:cs="Times New Roman"/>
          <w:sz w:val="24"/>
          <w:szCs w:val="24"/>
          <w:u w:color="2E4A8B"/>
          <w:shd w:val="clear" w:color="auto" w:fill="FFFFFF"/>
          <w:lang w:val="en-GB"/>
        </w:rPr>
        <w:t>0.001) (</w:t>
      </w:r>
      <w:r w:rsidR="00C10299">
        <w:rPr>
          <w:rFonts w:ascii="Times New Roman" w:hAnsi="Times New Roman" w:cs="Times New Roman"/>
          <w:sz w:val="24"/>
          <w:szCs w:val="24"/>
          <w:u w:color="2E4A8B"/>
          <w:shd w:val="clear" w:color="auto" w:fill="FFFFFF"/>
          <w:lang w:val="en-GB"/>
        </w:rPr>
        <w:t>Supplemental</w:t>
      </w:r>
      <w:r w:rsidR="00BC3B0C" w:rsidRPr="005A28F5">
        <w:rPr>
          <w:rFonts w:ascii="Times New Roman" w:hAnsi="Times New Roman" w:cs="Times New Roman"/>
          <w:sz w:val="24"/>
          <w:szCs w:val="24"/>
          <w:u w:color="2E4A8B"/>
          <w:shd w:val="clear" w:color="auto" w:fill="FFFFFF"/>
          <w:lang w:val="en-GB"/>
        </w:rPr>
        <w:t xml:space="preserve"> Table </w:t>
      </w:r>
      <w:r w:rsidR="004D2A47">
        <w:rPr>
          <w:rFonts w:ascii="Times New Roman" w:hAnsi="Times New Roman" w:cs="Times New Roman"/>
          <w:sz w:val="24"/>
          <w:szCs w:val="24"/>
          <w:u w:color="2E4A8B"/>
          <w:shd w:val="clear" w:color="auto" w:fill="FFFFFF"/>
          <w:lang w:val="en-GB"/>
        </w:rPr>
        <w:t>18</w:t>
      </w:r>
      <w:r w:rsidR="00BC3B0C" w:rsidRPr="005A28F5">
        <w:rPr>
          <w:rFonts w:ascii="Times New Roman" w:hAnsi="Times New Roman" w:cs="Times New Roman"/>
          <w:sz w:val="24"/>
          <w:szCs w:val="24"/>
          <w:u w:color="2E4A8B"/>
          <w:shd w:val="clear" w:color="auto" w:fill="FFFFFF"/>
          <w:lang w:val="en-GB"/>
        </w:rPr>
        <w:t xml:space="preserve">, </w:t>
      </w:r>
      <w:r w:rsidR="00C10299">
        <w:rPr>
          <w:rFonts w:ascii="Times New Roman" w:hAnsi="Times New Roman" w:cs="Times New Roman"/>
          <w:sz w:val="24"/>
          <w:szCs w:val="24"/>
          <w:u w:color="2E4A8B"/>
          <w:shd w:val="clear" w:color="auto" w:fill="FFFFFF"/>
          <w:lang w:val="en-GB"/>
        </w:rPr>
        <w:t>Supplemental</w:t>
      </w:r>
      <w:r w:rsidR="00BC3B0C" w:rsidRPr="005A28F5">
        <w:rPr>
          <w:rFonts w:ascii="Times New Roman" w:hAnsi="Times New Roman" w:cs="Times New Roman"/>
          <w:sz w:val="24"/>
          <w:szCs w:val="24"/>
          <w:u w:color="2E4A8B"/>
          <w:shd w:val="clear" w:color="auto" w:fill="FFFFFF"/>
          <w:lang w:val="en-GB"/>
        </w:rPr>
        <w:t xml:space="preserve"> Figure</w:t>
      </w:r>
      <w:r w:rsidR="00D12C23" w:rsidRPr="005A28F5">
        <w:rPr>
          <w:rFonts w:ascii="Times New Roman" w:hAnsi="Times New Roman" w:cs="Times New Roman"/>
          <w:sz w:val="24"/>
          <w:szCs w:val="24"/>
          <w:u w:color="2E4A8B"/>
          <w:shd w:val="clear" w:color="auto" w:fill="FFFFFF"/>
          <w:lang w:val="en-GB"/>
        </w:rPr>
        <w:t>s</w:t>
      </w:r>
      <w:r w:rsidR="00BC3B0C" w:rsidRPr="005A28F5">
        <w:rPr>
          <w:rFonts w:ascii="Times New Roman" w:hAnsi="Times New Roman" w:cs="Times New Roman"/>
          <w:sz w:val="24"/>
          <w:szCs w:val="24"/>
          <w:u w:color="2E4A8B"/>
          <w:shd w:val="clear" w:color="auto" w:fill="FFFFFF"/>
          <w:lang w:val="en-GB"/>
        </w:rPr>
        <w:t xml:space="preserve"> </w:t>
      </w:r>
      <w:r w:rsidR="009C53F4">
        <w:rPr>
          <w:rFonts w:ascii="Times New Roman" w:hAnsi="Times New Roman" w:cs="Times New Roman"/>
          <w:sz w:val="24"/>
          <w:szCs w:val="24"/>
          <w:u w:color="2E4A8B"/>
          <w:shd w:val="clear" w:color="auto" w:fill="FFFFFF"/>
          <w:lang w:val="en-GB"/>
        </w:rPr>
        <w:t>8</w:t>
      </w:r>
      <w:r w:rsidR="00D12C23" w:rsidRPr="005A28F5">
        <w:rPr>
          <w:rFonts w:ascii="Times New Roman" w:hAnsi="Times New Roman" w:cs="Times New Roman"/>
          <w:sz w:val="24"/>
          <w:szCs w:val="24"/>
          <w:u w:color="2E4A8B"/>
          <w:shd w:val="clear" w:color="auto" w:fill="FFFFFF"/>
          <w:lang w:val="en-GB"/>
        </w:rPr>
        <w:t>,</w:t>
      </w:r>
      <w:r w:rsidR="009C53F4">
        <w:rPr>
          <w:rFonts w:ascii="Times New Roman" w:hAnsi="Times New Roman" w:cs="Times New Roman"/>
          <w:sz w:val="24"/>
          <w:szCs w:val="24"/>
          <w:u w:color="2E4A8B"/>
          <w:shd w:val="clear" w:color="auto" w:fill="FFFFFF"/>
          <w:lang w:val="en-GB"/>
        </w:rPr>
        <w:t xml:space="preserve"> 9</w:t>
      </w:r>
      <w:r w:rsidR="00BC3B0C" w:rsidRPr="005A28F5">
        <w:rPr>
          <w:rFonts w:ascii="Times New Roman" w:hAnsi="Times New Roman" w:cs="Times New Roman"/>
          <w:sz w:val="24"/>
          <w:szCs w:val="24"/>
          <w:u w:color="2E4A8B"/>
          <w:shd w:val="clear" w:color="auto" w:fill="FFFFFF"/>
          <w:lang w:val="en-GB"/>
        </w:rPr>
        <w:t>)</w:t>
      </w:r>
      <w:r w:rsidR="00A61D7A" w:rsidRPr="005A28F5">
        <w:rPr>
          <w:rFonts w:ascii="Times New Roman" w:hAnsi="Times New Roman" w:cs="Times New Roman"/>
          <w:sz w:val="24"/>
          <w:szCs w:val="24"/>
          <w:u w:color="2E4A8B"/>
          <w:shd w:val="clear" w:color="auto" w:fill="FFFFFF"/>
          <w:lang w:val="en-GB"/>
        </w:rPr>
        <w:t>.</w:t>
      </w:r>
    </w:p>
    <w:p w14:paraId="73B30D97" w14:textId="36ADB346" w:rsidR="002F5A59" w:rsidRPr="005A28F5" w:rsidRDefault="002F5A59" w:rsidP="001A64D3">
      <w:pPr>
        <w:pBdr>
          <w:top w:val="nil"/>
          <w:left w:val="nil"/>
          <w:bottom w:val="nil"/>
          <w:right w:val="nil"/>
          <w:between w:val="nil"/>
          <w:bar w:val="nil"/>
        </w:pBdr>
        <w:spacing w:line="360" w:lineRule="auto"/>
        <w:rPr>
          <w:rFonts w:eastAsia="Arial Unicode MS"/>
          <w:color w:val="000000"/>
          <w:sz w:val="40"/>
          <w:szCs w:val="40"/>
          <w:u w:color="808080"/>
          <w:bdr w:val="nil"/>
          <w:lang w:eastAsia="en-GB"/>
        </w:rPr>
      </w:pPr>
    </w:p>
    <w:p w14:paraId="37B47AFB" w14:textId="218F4DA7" w:rsidR="00E01BB2" w:rsidRPr="005A28F5" w:rsidRDefault="00BC3B0C" w:rsidP="001A64D3">
      <w:pPr>
        <w:pStyle w:val="BodyA"/>
        <w:spacing w:line="360" w:lineRule="auto"/>
        <w:outlineLvl w:val="0"/>
        <w:rPr>
          <w:rFonts w:ascii="Times New Roman" w:eastAsia="Arial" w:hAnsi="Times New Roman" w:cs="Times New Roman"/>
          <w:sz w:val="40"/>
          <w:szCs w:val="40"/>
          <w:u w:color="808080"/>
          <w:lang w:val="en-GB"/>
        </w:rPr>
      </w:pPr>
      <w:r w:rsidRPr="005A28F5">
        <w:rPr>
          <w:rFonts w:ascii="Times New Roman" w:hAnsi="Times New Roman" w:cs="Times New Roman"/>
          <w:sz w:val="40"/>
          <w:szCs w:val="40"/>
          <w:u w:color="808080"/>
          <w:lang w:val="en-GB"/>
        </w:rPr>
        <w:t>Discussion</w:t>
      </w:r>
    </w:p>
    <w:p w14:paraId="21DEC0B5" w14:textId="05750AFA" w:rsidR="00E01BB2" w:rsidRPr="005A28F5" w:rsidRDefault="00BC3B0C" w:rsidP="001A64D3">
      <w:pPr>
        <w:pStyle w:val="BodyA"/>
        <w:spacing w:line="360" w:lineRule="auto"/>
        <w:outlineLvl w:val="0"/>
        <w:rPr>
          <w:rFonts w:ascii="Times New Roman" w:eastAsia="Cambria" w:hAnsi="Times New Roman" w:cs="Times New Roman"/>
          <w:sz w:val="24"/>
          <w:szCs w:val="24"/>
          <w:u w:color="7D7D7D"/>
          <w:lang w:val="en-GB"/>
        </w:rPr>
      </w:pPr>
      <w:r w:rsidRPr="005A28F5">
        <w:rPr>
          <w:rFonts w:ascii="Times New Roman" w:hAnsi="Times New Roman" w:cs="Times New Roman"/>
          <w:sz w:val="24"/>
          <w:szCs w:val="24"/>
          <w:u w:color="7D7D7D"/>
          <w:lang w:val="en-GB"/>
        </w:rPr>
        <w:t xml:space="preserve">We report the first findings from the EMPHASIS study </w:t>
      </w:r>
      <w:r w:rsidR="008F741E" w:rsidRPr="005A28F5">
        <w:rPr>
          <w:rStyle w:val="None"/>
          <w:rFonts w:ascii="Times New Roman" w:hAnsi="Times New Roman" w:cs="Times New Roman"/>
          <w:color w:val="000000" w:themeColor="text1"/>
          <w:sz w:val="24"/>
          <w:szCs w:val="24"/>
          <w:u w:color="7D7D7D"/>
          <w:lang w:val="en-GB"/>
        </w:rPr>
        <w:fldChar w:fldCharType="begin" w:fldLock="1"/>
      </w:r>
      <w:r w:rsidR="00897103">
        <w:rPr>
          <w:rStyle w:val="None"/>
          <w:rFonts w:ascii="Times New Roman" w:hAnsi="Times New Roman" w:cs="Times New Roman"/>
          <w:color w:val="000000" w:themeColor="text1"/>
          <w:sz w:val="24"/>
          <w:szCs w:val="24"/>
          <w:u w:color="7D7D7D"/>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008F741E" w:rsidRPr="005A28F5">
        <w:rPr>
          <w:rStyle w:val="None"/>
          <w:rFonts w:ascii="Times New Roman" w:hAnsi="Times New Roman" w:cs="Times New Roman"/>
          <w:color w:val="000000" w:themeColor="text1"/>
          <w:sz w:val="24"/>
          <w:szCs w:val="24"/>
          <w:u w:color="7D7D7D"/>
          <w:lang w:val="en-GB"/>
        </w:rPr>
        <w:fldChar w:fldCharType="separate"/>
      </w:r>
      <w:r w:rsidR="001754FE" w:rsidRPr="001754FE">
        <w:rPr>
          <w:rStyle w:val="None"/>
          <w:rFonts w:ascii="Times New Roman" w:hAnsi="Times New Roman" w:cs="Times New Roman"/>
          <w:noProof/>
          <w:color w:val="000000" w:themeColor="text1"/>
          <w:sz w:val="24"/>
          <w:szCs w:val="24"/>
          <w:u w:color="7D7D7D"/>
          <w:lang w:val="en-GB"/>
        </w:rPr>
        <w:t>(24)</w:t>
      </w:r>
      <w:r w:rsidR="008F741E" w:rsidRPr="005A28F5">
        <w:rPr>
          <w:rStyle w:val="None"/>
          <w:rFonts w:ascii="Times New Roman" w:hAnsi="Times New Roman" w:cs="Times New Roman"/>
          <w:color w:val="000000" w:themeColor="text1"/>
          <w:sz w:val="24"/>
          <w:szCs w:val="24"/>
          <w:u w:color="7D7D7D"/>
          <w:lang w:val="en-GB"/>
        </w:rPr>
        <w:fldChar w:fldCharType="end"/>
      </w:r>
      <w:r w:rsidR="008F741E" w:rsidRPr="005A28F5">
        <w:rPr>
          <w:rStyle w:val="None"/>
          <w:rFonts w:ascii="Times New Roman" w:hAnsi="Times New Roman" w:cs="Times New Roman"/>
          <w:color w:val="000000" w:themeColor="text1"/>
          <w:sz w:val="24"/>
          <w:szCs w:val="24"/>
          <w:u w:color="7D7D7D"/>
          <w:lang w:val="en-GB"/>
        </w:rPr>
        <w:t xml:space="preserve"> </w:t>
      </w:r>
      <w:r w:rsidRPr="005A28F5">
        <w:rPr>
          <w:rFonts w:ascii="Times New Roman" w:hAnsi="Times New Roman" w:cs="Times New Roman"/>
          <w:sz w:val="24"/>
          <w:szCs w:val="24"/>
          <w:u w:color="7D7D7D"/>
          <w:lang w:val="en-GB"/>
        </w:rPr>
        <w:t>in which we investigated the impact of maternal nutrition on DNA</w:t>
      </w:r>
      <w:r w:rsidR="006228B9" w:rsidRPr="005A28F5">
        <w:rPr>
          <w:rFonts w:ascii="Times New Roman" w:hAnsi="Times New Roman" w:cs="Times New Roman"/>
          <w:sz w:val="24"/>
          <w:szCs w:val="24"/>
          <w:u w:color="7D7D7D"/>
          <w:lang w:val="en-GB"/>
        </w:rPr>
        <w:t xml:space="preserve"> </w:t>
      </w:r>
      <w:r w:rsidR="00043139" w:rsidRPr="005A28F5">
        <w:rPr>
          <w:rFonts w:ascii="Times New Roman" w:hAnsi="Times New Roman" w:cs="Times New Roman"/>
          <w:sz w:val="24"/>
          <w:szCs w:val="24"/>
          <w:u w:color="7D7D7D"/>
          <w:lang w:val="en-GB"/>
        </w:rPr>
        <w:t>m</w:t>
      </w:r>
      <w:r w:rsidR="006228B9" w:rsidRPr="005A28F5">
        <w:rPr>
          <w:rFonts w:ascii="Times New Roman" w:hAnsi="Times New Roman" w:cs="Times New Roman"/>
          <w:sz w:val="24"/>
          <w:szCs w:val="24"/>
          <w:u w:color="7D7D7D"/>
          <w:lang w:val="en-GB"/>
        </w:rPr>
        <w:t>ethylation</w:t>
      </w:r>
      <w:r w:rsidRPr="005A28F5">
        <w:rPr>
          <w:rFonts w:ascii="Times New Roman" w:hAnsi="Times New Roman" w:cs="Times New Roman"/>
          <w:sz w:val="24"/>
          <w:szCs w:val="24"/>
          <w:u w:color="7D7D7D"/>
          <w:lang w:val="en-GB"/>
        </w:rPr>
        <w:t xml:space="preserve"> patterns in children whose mothers participated in two </w:t>
      </w:r>
      <w:r w:rsidR="007748ED" w:rsidRPr="005A28F5">
        <w:rPr>
          <w:rFonts w:ascii="Times New Roman" w:hAnsi="Times New Roman" w:cs="Times New Roman"/>
          <w:sz w:val="24"/>
          <w:szCs w:val="24"/>
          <w:u w:color="7D7D7D"/>
          <w:lang w:val="en-GB"/>
        </w:rPr>
        <w:t xml:space="preserve">independent </w:t>
      </w:r>
      <w:r w:rsidRPr="005A28F5">
        <w:rPr>
          <w:rFonts w:ascii="Times New Roman" w:hAnsi="Times New Roman" w:cs="Times New Roman"/>
          <w:sz w:val="24"/>
          <w:szCs w:val="24"/>
          <w:u w:color="7D7D7D"/>
          <w:lang w:val="en-GB"/>
        </w:rPr>
        <w:t xml:space="preserve">micronutrient supplementation </w:t>
      </w:r>
      <w:r w:rsidR="006228B9" w:rsidRPr="005A28F5">
        <w:rPr>
          <w:rFonts w:ascii="Times New Roman" w:hAnsi="Times New Roman" w:cs="Times New Roman"/>
          <w:sz w:val="24"/>
          <w:szCs w:val="24"/>
          <w:u w:color="7D7D7D"/>
          <w:lang w:val="en-GB"/>
        </w:rPr>
        <w:t>RCTs</w:t>
      </w:r>
      <w:r w:rsidRPr="005A28F5">
        <w:rPr>
          <w:rFonts w:ascii="Times New Roman" w:hAnsi="Times New Roman" w:cs="Times New Roman"/>
          <w:sz w:val="24"/>
          <w:szCs w:val="24"/>
          <w:u w:color="7D7D7D"/>
          <w:lang w:val="en-GB"/>
        </w:rPr>
        <w:t xml:space="preserve"> in India and </w:t>
      </w:r>
      <w:r w:rsidR="008B2ED6" w:rsidRPr="005A28F5">
        <w:rPr>
          <w:rFonts w:ascii="Times New Roman" w:hAnsi="Times New Roman" w:cs="Times New Roman"/>
          <w:sz w:val="24"/>
          <w:szCs w:val="24"/>
          <w:u w:color="7D7D7D"/>
          <w:lang w:val="en-GB"/>
        </w:rPr>
        <w:t>T</w:t>
      </w:r>
      <w:r w:rsidRPr="005A28F5">
        <w:rPr>
          <w:rFonts w:ascii="Times New Roman" w:hAnsi="Times New Roman" w:cs="Times New Roman"/>
          <w:sz w:val="24"/>
          <w:szCs w:val="24"/>
          <w:u w:color="7D7D7D"/>
          <w:lang w:val="en-GB"/>
        </w:rPr>
        <w:t xml:space="preserve">he Gambia. </w:t>
      </w:r>
      <w:r w:rsidR="00331D89" w:rsidRPr="005A28F5">
        <w:rPr>
          <w:rFonts w:ascii="Times New Roman" w:hAnsi="Times New Roman" w:cs="Times New Roman"/>
          <w:sz w:val="24"/>
          <w:szCs w:val="24"/>
          <w:u w:color="7D7D7D"/>
          <w:lang w:val="en-GB"/>
        </w:rPr>
        <w:t>We identified a number of loci showing altered DNAm in</w:t>
      </w:r>
      <w:r w:rsidRPr="005A28F5">
        <w:rPr>
          <w:rFonts w:ascii="Times New Roman" w:hAnsi="Times New Roman" w:cs="Times New Roman"/>
          <w:sz w:val="24"/>
          <w:szCs w:val="24"/>
          <w:u w:color="7D7D7D"/>
          <w:lang w:val="en-GB"/>
        </w:rPr>
        <w:t xml:space="preserve"> children at 7-9 years</w:t>
      </w:r>
      <w:r w:rsidR="00331D89" w:rsidRPr="005A28F5">
        <w:rPr>
          <w:rFonts w:ascii="Times New Roman" w:hAnsi="Times New Roman" w:cs="Times New Roman"/>
          <w:sz w:val="24"/>
          <w:szCs w:val="24"/>
          <w:u w:color="7D7D7D"/>
          <w:lang w:val="en-GB"/>
        </w:rPr>
        <w:t xml:space="preserve"> in response to maternal micronutrient supplementation</w:t>
      </w:r>
      <w:r w:rsidRPr="005A28F5">
        <w:rPr>
          <w:rFonts w:ascii="Times New Roman" w:hAnsi="Times New Roman" w:cs="Times New Roman"/>
          <w:sz w:val="24"/>
          <w:szCs w:val="24"/>
          <w:u w:color="7D7D7D"/>
          <w:lang w:val="en-GB"/>
        </w:rPr>
        <w:t xml:space="preserve"> in the Gambian cohort. In contrast, no </w:t>
      </w:r>
      <w:r w:rsidR="00130288" w:rsidRPr="005A28F5">
        <w:rPr>
          <w:rFonts w:ascii="Times New Roman" w:hAnsi="Times New Roman" w:cs="Times New Roman"/>
          <w:sz w:val="24"/>
          <w:szCs w:val="24"/>
          <w:u w:color="7D7D7D"/>
          <w:lang w:val="en-GB"/>
        </w:rPr>
        <w:t xml:space="preserve">robust </w:t>
      </w:r>
      <w:r w:rsidRPr="005A28F5">
        <w:rPr>
          <w:rFonts w:ascii="Times New Roman" w:hAnsi="Times New Roman" w:cs="Times New Roman"/>
          <w:sz w:val="24"/>
          <w:szCs w:val="24"/>
          <w:u w:color="7D7D7D"/>
          <w:lang w:val="en-GB"/>
        </w:rPr>
        <w:t xml:space="preserve">DNAm differences </w:t>
      </w:r>
      <w:r w:rsidR="00130288" w:rsidRPr="005A28F5">
        <w:rPr>
          <w:rFonts w:ascii="Times New Roman" w:hAnsi="Times New Roman" w:cs="Times New Roman"/>
          <w:sz w:val="24"/>
          <w:szCs w:val="24"/>
          <w:u w:color="7D7D7D"/>
          <w:lang w:val="en-GB"/>
        </w:rPr>
        <w:t xml:space="preserve">were identified </w:t>
      </w:r>
      <w:r w:rsidR="000C58F0" w:rsidRPr="005A28F5">
        <w:rPr>
          <w:rFonts w:ascii="Times New Roman" w:hAnsi="Times New Roman" w:cs="Times New Roman"/>
          <w:sz w:val="24"/>
          <w:szCs w:val="24"/>
          <w:u w:color="7D7D7D"/>
          <w:lang w:val="en-GB"/>
        </w:rPr>
        <w:t>in</w:t>
      </w:r>
      <w:r w:rsidRPr="005A28F5">
        <w:rPr>
          <w:rFonts w:ascii="Times New Roman" w:hAnsi="Times New Roman" w:cs="Times New Roman"/>
          <w:sz w:val="24"/>
          <w:szCs w:val="24"/>
          <w:u w:color="7D7D7D"/>
          <w:lang w:val="en-GB"/>
        </w:rPr>
        <w:t xml:space="preserve"> children at 5-7 years in the Indian cohort. </w:t>
      </w:r>
    </w:p>
    <w:p w14:paraId="311BE6B9" w14:textId="752C413D" w:rsidR="00E01BB2" w:rsidRPr="005A28F5" w:rsidRDefault="00E01BB2" w:rsidP="001A64D3">
      <w:pPr>
        <w:pStyle w:val="BodyA"/>
        <w:spacing w:line="360" w:lineRule="auto"/>
        <w:outlineLvl w:val="0"/>
        <w:rPr>
          <w:rFonts w:ascii="Times New Roman" w:eastAsia="Cambria" w:hAnsi="Times New Roman" w:cs="Times New Roman"/>
          <w:sz w:val="24"/>
          <w:szCs w:val="24"/>
          <w:lang w:val="en-GB"/>
        </w:rPr>
      </w:pPr>
    </w:p>
    <w:p w14:paraId="166F125D" w14:textId="214CB1E1" w:rsidR="00E01BB2" w:rsidRPr="005A28F5" w:rsidRDefault="00BC3B0C" w:rsidP="001A64D3">
      <w:pPr>
        <w:pStyle w:val="BodyA"/>
        <w:spacing w:line="360" w:lineRule="auto"/>
        <w:rPr>
          <w:rFonts w:ascii="Times New Roman" w:eastAsia="Cambria" w:hAnsi="Times New Roman" w:cs="Times New Roman"/>
          <w:sz w:val="24"/>
          <w:szCs w:val="24"/>
          <w:u w:color="7D7D7D"/>
          <w:lang w:val="en-GB"/>
        </w:rPr>
      </w:pPr>
      <w:r w:rsidRPr="005A28F5">
        <w:rPr>
          <w:rFonts w:ascii="Times New Roman" w:hAnsi="Times New Roman" w:cs="Times New Roman"/>
          <w:sz w:val="24"/>
          <w:szCs w:val="24"/>
          <w:u w:color="7D7D7D"/>
          <w:lang w:val="en-GB"/>
        </w:rPr>
        <w:t xml:space="preserve">The Gambian EWAS using the Illumina EPIC array identified 6 DMPs passing a previously </w:t>
      </w:r>
      <w:r w:rsidR="008F2970" w:rsidRPr="005A28F5">
        <w:rPr>
          <w:rFonts w:ascii="Times New Roman" w:hAnsi="Times New Roman" w:cs="Times New Roman"/>
          <w:sz w:val="24"/>
          <w:szCs w:val="24"/>
          <w:u w:color="7D7D7D"/>
          <w:lang w:val="en-GB"/>
        </w:rPr>
        <w:t>specified</w:t>
      </w:r>
      <w:r w:rsidRPr="005A28F5">
        <w:rPr>
          <w:rFonts w:ascii="Times New Roman" w:hAnsi="Times New Roman" w:cs="Times New Roman"/>
          <w:sz w:val="24"/>
          <w:szCs w:val="24"/>
          <w:u w:color="7D7D7D"/>
          <w:lang w:val="en-GB"/>
        </w:rPr>
        <w:t xml:space="preserve"> </w:t>
      </w:r>
      <w:r w:rsidR="008846B7" w:rsidRPr="005A28F5">
        <w:rPr>
          <w:rFonts w:ascii="Times New Roman" w:hAnsi="Times New Roman" w:cs="Times New Roman"/>
          <w:sz w:val="24"/>
          <w:szCs w:val="24"/>
          <w:u w:color="7D7D7D"/>
          <w:lang w:val="en-GB"/>
        </w:rPr>
        <w:t>FDR</w:t>
      </w:r>
      <w:r w:rsidRPr="005A28F5">
        <w:rPr>
          <w:rFonts w:ascii="Times New Roman" w:hAnsi="Times New Roman" w:cs="Times New Roman"/>
          <w:sz w:val="24"/>
          <w:szCs w:val="24"/>
          <w:u w:color="7D7D7D"/>
          <w:lang w:val="en-GB"/>
        </w:rPr>
        <w:t xml:space="preserve"> threshold of 5%, all of which showed decreased methylation in the intervention group compared to controls. Regional (DMR) analysis </w:t>
      </w:r>
      <w:r w:rsidR="00C23BC8" w:rsidRPr="005A28F5">
        <w:rPr>
          <w:rFonts w:ascii="Times New Roman" w:hAnsi="Times New Roman" w:cs="Times New Roman"/>
          <w:sz w:val="24"/>
          <w:szCs w:val="24"/>
          <w:u w:color="7D7D7D"/>
          <w:lang w:val="en-GB"/>
        </w:rPr>
        <w:t>confirmed</w:t>
      </w:r>
      <w:r w:rsidRPr="005A28F5">
        <w:rPr>
          <w:rFonts w:ascii="Times New Roman" w:hAnsi="Times New Roman" w:cs="Times New Roman"/>
          <w:sz w:val="24"/>
          <w:szCs w:val="24"/>
          <w:u w:color="7D7D7D"/>
          <w:lang w:val="en-GB"/>
        </w:rPr>
        <w:t xml:space="preserve"> </w:t>
      </w:r>
      <w:r w:rsidR="00B73AF4">
        <w:rPr>
          <w:rFonts w:ascii="Times New Roman" w:hAnsi="Times New Roman" w:cs="Times New Roman"/>
          <w:sz w:val="24"/>
          <w:szCs w:val="24"/>
          <w:u w:color="7D7D7D"/>
          <w:lang w:val="en-GB"/>
        </w:rPr>
        <w:t xml:space="preserve">a </w:t>
      </w:r>
      <w:r w:rsidRPr="005A28F5">
        <w:rPr>
          <w:rFonts w:ascii="Times New Roman" w:hAnsi="Times New Roman" w:cs="Times New Roman"/>
          <w:sz w:val="24"/>
          <w:szCs w:val="24"/>
          <w:u w:color="7D7D7D"/>
          <w:lang w:val="en-GB"/>
        </w:rPr>
        <w:t xml:space="preserve">robust association </w:t>
      </w:r>
      <w:r w:rsidR="00C23BC8" w:rsidRPr="005A28F5">
        <w:rPr>
          <w:rFonts w:ascii="Times New Roman" w:hAnsi="Times New Roman" w:cs="Times New Roman"/>
          <w:sz w:val="24"/>
          <w:szCs w:val="24"/>
          <w:u w:color="7D7D7D"/>
          <w:lang w:val="en-GB"/>
        </w:rPr>
        <w:t xml:space="preserve">at </w:t>
      </w:r>
      <w:r w:rsidR="000B5BA4" w:rsidRPr="005A28F5">
        <w:rPr>
          <w:rFonts w:ascii="Times New Roman" w:hAnsi="Times New Roman" w:cs="Times New Roman"/>
          <w:sz w:val="24"/>
          <w:szCs w:val="24"/>
          <w:u w:color="7D7D7D"/>
          <w:lang w:val="en-GB"/>
        </w:rPr>
        <w:t xml:space="preserve">a region containing </w:t>
      </w:r>
      <w:r w:rsidR="007E5060" w:rsidRPr="005A28F5">
        <w:rPr>
          <w:rFonts w:ascii="Times New Roman" w:hAnsi="Times New Roman" w:cs="Times New Roman"/>
          <w:sz w:val="24"/>
          <w:szCs w:val="24"/>
          <w:u w:color="7D7D7D"/>
          <w:lang w:val="en-GB"/>
        </w:rPr>
        <w:t>10</w:t>
      </w:r>
      <w:r w:rsidR="000B5BA4" w:rsidRPr="005A28F5">
        <w:rPr>
          <w:rFonts w:ascii="Times New Roman" w:hAnsi="Times New Roman" w:cs="Times New Roman"/>
          <w:sz w:val="24"/>
          <w:szCs w:val="24"/>
          <w:u w:color="7D7D7D"/>
          <w:lang w:val="en-GB"/>
        </w:rPr>
        <w:t xml:space="preserve"> </w:t>
      </w:r>
      <w:r w:rsidR="00B12EF9" w:rsidRPr="005A28F5">
        <w:rPr>
          <w:rFonts w:ascii="Times New Roman" w:hAnsi="Times New Roman" w:cs="Times New Roman"/>
          <w:sz w:val="24"/>
          <w:szCs w:val="24"/>
          <w:u w:color="7D7D7D"/>
          <w:lang w:val="en-GB"/>
        </w:rPr>
        <w:t>CpG</w:t>
      </w:r>
      <w:r w:rsidR="000B5BA4" w:rsidRPr="005A28F5">
        <w:rPr>
          <w:rFonts w:ascii="Times New Roman" w:hAnsi="Times New Roman" w:cs="Times New Roman"/>
          <w:sz w:val="24"/>
          <w:szCs w:val="24"/>
          <w:u w:color="7D7D7D"/>
          <w:lang w:val="en-GB"/>
        </w:rPr>
        <w:t xml:space="preserve">s mapping to </w:t>
      </w:r>
      <w:r w:rsidR="00142307">
        <w:rPr>
          <w:rFonts w:ascii="Times New Roman" w:hAnsi="Times New Roman" w:cs="Times New Roman"/>
          <w:sz w:val="24"/>
          <w:szCs w:val="24"/>
          <w:u w:color="7D7D7D"/>
          <w:lang w:val="en-GB"/>
        </w:rPr>
        <w:t xml:space="preserve">the </w:t>
      </w:r>
      <w:r w:rsidR="000B5BA4" w:rsidRPr="005A28F5">
        <w:rPr>
          <w:rFonts w:ascii="Times New Roman" w:hAnsi="Times New Roman" w:cs="Times New Roman"/>
          <w:i/>
          <w:sz w:val="24"/>
          <w:szCs w:val="24"/>
          <w:u w:color="7D7D7D"/>
          <w:lang w:val="en-GB"/>
        </w:rPr>
        <w:t>ESM1</w:t>
      </w:r>
      <w:r w:rsidR="000B5BA4" w:rsidRPr="005A28F5">
        <w:rPr>
          <w:rFonts w:ascii="Times New Roman" w:hAnsi="Times New Roman" w:cs="Times New Roman"/>
          <w:sz w:val="24"/>
          <w:szCs w:val="24"/>
          <w:u w:color="7D7D7D"/>
          <w:lang w:val="en-GB"/>
        </w:rPr>
        <w:t xml:space="preserve"> gene</w:t>
      </w:r>
      <w:r w:rsidR="00FE7854" w:rsidRPr="005A28F5">
        <w:rPr>
          <w:rFonts w:ascii="Times New Roman" w:hAnsi="Times New Roman" w:cs="Times New Roman"/>
          <w:sz w:val="24"/>
          <w:szCs w:val="24"/>
          <w:u w:color="7D7D7D"/>
          <w:lang w:val="en-GB"/>
        </w:rPr>
        <w:t xml:space="preserve">, </w:t>
      </w:r>
      <w:r w:rsidR="000B5BA4" w:rsidRPr="005A28F5">
        <w:rPr>
          <w:rFonts w:ascii="Times New Roman" w:hAnsi="Times New Roman" w:cs="Times New Roman"/>
          <w:sz w:val="24"/>
          <w:szCs w:val="24"/>
          <w:u w:color="7D7D7D"/>
          <w:lang w:val="en-GB"/>
        </w:rPr>
        <w:t xml:space="preserve">overlapping with the </w:t>
      </w:r>
      <w:r w:rsidR="00B47CA9" w:rsidRPr="005A28F5">
        <w:rPr>
          <w:rFonts w:ascii="Times New Roman" w:hAnsi="Times New Roman" w:cs="Times New Roman"/>
          <w:sz w:val="24"/>
          <w:szCs w:val="24"/>
          <w:u w:color="7D7D7D"/>
          <w:lang w:val="en-GB"/>
        </w:rPr>
        <w:t xml:space="preserve">TSS, 5’ UTR and </w:t>
      </w:r>
      <w:r w:rsidR="000B5BA4" w:rsidRPr="005A28F5">
        <w:rPr>
          <w:rFonts w:ascii="Times New Roman" w:hAnsi="Times New Roman" w:cs="Times New Roman"/>
          <w:sz w:val="24"/>
          <w:szCs w:val="24"/>
          <w:u w:color="7D7D7D"/>
          <w:lang w:val="en-GB"/>
        </w:rPr>
        <w:t>first exon</w:t>
      </w:r>
      <w:r w:rsidR="00B47CA9" w:rsidRPr="005A28F5">
        <w:rPr>
          <w:rFonts w:ascii="Times New Roman" w:hAnsi="Times New Roman" w:cs="Times New Roman"/>
          <w:sz w:val="24"/>
          <w:szCs w:val="24"/>
          <w:u w:color="7D7D7D"/>
          <w:lang w:val="en-GB"/>
        </w:rPr>
        <w:t xml:space="preserve"> </w:t>
      </w:r>
      <w:r w:rsidR="00604970" w:rsidRPr="005A28F5">
        <w:rPr>
          <w:rFonts w:ascii="Times New Roman" w:hAnsi="Times New Roman" w:cs="Times New Roman"/>
          <w:sz w:val="24"/>
          <w:szCs w:val="24"/>
          <w:u w:color="7D7D7D"/>
          <w:lang w:val="en-GB"/>
        </w:rPr>
        <w:t>of the most highly expressed transcript</w:t>
      </w:r>
      <w:r w:rsidR="00B73AF4">
        <w:rPr>
          <w:rFonts w:ascii="Times New Roman" w:hAnsi="Times New Roman" w:cs="Times New Roman"/>
          <w:sz w:val="24"/>
          <w:szCs w:val="24"/>
          <w:u w:color="7D7D7D"/>
          <w:lang w:val="en-GB"/>
        </w:rPr>
        <w:t xml:space="preserve">. A </w:t>
      </w:r>
      <w:r w:rsidR="000B5BA4" w:rsidRPr="005A28F5">
        <w:rPr>
          <w:rFonts w:ascii="Times New Roman" w:hAnsi="Times New Roman" w:cs="Times New Roman"/>
          <w:sz w:val="24"/>
          <w:szCs w:val="24"/>
          <w:u w:color="7D7D7D"/>
          <w:lang w:val="en-GB"/>
        </w:rPr>
        <w:t xml:space="preserve">second region </w:t>
      </w:r>
      <w:r w:rsidR="006726DB" w:rsidRPr="005A28F5">
        <w:rPr>
          <w:rFonts w:ascii="Times New Roman" w:hAnsi="Times New Roman" w:cs="Times New Roman"/>
          <w:sz w:val="24"/>
          <w:szCs w:val="24"/>
          <w:u w:color="7D7D7D"/>
          <w:lang w:val="en-GB"/>
        </w:rPr>
        <w:t>made up of</w:t>
      </w:r>
      <w:r w:rsidRPr="005A28F5">
        <w:rPr>
          <w:rFonts w:ascii="Times New Roman" w:hAnsi="Times New Roman" w:cs="Times New Roman"/>
          <w:sz w:val="24"/>
          <w:szCs w:val="24"/>
          <w:u w:color="7D7D7D"/>
          <w:lang w:val="en-GB"/>
        </w:rPr>
        <w:t xml:space="preserve"> </w:t>
      </w:r>
      <w:r w:rsidR="000B5BA4" w:rsidRPr="005A28F5">
        <w:rPr>
          <w:rFonts w:ascii="Times New Roman" w:hAnsi="Times New Roman" w:cs="Times New Roman"/>
          <w:sz w:val="24"/>
          <w:szCs w:val="24"/>
          <w:u w:color="7D7D7D"/>
          <w:lang w:val="en-GB"/>
        </w:rPr>
        <w:t xml:space="preserve">4 </w:t>
      </w:r>
      <w:r w:rsidR="00B12EF9" w:rsidRPr="005A28F5">
        <w:rPr>
          <w:rFonts w:ascii="Times New Roman" w:hAnsi="Times New Roman" w:cs="Times New Roman"/>
          <w:sz w:val="24"/>
          <w:szCs w:val="24"/>
          <w:u w:color="7D7D7D"/>
          <w:lang w:val="en-GB"/>
        </w:rPr>
        <w:t>CpG</w:t>
      </w:r>
      <w:r w:rsidR="000B5BA4" w:rsidRPr="005A28F5">
        <w:rPr>
          <w:rFonts w:ascii="Times New Roman" w:hAnsi="Times New Roman" w:cs="Times New Roman"/>
          <w:sz w:val="24"/>
          <w:szCs w:val="24"/>
          <w:u w:color="7D7D7D"/>
          <w:lang w:val="en-GB"/>
        </w:rPr>
        <w:t>s mapping to</w:t>
      </w:r>
      <w:r w:rsidR="00135027" w:rsidRPr="005A28F5">
        <w:rPr>
          <w:rFonts w:ascii="Times New Roman" w:hAnsi="Times New Roman" w:cs="Times New Roman"/>
          <w:sz w:val="24"/>
          <w:szCs w:val="24"/>
          <w:u w:color="7D7D7D"/>
          <w:lang w:val="en-GB"/>
        </w:rPr>
        <w:t xml:space="preserve"> an </w:t>
      </w:r>
      <w:r w:rsidR="00E16668" w:rsidRPr="005A28F5">
        <w:rPr>
          <w:rFonts w:ascii="Times New Roman" w:hAnsi="Times New Roman" w:cs="Times New Roman"/>
          <w:sz w:val="24"/>
          <w:szCs w:val="24"/>
          <w:u w:color="7D7D7D"/>
          <w:lang w:val="en-GB"/>
        </w:rPr>
        <w:t xml:space="preserve">intronic </w:t>
      </w:r>
      <w:r w:rsidR="00135027" w:rsidRPr="005A28F5">
        <w:rPr>
          <w:rFonts w:ascii="Times New Roman" w:hAnsi="Times New Roman" w:cs="Times New Roman"/>
          <w:sz w:val="24"/>
          <w:szCs w:val="24"/>
          <w:u w:color="7D7D7D"/>
          <w:lang w:val="en-GB"/>
        </w:rPr>
        <w:t>region of</w:t>
      </w:r>
      <w:r w:rsidR="000B5BA4" w:rsidRPr="005A28F5">
        <w:rPr>
          <w:rFonts w:ascii="Times New Roman" w:hAnsi="Times New Roman" w:cs="Times New Roman"/>
          <w:sz w:val="24"/>
          <w:szCs w:val="24"/>
          <w:u w:color="7D7D7D"/>
          <w:lang w:val="en-GB"/>
        </w:rPr>
        <w:t xml:space="preserve"> </w:t>
      </w:r>
      <w:r w:rsidRPr="005A28F5">
        <w:rPr>
          <w:rFonts w:ascii="Times New Roman" w:hAnsi="Times New Roman" w:cs="Times New Roman"/>
          <w:i/>
          <w:sz w:val="24"/>
          <w:szCs w:val="24"/>
          <w:u w:color="7D7D7D"/>
          <w:lang w:val="en-GB"/>
        </w:rPr>
        <w:t>LZTS1</w:t>
      </w:r>
      <w:r w:rsidR="00135027" w:rsidRPr="005A28F5">
        <w:rPr>
          <w:rFonts w:ascii="Times New Roman" w:hAnsi="Times New Roman" w:cs="Times New Roman"/>
          <w:i/>
          <w:sz w:val="24"/>
          <w:szCs w:val="24"/>
          <w:u w:color="7D7D7D"/>
          <w:lang w:val="en-GB"/>
        </w:rPr>
        <w:t xml:space="preserve"> </w:t>
      </w:r>
      <w:r w:rsidR="00135027" w:rsidRPr="005A28F5">
        <w:rPr>
          <w:rFonts w:ascii="Times New Roman" w:hAnsi="Times New Roman" w:cs="Times New Roman"/>
          <w:color w:val="000000" w:themeColor="text1"/>
          <w:sz w:val="24"/>
          <w:szCs w:val="24"/>
          <w:u w:color="7D7D7D"/>
          <w:lang w:val="en-GB"/>
        </w:rPr>
        <w:t>approximately 2K</w:t>
      </w:r>
      <w:r w:rsidR="003805CD" w:rsidRPr="005A28F5">
        <w:rPr>
          <w:rFonts w:ascii="Times New Roman" w:hAnsi="Times New Roman" w:cs="Times New Roman"/>
          <w:color w:val="000000" w:themeColor="text1"/>
          <w:sz w:val="24"/>
          <w:szCs w:val="24"/>
          <w:u w:color="7D7D7D"/>
          <w:lang w:val="en-GB"/>
        </w:rPr>
        <w:t>b</w:t>
      </w:r>
      <w:r w:rsidR="00135027" w:rsidRPr="005A28F5">
        <w:rPr>
          <w:rFonts w:ascii="Times New Roman" w:hAnsi="Times New Roman" w:cs="Times New Roman"/>
          <w:color w:val="000000" w:themeColor="text1"/>
          <w:sz w:val="24"/>
          <w:szCs w:val="24"/>
          <w:u w:color="7D7D7D"/>
          <w:lang w:val="en-GB"/>
        </w:rPr>
        <w:t xml:space="preserve"> </w:t>
      </w:r>
      <w:r w:rsidR="00604970" w:rsidRPr="005A28F5">
        <w:rPr>
          <w:rFonts w:ascii="Times New Roman" w:hAnsi="Times New Roman" w:cs="Times New Roman"/>
          <w:sz w:val="24"/>
          <w:szCs w:val="24"/>
          <w:u w:color="7D7D7D"/>
          <w:lang w:val="en-GB"/>
        </w:rPr>
        <w:t xml:space="preserve">from </w:t>
      </w:r>
      <w:r w:rsidR="000B5BA4" w:rsidRPr="005A28F5">
        <w:rPr>
          <w:rFonts w:ascii="Times New Roman" w:hAnsi="Times New Roman" w:cs="Times New Roman"/>
          <w:sz w:val="24"/>
          <w:szCs w:val="24"/>
          <w:u w:color="7D7D7D"/>
          <w:lang w:val="en-GB"/>
        </w:rPr>
        <w:t>the TSS</w:t>
      </w:r>
      <w:r w:rsidR="00B73AF4">
        <w:rPr>
          <w:rFonts w:ascii="Times New Roman" w:hAnsi="Times New Roman" w:cs="Times New Roman"/>
          <w:sz w:val="24"/>
          <w:szCs w:val="24"/>
          <w:u w:color="7D7D7D"/>
          <w:lang w:val="en-GB"/>
        </w:rPr>
        <w:t xml:space="preserve"> was the top-ranked significant DMR with </w:t>
      </w:r>
      <w:r w:rsidR="008345A7" w:rsidRPr="00E27A4C">
        <w:rPr>
          <w:rFonts w:ascii="Times New Roman" w:hAnsi="Times New Roman" w:cs="Times New Roman"/>
          <w:i/>
          <w:sz w:val="24"/>
          <w:szCs w:val="24"/>
          <w:u w:color="7D7D7D"/>
          <w:lang w:val="en-GB"/>
        </w:rPr>
        <w:t>comb-p</w:t>
      </w:r>
      <w:r w:rsidR="00B73AF4">
        <w:rPr>
          <w:rFonts w:ascii="Times New Roman" w:hAnsi="Times New Roman" w:cs="Times New Roman"/>
          <w:sz w:val="24"/>
          <w:szCs w:val="24"/>
          <w:u w:color="7D7D7D"/>
          <w:lang w:val="en-GB"/>
        </w:rPr>
        <w:t xml:space="preserve">, and the second-ranked (non-significant) DMR using </w:t>
      </w:r>
      <w:proofErr w:type="spellStart"/>
      <w:r w:rsidR="008345A7" w:rsidRPr="00E27A4C">
        <w:rPr>
          <w:rFonts w:ascii="Times New Roman" w:hAnsi="Times New Roman" w:cs="Times New Roman"/>
          <w:i/>
          <w:sz w:val="24"/>
          <w:szCs w:val="24"/>
          <w:u w:color="7D7D7D"/>
          <w:lang w:val="en-GB"/>
        </w:rPr>
        <w:t>DMRcate</w:t>
      </w:r>
      <w:proofErr w:type="spellEnd"/>
      <w:r w:rsidRPr="005A28F5">
        <w:rPr>
          <w:rFonts w:ascii="Times New Roman" w:hAnsi="Times New Roman" w:cs="Times New Roman"/>
          <w:sz w:val="24"/>
          <w:szCs w:val="24"/>
          <w:u w:color="7D7D7D"/>
          <w:lang w:val="en-GB"/>
        </w:rPr>
        <w:t xml:space="preserve">. </w:t>
      </w:r>
      <w:r w:rsidR="00E06596" w:rsidRPr="005A28F5">
        <w:rPr>
          <w:rFonts w:ascii="Times New Roman" w:hAnsi="Times New Roman" w:cs="Times New Roman"/>
          <w:sz w:val="24"/>
          <w:szCs w:val="24"/>
          <w:u w:color="7D7D7D"/>
          <w:lang w:val="en-GB"/>
        </w:rPr>
        <w:t>I</w:t>
      </w:r>
      <w:r w:rsidR="003E58A5" w:rsidRPr="005A28F5">
        <w:rPr>
          <w:rFonts w:ascii="Times New Roman" w:hAnsi="Times New Roman" w:cs="Times New Roman"/>
          <w:sz w:val="24"/>
          <w:szCs w:val="24"/>
          <w:u w:color="7D7D7D"/>
          <w:lang w:val="en-GB"/>
        </w:rPr>
        <w:t xml:space="preserve">ncreased </w:t>
      </w:r>
      <w:r w:rsidR="00E11FE3" w:rsidRPr="005A28F5">
        <w:rPr>
          <w:rFonts w:ascii="Times New Roman" w:hAnsi="Times New Roman" w:cs="Times New Roman"/>
          <w:sz w:val="24"/>
          <w:szCs w:val="24"/>
          <w:u w:color="7D7D7D"/>
          <w:lang w:val="en-GB"/>
        </w:rPr>
        <w:t>DNAm</w:t>
      </w:r>
      <w:r w:rsidR="003E58A5" w:rsidRPr="005A28F5">
        <w:rPr>
          <w:rFonts w:ascii="Times New Roman" w:hAnsi="Times New Roman" w:cs="Times New Roman"/>
          <w:sz w:val="24"/>
          <w:szCs w:val="24"/>
          <w:u w:color="7D7D7D"/>
          <w:lang w:val="en-GB"/>
        </w:rPr>
        <w:t xml:space="preserve"> in promoter regions is typically associated with gene silencing, </w:t>
      </w:r>
      <w:r w:rsidR="00E06596" w:rsidRPr="005A28F5">
        <w:rPr>
          <w:rFonts w:ascii="Times New Roman" w:hAnsi="Times New Roman" w:cs="Times New Roman"/>
          <w:sz w:val="24"/>
          <w:szCs w:val="24"/>
          <w:u w:color="7D7D7D"/>
          <w:lang w:val="en-GB"/>
        </w:rPr>
        <w:t xml:space="preserve">whereas </w:t>
      </w:r>
      <w:r w:rsidR="003E58A5" w:rsidRPr="005A28F5">
        <w:rPr>
          <w:rFonts w:ascii="Times New Roman" w:hAnsi="Times New Roman" w:cs="Times New Roman"/>
          <w:sz w:val="24"/>
          <w:szCs w:val="24"/>
          <w:u w:color="7D7D7D"/>
          <w:lang w:val="en-GB"/>
        </w:rPr>
        <w:t xml:space="preserve">in the gene body the relationship </w:t>
      </w:r>
      <w:r w:rsidR="00E06596" w:rsidRPr="005A28F5">
        <w:rPr>
          <w:rFonts w:ascii="Times New Roman" w:hAnsi="Times New Roman" w:cs="Times New Roman"/>
          <w:sz w:val="24"/>
          <w:szCs w:val="24"/>
          <w:u w:color="7D7D7D"/>
          <w:lang w:val="en-GB"/>
        </w:rPr>
        <w:t xml:space="preserve">can vary depending on context </w:t>
      </w:r>
      <w:r w:rsidR="00E228AA" w:rsidRPr="005A28F5">
        <w:rPr>
          <w:rFonts w:ascii="Times New Roman" w:hAnsi="Times New Roman" w:cs="Times New Roman"/>
          <w:sz w:val="24"/>
          <w:szCs w:val="24"/>
          <w:u w:color="7D7D7D"/>
          <w:lang w:val="en-GB"/>
        </w:rPr>
        <w:fldChar w:fldCharType="begin" w:fldLock="1"/>
      </w:r>
      <w:r w:rsidR="000C3130">
        <w:rPr>
          <w:rFonts w:ascii="Times New Roman" w:hAnsi="Times New Roman" w:cs="Times New Roman"/>
          <w:sz w:val="24"/>
          <w:szCs w:val="24"/>
          <w:u w:color="7D7D7D"/>
          <w:lang w:val="en-GB"/>
        </w:rPr>
        <w:instrText>ADDIN CSL_CITATION {"citationItems":[{"id":"ITEM-1","itemData":{"DOI":"10.1186/gb-2014-15-2-r37","ISBN":"1465-6914 (Electronic)\\r1465-6906 (Linking)","ISSN":"1465-6914","PMID":"24555846","abstract":"BACKGROUND: DNA methylation plays an essential role in the regulation of gene expression. While its presence near the transcription start site of a gene has been associated with reduced expression, the variation in methylation levels across individuals, its environmental or genetic causes, and its association with gene expression remain poorly understood.\\n\\nRESULTS: We report the joint analysis of sequence variants, gene expression and DNA methylation in primary fibroblast samples derived from a set of 62 unrelated individuals. Approximately 2% of the most variable CpG sites are mappable in cis to sequence variation, usually within 5 kb. Via eQTL analysis with microarray data combined with mapping of allelic expression regions, we obtained a set of 2,770 regions mappable in cis to sequence variation. In 9.5% of these expressed regions, an associated SNP was also a methylation QTL. Methylation and gene expression are often correlated without direct discernible involvement of sequence variation, but not always in the expected direction of negative for promoter CpGs and positive for gene-body CpGs. Population-level correlation between methylation and expression is strongest in a subset of developmentally significant genes, including all four HOX clusters. The presence and sign of this correlation are best predicted using specific chromatin marks rather than position of the CpG site with respect to the gene.\\n\\nCONCLUSIONS: Our results indicate a wide variety of relationships between gene expression, DNA methylation and sequence variation in untransformed adult human fibroblasts, with considerable involvement of chromatin features and some discernible involvement of sequence variation.","author":[{"dropping-particle":"","family":"Wagner","given":"James R","non-dropping-particle":"","parse-names":false,"suffix":""},{"dropping-particle":"","family":"Busche","given":"Stephan","non-dropping-particle":"","parse-names":false,"suffix":""},{"dropping-particle":"","family":"Ge","given":"Bing","non-dropping-particle":"","parse-names":false,"suffix":""},{"dropping-particle":"","family":"Kwan","given":"Tony","non-dropping-particle":"","parse-names":false,"suffix":""},{"dropping-particle":"","family":"Pastinen","given":"Tomi","non-dropping-particle":"","parse-names":false,"suffix":""},{"dropping-particle":"","family":"Blanchette","given":"Mathieu","non-dropping-particle":"","parse-names":false,"suffix":""}],"container-title":"Genome biology","id":"ITEM-1","issue":"2","issued":{"date-parts":[["2014"]]},"page":"R37","title":"The relationship between DNA methylation, genetic and expression inter-individual variation in untransformed human fibroblasts.","type":"article-journal","volume":"15"},"uris":["http://www.mendeley.com/documents/?uuid=7f28eb8c-8b5f-4058-afe6-94548db8a125"]}],"mendeley":{"formattedCitation":"(48)","plainTextFormattedCitation":"(48)","previouslyFormattedCitation":"(48)"},"properties":{"noteIndex":0},"schema":"https://github.com/citation-style-language/schema/raw/master/csl-citation.json"}</w:instrText>
      </w:r>
      <w:r w:rsidR="00E228AA" w:rsidRPr="005A28F5">
        <w:rPr>
          <w:rFonts w:ascii="Times New Roman" w:hAnsi="Times New Roman" w:cs="Times New Roman"/>
          <w:sz w:val="24"/>
          <w:szCs w:val="24"/>
          <w:u w:color="7D7D7D"/>
          <w:lang w:val="en-GB"/>
        </w:rPr>
        <w:fldChar w:fldCharType="separate"/>
      </w:r>
      <w:r w:rsidR="002A7D5D" w:rsidRPr="002A7D5D">
        <w:rPr>
          <w:rFonts w:ascii="Times New Roman" w:hAnsi="Times New Roman" w:cs="Times New Roman"/>
          <w:noProof/>
          <w:sz w:val="24"/>
          <w:szCs w:val="24"/>
          <w:u w:color="7D7D7D"/>
          <w:lang w:val="en-GB"/>
        </w:rPr>
        <w:t>(48)</w:t>
      </w:r>
      <w:r w:rsidR="00E228AA" w:rsidRPr="005A28F5">
        <w:rPr>
          <w:rFonts w:ascii="Times New Roman" w:hAnsi="Times New Roman" w:cs="Times New Roman"/>
          <w:sz w:val="24"/>
          <w:szCs w:val="24"/>
          <w:u w:color="7D7D7D"/>
          <w:lang w:val="en-GB"/>
        </w:rPr>
        <w:fldChar w:fldCharType="end"/>
      </w:r>
      <w:r w:rsidR="000A13C9" w:rsidRPr="005A28F5">
        <w:rPr>
          <w:rFonts w:ascii="Times New Roman" w:hAnsi="Times New Roman" w:cs="Times New Roman"/>
          <w:sz w:val="24"/>
          <w:szCs w:val="24"/>
          <w:u w:color="7D7D7D"/>
          <w:lang w:val="en-GB"/>
        </w:rPr>
        <w:t>.</w:t>
      </w:r>
      <w:r w:rsidR="008A1D03" w:rsidRPr="005A28F5">
        <w:rPr>
          <w:rFonts w:ascii="Times New Roman" w:hAnsi="Times New Roman" w:cs="Times New Roman"/>
          <w:sz w:val="24"/>
          <w:szCs w:val="24"/>
          <w:u w:color="7D7D7D"/>
          <w:lang w:val="en-GB"/>
        </w:rPr>
        <w:t xml:space="preserve"> </w:t>
      </w:r>
      <w:r w:rsidR="00035030" w:rsidRPr="005A28F5">
        <w:rPr>
          <w:rFonts w:ascii="Times New Roman" w:hAnsi="Times New Roman" w:cs="Times New Roman"/>
          <w:sz w:val="24"/>
          <w:szCs w:val="24"/>
          <w:u w:color="7D7D7D"/>
          <w:lang w:val="en-GB"/>
        </w:rPr>
        <w:t>F</w:t>
      </w:r>
      <w:r w:rsidR="00B47CA9" w:rsidRPr="005A28F5">
        <w:rPr>
          <w:rFonts w:ascii="Times New Roman" w:hAnsi="Times New Roman" w:cs="Times New Roman"/>
          <w:sz w:val="24"/>
          <w:szCs w:val="24"/>
          <w:u w:color="7D7D7D"/>
          <w:lang w:val="en-GB"/>
        </w:rPr>
        <w:t xml:space="preserve">urther work </w:t>
      </w:r>
      <w:r w:rsidR="00F8491F" w:rsidRPr="005A28F5">
        <w:rPr>
          <w:rFonts w:ascii="Times New Roman" w:hAnsi="Times New Roman" w:cs="Times New Roman"/>
          <w:sz w:val="24"/>
          <w:szCs w:val="24"/>
          <w:u w:color="7D7D7D"/>
          <w:lang w:val="en-GB"/>
        </w:rPr>
        <w:t xml:space="preserve">is </w:t>
      </w:r>
      <w:r w:rsidR="008A1D03" w:rsidRPr="005A28F5">
        <w:rPr>
          <w:rFonts w:ascii="Times New Roman" w:hAnsi="Times New Roman" w:cs="Times New Roman"/>
          <w:sz w:val="24"/>
          <w:szCs w:val="24"/>
          <w:u w:color="7D7D7D"/>
          <w:lang w:val="en-GB"/>
        </w:rPr>
        <w:t xml:space="preserve">required to </w:t>
      </w:r>
      <w:r w:rsidR="00035030" w:rsidRPr="005A28F5">
        <w:rPr>
          <w:rFonts w:ascii="Times New Roman" w:hAnsi="Times New Roman" w:cs="Times New Roman"/>
          <w:sz w:val="24"/>
          <w:szCs w:val="24"/>
          <w:u w:color="7D7D7D"/>
          <w:lang w:val="en-GB"/>
        </w:rPr>
        <w:t xml:space="preserve">determine the </w:t>
      </w:r>
      <w:r w:rsidR="00B47CA9" w:rsidRPr="005A28F5">
        <w:rPr>
          <w:rFonts w:ascii="Times New Roman" w:hAnsi="Times New Roman" w:cs="Times New Roman"/>
          <w:sz w:val="24"/>
          <w:szCs w:val="24"/>
          <w:u w:color="7D7D7D"/>
          <w:lang w:val="en-GB"/>
        </w:rPr>
        <w:t>relationship</w:t>
      </w:r>
      <w:r w:rsidR="001342BE" w:rsidRPr="005A28F5">
        <w:rPr>
          <w:rFonts w:ascii="Times New Roman" w:hAnsi="Times New Roman" w:cs="Times New Roman"/>
          <w:sz w:val="24"/>
          <w:szCs w:val="24"/>
          <w:u w:color="7D7D7D"/>
          <w:lang w:val="en-GB"/>
        </w:rPr>
        <w:t xml:space="preserve"> between the identified </w:t>
      </w:r>
      <w:r w:rsidR="00D05C5E" w:rsidRPr="005A28F5">
        <w:rPr>
          <w:rFonts w:ascii="Times New Roman" w:hAnsi="Times New Roman" w:cs="Times New Roman"/>
          <w:sz w:val="24"/>
          <w:szCs w:val="24"/>
          <w:u w:color="7D7D7D"/>
          <w:lang w:val="en-GB"/>
        </w:rPr>
        <w:t xml:space="preserve">intervention associated </w:t>
      </w:r>
      <w:r w:rsidR="00045F31" w:rsidRPr="005A28F5">
        <w:rPr>
          <w:rFonts w:ascii="Times New Roman" w:hAnsi="Times New Roman" w:cs="Times New Roman"/>
          <w:sz w:val="24"/>
          <w:szCs w:val="24"/>
          <w:u w:color="7D7D7D"/>
          <w:lang w:val="en-GB"/>
        </w:rPr>
        <w:t>DMPs/DMRs</w:t>
      </w:r>
      <w:r w:rsidR="001342BE" w:rsidRPr="005A28F5">
        <w:rPr>
          <w:rFonts w:ascii="Times New Roman" w:hAnsi="Times New Roman" w:cs="Times New Roman"/>
          <w:sz w:val="24"/>
          <w:szCs w:val="24"/>
          <w:u w:color="7D7D7D"/>
          <w:lang w:val="en-GB"/>
        </w:rPr>
        <w:t xml:space="preserve"> and gene expression. </w:t>
      </w:r>
    </w:p>
    <w:p w14:paraId="5BB5392C" w14:textId="77777777" w:rsidR="00E01BB2" w:rsidRPr="005A28F5" w:rsidRDefault="00E01BB2" w:rsidP="001A64D3">
      <w:pPr>
        <w:pStyle w:val="BodyA"/>
        <w:spacing w:line="360" w:lineRule="auto"/>
        <w:rPr>
          <w:rFonts w:ascii="Times New Roman" w:eastAsia="Cambria" w:hAnsi="Times New Roman" w:cs="Times New Roman"/>
          <w:sz w:val="24"/>
          <w:szCs w:val="24"/>
          <w:u w:color="7D7D7D"/>
          <w:lang w:val="en-GB"/>
        </w:rPr>
      </w:pPr>
    </w:p>
    <w:p w14:paraId="525F2373" w14:textId="6896D922" w:rsidR="00E01BB2" w:rsidRPr="005A28F5" w:rsidRDefault="003E58A5" w:rsidP="001A64D3">
      <w:pPr>
        <w:pStyle w:val="BodyA"/>
        <w:spacing w:line="360" w:lineRule="auto"/>
        <w:outlineLvl w:val="0"/>
        <w:rPr>
          <w:rFonts w:ascii="Times New Roman" w:eastAsia="Cambria" w:hAnsi="Times New Roman" w:cs="Times New Roman"/>
          <w:sz w:val="24"/>
          <w:szCs w:val="24"/>
          <w:u w:color="808080"/>
          <w:lang w:val="en-GB"/>
        </w:rPr>
      </w:pPr>
      <w:r w:rsidRPr="005A28F5">
        <w:rPr>
          <w:rFonts w:ascii="Times New Roman" w:hAnsi="Times New Roman" w:cs="Times New Roman"/>
          <w:sz w:val="24"/>
          <w:szCs w:val="24"/>
          <w:u w:color="7D7D7D"/>
          <w:lang w:val="en-GB"/>
        </w:rPr>
        <w:t>The e</w:t>
      </w:r>
      <w:r w:rsidR="00BC3B0C" w:rsidRPr="005A28F5">
        <w:rPr>
          <w:rFonts w:ascii="Times New Roman" w:hAnsi="Times New Roman" w:cs="Times New Roman"/>
          <w:sz w:val="24"/>
          <w:szCs w:val="24"/>
          <w:u w:color="7D7D7D"/>
          <w:lang w:val="en-GB"/>
        </w:rPr>
        <w:t>ndothelial cell specific molecule 1</w:t>
      </w:r>
      <w:r w:rsidR="00202F31" w:rsidRPr="005A28F5">
        <w:rPr>
          <w:rFonts w:ascii="Times New Roman" w:hAnsi="Times New Roman" w:cs="Times New Roman"/>
          <w:sz w:val="24"/>
          <w:szCs w:val="24"/>
          <w:u w:color="7D7D7D"/>
          <w:lang w:val="en-GB"/>
        </w:rPr>
        <w:t xml:space="preserve"> </w:t>
      </w:r>
      <w:r w:rsidR="00BC3B0C" w:rsidRPr="005A28F5">
        <w:rPr>
          <w:rFonts w:ascii="Times New Roman" w:hAnsi="Times New Roman" w:cs="Times New Roman"/>
          <w:sz w:val="24"/>
          <w:szCs w:val="24"/>
          <w:u w:color="7D7D7D"/>
          <w:lang w:val="en-GB"/>
        </w:rPr>
        <w:t>(</w:t>
      </w:r>
      <w:r w:rsidR="00BC3B0C" w:rsidRPr="005A28F5">
        <w:rPr>
          <w:rFonts w:ascii="Times New Roman" w:hAnsi="Times New Roman" w:cs="Times New Roman"/>
          <w:i/>
          <w:sz w:val="24"/>
          <w:szCs w:val="24"/>
          <w:u w:color="7D7D7D"/>
          <w:lang w:val="en-GB"/>
        </w:rPr>
        <w:t>ESM1</w:t>
      </w:r>
      <w:r w:rsidR="008D6488" w:rsidRPr="005A28F5">
        <w:rPr>
          <w:rFonts w:ascii="Times New Roman" w:hAnsi="Times New Roman" w:cs="Times New Roman"/>
          <w:i/>
          <w:sz w:val="24"/>
          <w:szCs w:val="24"/>
          <w:u w:color="7D7D7D"/>
          <w:lang w:val="en-GB"/>
        </w:rPr>
        <w:t xml:space="preserve"> </w:t>
      </w:r>
      <w:r w:rsidR="008D6488" w:rsidRPr="005A28F5">
        <w:rPr>
          <w:rFonts w:ascii="Times New Roman" w:hAnsi="Times New Roman" w:cs="Times New Roman"/>
          <w:sz w:val="24"/>
          <w:szCs w:val="24"/>
          <w:u w:color="7D7D7D"/>
          <w:lang w:val="en-GB"/>
        </w:rPr>
        <w:t>or endocan</w:t>
      </w:r>
      <w:r w:rsidR="00BC3B0C" w:rsidRPr="005A28F5">
        <w:rPr>
          <w:rFonts w:ascii="Times New Roman" w:hAnsi="Times New Roman" w:cs="Times New Roman"/>
          <w:sz w:val="24"/>
          <w:szCs w:val="24"/>
          <w:u w:color="7D7D7D"/>
          <w:lang w:val="en-GB"/>
        </w:rPr>
        <w:t xml:space="preserve">) </w:t>
      </w:r>
      <w:r w:rsidRPr="005A28F5">
        <w:rPr>
          <w:rFonts w:ascii="Times New Roman" w:hAnsi="Times New Roman" w:cs="Times New Roman"/>
          <w:sz w:val="24"/>
          <w:szCs w:val="24"/>
          <w:u w:color="7D7D7D"/>
          <w:lang w:val="en-GB"/>
        </w:rPr>
        <w:t>gene encodes a</w:t>
      </w:r>
      <w:r w:rsidR="00BC3B0C" w:rsidRPr="005A28F5">
        <w:rPr>
          <w:rFonts w:ascii="Times New Roman" w:hAnsi="Times New Roman" w:cs="Times New Roman"/>
          <w:sz w:val="24"/>
          <w:szCs w:val="24"/>
          <w:u w:color="7D7D7D"/>
          <w:lang w:val="en-GB"/>
        </w:rPr>
        <w:t xml:space="preserve"> proteoglycan secreted by endothelial cells and preferentially expressed in lung and kidney. Molecular functions</w:t>
      </w:r>
      <w:r w:rsidRPr="005A28F5">
        <w:rPr>
          <w:rFonts w:ascii="Times New Roman" w:hAnsi="Times New Roman" w:cs="Times New Roman"/>
          <w:sz w:val="24"/>
          <w:szCs w:val="24"/>
          <w:u w:color="7D7D7D"/>
          <w:lang w:val="en-GB"/>
        </w:rPr>
        <w:t xml:space="preserve"> of the protein</w:t>
      </w:r>
      <w:r w:rsidR="00BC3B0C" w:rsidRPr="005A28F5">
        <w:rPr>
          <w:rFonts w:ascii="Times New Roman" w:hAnsi="Times New Roman" w:cs="Times New Roman"/>
          <w:sz w:val="24"/>
          <w:szCs w:val="24"/>
          <w:u w:color="7D7D7D"/>
          <w:lang w:val="en-GB"/>
        </w:rPr>
        <w:t xml:space="preserve"> include hepatocyte growth receptor binding and insulin-like growth factor binding, and associated biological functions include angiogenesis and regulation of cell growth</w:t>
      </w:r>
      <w:r w:rsidR="001A6D0A" w:rsidRPr="005A28F5">
        <w:rPr>
          <w:rFonts w:ascii="Times New Roman" w:hAnsi="Times New Roman" w:cs="Times New Roman"/>
          <w:sz w:val="24"/>
          <w:szCs w:val="24"/>
          <w:u w:color="7D7D7D"/>
          <w:lang w:val="en-GB"/>
        </w:rPr>
        <w:t xml:space="preserve"> </w:t>
      </w:r>
      <w:r w:rsidR="00925443" w:rsidRPr="005A28F5">
        <w:rPr>
          <w:rFonts w:ascii="Times New Roman" w:hAnsi="Times New Roman" w:cs="Times New Roman"/>
          <w:sz w:val="24"/>
          <w:szCs w:val="24"/>
          <w:u w:color="7D7D7D"/>
          <w:lang w:val="en-GB"/>
        </w:rPr>
        <w:fldChar w:fldCharType="begin" w:fldLock="1"/>
      </w:r>
      <w:r w:rsidR="000C3130">
        <w:rPr>
          <w:rFonts w:ascii="Times New Roman" w:hAnsi="Times New Roman" w:cs="Times New Roman"/>
          <w:sz w:val="24"/>
          <w:szCs w:val="24"/>
          <w:u w:color="7D7D7D"/>
          <w:lang w:val="en-GB"/>
        </w:rPr>
        <w:instrText>ADDIN CSL_CITATION {"citationItems":[{"id":"ITEM-1","itemData":{"author":[{"dropping-particle":"","family":"The UniProt Consortium","given":"","non-dropping-particle":"","parse-names":false,"suffix":""}],"id":"ITEM-1","issued":{"date-parts":[["0"]]},"title":"UniProtKB - Q9NQ30 (ESM1_HUMAN)","type":"webpage"},"uris":["http://www.mendeley.com/documents/?uuid=1cecc8cd-acc4-4aa8-acc1-400eb4d9f66f"]}],"mendeley":{"formattedCitation":"(49)","plainTextFormattedCitation":"(49)","previouslyFormattedCitation":"(49)"},"properties":{"noteIndex":0},"schema":"https://github.com/citation-style-language/schema/raw/master/csl-citation.json"}</w:instrText>
      </w:r>
      <w:r w:rsidR="00925443" w:rsidRPr="005A28F5">
        <w:rPr>
          <w:rFonts w:ascii="Times New Roman" w:hAnsi="Times New Roman" w:cs="Times New Roman"/>
          <w:sz w:val="24"/>
          <w:szCs w:val="24"/>
          <w:u w:color="7D7D7D"/>
          <w:lang w:val="en-GB"/>
        </w:rPr>
        <w:fldChar w:fldCharType="separate"/>
      </w:r>
      <w:r w:rsidR="002A7D5D" w:rsidRPr="002A7D5D">
        <w:rPr>
          <w:rFonts w:ascii="Times New Roman" w:hAnsi="Times New Roman" w:cs="Times New Roman"/>
          <w:noProof/>
          <w:sz w:val="24"/>
          <w:szCs w:val="24"/>
          <w:u w:color="7D7D7D"/>
          <w:lang w:val="en-GB"/>
        </w:rPr>
        <w:t>(49)</w:t>
      </w:r>
      <w:r w:rsidR="00925443" w:rsidRPr="005A28F5">
        <w:rPr>
          <w:rFonts w:ascii="Times New Roman" w:hAnsi="Times New Roman" w:cs="Times New Roman"/>
          <w:sz w:val="24"/>
          <w:szCs w:val="24"/>
          <w:u w:color="7D7D7D"/>
          <w:lang w:val="en-GB"/>
        </w:rPr>
        <w:fldChar w:fldCharType="end"/>
      </w:r>
      <w:r w:rsidR="00BC3B0C" w:rsidRPr="005A28F5">
        <w:rPr>
          <w:rFonts w:ascii="Times New Roman" w:hAnsi="Times New Roman" w:cs="Times New Roman"/>
          <w:sz w:val="24"/>
          <w:szCs w:val="24"/>
          <w:u w:color="7D7D7D"/>
          <w:lang w:val="en-GB"/>
        </w:rPr>
        <w:t>. Several studies have demonstrated a link between</w:t>
      </w:r>
      <w:r w:rsidR="0041412A" w:rsidRPr="005A28F5">
        <w:rPr>
          <w:rFonts w:ascii="Times New Roman" w:hAnsi="Times New Roman" w:cs="Times New Roman"/>
          <w:sz w:val="24"/>
          <w:szCs w:val="24"/>
          <w:u w:color="7D7D7D"/>
          <w:lang w:val="en-GB"/>
        </w:rPr>
        <w:t xml:space="preserve"> </w:t>
      </w:r>
      <w:r w:rsidR="008D6488" w:rsidRPr="005A28F5">
        <w:rPr>
          <w:rFonts w:ascii="Times New Roman" w:hAnsi="Times New Roman" w:cs="Times New Roman"/>
          <w:sz w:val="24"/>
          <w:szCs w:val="24"/>
          <w:u w:color="7D7D7D"/>
          <w:lang w:val="en-GB"/>
        </w:rPr>
        <w:t xml:space="preserve">serum levels </w:t>
      </w:r>
      <w:r w:rsidR="00BE58C7" w:rsidRPr="005A28F5">
        <w:rPr>
          <w:rFonts w:ascii="Times New Roman" w:hAnsi="Times New Roman" w:cs="Times New Roman"/>
          <w:sz w:val="24"/>
          <w:szCs w:val="24"/>
          <w:u w:color="7D7D7D"/>
          <w:lang w:val="en-GB"/>
        </w:rPr>
        <w:t xml:space="preserve">of </w:t>
      </w:r>
      <w:r w:rsidR="0041412A" w:rsidRPr="005A28F5">
        <w:rPr>
          <w:rFonts w:ascii="Times New Roman" w:hAnsi="Times New Roman" w:cs="Times New Roman"/>
          <w:i/>
          <w:sz w:val="24"/>
          <w:szCs w:val="24"/>
          <w:u w:color="7D7D7D"/>
          <w:lang w:val="en-GB"/>
        </w:rPr>
        <w:t>ESM1</w:t>
      </w:r>
      <w:r w:rsidR="00BC3B0C" w:rsidRPr="005A28F5">
        <w:rPr>
          <w:rFonts w:ascii="Times New Roman" w:hAnsi="Times New Roman" w:cs="Times New Roman"/>
          <w:sz w:val="24"/>
          <w:szCs w:val="24"/>
          <w:u w:color="7D7D7D"/>
          <w:lang w:val="en-GB"/>
        </w:rPr>
        <w:t xml:space="preserve"> and </w:t>
      </w:r>
      <w:r w:rsidR="00BC3B0C" w:rsidRPr="005A28F5">
        <w:rPr>
          <w:rFonts w:ascii="Times New Roman" w:hAnsi="Times New Roman" w:cs="Times New Roman"/>
          <w:sz w:val="24"/>
          <w:szCs w:val="24"/>
          <w:u w:color="7D7D7D"/>
          <w:lang w:val="en-GB"/>
        </w:rPr>
        <w:lastRenderedPageBreak/>
        <w:t xml:space="preserve">hypertension and cardiovascular disease </w:t>
      </w:r>
      <w:r w:rsidR="008F741E"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{"citationItems":[{"id":"ITEM-1","itemData":{"DOI":"10.1177/0003319717736158","ISSN":"0003-3197","abstract":"Introduction and Aims: Hypertension is an important risk factor for cardiovascular mortality. Endothelial dysfunction plays an important role in its multifactorial pathophysiology. Endocan, human endothelial cell-specific molecule, which is expressed by the vascular endothelium may play role in endothelium-dependent inflammatory process leading to the development of hypertension. The aim of the study was to estimate endocan concentration in 121 patients with primary hypertension and proper renal function as also in healthy individuals from the control group and to estimate endocan levels in subgroups with proper blood pressure control and without. Methods: The endocan concentration was estimated in 121 hypertensive patients (median age 56 min-19, max-85). The medical history, office blood pressure measurements, 24 hour ambulatory blood pressure measurement (ABPM), laboratory tests and the echocardiography were taken, the medical therapy was analysed. The correlation between endocan levels and catecholamine concentration in blood, blood pressure control, type of pharmacological therapy and medical history were analysed. Results: The median endocan concentration in the whole study group was 1.91 ng/ ml. The median endocan level was significantly higher in hypertensive patients than in control group (Me=2.02 ng/ml vs Me=1.09 ng/ml, p=0.0001). The median office blood pressure in hypertensive patients was 145.5/86 mmHg and was significantly higher than the median home blood pressure measurements, which was 135/80 mmHg, p&lt;0.05. Endocan was higher in patients without proper blood pressure control in ambulatory measurements (Me=2.28ng/ml vs Me=1.91ng/ml, p=0.021). There were no statistically significant differences between endocan level and office blood pressure measurements. Negative correlation was observed between endocan level and BMI (r=-0.19, p=0.046). Conclusions: Endocan, as indicator of the endothelium dysfunction could be a predictor of cardiovascular events. Higher endocan concentration in patients with primary hypertension than in control group as also higher endocan levels in subgroup with inadequate blood pressure control in ambulatory measurements need further studies to find out the exact role of endocan in pathogenesis and treatment of primary hypertension.","author":[{"dropping-particle":"","family":"Musialowska","given":"Dominika","non-dropping-particle":"","parse-names":false,"suffix":""},{"dropping-particle":"","family":"Zbroch","given":"Edyta","non-dropping-particle":"","parse-names":false,"suffix":""},{"dropping-particle":"","family":"Koc-Zorawska","given":"Ewa","non-dropping-particle":"","parse-names":false,"suffix":""},{"dropping-particle":"","family":"Musialowski","given":"Piotr","non-dropping-particle":"","parse-names":false,"suffix":""},{"dropping-particle":"","family":"Malyszko","given":"Jolanta","non-dropping-particle":"","parse-names":false,"suffix":""}],"container-title":"Angiology","id":"ITEM-1","issue":"6","issued":{"date-parts":[["2018","7"]]},"page":"483-489","title":"Endocan Concentration in Patients With Primary Hypertension","type":"article-journal","volume":"69"},"uris":["http://www.mendeley.com/documents/?uuid=36f6d61d-6090-42e3-bfc1-8a29a1d8a2ad"]}],"mendeley":{"formattedCitation":"(50)","plainTextFormattedCitation":"(50)","previouslyFormattedCitation":"(50)"},"properties":{"noteIndex":0},"schema":"https://github.com/citation-style-language/schema/raw/master/csl-citation.json"}</w:instrText>
      </w:r>
      <w:r w:rsidR="008F741E"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(50)</w:t>
      </w:r>
      <w:r w:rsidR="008F741E"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as well as renal damage </w:t>
      </w:r>
      <w:r w:rsidR="008F741E"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{"citationItems":[{"id":"ITEM-1","itemData":{"DOI":"10.1016/j.mehy.2016.12.008","ISSN":"03069877","PMID":"28110693","abstract":"AKI, a serious, common and occasionally under-recognized condition, which is a significant contributor to the growing incidence of CKD and end-stage renal disease (ESRD). To date, the diagnosis of AKI is made by serial measurement of Cr and BUN which are late and imprecise markers of kidney injury. “Calprotectin” and “endocan” are two biomarkers that could reflect renal tubular injury and glomerular/endothelial-vascular damage, respectively. Measurement of urinary calprotectin could help the physicians to diagnose tubular degradation and differentiate prerenal AKI from intrinsic AKI. Serum level of endocan could signify endothelial damage. Herein it is hypothesized that calprotectin and endocan may help the clinicians to diagnose intrinsic AKI, earlier than rise of serum creatinine, differentiate AKI from acute presentation of CKD and also discriminate tubular injury from glomerular/vascular-endothelial injury, assess the prognosis and extent of renal damage and plan for appropriate therapy which may render these biomarkers as potentially applicable equivalents of Troponin in the field of nephrology.","author":[{"dropping-particle":"","family":"Azimi","given":"Arsalan","non-dropping-particle":"","parse-names":false,"suffix":""}],"container-title":"Medical Hypotheses","id":"ITEM-1","issued":{"date-parts":[["2017","2"]]},"page":"29-34","title":"Could “calprotectin” and “endocan” serve as “Troponin of Nephrologists”?","type":"article-journal","volume":"99"},"uris":["http://www.mendeley.com/documents/?uuid=a99ca883-f2c2-42da-8f20-05243a3642ba"]}],"mendeley":{"formattedCitation":"(51)","plainTextFormattedCitation":"(51)","previouslyFormattedCitation":"(51)"},"properties":{"noteIndex":0},"schema":"https://github.com/citation-style-language/schema/raw/master/csl-citation.json"}</w:instrText>
      </w:r>
      <w:r w:rsidR="008F741E"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(51)</w:t>
      </w:r>
      <w:r w:rsidR="008F741E"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suggesting it may have clinical utility as an inflammatory biomarker </w:t>
      </w:r>
      <w:r w:rsidR="008F741E"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{"citationItems":[{"id":"ITEM-1","itemData":{"DOI":"10.1016/j.atherosclerosis.2015.09.030","ISSN":"00219150","PMID":"26448266","abstract":"Endothelial dysfunction is considered as an early change in atherogenesis. Raised levels of systemic inflammatory markers are associated with cardiovascular disease (CVD). Endocan (previously known as endothelial cell specific molecule-1, ESM-1), is a potential immunoinflammatory marker that may be linked to CVD. Endocan is released by vascular endothelial cells in several organs. Endocan may play an important role in regulating cell adhesion and raised plasma levels may reflect endothelial dysfunction. Endocan levels are elevated in conditions such as chronic kidney disease, renal transplant rejection, tumor progression and hypertension. Endocan is a potential inflammatory and CVD marker. Further studies are needed to assess the relevance of endocan in clinical practice.","author":[{"dropping-particle":"","family":"Balta","given":"Sevket","non-dropping-particle":"","parse-names":false,"suffix":""},{"dropping-particle":"","family":"Mikhailidis","given":"Dimitri P.","non-dropping-particle":"","parse-names":false,"suffix":""},{"dropping-particle":"","family":"Demirkol","given":"Sait","non-dropping-particle":"","parse-names":false,"suffix":""},{"dropping-particle":"","family":"Ozturk","given":"Cengiz","non-dropping-particle":"","parse-names":false,"suffix":""},{"dropping-particle":"","family":"Celik","given":"Turgay","non-dropping-particle":"","parse-names":false,"suffix":""},{"dropping-particle":"","family":"Iyisoy","given":"Atila","non-dropping-particle":"","parse-names":false,"suffix":""}],"container-title":"Atherosclerosis","id":"ITEM-1","issue":"1","issued":{"date-parts":[["2015","11"]]},"page":"339-343","title":"Endocan: A novel inflammatory indicator in cardiovascular disease?","type":"article-journal","volume":"243"},"uris":["http://www.mendeley.com/documents/?uuid=0352ff7d-2ac3-4cc4-abce-838153990814"]},{"id":"ITEM-2","itemData":{"DOI":"10.1016/j.mehy.2016.12.008","ISSN":"03069877","PMID":"28110693","abstract":"AKI, a serious, common and occasionally under-recognized condition, which is a significant contributor to the growing incidence of CKD and end-stage renal disease (ESRD). To date, the diagnosis of AKI is made by serial measurement of Cr and BUN which are late and imprecise markers of kidney injury. “Calprotectin” and “endocan” are two biomarkers that could reflect renal tubular injury and glomerular/endothelial-vascular damage, respectively. Measurement of urinary calprotectin could help the physicians to diagnose tubular degradation and differentiate prerenal AKI from intrinsic AKI. Serum level of endocan could signify endothelial damage. Herein it is hypothesized that calprotectin and endocan may help the clinicians to diagnose intrinsic AKI, earlier than rise of serum creatinine, differentiate AKI from acute presentation of CKD and also discriminate tubular injury from glomerular/vascular-endothelial injury, assess the prognosis and extent of renal damage and plan for appropriate therapy which may render these biomarkers as potentially applicable equivalents of Troponin in the field of nephrology.","author":[{"dropping-particle":"","family":"Azimi","given":"Arsalan","non-dropping-particle":"","parse-names":false,"suffix":""}],"container-title":"Medical Hypotheses","id":"ITEM-2","issued":{"date-parts":[["2017","2"]]},"page":"29-34","title":"Could “calprotectin” and “endocan” serve as “Troponin of Nephrologists”?","type":"article-journal","volume":"99"},"uris":["http://www.mendeley.com/documents/?uuid=a99ca883-f2c2-42da-8f20-05243a3642ba"]},{"id":"ITEM-3","itemData":{"DOI":"10.1177/0003319717736158","ISSN":"0003-3197","abstract":"Introduction and Aims: Hypertension is an important risk factor for cardiovascular mortality. Endothelial dysfunction plays an important role in its multifactorial pathophysiology. Endocan, human endothelial cell-specific molecule, which is expressed by the vascular endothelium may play role in endothelium-dependent inflammatory process leading to the development of hypertension. The aim of the study was to estimate endocan concentration in 121 patients with primary hypertension and proper renal function as also in healthy individuals from the control group and to estimate endocan levels in subgroups with proper blood pressure control and without. Methods: The endocan concentration was estimated in 121 hypertensive patients (median age 56 min-19, max-85). The medical history, office blood pressure measurements, 24 hour ambulatory blood pressure measurement (ABPM), laboratory tests and the echocardiography were taken, the medical therapy was analysed. The correlation between endocan levels and catecholamine concentration in blood, blood pressure control, type of pharmacological therapy and medical history were analysed. Results: The median endocan concentration in the whole study group was 1.91 ng/ ml. The median endocan level was significantly higher in hypertensive patients than in control group (Me=2.02 ng/ml vs Me=1.09 ng/ml, p=0.0001). The median office blood pressure in hypertensive patients was 145.5/86 mmHg and was significantly higher than the median home blood pressure measurements, which was 135/80 mmHg, p&lt;0.05. Endocan was higher in patients without proper blood pressure control in ambulatory measurements (Me=2.28ng/ml vs Me=1.91ng/ml, p=0.021). There were no statistically significant differences between endocan level and office blood pressure measurements. Negative correlation was observed between endocan level and BMI (r=-0.19, p=0.046). Conclusions: Endocan, as indicator of the endothelium dysfunction could be a predictor of cardiovascular events. Higher endocan concentration in patients with primary hypertension than in control group as also higher endocan levels in subgroup with inadequate blood pressure control in ambulatory measurements need further studies to find out the exact role of endocan in pathogenesis and treatment of primary hypertension.","author":[{"dropping-particle":"","family":"Musialowska","given":"Dominika","non-dropping-particle":"","parse-names":false,"suffix":""},{"dropping-particle":"","family":"Zbroch","given":"Edyta","non-dropping-particle":"","parse-names":false,"suffix":""},{"dropping-particle":"","family":"Koc-Zorawska","given":"Ewa","non-dropping-particle":"","parse-names":false,"suffix":""},{"dropping-particle":"","family":"Musialowski","given":"Piotr","non-dropping-particle":"","parse-names":false,"suffix":""},{"dropping-particle":"","family":"Malyszko","given":"Jolanta","non-dropping-particle":"","parse-names":false,"suffix":""}],"container-title":"Angiology","id":"ITEM-3","issue":"6","issued":{"date-parts":[["2018","7"]]},"page":"483-489","title":"Endocan Concentration in Patients With Primary Hypertension","type":"article-journal","volume":"69"},"uris":["http://www.mendeley.com/documents/?uuid=36f6d61d-6090-42e3-bfc1-8a29a1d8a2ad"]}],"mendeley":{"formattedCitation":"(50–52)","plainTextFormattedCitation":"(50–52)","previouslyFormattedCitation":"(50–52)"},"properties":{"noteIndex":0},"schema":"https://github.com/citation-style-language/schema/raw/master/csl-citation.json"}</w:instrText>
      </w:r>
      <w:r w:rsidR="008F741E"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(50–52)</w:t>
      </w:r>
      <w:r w:rsidR="008F741E"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This gene has also been linked to obesity </w:t>
      </w:r>
      <w:r w:rsidR="008F741E"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author":[{"dropping-particle":"","family":"Janke","given":"J","non-dropping-particle":"","parse-names":false,"suffix":""},{"dropping-particle":"","family":"Engeli","given":"S","non-dropping-particle":"","parse-names":false,"suffix":""},{"dropping-particle":"","family":"Gorzelniak","given":"K","non-dropping-particle":"","parse-names":false,"suffix":""},{"dropping-particle":"","family":"Feldpausch","given":"M","non-dropping-particle":"","parse-names":false,"suffix":""},{"dropping-particle":"","family":"Heintze","given":"U","non-dropping-particle":"","parse-names":false,"suffix":""},{"dropping-particle":"","family":"Böhnke","given":"J","non-dropping-particle":"","parse-names":false,"suffix":""},{"dropping-particle":"","family":"Wellner","given":"M","non-dropping-particle":"","parse-names":false,"suffix":""},{"dropping-particle":"","family":"Herse","given":"F","non-dropping-particle":"","parse-names":false,"suffix":""},{"dropping-particle":"","family":"Lassalle","given":"P","non-dropping-particle":"","parse-names":false,"suffix":""},{"dropping-particle":"","family":"Luft","given":"F C","non-dropping-particle":"","parse-names":false,"suffix":""},{"dropping-particle":"","family":"others","given":"","non-dropping-particle":"","parse-names":false,"suffix":""}],"container-title":"Hormone and metabolic research","id":"ITEM-1","issue":"01","issued":{"date-parts":[["2006"]]},"page":"28-33","publisher":"{\\copyright} Georg Thieme Verlag KG Stuttgart·New York","title":"Adipose tissue and circulating endothelial cell specific molecule-1 in human obesity","type":"article-journal","volume":"38"},"uris":["http://www.mendeley.com/documents/?uuid=c9402de7-12ce-4c85-9fee-dab6ba3234ff"]}],"mendeley":{"formattedCitation":"(53)","plainTextFormattedCitation":"(53)","previouslyFormattedCitation":"(53)"},"properties":{"noteIndex":0},"schema":"https://github.com/citation-style-language/schema/raw/master/csl-citation.json"}</w:instrText>
      </w:r>
      <w:r w:rsidR="008F741E"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(53)</w:t>
      </w:r>
      <w:r w:rsidR="008F741E"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and diabetes through diabetes-mediated endothelial dysfunction </w:t>
      </w:r>
      <w:r w:rsidR="00176AC0"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{"citationItems":[{"id":"ITEM-1","itemData":{"DOI":"10.1177/1479164115583192","ISBN":"1752-8984 (Electronic) 1479-1641 (Linking)","ISSN":"1479-1641","PMID":"25963575","abstract":"Pro-inflammatory conditions induced by products of protein glycation in diabetes substantially enhance the risk of endothelial dysfunction and related vascular complications. Endothelial cell specific molecule-1 (ESM-1) or endocan has been demonstrated as a potential biomarker in cancer and sepsis. Its role in diabetes-induced pathologies remains unknown. The expression of ESM-1 gene is under cytokine regulation, indicating its role in endothelium-dependent pathological disorders. In this study, we investigated the effect of advanced glycated human serum albumin (AGE-HSA) on the production of ESM-1. We show that AGE-HSA exerts a modulating role on the expression of ESM-1 in human umbilical vein endothelial cells. It up-regulates expression of ESM-1 protein in a dose-dependent manner which correlates with its messenger RNA (mRNA) transcription. RAGE and galectin-3, both AGE receptors, show antagonistic action on its expression. While gene silencing of RAGE has down-regulatory effect, that of galectin-3 has up-regulatory effect on AGE-induced expression of ESM-1. Inhibition of MAPKKK and JNK pathways did not alter the expression. In contrast, phosphatidylinositol 3 kinase (PI3K) inhibition significantly up-regulated ESM-1 expression. In conclusion, these results suggest that AGE-induced activation of human umbilical vein endothelial cells promotes formation of endocan which is an endothelial dysfunction marker and may be related to vascular disease in diabetes.","author":[{"dropping-particle":"","family":"Nirala","given":"Bikesh K.","non-dropping-particle":"","parse-names":false,"suffix":""},{"dropping-particle":"","family":"Perumal","given":"Vivekanandan","non-dropping-particle":"","parse-names":false,"suffix":""},{"dropping-particle":"","family":"Gohil","given":"Nivedita K.","non-dropping-particle":"","parse-names":false,"suffix":""}],"container-title":"Diabetes and Vascular Disease Research","id":"ITEM-1","issue":"4","issued":{"date-parts":[["2015","7"]]},"page":"290-297","title":"Glycated serum albumin stimulates expression of endothelial cell specific molecule-1 in human umbilical vein endothelial cells: Implication in diabetes mediated endothelial dysfunction","type":"article-journal","volume":"12"},"uris":["http://www.mendeley.com/documents/?uuid=7198303b-134b-43d0-a09a-5d0175dd26e7"]}],"mendeley":{"formattedCitation":"(54)","plainTextFormattedCitation":"(54)","previouslyFormattedCitation":"(54)"},"properties":{"noteIndex":0},"schema":"https://github.com/citation-style-language/schema/raw/master/csl-citation.json"}</w:instrText>
      </w:r>
      <w:r w:rsidR="00176AC0"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(54)</w:t>
      </w:r>
      <w:r w:rsidR="00176AC0"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and sub-clinical atherosclerosis in </w:t>
      </w:r>
      <w:r w:rsidR="00F94334" w:rsidRPr="005A28F5">
        <w:rPr>
          <w:rFonts w:ascii="Times New Roman" w:hAnsi="Times New Roman" w:cs="Times New Roman"/>
          <w:sz w:val="24"/>
          <w:szCs w:val="24"/>
          <w:u w:color="7D7D7D"/>
          <w:lang w:val="en-GB"/>
        </w:rPr>
        <w:t>type 2 diabetes</w:t>
      </w:r>
      <w:r w:rsidR="00BC3B0C" w:rsidRPr="005A28F5">
        <w:rPr>
          <w:rFonts w:ascii="Times New Roman" w:hAnsi="Times New Roman" w:cs="Times New Roman"/>
          <w:sz w:val="24"/>
          <w:szCs w:val="24"/>
          <w:u w:color="7D7D7D"/>
          <w:lang w:val="en-GB"/>
        </w:rPr>
        <w:t xml:space="preserve"> patients </w:t>
      </w:r>
      <w:r w:rsidR="00176AC0"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10.1177/1076029616639701","ISSN":"1076-0296","PMID":"27006195","author":[{"dropping-particle":"","family":"Balta","given":"Sevket","non-dropping-particle":"","parse-names":false,"suffix":""},{"dropping-particle":"","family":"Demirkol","given":"Sait","non-dropping-particle":"","parse-names":false,"suffix":""},{"dropping-particle":"","family":"Ozturk","given":"Cengiz","non-dropping-particle":"","parse-names":false,"suffix":""},{"dropping-particle":"","family":"Yildirim","given":"Ali Osman","non-dropping-particle":"","parse-names":false,"suffix":""},{"dropping-particle":"","family":"Demir","given":"Mustafa","non-dropping-particle":"","parse-names":false,"suffix":""},{"dropping-particle":"","family":"Celik","given":"Turgay","non-dropping-particle":"","parse-names":false,"suffix":""}],"container-title":"Clinical and Applied Thrombosis/Hemostasis","id":"ITEM-1","issue":"5","issued":{"date-parts":[["2016","7"]]},"page":"495-496","title":"The Relation Between Endocan Levels and Subclinic Atherosclerosis","type":"article-journal","volume":"22"},"uris":["http://www.mendeley.com/documents/?uuid=363a3c61-68d5-4992-bdd2-3c66f1c50ee5"]}],"mendeley":{"formattedCitation":"(55)","plainTextFormattedCitation":"(55)","previouslyFormattedCitation":"(55)"},"properties":{"noteIndex":0},"schema":"https://github.com/citation-style-language/schema/raw/master/csl-citation.json"}</w:instrText>
      </w:r>
      <w:r w:rsidR="00176AC0"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(55)</w:t>
      </w:r>
      <w:r w:rsidR="00176AC0"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Perhaps most pertinent to the present study, </w:t>
      </w:r>
      <w:r w:rsidR="00BC3B0C" w:rsidRPr="005A28F5">
        <w:rPr>
          <w:rFonts w:ascii="Times New Roman" w:hAnsi="Times New Roman" w:cs="Times New Roman"/>
          <w:i/>
          <w:sz w:val="24"/>
          <w:szCs w:val="24"/>
          <w:u w:color="7D7D7D"/>
          <w:lang w:val="en-GB"/>
        </w:rPr>
        <w:t>ESM1</w:t>
      </w:r>
      <w:r w:rsidR="00BC3B0C" w:rsidRPr="005A28F5">
        <w:rPr>
          <w:rFonts w:ascii="Times New Roman" w:hAnsi="Times New Roman" w:cs="Times New Roman"/>
          <w:sz w:val="24"/>
          <w:szCs w:val="24"/>
          <w:u w:color="7D7D7D"/>
          <w:lang w:val="en-GB"/>
        </w:rPr>
        <w:t xml:space="preserve"> has been associated with both maternal and neonatal factors including gestational diabetes </w:t>
      </w:r>
      <w:r w:rsidR="00E175ED" w:rsidRPr="005A28F5">
        <w:rPr>
          <w:rFonts w:ascii="Times New Roman" w:hAnsi="Times New Roman" w:cs="Times New Roman"/>
          <w:sz w:val="24"/>
          <w:szCs w:val="24"/>
          <w:u w:color="7D7D7D"/>
          <w:lang w:val="en-GB"/>
        </w:rPr>
        <w:t xml:space="preserve">mellitus </w:t>
      </w:r>
      <w:r w:rsidR="00EF05E4" w:rsidRPr="005A28F5">
        <w:rPr>
          <w:rFonts w:ascii="Times New Roman" w:hAnsi="Times New Roman" w:cs="Times New Roman"/>
          <w:sz w:val="24"/>
          <w:szCs w:val="24"/>
          <w:u w:color="7D7D7D"/>
          <w:lang w:val="en-GB"/>
        </w:rPr>
        <w:t xml:space="preserve">(GDM) </w:t>
      </w:r>
      <w:r w:rsidR="00176AC0"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{"citationItems":[{"id":"ITEM-1","itemData":{"DOI":"10.1172/jci.insight.122572","ISSN":"2379-3708","PMID":"30185669","abstract":"Offspring of women with gestational diabetes mellitus (GDM) are at increased risk of developing metabolic disease, potentially mediated by epigenetic mechanisms. We recruited 608 GDM and 626 control offspring from the Danish National Birth Cohort, aged between 9 and 16 years. DNA methylation profiles were measured in peripheral blood of 93 GDM offspring and 95 controls using the Illumina HumanMethylation450 BeadChip. Pyrosequencing was performed for validation/replication of putative GDM-associated, differentially methylated CpGs in additional 905 offspring (462 GDM, 444 control offspring). We identified 76 differentially methylated CpGs in GDM offspring compared with controls in the discovery cohort (FDR, P &lt; 0.05). Adjusting for offspring BMI did not affect the association between methylation levels and GDM status for any of the 76 CpGs. Most of these epigenetic changes were due to confounding by maternal prepregnancy BMI; however, 13 methylation changes were independently associated with maternal GDM. Three prepregnancy BMI-associated CpGs (cg00992687 and cg09452568 of ESM1 and cg14328641 of MS4A3) were validated in the replication cohort, while cg09109411 (PDE6A) was found to be associated with GDM status. The identified methylation changes may reflect developmental programming of organ disease mechanisms and/or may serve as disease biomarkers.","author":[{"dropping-particle":"","family":"Hjort","given":"Line","non-dropping-particle":"","parse-names":false,"suffix":""},{"dropping-particle":"","family":"Martino","given":"David","non-dropping-particle":"","parse-names":false,"suffix":""},{"dropping-particle":"","family":"Grunnet","given":"Louise Groth","non-dropping-particle":"","parse-names":false,"suffix":""},{"dropping-particle":"","family":"Naeem","given":"Haroon","non-dropping-particle":"","parse-names":false,"suffix":""},{"dropping-particle":"","family":"Maksimovic","given":"Jovana","non-dropping-particle":"","parse-names":false,"suffix":""},{"dropping-particle":"","family":"Olsson","given":"Anders Henrik","non-dropping-particle":"","parse-names":false,"suffix":""},{"dropping-particle":"","family":"Zhang","given":"Cuilin","non-dropping-particle":"","parse-names":false,"suffix":""},{"dropping-particle":"","family":"Ling","given":"Charlotte","non-dropping-particle":"","parse-names":false,"suffix":""},{"dropping-particle":"","family":"Olsen","given":"Sjurdur Frodi","non-dropping-particle":"","parse-names":false,"suffix":""},{"dropping-particle":"","family":"Saffery","given":"Richard","non-dropping-particle":"","parse-names":false,"suffix":""},{"dropping-particle":"","family":"Vaag","given":"Allan Arthur","non-dropping-particle":"","parse-names":false,"suffix":""}],"container-title":"JCI Insight","id":"ITEM-1","issue":"17","issued":{"date-parts":[["2018","9"]]},"publisher":"Am Soc Clin Investig","title":"Gestational diabetes and maternal obesity are associated with epigenome-wide methylation changes in children","type":"article-journal","volume":"3"},"uris":["http://www.mendeley.com/documents/?uuid=cb54e345-a97a-418a-9ec4-6053af45e36e"]}],"mendeley":{"formattedCitation":"(56)","plainTextFormattedCitation":"(56)","previouslyFormattedCitation":"(56)"},"properties":{"noteIndex":0},"schema":"https://github.com/citation-style-language/schema/raw/master/csl-citation.json"}</w:instrText>
      </w:r>
      <w:r w:rsidR="00176AC0"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(56)</w:t>
      </w:r>
      <w:r w:rsidR="00176AC0"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pre-eclampsia </w:t>
      </w:r>
      <w:r w:rsidR="00176AC0"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{"citationItems":[{"id":"ITEM-1","itemData":{"DOI":"10.1016/j.cyto.2015.04.013","ISSN":"10434666","PMID":"25957465","abstract":"Introduction: Endocan-1 has been proposed as a possible biomarker and predictor of vascular endothelial related pathologies. Thus, we hypothesised that Endocan-1 levels would be up-regulated in maternal plasma and placentae from women with pre-eclampsia. The aim of our study was to compare Endocan-1 concentrations in maternal/fetal plasma and placentae from normotensive and pre-eclamptic pregnancies. Methods: Observational and case-controlled study, at the São Lucas Hospital, Brazil. Placental biopsies, maternal/umbilical venous (fetal) plasma were taken from 67 normotensive and 50 pre-eclamptic women. Endocan-1 levels were quantified using MagPlexTH-C and analysed by Analysis of Covariance and Pearson correlation. The null hypothesis was rejected at p&lt;0.05. Results: Higher levels of Endocan-1 were found in maternal plasma in the pre-eclamptic group (mean ratio. =. 1.49; 95% confidence interval: 1.19-1.85, p=. 0.001), with a moderate effect size (Cohen's D=. 0.84). Placental Endocan-1 levels (μg/g) were lower in pre-eclampsia (1.52 [1.10, 2.40] vs. 2.24 [1.32, 3.75], p=. 0.033) and fetal Endocan-1 concentration (ng/ml) did not show any difference between groups (3.10 [2.60, 4.54] vs. 2.91 [2.20, 3.66] p=. 0.085). In addition, an up-regulation of maternal plasma Endocan-1 in the pre-eclamptic group was observed when stratified in relation to gestational age, systolic blood pressure and proteinuria (. p&lt;. 0.05, for all). Furthermore, a positive correlation between Endocan-1 concentration in maternal vs. fetal plasma was also found (. r=. 0.258, p=. 0.015). For the matched samples, a negative correlation between Endocan-1 in maternal/fetal plasma with birthweights, placental weights and gestational age at delivery was observed (. p&lt;. 0.05 for all). Discussion: Endocan-1 is increased in women with pre-eclampsia for all strata, which highlight the importance of this molecule as a possible biomarker. The negative correlations between Endocan-1 and clinical data suggest that this molecule may also be involved with prematurity and low birth weight, which warrants further investigations.","author":[{"dropping-particle":"","family":"Hentschke","given":"Marta Ribeiro","non-dropping-particle":"","parse-names":false,"suffix":""},{"dropping-particle":"","family":"Lucas","given":"Luiza Silveira","non-dropping-particle":"","parse-names":false,"suffix":""},{"dropping-particle":"","family":"Mistry","given":"Hiten D.","non-dropping-particle":"","parse-names":false,"suffix":""},{"dropping-particle":"","family":"Pinheiro da Costa","given":"Bartira E.","non-dropping-particle":"","parse-names":false,"suffix":""},{"dropping-particle":"","family":"Poli-de-Figueiredo","given":"Carlos E.","non-dropping-particle":"","parse-names":false,"suffix":""}],"container-title":"Cytokine","id":"ITEM-1","issue":"1","issued":{"date-parts":[["2015","7"]]},"page":"152-156","title":"Endocan-1 concentrations in maternal and fetal plasma and placentae in pre-eclampsia in the third trimester of pregnancy","type":"article-journal","volume":"74"},"uris":["http://www.mendeley.com/documents/?uuid=1fe4bd2d-722a-446c-9024-494d04fdb3db"]},{"id":"ITEM-2","itemData":{"author":[{"dropping-particle":"","family":"Wang","given":"H Z","non-dropping-particle":"","parse-names":false,"suffix":""},{"dropping-particle":"","family":"Jin","given":"Y","non-dropping-particle":"","parse-names":false,"suffix":""},{"dropping-particle":"","family":"Wang","given":"P","non-dropping-particle":"","parse-names":false,"suffix":""},{"dropping-particle":"","family":"Han","given":"C","non-dropping-particle":"","parse-names":false,"suffix":""},{"dropping-particle":"","family":"Wang","given":"Z P","non-dropping-particle":"","parse-names":false,"suffix":""},{"dropping-particle":"","family":"Dong","given":"M Y","non-dropping-particle":"","parse-names":false,"suffix":""}],"container-title":"Clinical and experimental obstetrics &amp; gynecology","id":"ITEM-2","issue":"3","issued":{"date-parts":[["2017"]]},"page":"419-422","title":"Alteration of serum endocan in normal pregnancy and preeclampsia.","type":"article-journal","volume":"44"},"uris":["http://www.mendeley.com/documents/?uuid=9f840236-c3da-4219-8e99-40fc916980c7"]}],"mendeley":{"formattedCitation":"(57,58)","plainTextFormattedCitation":"(57,58)","previouslyFormattedCitation":"(57,58)"},"properties":{"noteIndex":0},"schema":"https://github.com/citation-style-language/schema/raw/master/csl-citation.json"}</w:instrText>
      </w:r>
      <w:r w:rsidR="00176AC0"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(57,58)</w:t>
      </w:r>
      <w:r w:rsidR="00176AC0"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7D7D7D"/>
          <w:lang w:val="en-GB"/>
        </w:rPr>
        <w:t xml:space="preserve">, and birthweight </w:t>
      </w:r>
      <w:r w:rsidR="00176AC0" w:rsidRPr="005A28F5">
        <w:rPr>
          <w:rStyle w:val="None"/>
          <w:rFonts w:ascii="Times New Roman" w:hAnsi="Times New Roman" w:cs="Times New Roman"/>
          <w:color w:val="000000" w:themeColor="text1"/>
          <w:sz w:val="24"/>
          <w:szCs w:val="24"/>
          <w:u w:color="7D7D7D"/>
          <w:lang w:val="en-GB"/>
        </w:rPr>
        <w:fldChar w:fldCharType="begin" w:fldLock="1"/>
      </w:r>
      <w:r w:rsidR="000C3130">
        <w:rPr>
          <w:rStyle w:val="None"/>
          <w:rFonts w:ascii="Times New Roman" w:hAnsi="Times New Roman" w:cs="Times New Roman"/>
          <w:color w:val="000000" w:themeColor="text1"/>
          <w:sz w:val="24"/>
          <w:szCs w:val="24"/>
          <w:u w:color="7D7D7D"/>
          <w:lang w:val="en-GB"/>
        </w:rPr>
        <w:instrText>ADDIN CSL_CITATION {"citationItems":[{"id":"ITEM-1","itemData":{"DOI":"10.1016/j.cyto.2015.04.013","ISSN":"10434666","PMID":"25957465","abstract":"Introduction: Endocan-1 has been proposed as a possible biomarker and predictor of vascular endothelial related pathologies. Thus, we hypothesised that Endocan-1 levels would be up-regulated in maternal plasma and placentae from women with pre-eclampsia. The aim of our study was to compare Endocan-1 concentrations in maternal/fetal plasma and placentae from normotensive and pre-eclamptic pregnancies. Methods: Observational and case-controlled study, at the São Lucas Hospital, Brazil. Placental biopsies, maternal/umbilical venous (fetal) plasma were taken from 67 normotensive and 50 pre-eclamptic women. Endocan-1 levels were quantified using MagPlexTH-C and analysed by Analysis of Covariance and Pearson correlation. The null hypothesis was rejected at p&lt;0.05. Results: Higher levels of Endocan-1 were found in maternal plasma in the pre-eclamptic group (mean ratio. =. 1.49; 95% confidence interval: 1.19-1.85, p=. 0.001), with a moderate effect size (Cohen's D=. 0.84). Placental Endocan-1 levels (μg/g) were lower in pre-eclampsia (1.52 [1.10, 2.40] vs. 2.24 [1.32, 3.75], p=. 0.033) and fetal Endocan-1 concentration (ng/ml) did not show any difference between groups (3.10 [2.60, 4.54] vs. 2.91 [2.20, 3.66] p=. 0.085). In addition, an up-regulation of maternal plasma Endocan-1 in the pre-eclamptic group was observed when stratified in relation to gestational age, systolic blood pressure and proteinuria (. p&lt;. 0.05, for all). Furthermore, a positive correlation between Endocan-1 concentration in maternal vs. fetal plasma was also found (. r=. 0.258, p=. 0.015). For the matched samples, a negative correlation between Endocan-1 in maternal/fetal plasma with birthweights, placental weights and gestational age at delivery was observed (. p&lt;. 0.05 for all). Discussion: Endocan-1 is increased in women with pre-eclampsia for all strata, which highlight the importance of this molecule as a possible biomarker. The negative correlations between Endocan-1 and clinical data suggest that this molecule may also be involved with prematurity and low birth weight, which warrants further investigations.","author":[{"dropping-particle":"","family":"Hentschke","given":"Marta Ribeiro","non-dropping-particle":"","parse-names":false,"suffix":""},{"dropping-particle":"","family":"Lucas","given":"Luiza Silveira","non-dropping-particle":"","parse-names":false,"suffix":""},{"dropping-particle":"","family":"Mistry","given":"Hiten D.","non-dropping-particle":"","parse-names":false,"suffix":""},{"dropping-particle":"","family":"Pinheiro da Costa","given":"Bartira E.","non-dropping-particle":"","parse-names":false,"suffix":""},{"dropping-particle":"","family":"Poli-de-Figueiredo","given":"Carlos E.","non-dropping-particle":"","parse-names":false,"suffix":""}],"container-title":"Cytokine","id":"ITEM-1","issue":"1","issued":{"date-parts":[["2015","7"]]},"page":"152-156","title":"Endocan-1 concentrations in maternal and fetal plasma and placentae in pre-eclampsia in the third trimester of pregnancy","type":"article-journal","volume":"74"},"uris":["http://www.mendeley.com/documents/?uuid=1fe4bd2d-722a-446c-9024-494d04fdb3db"]}],"mendeley":{"formattedCitation":"(57)","plainTextFormattedCitation":"(57)","previouslyFormattedCitation":"(57)"},"properties":{"noteIndex":0},"schema":"https://github.com/citation-style-language/schema/raw/master/csl-citation.json"}</w:instrText>
      </w:r>
      <w:r w:rsidR="00176AC0" w:rsidRPr="005A28F5">
        <w:rPr>
          <w:rStyle w:val="None"/>
          <w:rFonts w:ascii="Times New Roman" w:hAnsi="Times New Roman" w:cs="Times New Roman"/>
          <w:color w:val="000000" w:themeColor="text1"/>
          <w:sz w:val="24"/>
          <w:szCs w:val="24"/>
          <w:u w:color="7D7D7D"/>
          <w:lang w:val="en-GB"/>
        </w:rPr>
        <w:fldChar w:fldCharType="separate"/>
      </w:r>
      <w:r w:rsidR="002A7D5D" w:rsidRPr="002A7D5D">
        <w:rPr>
          <w:rStyle w:val="None"/>
          <w:rFonts w:ascii="Times New Roman" w:hAnsi="Times New Roman" w:cs="Times New Roman"/>
          <w:noProof/>
          <w:color w:val="000000" w:themeColor="text1"/>
          <w:sz w:val="24"/>
          <w:szCs w:val="24"/>
          <w:u w:color="7D7D7D"/>
          <w:lang w:val="en-GB"/>
        </w:rPr>
        <w:t>(57)</w:t>
      </w:r>
      <w:r w:rsidR="00176AC0" w:rsidRPr="005A28F5">
        <w:rPr>
          <w:rStyle w:val="None"/>
          <w:rFonts w:ascii="Times New Roman" w:hAnsi="Times New Roman" w:cs="Times New Roman"/>
          <w:color w:val="000000" w:themeColor="text1"/>
          <w:sz w:val="24"/>
          <w:szCs w:val="24"/>
          <w:u w:color="7D7D7D"/>
          <w:lang w:val="en-GB"/>
        </w:rPr>
        <w:fldChar w:fldCharType="end"/>
      </w:r>
      <w:r w:rsidR="00BC3B0C" w:rsidRPr="005A28F5">
        <w:rPr>
          <w:rFonts w:ascii="Times New Roman" w:hAnsi="Times New Roman" w:cs="Times New Roman"/>
          <w:sz w:val="24"/>
          <w:szCs w:val="24"/>
          <w:u w:color="808080"/>
          <w:lang w:val="en-GB"/>
        </w:rPr>
        <w:t xml:space="preserve">.  </w:t>
      </w:r>
      <w:proofErr w:type="spellStart"/>
      <w:r w:rsidR="00BC3B0C" w:rsidRPr="005A28F5">
        <w:rPr>
          <w:rFonts w:ascii="Times New Roman" w:hAnsi="Times New Roman" w:cs="Times New Roman"/>
          <w:sz w:val="24"/>
          <w:szCs w:val="24"/>
          <w:u w:color="808080"/>
          <w:lang w:val="en-GB"/>
        </w:rPr>
        <w:t>Hjort</w:t>
      </w:r>
      <w:proofErr w:type="spellEnd"/>
      <w:r w:rsidR="00BC3B0C" w:rsidRPr="005A28F5">
        <w:rPr>
          <w:rFonts w:ascii="Times New Roman" w:hAnsi="Times New Roman" w:cs="Times New Roman"/>
          <w:sz w:val="24"/>
          <w:szCs w:val="24"/>
          <w:u w:color="808080"/>
          <w:lang w:val="en-GB"/>
        </w:rPr>
        <w:t xml:space="preserve"> et al. identified a number of </w:t>
      </w:r>
      <w:r w:rsidR="00B12EF9" w:rsidRPr="005A28F5">
        <w:rPr>
          <w:rFonts w:ascii="Times New Roman" w:hAnsi="Times New Roman" w:cs="Times New Roman"/>
          <w:sz w:val="24"/>
          <w:szCs w:val="24"/>
          <w:u w:color="808080"/>
          <w:lang w:val="en-GB"/>
        </w:rPr>
        <w:t>CpG</w:t>
      </w:r>
      <w:r w:rsidR="00BC3B0C" w:rsidRPr="005A28F5">
        <w:rPr>
          <w:rFonts w:ascii="Times New Roman" w:hAnsi="Times New Roman" w:cs="Times New Roman"/>
          <w:sz w:val="24"/>
          <w:szCs w:val="24"/>
          <w:u w:color="808080"/>
          <w:lang w:val="en-GB"/>
        </w:rPr>
        <w:t xml:space="preserve">s mapping to </w:t>
      </w:r>
      <w:r w:rsidR="00BC3B0C" w:rsidRPr="005A28F5">
        <w:rPr>
          <w:rFonts w:ascii="Times New Roman" w:hAnsi="Times New Roman" w:cs="Times New Roman"/>
          <w:i/>
          <w:sz w:val="24"/>
          <w:szCs w:val="24"/>
          <w:u w:color="808080"/>
          <w:lang w:val="en-GB"/>
        </w:rPr>
        <w:t>ESM1</w:t>
      </w:r>
      <w:r w:rsidR="00BC3B0C" w:rsidRPr="005A28F5">
        <w:rPr>
          <w:rFonts w:ascii="Times New Roman" w:hAnsi="Times New Roman" w:cs="Times New Roman"/>
          <w:sz w:val="24"/>
          <w:szCs w:val="24"/>
          <w:u w:color="808080"/>
          <w:lang w:val="en-GB"/>
        </w:rPr>
        <w:t xml:space="preserve"> with evidence of differential methylation in children associated with maternal GDM status, with some also independently associated with maternal </w:t>
      </w:r>
      <w:r w:rsidR="00243D5A" w:rsidRPr="005A28F5">
        <w:rPr>
          <w:rFonts w:ascii="Times New Roman" w:hAnsi="Times New Roman" w:cs="Times New Roman"/>
          <w:sz w:val="24"/>
          <w:szCs w:val="24"/>
          <w:u w:color="808080"/>
          <w:lang w:val="en-GB"/>
        </w:rPr>
        <w:t>pre</w:t>
      </w:r>
      <w:r w:rsidR="004D06E2" w:rsidRPr="005A28F5">
        <w:rPr>
          <w:rFonts w:ascii="Times New Roman" w:hAnsi="Times New Roman" w:cs="Times New Roman"/>
          <w:sz w:val="24"/>
          <w:szCs w:val="24"/>
          <w:u w:color="808080"/>
          <w:lang w:val="en-GB"/>
        </w:rPr>
        <w:t>-</w:t>
      </w:r>
      <w:r w:rsidR="00243D5A" w:rsidRPr="005A28F5">
        <w:rPr>
          <w:rFonts w:ascii="Times New Roman" w:hAnsi="Times New Roman" w:cs="Times New Roman"/>
          <w:sz w:val="24"/>
          <w:szCs w:val="24"/>
          <w:u w:color="808080"/>
          <w:lang w:val="en-GB"/>
        </w:rPr>
        <w:t xml:space="preserve">pregnancy </w:t>
      </w:r>
      <w:r w:rsidR="00BC3B0C" w:rsidRPr="005A28F5">
        <w:rPr>
          <w:rFonts w:ascii="Times New Roman" w:hAnsi="Times New Roman" w:cs="Times New Roman"/>
          <w:sz w:val="24"/>
          <w:szCs w:val="24"/>
          <w:u w:color="808080"/>
          <w:lang w:val="en-GB"/>
        </w:rPr>
        <w:t xml:space="preserve">BMI </w:t>
      </w:r>
      <w:r w:rsidR="00176AC0" w:rsidRPr="005A28F5">
        <w:rPr>
          <w:rStyle w:val="None"/>
          <w:rFonts w:ascii="Times New Roman" w:eastAsia="Cambria" w:hAnsi="Times New Roman" w:cs="Times New Roman"/>
          <w:color w:val="000000" w:themeColor="text1"/>
          <w:sz w:val="24"/>
          <w:szCs w:val="24"/>
          <w:u w:color="808080"/>
          <w:lang w:val="en-GB"/>
        </w:rPr>
        <w:fldChar w:fldCharType="begin" w:fldLock="1"/>
      </w:r>
      <w:r w:rsidR="000C3130">
        <w:rPr>
          <w:rStyle w:val="None"/>
          <w:rFonts w:ascii="Times New Roman" w:eastAsia="Cambria" w:hAnsi="Times New Roman" w:cs="Times New Roman"/>
          <w:color w:val="000000" w:themeColor="text1"/>
          <w:sz w:val="24"/>
          <w:szCs w:val="24"/>
          <w:u w:color="808080"/>
          <w:lang w:val="en-GB"/>
        </w:rPr>
        <w:instrText>ADDIN CSL_CITATION {"citationItems":[{"id":"ITEM-1","itemData":{"DOI":"10.1172/jci.insight.122572","ISSN":"2379-3708","PMID":"30185669","abstract":"Offspring of women with gestational diabetes mellitus (GDM) are at increased risk of developing metabolic disease, potentially mediated by epigenetic mechanisms. We recruited 608 GDM and 626 control offspring from the Danish National Birth Cohort, aged between 9 and 16 years. DNA methylation profiles were measured in peripheral blood of 93 GDM offspring and 95 controls using the Illumina HumanMethylation450 BeadChip. Pyrosequencing was performed for validation/replication of putative GDM-associated, differentially methylated CpGs in additional 905 offspring (462 GDM, 444 control offspring). We identified 76 differentially methylated CpGs in GDM offspring compared with controls in the discovery cohort (FDR, P &lt; 0.05). Adjusting for offspring BMI did not affect the association between methylation levels and GDM status for any of the 76 CpGs. Most of these epigenetic changes were due to confounding by maternal prepregnancy BMI; however, 13 methylation changes were independently associated with maternal GDM. Three prepregnancy BMI-associated CpGs (cg00992687 and cg09452568 of ESM1 and cg14328641 of MS4A3) were validated in the replication cohort, while cg09109411 (PDE6A) was found to be associated with GDM status. The identified methylation changes may reflect developmental programming of organ disease mechanisms and/or may serve as disease biomarkers.","author":[{"dropping-particle":"","family":"Hjort","given":"Line","non-dropping-particle":"","parse-names":false,"suffix":""},{"dropping-particle":"","family":"Martino","given":"David","non-dropping-particle":"","parse-names":false,"suffix":""},{"dropping-particle":"","family":"Grunnet","given":"Louise Groth","non-dropping-particle":"","parse-names":false,"suffix":""},{"dropping-particle":"","family":"Naeem","given":"Haroon","non-dropping-particle":"","parse-names":false,"suffix":""},{"dropping-particle":"","family":"Maksimovic","given":"Jovana","non-dropping-particle":"","parse-names":false,"suffix":""},{"dropping-particle":"","family":"Olsson","given":"Anders Henrik","non-dropping-particle":"","parse-names":false,"suffix":""},{"dropping-particle":"","family":"Zhang","given":"Cuilin","non-dropping-particle":"","parse-names":false,"suffix":""},{"dropping-particle":"","family":"Ling","given":"Charlotte","non-dropping-particle":"","parse-names":false,"suffix":""},{"dropping-particle":"","family":"Olsen","given":"Sjurdur Frodi","non-dropping-particle":"","parse-names":false,"suffix":""},{"dropping-particle":"","family":"Saffery","given":"Richard","non-dropping-particle":"","parse-names":false,"suffix":""},{"dropping-particle":"","family":"Vaag","given":"Allan Arthur","non-dropping-particle":"","parse-names":false,"suffix":""}],"container-title":"JCI Insight","id":"ITEM-1","issue":"17","issued":{"date-parts":[["2018","9"]]},"publisher":"Am Soc Clin Investig","title":"Gestational diabetes and maternal obesity are associated with epigenome-wide methylation changes in children","type":"article-journal","volume":"3"},"uris":["http://www.mendeley.com/documents/?uuid=cb54e345-a97a-418a-9ec4-6053af45e36e"]}],"mendeley":{"formattedCitation":"(56)","plainTextFormattedCitation":"(56)","previouslyFormattedCitation":"(56)"},"properties":{"noteIndex":0},"schema":"https://github.com/citation-style-language/schema/raw/master/csl-citation.json"}</w:instrText>
      </w:r>
      <w:r w:rsidR="00176AC0" w:rsidRPr="005A28F5">
        <w:rPr>
          <w:rStyle w:val="None"/>
          <w:rFonts w:ascii="Times New Roman" w:eastAsia="Cambria" w:hAnsi="Times New Roman" w:cs="Times New Roman"/>
          <w:color w:val="000000" w:themeColor="text1"/>
          <w:sz w:val="24"/>
          <w:szCs w:val="24"/>
          <w:u w:color="808080"/>
          <w:lang w:val="en-GB"/>
        </w:rPr>
        <w:fldChar w:fldCharType="separate"/>
      </w:r>
      <w:r w:rsidR="002A7D5D" w:rsidRPr="002A7D5D">
        <w:rPr>
          <w:rStyle w:val="None"/>
          <w:rFonts w:ascii="Times New Roman" w:eastAsia="Cambria" w:hAnsi="Times New Roman" w:cs="Times New Roman"/>
          <w:noProof/>
          <w:color w:val="000000" w:themeColor="text1"/>
          <w:sz w:val="24"/>
          <w:szCs w:val="24"/>
          <w:u w:color="808080"/>
          <w:lang w:val="en-GB"/>
        </w:rPr>
        <w:t>(56)</w:t>
      </w:r>
      <w:r w:rsidR="00176AC0" w:rsidRPr="005A28F5">
        <w:rPr>
          <w:rStyle w:val="None"/>
          <w:rFonts w:ascii="Times New Roman" w:eastAsia="Cambria" w:hAnsi="Times New Roman" w:cs="Times New Roman"/>
          <w:color w:val="000000" w:themeColor="text1"/>
          <w:sz w:val="24"/>
          <w:szCs w:val="24"/>
          <w:u w:color="808080"/>
          <w:lang w:val="en-GB"/>
        </w:rPr>
        <w:fldChar w:fldCharType="end"/>
      </w:r>
      <w:r w:rsidR="007E5060" w:rsidRPr="005A28F5">
        <w:rPr>
          <w:rFonts w:ascii="Times New Roman" w:hAnsi="Times New Roman" w:cs="Times New Roman"/>
          <w:sz w:val="24"/>
          <w:szCs w:val="24"/>
          <w:u w:color="808080"/>
          <w:lang w:val="en-GB"/>
        </w:rPr>
        <w:t xml:space="preserve">. This lends </w:t>
      </w:r>
      <w:r w:rsidR="00BC3B0C" w:rsidRPr="005A28F5">
        <w:rPr>
          <w:rFonts w:ascii="Times New Roman" w:hAnsi="Times New Roman" w:cs="Times New Roman"/>
          <w:sz w:val="24"/>
          <w:szCs w:val="24"/>
          <w:u w:color="808080"/>
          <w:lang w:val="en-GB"/>
        </w:rPr>
        <w:t xml:space="preserve">support to our finding that </w:t>
      </w:r>
      <w:r w:rsidR="00BC3B0C" w:rsidRPr="005A28F5">
        <w:rPr>
          <w:rFonts w:ascii="Times New Roman" w:hAnsi="Times New Roman" w:cs="Times New Roman"/>
          <w:i/>
          <w:sz w:val="24"/>
          <w:szCs w:val="24"/>
          <w:u w:color="808080"/>
          <w:lang w:val="en-GB"/>
        </w:rPr>
        <w:t>ESM1</w:t>
      </w:r>
      <w:r w:rsidR="00BC3B0C" w:rsidRPr="005A28F5">
        <w:rPr>
          <w:rFonts w:ascii="Times New Roman" w:hAnsi="Times New Roman" w:cs="Times New Roman"/>
          <w:sz w:val="24"/>
          <w:szCs w:val="24"/>
          <w:u w:color="808080"/>
          <w:lang w:val="en-GB"/>
        </w:rPr>
        <w:t xml:space="preserve"> methylation may be sensitive to early maternal factors</w:t>
      </w:r>
      <w:r w:rsidR="00961CD2" w:rsidRPr="005A28F5">
        <w:rPr>
          <w:rFonts w:ascii="Times New Roman" w:hAnsi="Times New Roman" w:cs="Times New Roman"/>
          <w:sz w:val="24"/>
          <w:szCs w:val="24"/>
          <w:u w:color="808080"/>
          <w:lang w:val="en-GB"/>
        </w:rPr>
        <w:t xml:space="preserve"> related to nutrition</w:t>
      </w:r>
      <w:r w:rsidR="00BC3B0C" w:rsidRPr="005A28F5">
        <w:rPr>
          <w:rFonts w:ascii="Times New Roman" w:hAnsi="Times New Roman" w:cs="Times New Roman"/>
          <w:sz w:val="24"/>
          <w:szCs w:val="24"/>
          <w:u w:color="808080"/>
          <w:lang w:val="en-GB"/>
        </w:rPr>
        <w:t xml:space="preserve">. Taken together, the above findings point to a possible relationship between maternal nutritional exposures, regulation of </w:t>
      </w:r>
      <w:r w:rsidR="00BC3B0C" w:rsidRPr="005A28F5">
        <w:rPr>
          <w:rFonts w:ascii="Times New Roman" w:hAnsi="Times New Roman" w:cs="Times New Roman"/>
          <w:i/>
          <w:sz w:val="24"/>
          <w:szCs w:val="24"/>
          <w:u w:color="808080"/>
          <w:lang w:val="en-GB"/>
        </w:rPr>
        <w:t>ESM1</w:t>
      </w:r>
      <w:r w:rsidR="00BC3B0C" w:rsidRPr="005A28F5">
        <w:rPr>
          <w:rFonts w:ascii="Times New Roman" w:hAnsi="Times New Roman" w:cs="Times New Roman"/>
          <w:sz w:val="24"/>
          <w:szCs w:val="24"/>
          <w:u w:color="808080"/>
          <w:lang w:val="en-GB"/>
        </w:rPr>
        <w:t xml:space="preserve"> and endothelial dysfunction which could </w:t>
      </w:r>
      <w:r w:rsidR="00961CD2" w:rsidRPr="005A28F5">
        <w:rPr>
          <w:rFonts w:ascii="Times New Roman" w:hAnsi="Times New Roman" w:cs="Times New Roman"/>
          <w:sz w:val="24"/>
          <w:szCs w:val="24"/>
          <w:u w:color="808080"/>
          <w:lang w:val="en-GB"/>
        </w:rPr>
        <w:t>be relevant to</w:t>
      </w:r>
      <w:r w:rsidR="00BC3B0C" w:rsidRPr="005A28F5">
        <w:rPr>
          <w:rFonts w:ascii="Times New Roman" w:hAnsi="Times New Roman" w:cs="Times New Roman"/>
          <w:sz w:val="24"/>
          <w:szCs w:val="24"/>
          <w:u w:color="808080"/>
          <w:lang w:val="en-GB"/>
        </w:rPr>
        <w:t xml:space="preserve"> later</w:t>
      </w:r>
      <w:r w:rsidR="00961CD2" w:rsidRPr="005A28F5">
        <w:rPr>
          <w:rFonts w:ascii="Times New Roman" w:hAnsi="Times New Roman" w:cs="Times New Roman"/>
          <w:sz w:val="24"/>
          <w:szCs w:val="24"/>
          <w:u w:color="808080"/>
          <w:lang w:val="en-GB"/>
        </w:rPr>
        <w:t xml:space="preserve"> </w:t>
      </w:r>
      <w:r w:rsidR="007201BD" w:rsidRPr="005A28F5">
        <w:rPr>
          <w:rFonts w:ascii="Times New Roman" w:hAnsi="Times New Roman" w:cs="Times New Roman"/>
          <w:sz w:val="24"/>
          <w:szCs w:val="24"/>
          <w:u w:color="808080"/>
          <w:lang w:val="en-GB"/>
        </w:rPr>
        <w:t xml:space="preserve">health and </w:t>
      </w:r>
      <w:r w:rsidR="00961CD2" w:rsidRPr="005A28F5">
        <w:rPr>
          <w:rFonts w:ascii="Times New Roman" w:hAnsi="Times New Roman" w:cs="Times New Roman"/>
          <w:sz w:val="24"/>
          <w:szCs w:val="24"/>
          <w:u w:color="808080"/>
          <w:lang w:val="en-GB"/>
        </w:rPr>
        <w:t>disease</w:t>
      </w:r>
      <w:r w:rsidR="00BC3B0C" w:rsidRPr="005A28F5">
        <w:rPr>
          <w:rFonts w:ascii="Times New Roman" w:hAnsi="Times New Roman" w:cs="Times New Roman"/>
          <w:sz w:val="24"/>
          <w:szCs w:val="24"/>
          <w:u w:color="808080"/>
          <w:lang w:val="en-GB"/>
        </w:rPr>
        <w:t xml:space="preserve"> risk. We have the potential to explore some of these putative links in the next stage of the EMPHASIS study, in which we will examine associations between DNAm and phenotypic outcomes in the children.</w:t>
      </w:r>
    </w:p>
    <w:p w14:paraId="4F4BA997" w14:textId="77777777" w:rsidR="00E01BB2" w:rsidRPr="005A28F5" w:rsidRDefault="00E01BB2" w:rsidP="001A64D3">
      <w:pPr>
        <w:pStyle w:val="BodyA"/>
        <w:spacing w:line="360" w:lineRule="auto"/>
        <w:outlineLvl w:val="0"/>
        <w:rPr>
          <w:rFonts w:ascii="Times New Roman" w:eastAsia="Cambria" w:hAnsi="Times New Roman" w:cs="Times New Roman"/>
          <w:sz w:val="24"/>
          <w:szCs w:val="24"/>
          <w:u w:color="808080"/>
          <w:lang w:val="en-GB"/>
        </w:rPr>
      </w:pPr>
    </w:p>
    <w:p w14:paraId="24B5E34B" w14:textId="353EFF77" w:rsidR="00E01BB2" w:rsidRPr="005A28F5" w:rsidRDefault="00BC3B0C" w:rsidP="001A64D3">
      <w:pPr>
        <w:pStyle w:val="BodyA"/>
        <w:spacing w:line="360" w:lineRule="auto"/>
        <w:outlineLvl w:val="0"/>
        <w:rPr>
          <w:rFonts w:ascii="Times New Roman" w:hAnsi="Times New Roman" w:cs="Times New Roman"/>
          <w:sz w:val="24"/>
          <w:szCs w:val="24"/>
          <w:u w:color="7D7D7D"/>
          <w:lang w:val="en-GB"/>
        </w:rPr>
      </w:pPr>
      <w:r w:rsidRPr="005A28F5">
        <w:rPr>
          <w:rFonts w:ascii="Times New Roman" w:hAnsi="Times New Roman" w:cs="Times New Roman"/>
          <w:sz w:val="24"/>
          <w:szCs w:val="24"/>
          <w:u w:color="7D7D7D"/>
          <w:lang w:val="en-GB"/>
        </w:rPr>
        <w:t>Leucine zipper tumor suppressor 1 (</w:t>
      </w:r>
      <w:r w:rsidRPr="005A28F5">
        <w:rPr>
          <w:rFonts w:ascii="Times New Roman" w:hAnsi="Times New Roman" w:cs="Times New Roman"/>
          <w:i/>
          <w:sz w:val="24"/>
          <w:szCs w:val="24"/>
          <w:u w:color="7D7D7D"/>
          <w:lang w:val="en-GB"/>
        </w:rPr>
        <w:t>LZTS1</w:t>
      </w:r>
      <w:r w:rsidRPr="005A28F5">
        <w:rPr>
          <w:rFonts w:ascii="Times New Roman" w:hAnsi="Times New Roman" w:cs="Times New Roman"/>
          <w:sz w:val="24"/>
          <w:szCs w:val="24"/>
          <w:u w:color="7D7D7D"/>
          <w:lang w:val="en-GB"/>
        </w:rPr>
        <w:t xml:space="preserve">) is a ubiquitously expressed tumor suppressor involved in the regulation of cell growth. It has previously been associated with </w:t>
      </w:r>
      <w:proofErr w:type="spellStart"/>
      <w:r w:rsidRPr="005A28F5">
        <w:rPr>
          <w:rFonts w:ascii="Times New Roman" w:hAnsi="Times New Roman" w:cs="Times New Roman"/>
          <w:sz w:val="24"/>
          <w:szCs w:val="24"/>
          <w:u w:color="7D7D7D"/>
          <w:lang w:val="en-GB"/>
        </w:rPr>
        <w:t>esophageal</w:t>
      </w:r>
      <w:proofErr w:type="spellEnd"/>
      <w:r w:rsidRPr="005A28F5">
        <w:rPr>
          <w:rFonts w:ascii="Times New Roman" w:hAnsi="Times New Roman" w:cs="Times New Roman"/>
          <w:sz w:val="24"/>
          <w:szCs w:val="24"/>
          <w:u w:color="7D7D7D"/>
          <w:lang w:val="en-GB"/>
        </w:rPr>
        <w:t xml:space="preserve"> and other cancers</w:t>
      </w:r>
      <w:r w:rsidR="00961CD2" w:rsidRPr="005A28F5">
        <w:rPr>
          <w:rFonts w:ascii="Times New Roman" w:hAnsi="Times New Roman" w:cs="Times New Roman"/>
          <w:sz w:val="24"/>
          <w:szCs w:val="24"/>
          <w:u w:color="7D7D7D"/>
          <w:lang w:val="en-GB"/>
        </w:rPr>
        <w:t xml:space="preserve"> </w:t>
      </w:r>
      <w:r w:rsidR="0026790D" w:rsidRPr="005A28F5">
        <w:rPr>
          <w:rFonts w:ascii="Times New Roman" w:hAnsi="Times New Roman" w:cs="Times New Roman"/>
          <w:sz w:val="24"/>
          <w:szCs w:val="24"/>
          <w:u w:color="7D7D7D"/>
          <w:lang w:val="en-GB"/>
        </w:rPr>
        <w:t xml:space="preserve">in humans </w:t>
      </w:r>
      <w:r w:rsidR="00961CD2" w:rsidRPr="005A28F5">
        <w:rPr>
          <w:u w:color="7D7D7D"/>
        </w:rPr>
        <w:fldChar w:fldCharType="begin" w:fldLock="1"/>
      </w:r>
      <w:r w:rsidR="000C3130">
        <w:rPr>
          <w:rFonts w:ascii="Times New Roman" w:hAnsi="Times New Roman" w:cs="Times New Roman"/>
          <w:sz w:val="24"/>
          <w:szCs w:val="24"/>
          <w:u w:color="7D7D7D"/>
          <w:lang w:val="en-GB"/>
        </w:rPr>
        <w:instrText>ADDIN CSL_CITATION {"citationItems":[{"id":"ITEM-1","itemData":{"DOI":"10.1073/pnas.181222898","ISBN":"0027-8424 (Print)\\r0027-8424 (Linking)","ISSN":"0027-8424","PMID":"11504921","abstract":"The FEZ1/LZTS1 gene maps to chromosome 8p22, a region that is frequently deleted in human tumors. Alterations in FEZ1/LZTS1 expression have been observed in esophageal, breast, and prostate cancers. Here, we show that introduction of FEZ1/LZTS1 into Fez1/Lzts1-negative cancer cells results in suppression of tumorigenicity and reduced cell growth with accumulation of cells at late S-G(2)/M stage of the cell cycle. Fez1/Lzts1 protein is hyperphosphorylated by cAMP-dependent kinase during cell-cycle progression. We found that Fez1/Lzts1 is associated with microtubule components and interacts with p34(cdc2) at late S-G(2)/M stage in vivo. Present data show that FEZ1/LZTS1 inhibits cancer cell growth through regulation of mitosis, and that its alterations result in abnormal cell growth.","author":[{"dropping-particle":"","family":"Ishii","given":"H.","non-dropping-particle":"","parse-names":false,"suffix":""},{"dropping-particle":"","family":"Vecchione","given":"A.","non-dropping-particle":"","parse-names":false,"suffix":""},{"dropping-particle":"","family":"Murakumo","given":"Y.","non-dropping-particle":"","parse-names":false,"suffix":""},{"dropping-particle":"","family":"Baldassarre","given":"G.","non-dropping-particle":"","parse-names":false,"suffix":""},{"dropping-particle":"","family":"Numata","given":"S.","non-dropping-particle":"","parse-names":false,"suffix":""},{"dropping-particle":"","family":"Trapasso","given":"F.","non-dropping-particle":"","parse-names":false,"suffix":""},{"dropping-particle":"","family":"Alder","given":"H.","non-dropping-particle":"","parse-names":false,"suffix":""},{"dropping-particle":"","family":"Baffa","given":"R.","non-dropping-particle":"","parse-names":false,"suffix":""},{"dropping-particle":"","family":"Croce","given":"C. M.","non-dropping-particle":"","parse-names":false,"suffix":""}],"container-title":"Proceedings of the National Academy of Sciences","id":"ITEM-1","issue":"18","issued":{"date-parts":[["2001","8"]]},"page":"10374-10379","title":"FEZ1/LZTS1 gene at 8p22 suppresses cancer cell growth and regulates mitosis","type":"article-journal","volume":"98"},"uris":["http://www.mendeley.com/documents/?uuid=f1f98db7-9377-4bf0-af61-b8dd72d6fdcb"]}],"mendeley":{"formattedCitation":"(59)","plainTextFormattedCitation":"(59)","previouslyFormattedCitation":"(59)"},"properties":{"noteIndex":0},"schema":"https://github.com/citation-style-language/schema/raw/master/csl-citation.json"}</w:instrText>
      </w:r>
      <w:r w:rsidR="00961CD2" w:rsidRPr="005A28F5">
        <w:rPr>
          <w:u w:color="7D7D7D"/>
        </w:rPr>
        <w:fldChar w:fldCharType="separate"/>
      </w:r>
      <w:r w:rsidR="002A7D5D" w:rsidRPr="002A7D5D">
        <w:rPr>
          <w:rFonts w:ascii="Times New Roman" w:hAnsi="Times New Roman" w:cs="Times New Roman"/>
          <w:noProof/>
          <w:sz w:val="24"/>
          <w:szCs w:val="24"/>
          <w:u w:color="7D7D7D"/>
          <w:lang w:val="en-GB"/>
        </w:rPr>
        <w:t>(59)</w:t>
      </w:r>
      <w:r w:rsidR="00961CD2" w:rsidRPr="005A28F5">
        <w:rPr>
          <w:u w:color="7D7D7D"/>
        </w:rPr>
        <w:fldChar w:fldCharType="end"/>
      </w:r>
      <w:r w:rsidR="00855BCF" w:rsidRPr="005A28F5">
        <w:rPr>
          <w:rFonts w:ascii="Times New Roman" w:hAnsi="Times New Roman" w:cs="Times New Roman"/>
          <w:sz w:val="24"/>
          <w:szCs w:val="24"/>
          <w:u w:color="7D7D7D"/>
          <w:lang w:val="en-GB"/>
        </w:rPr>
        <w:t xml:space="preserve">, whilst an expression study in mouse and chick embryos has suggested it may have a role in neuronal development </w:t>
      </w:r>
      <w:r w:rsidR="00855BCF" w:rsidRPr="005A28F5">
        <w:rPr>
          <w:u w:color="7D7D7D"/>
        </w:rPr>
        <w:fldChar w:fldCharType="begin" w:fldLock="1"/>
      </w:r>
      <w:r w:rsidR="000C3130">
        <w:rPr>
          <w:rFonts w:ascii="Times New Roman" w:hAnsi="Times New Roman" w:cs="Times New Roman"/>
          <w:sz w:val="24"/>
          <w:szCs w:val="24"/>
          <w:u w:color="7D7D7D"/>
          <w:lang w:val="en-GB"/>
        </w:rPr>
        <w:instrText>ADDIN CSL_CITATION {"citationItems":[{"id":"ITEM-1","itemData":{"DOI":"10.1002/dvdy.23777","ISBN":"1097-0177 (Electronic)\\r1058-8388 (Linking)","ISSN":"10588388","PMID":"22419569","abstract":"1","author":[{"dropping-particle":"","family":"Kropp","given":"Marlene","non-dropping-particle":"","parse-names":false,"suffix":""},{"dropping-particle":"","family":"Wilson","given":"Sara I.","non-dropping-particle":"","parse-names":false,"suffix":""}],"container-title":"Developmental Dynamics","id":"ITEM-1","issue":"5","issued":{"date-parts":[["2012","5"]]},"page":"984-994","title":"The expression profile of the tumor suppressor gene Lzts1 suggests a role in neuronal development","type":"article-journal","volume":"241"},"uris":["http://www.mendeley.com/documents/?uuid=3a7088e0-882c-492d-bbe2-cabd54017e77"]}],"mendeley":{"formattedCitation":"(60)","plainTextFormattedCitation":"(60)","previouslyFormattedCitation":"(60)"},"properties":{"noteIndex":0},"schema":"https://github.com/citation-style-language/schema/raw/master/csl-citation.json"}</w:instrText>
      </w:r>
      <w:r w:rsidR="00855BCF" w:rsidRPr="005A28F5">
        <w:rPr>
          <w:u w:color="7D7D7D"/>
        </w:rPr>
        <w:fldChar w:fldCharType="separate"/>
      </w:r>
      <w:r w:rsidR="002A7D5D" w:rsidRPr="002A7D5D">
        <w:rPr>
          <w:rFonts w:ascii="Times New Roman" w:hAnsi="Times New Roman" w:cs="Times New Roman"/>
          <w:noProof/>
          <w:sz w:val="24"/>
          <w:szCs w:val="24"/>
          <w:u w:color="7D7D7D"/>
          <w:lang w:val="en-GB"/>
        </w:rPr>
        <w:t>(60)</w:t>
      </w:r>
      <w:r w:rsidR="00855BCF" w:rsidRPr="005A28F5">
        <w:rPr>
          <w:u w:color="7D7D7D"/>
        </w:rPr>
        <w:fldChar w:fldCharType="end"/>
      </w:r>
      <w:r w:rsidRPr="005A28F5">
        <w:rPr>
          <w:rFonts w:ascii="Times New Roman" w:hAnsi="Times New Roman" w:cs="Times New Roman"/>
          <w:sz w:val="24"/>
          <w:szCs w:val="24"/>
          <w:u w:color="7D7D7D"/>
          <w:lang w:val="en-GB"/>
        </w:rPr>
        <w:t xml:space="preserve">. </w:t>
      </w:r>
      <w:r w:rsidR="00577CAB" w:rsidRPr="005A28F5">
        <w:rPr>
          <w:rFonts w:ascii="Times New Roman" w:hAnsi="Times New Roman" w:cs="Times New Roman"/>
          <w:sz w:val="24"/>
          <w:szCs w:val="24"/>
          <w:u w:color="7D7D7D"/>
          <w:lang w:val="en-GB"/>
        </w:rPr>
        <w:t>W</w:t>
      </w:r>
      <w:r w:rsidR="00855BCF" w:rsidRPr="005A28F5">
        <w:rPr>
          <w:rFonts w:ascii="Times New Roman" w:hAnsi="Times New Roman" w:cs="Times New Roman"/>
          <w:sz w:val="24"/>
          <w:szCs w:val="24"/>
          <w:u w:color="7D7D7D"/>
          <w:lang w:val="en-GB"/>
        </w:rPr>
        <w:t xml:space="preserve">e believe </w:t>
      </w:r>
      <w:r w:rsidR="00577CAB" w:rsidRPr="005A28F5">
        <w:rPr>
          <w:rFonts w:ascii="Times New Roman" w:hAnsi="Times New Roman" w:cs="Times New Roman"/>
          <w:sz w:val="24"/>
          <w:szCs w:val="24"/>
          <w:u w:color="7D7D7D"/>
          <w:lang w:val="en-GB"/>
        </w:rPr>
        <w:t xml:space="preserve">this </w:t>
      </w:r>
      <w:r w:rsidR="00855BCF" w:rsidRPr="005A28F5">
        <w:rPr>
          <w:rFonts w:ascii="Times New Roman" w:hAnsi="Times New Roman" w:cs="Times New Roman"/>
          <w:sz w:val="24"/>
          <w:szCs w:val="24"/>
          <w:u w:color="7D7D7D"/>
          <w:lang w:val="en-GB"/>
        </w:rPr>
        <w:t xml:space="preserve">is the first putative link between </w:t>
      </w:r>
      <w:r w:rsidR="00855BCF" w:rsidRPr="005A28F5">
        <w:rPr>
          <w:rFonts w:ascii="Times New Roman" w:hAnsi="Times New Roman" w:cs="Times New Roman"/>
          <w:i/>
          <w:sz w:val="24"/>
          <w:szCs w:val="24"/>
          <w:u w:color="7D7D7D"/>
          <w:lang w:val="en-GB"/>
        </w:rPr>
        <w:t>LZTS1</w:t>
      </w:r>
      <w:r w:rsidR="00855BCF" w:rsidRPr="005A28F5">
        <w:rPr>
          <w:rFonts w:ascii="Times New Roman" w:hAnsi="Times New Roman" w:cs="Times New Roman"/>
          <w:sz w:val="24"/>
          <w:szCs w:val="24"/>
          <w:u w:color="7D7D7D"/>
          <w:lang w:val="en-GB"/>
        </w:rPr>
        <w:t xml:space="preserve"> and a nutritional exposure in humans, although further studies </w:t>
      </w:r>
      <w:r w:rsidR="0026790D" w:rsidRPr="005A28F5">
        <w:rPr>
          <w:rFonts w:ascii="Times New Roman" w:hAnsi="Times New Roman" w:cs="Times New Roman"/>
          <w:sz w:val="24"/>
          <w:szCs w:val="24"/>
          <w:u w:color="7D7D7D"/>
          <w:lang w:val="en-GB"/>
        </w:rPr>
        <w:t>are</w:t>
      </w:r>
      <w:r w:rsidR="00855BCF" w:rsidRPr="005A28F5">
        <w:rPr>
          <w:rFonts w:ascii="Times New Roman" w:hAnsi="Times New Roman" w:cs="Times New Roman"/>
          <w:sz w:val="24"/>
          <w:szCs w:val="24"/>
          <w:u w:color="7D7D7D"/>
          <w:lang w:val="en-GB"/>
        </w:rPr>
        <w:t xml:space="preserve"> required to determine relevance if any to development and childhood phenotypes. </w:t>
      </w:r>
      <w:r w:rsidRPr="005A28F5">
        <w:rPr>
          <w:rFonts w:ascii="Times New Roman" w:hAnsi="Times New Roman" w:cs="Times New Roman"/>
          <w:sz w:val="24"/>
          <w:szCs w:val="24"/>
          <w:u w:color="7D7D7D"/>
          <w:lang w:val="en-GB"/>
        </w:rPr>
        <w:t>A further 2 FDR significant DMPs were identified which mapped to Cadherin 18 (</w:t>
      </w:r>
      <w:r w:rsidRPr="005A28F5">
        <w:rPr>
          <w:rFonts w:ascii="Times New Roman" w:hAnsi="Times New Roman" w:cs="Times New Roman"/>
          <w:i/>
          <w:sz w:val="24"/>
          <w:szCs w:val="24"/>
          <w:u w:color="7D7D7D"/>
          <w:lang w:val="en-GB"/>
        </w:rPr>
        <w:t>CDH18</w:t>
      </w:r>
      <w:r w:rsidRPr="005A28F5">
        <w:rPr>
          <w:rFonts w:ascii="Times New Roman" w:hAnsi="Times New Roman" w:cs="Times New Roman"/>
          <w:sz w:val="24"/>
          <w:szCs w:val="24"/>
          <w:u w:color="7D7D7D"/>
          <w:lang w:val="en-GB"/>
        </w:rPr>
        <w:t>) and Catenin Alpha 2 (</w:t>
      </w:r>
      <w:r w:rsidRPr="005A28F5">
        <w:rPr>
          <w:rFonts w:ascii="Times New Roman" w:hAnsi="Times New Roman" w:cs="Times New Roman"/>
          <w:i/>
          <w:sz w:val="24"/>
          <w:szCs w:val="24"/>
          <w:u w:color="7D7D7D"/>
          <w:lang w:val="en-GB"/>
        </w:rPr>
        <w:t>CTNNA2</w:t>
      </w:r>
      <w:r w:rsidRPr="005A28F5">
        <w:rPr>
          <w:rFonts w:ascii="Times New Roman" w:hAnsi="Times New Roman" w:cs="Times New Roman"/>
          <w:sz w:val="24"/>
          <w:szCs w:val="24"/>
          <w:u w:color="7D7D7D"/>
          <w:lang w:val="en-GB"/>
        </w:rPr>
        <w:t xml:space="preserve">). These </w:t>
      </w:r>
      <w:r w:rsidR="00CA2651" w:rsidRPr="005A28F5">
        <w:rPr>
          <w:rFonts w:ascii="Times New Roman" w:hAnsi="Times New Roman" w:cs="Times New Roman"/>
          <w:sz w:val="24"/>
          <w:szCs w:val="24"/>
          <w:u w:color="7D7D7D"/>
          <w:lang w:val="en-GB"/>
        </w:rPr>
        <w:t>genes code for</w:t>
      </w:r>
      <w:r w:rsidRPr="005A28F5">
        <w:rPr>
          <w:rFonts w:ascii="Times New Roman" w:hAnsi="Times New Roman" w:cs="Times New Roman"/>
          <w:sz w:val="24"/>
          <w:szCs w:val="24"/>
          <w:u w:color="7D7D7D"/>
          <w:lang w:val="en-GB"/>
        </w:rPr>
        <w:t xml:space="preserve"> cell adhesion proteins involved in syn</w:t>
      </w:r>
      <w:r w:rsidR="008678A3" w:rsidRPr="005A28F5">
        <w:rPr>
          <w:rFonts w:ascii="Times New Roman" w:hAnsi="Times New Roman" w:cs="Times New Roman"/>
          <w:sz w:val="24"/>
          <w:szCs w:val="24"/>
          <w:u w:color="7D7D7D"/>
          <w:lang w:val="en-GB"/>
        </w:rPr>
        <w:t xml:space="preserve">aptic adhesion and axon growth </w:t>
      </w:r>
      <w:r w:rsidRPr="005A28F5">
        <w:rPr>
          <w:rFonts w:ascii="Times New Roman" w:hAnsi="Times New Roman" w:cs="Times New Roman"/>
          <w:sz w:val="24"/>
          <w:szCs w:val="24"/>
          <w:u w:color="7D7D7D"/>
          <w:lang w:val="en-GB"/>
        </w:rPr>
        <w:t>and guidance during nervous system development</w:t>
      </w:r>
      <w:r w:rsidR="00E3169E" w:rsidRPr="005A28F5">
        <w:rPr>
          <w:rFonts w:ascii="Times New Roman" w:hAnsi="Times New Roman" w:cs="Times New Roman"/>
          <w:sz w:val="24"/>
          <w:szCs w:val="24"/>
          <w:u w:color="7D7D7D"/>
          <w:lang w:val="en-GB"/>
        </w:rPr>
        <w:t xml:space="preserve"> </w:t>
      </w:r>
      <w:r w:rsidR="00FE33BD" w:rsidRPr="005A28F5">
        <w:rPr>
          <w:u w:color="7D7D7D"/>
        </w:rPr>
        <w:fldChar w:fldCharType="begin" w:fldLock="1"/>
      </w:r>
      <w:r w:rsidR="000C3130">
        <w:rPr>
          <w:rFonts w:ascii="Times New Roman" w:hAnsi="Times New Roman" w:cs="Times New Roman"/>
          <w:sz w:val="24"/>
          <w:szCs w:val="24"/>
          <w:u w:color="7D7D7D"/>
          <w:lang w:val="en-GB"/>
        </w:rPr>
        <w:instrText>ADDIN CSL_CITATION {"citationItems":[{"id":"ITEM-1","itemData":{"DOI":"10.4161/19336918.2014.994919","ISBN":"1933-6918","ISSN":"1933-6918","PMID":"25914083","abstract":"Neurons are highly polarized specialized cells. Neuronal integrity and functional roles are critically dependent on dendritic architecture and synaptic structure, function and plasticity. The cadherins are glycosylated transmembrane proteins that form cell adhesion complexes in various tissues. They are associated with a group of cytosolic proteins, the catenins. While the functional roles of the complex have been extensively investigates in non-neuronal cells, it is becoming increasingly clear that components of the complex have critical roles in regulating dendritic and synaptic architecture, function and plasticity in neurons. Consistent with these functional roles, aberrations in components of the complex have been implicated in a variety of neurodevelopmental disorders. In this review, we discuss the roles of the classical cadherins and catenins in various aspects of dendrite and synapse architecture and function and their relevance to human neurological disorders. Cadherins are glycosylated transmembrane proteins that were initially identified as Ca2+-dependent cell adhesion molecules. They are present on plasma membrane of a variety of cell types from primitive metazoans to humans. In the past several years, it has become clear that in addition to providing mechanical adhesion between cells, cadherins play integral roles in tissue morphogenesis and homeostasis. The cadherin family is composed of more than 100 members and classified into several subfamilies, including classical cadherins and protocadherins. Several of these cadherin family members have been implicated in various aspects of neuronal development and function.(1-3) The classical cadherins are associated with a group of cytosolic proteins, collectively called the catenins. While the functional roles of the cadherin-catenin cell adhesion complex have been extensively investigated in epithelial cells, it is now clear that components of the complex are well expressed in central neurons at different stages during development.(4,5) Recent exciting studies have shed some light on the functional roles of cadherins and catenins in central neurons. In this review, we will provide a brief overview of the cadherin superfamily, describe cadherin family members expressed in central neurons, cadherin-catenin complexes in central neurons and then focus on role of the cadherin-catenin complex in dendrite morphogenesis and synapse morphogenesis, function and plasticity. The final section is dedicated …","author":[{"dropping-particle":"","family":"Seong","given":"Eunju","non-dropping-particle":"","parse-names":false,"suffix":""},{"dropping-particle":"","family":"Yuan","given":"Li","non-dropping-particle":"","parse-names":false,"suffix":""},{"dropping-particle":"","family":"Arikkath","given":"Jyothi","non-dropping-particle":"","parse-names":false,"suffix":""}],"container-title":"Cell Adhesion &amp; Migration","id":"ITEM-1","issue":"3","issued":{"date-parts":[["2015","5"]]},"page":"202-213","title":"Cadherins and catenins in dendrite and synapse morphogenesis","type":"article-journal","volume":"9"},"uris":["http://www.mendeley.com/documents/?uuid=1fbd7185-4f5a-492f-9eb9-56557755524a"]}],"mendeley":{"formattedCitation":"(61)","plainTextFormattedCitation":"(61)","previouslyFormattedCitation":"(61)"},"properties":{"noteIndex":0},"schema":"https://github.com/citation-style-language/schema/raw/master/csl-citation.json"}</w:instrText>
      </w:r>
      <w:r w:rsidR="00FE33BD" w:rsidRPr="005A28F5">
        <w:rPr>
          <w:u w:color="7D7D7D"/>
        </w:rPr>
        <w:fldChar w:fldCharType="separate"/>
      </w:r>
      <w:r w:rsidR="002A7D5D" w:rsidRPr="002A7D5D">
        <w:rPr>
          <w:rFonts w:ascii="Times New Roman" w:hAnsi="Times New Roman" w:cs="Times New Roman"/>
          <w:noProof/>
          <w:sz w:val="24"/>
          <w:szCs w:val="24"/>
          <w:u w:color="7D7D7D"/>
          <w:lang w:val="en-GB"/>
        </w:rPr>
        <w:t>(61)</w:t>
      </w:r>
      <w:r w:rsidR="00FE33BD" w:rsidRPr="005A28F5">
        <w:rPr>
          <w:u w:color="7D7D7D"/>
        </w:rPr>
        <w:fldChar w:fldCharType="end"/>
      </w:r>
      <w:r w:rsidRPr="005A28F5">
        <w:rPr>
          <w:rFonts w:ascii="Times New Roman" w:hAnsi="Times New Roman" w:cs="Times New Roman"/>
          <w:sz w:val="24"/>
          <w:szCs w:val="24"/>
          <w:u w:color="7D7D7D"/>
          <w:lang w:val="en-GB"/>
        </w:rPr>
        <w:t xml:space="preserve">. </w:t>
      </w:r>
      <w:r w:rsidRPr="005A28F5">
        <w:rPr>
          <w:rFonts w:ascii="Times New Roman" w:hAnsi="Times New Roman" w:cs="Times New Roman"/>
          <w:i/>
          <w:sz w:val="24"/>
          <w:szCs w:val="24"/>
          <w:u w:color="7D7D7D"/>
          <w:lang w:val="en-GB"/>
        </w:rPr>
        <w:t>CTNNA2</w:t>
      </w:r>
      <w:r w:rsidRPr="005A28F5">
        <w:rPr>
          <w:rFonts w:ascii="Times New Roman" w:hAnsi="Times New Roman" w:cs="Times New Roman"/>
          <w:sz w:val="24"/>
          <w:szCs w:val="24"/>
          <w:u w:color="7D7D7D"/>
          <w:lang w:val="en-GB"/>
        </w:rPr>
        <w:t xml:space="preserve"> has previously been associated with a number of phenotypes including Alzheimer’s disease</w:t>
      </w:r>
      <w:r w:rsidR="007D18BE" w:rsidRPr="005A28F5">
        <w:rPr>
          <w:rFonts w:ascii="Times New Roman" w:hAnsi="Times New Roman" w:cs="Times New Roman"/>
          <w:color w:val="FF644E"/>
          <w:sz w:val="24"/>
          <w:szCs w:val="24"/>
          <w:u w:color="7D7D7D"/>
          <w:lang w:val="en-GB"/>
        </w:rPr>
        <w:t xml:space="preserve"> </w:t>
      </w:r>
      <w:r w:rsidR="007D18BE" w:rsidRPr="005A28F5">
        <w:rPr>
          <w:color w:val="000000" w:themeColor="text1"/>
          <w:u w:color="7D7D7D"/>
        </w:rPr>
        <w:fldChar w:fldCharType="begin" w:fldLock="1"/>
      </w:r>
      <w:r w:rsidR="000C3130">
        <w:rPr>
          <w:rFonts w:ascii="Times New Roman" w:hAnsi="Times New Roman" w:cs="Times New Roman"/>
          <w:color w:val="000000" w:themeColor="text1"/>
          <w:sz w:val="24"/>
          <w:szCs w:val="24"/>
          <w:u w:color="7D7D7D"/>
          <w:lang w:val="en-GB"/>
        </w:rPr>
        <w:instrText>ADDIN CSL_CITATION {"citationItems":[{"id":"ITEM-1","itemData":{"DOI":"10.1016/j.jalz.2013.01.008","ISBN":"1552-5279 (Electronic)\\r1552-5260 (Linking)","ISSN":"15525260","PMID":"23535033","abstract":"Background: Substantial interindividual variability exists in the disease trajectories of Alzheimer's disease (AD) patients. Some decline rapidly whereas others decline slowly, and there are no known explanations for this variability. We describe the first genome-wide association study to examine rate of cognitive decline in a sample of AD patients with longitudinal measures of cognition. Methods: The discovery sample was 303 AD cases recruited in the Alzheimer's Disease Neuroimaging Initiative and the replication sample was 323 AD cases from the Religious Orders Study and Rush Memory and Aging Project. In the discovery sample, Alzheimer's Disease Assessment Scale-cognitive subscale responses were tested for association with genome-wide single-nucleotide polymorphism (SNP) data using linear regression. We tested the 65 most significant SNPs from the discovery sample for association in the replication sample. Results: We identified SNPs in the spondin 1 gene (SPON1), the minor alleles of which were significantly associated with a slower rate of decline (rs11023139, P = 7.0 × 10-11) in the discovery sample. A SPON1 SNP 5.5 kb upstream was associated with decline in the replication sample (rs11606345, P =.002). Conclusion: SPON1 has not been previously associated with AD risk, but is plausibly related because the gene product binds to the amyloid precursor protein and inhibits its cleavage by β-secretase. These data suggest that SPON1 may be associated with the differential rate of cognitive decline in AD. © 2014 The Alzheimer's Association. All rights reserved.","author":[{"dropping-particle":"","family":"Sherva","given":"Richard","non-dropping-particle":"","parse-names":false,"suffix":""},{"dropping-particle":"","family":"Tripodis","given":"Yorghos","non-dropping-particle":"","parse-names":false,"suffix":""},{"dropping-particle":"","family":"Bennett","given":"David A.","non-dropping-particle":"","parse-names":false,"suffix":""},{"dropping-particle":"","family":"Chibnik","given":"Lori B.","non-dropping-particle":"","parse-names":false,"suffix":""},{"dropping-particle":"","family":"Crane","given":"Paul K.","non-dropping-particle":"","parse-names":false,"suffix":""},{"dropping-particle":"","family":"Jager","given":"Philip L.","non-dropping-particle":"de","parse-names":false,"suffix":""},{"dropping-particle":"","family":"Farrer","given":"Lindsay A.","non-dropping-particle":"","parse-names":false,"suffix":""},{"dropping-particle":"","family":"Saykin","given":"Andrew J.","non-dropping-particle":"","parse-names":false,"suffix":""},{"dropping-particle":"","family":"Shulman","given":"Joshua M.","non-dropping-particle":"","parse-names":false,"suffix":""},{"dropping-particle":"","family":"Naj","given":"Adam","non-dropping-particle":"","parse-names":false,"suffix":""},{"dropping-particle":"","family":"Green","given":"Robert C.","non-dropping-particle":"","parse-names":false,"suffix":""}],"container-title":"Alzheimer's &amp; Dementia","id":"ITEM-1","issue":"1","issued":{"date-parts":[["2014","1"]]},"page":"45-52","title":"Genome-wide association study of the rate of cognitive decline in Alzheimer's disease","type":"article-journal","volume":"10"},"uris":["http://www.mendeley.com/documents/?uuid=aece7e31-aa35-4509-88c8-93fd61dae40b"]}],"mendeley":{"formattedCitation":"(62)","plainTextFormattedCitation":"(62)","previouslyFormattedCitation":"(62)"},"properties":{"noteIndex":0},"schema":"https://github.com/citation-style-language/schema/raw/master/csl-citation.json"}</w:instrText>
      </w:r>
      <w:r w:rsidR="007D18BE" w:rsidRPr="005A28F5">
        <w:rPr>
          <w:color w:val="000000" w:themeColor="text1"/>
          <w:u w:color="7D7D7D"/>
        </w:rPr>
        <w:fldChar w:fldCharType="separate"/>
      </w:r>
      <w:r w:rsidR="002A7D5D" w:rsidRPr="002A7D5D">
        <w:rPr>
          <w:rFonts w:ascii="Times New Roman" w:hAnsi="Times New Roman" w:cs="Times New Roman"/>
          <w:noProof/>
          <w:color w:val="000000" w:themeColor="text1"/>
          <w:sz w:val="24"/>
          <w:szCs w:val="24"/>
          <w:u w:color="7D7D7D"/>
          <w:lang w:val="en-GB"/>
        </w:rPr>
        <w:t>(62)</w:t>
      </w:r>
      <w:r w:rsidR="007D18BE" w:rsidRPr="005A28F5">
        <w:rPr>
          <w:color w:val="000000" w:themeColor="text1"/>
          <w:u w:color="7D7D7D"/>
        </w:rPr>
        <w:fldChar w:fldCharType="end"/>
      </w:r>
      <w:r w:rsidRPr="005A28F5">
        <w:rPr>
          <w:rFonts w:ascii="Times New Roman" w:hAnsi="Times New Roman" w:cs="Times New Roman"/>
          <w:color w:val="000000" w:themeColor="text1"/>
          <w:sz w:val="24"/>
          <w:szCs w:val="24"/>
          <w:u w:color="7D7D7D"/>
          <w:lang w:val="en-GB"/>
        </w:rPr>
        <w:t xml:space="preserve">, </w:t>
      </w:r>
      <w:r w:rsidRPr="005A28F5">
        <w:rPr>
          <w:rFonts w:ascii="Times New Roman" w:hAnsi="Times New Roman" w:cs="Times New Roman"/>
          <w:sz w:val="24"/>
          <w:szCs w:val="24"/>
          <w:u w:color="7D7D7D"/>
          <w:lang w:val="en-GB"/>
        </w:rPr>
        <w:t>and</w:t>
      </w:r>
      <w:r w:rsidR="00130288" w:rsidRPr="005A28F5">
        <w:rPr>
          <w:rFonts w:ascii="Times New Roman" w:hAnsi="Times New Roman" w:cs="Times New Roman"/>
          <w:sz w:val="24"/>
          <w:szCs w:val="24"/>
          <w:u w:color="7D7D7D"/>
          <w:lang w:val="en-GB"/>
        </w:rPr>
        <w:t xml:space="preserve"> blood pressure</w:t>
      </w:r>
      <w:r w:rsidR="00130288" w:rsidRPr="005A28F5">
        <w:rPr>
          <w:rFonts w:ascii="Times New Roman" w:hAnsi="Times New Roman" w:cs="Times New Roman"/>
          <w:color w:val="FF644E"/>
          <w:sz w:val="24"/>
          <w:szCs w:val="24"/>
          <w:u w:color="7D7D7D"/>
          <w:lang w:val="en-GB"/>
        </w:rPr>
        <w:t xml:space="preserve"> </w:t>
      </w:r>
      <w:r w:rsidR="00130288" w:rsidRPr="005A28F5">
        <w:rPr>
          <w:color w:val="000000" w:themeColor="text1"/>
          <w:u w:color="7D7D7D"/>
        </w:rPr>
        <w:fldChar w:fldCharType="begin" w:fldLock="1"/>
      </w:r>
      <w:r w:rsidR="000C3130">
        <w:rPr>
          <w:rFonts w:ascii="Times New Roman" w:hAnsi="Times New Roman" w:cs="Times New Roman"/>
          <w:color w:val="000000" w:themeColor="text1"/>
          <w:sz w:val="24"/>
          <w:szCs w:val="24"/>
          <w:u w:color="7D7D7D"/>
          <w:lang w:val="en-GB"/>
        </w:rPr>
        <w:instrText>ADDIN CSL_CITATION {"citationItems":[{"id":"ITEM-1","itemData":{"DOI":"10.5808/GI.2013.11.3.129","ISSN":"1598-866X","PMID":"24124408","abstract":"Orthostatic hypotension (OH) is defined by a 20-mm Hg difference of systolic blood pressure (dtSBP) and/or a 10-mm Hg difference of diastolic blood pressure (dtDBP) between supine and standing, and OH is associated with a failure of the cardiovascular reflex to maintain blood pressure on standing from a supine position. To understand the underlying genetic factors for OH traits (OH, dtSBP, and dtDBP), genome-wide association studies (GWASs) using 333,651 single nucleotide polymorphisms (SNPs) were conducted separately for two population-based cohorts, Ansung (n = 3,173) and Ansan (n = 3,255). We identified 8 SNPs (5 SNPs for dtSBP and 3 SNPs for dtDBP) that were repeatedly associated in both the Ansung and Ansan cohorts and had p-values of &lt;1 × 10(-5) in the meta-analysis. Unfortunately, the SNPs of the OH case control GWAS did not pass our p-value criteria. Four of 8 SNPs were located in the intergenic region of chromosome 2, and the nearest gene (CTNNA2) was located at 1 Mb of distance. CTNNA2 is a linker between cadherin adhesion receptors and the actin cytoskeleton and is essential for stabilizing dendritic spines in rodent hippocampal neurons. Although there is no report about the function in blood pressure regulation, hippocampal neurons interact primarily with the autonomic nervous system and might be related to OH. The remaining SNPs, rs7098785 of dtSBP trait and rs6892553, rs16887217, and rs4959677 of dtDBP trait were located in the PIK3AP1 intron, ACTBL2-3' flanking, STAR intron, and intergenic region, respectively, but there was no clear functional link to blood pressure regulation.","author":[{"dropping-particle":"","family":"Hong","given":"Kyung-Won","non-dropping-particle":"","parse-names":false,"suffix":""},{"dropping-particle":"","family":"Kim","given":"Sung Soo","non-dropping-particle":"","parse-names":false,"suffix":""},{"dropping-particle":"","family":"Kim","given":"Yeonjung","non-dropping-particle":"","parse-names":false,"suffix":""}],"container-title":"Genomics &amp; Informatics","id":"ITEM-1","issue":"3","issued":{"date-parts":[["2013"]]},"page":"129","title":"Genome-Wide Association Study of Orthostatic Hypotension and Supine-Standing Blood Pressure Changes in Two Korean Populations","type":"article-journal","volume":"11"},"uris":["http://www.mendeley.com/documents/?uuid=9b25f77c-b530-48d0-9cfe-ee283ff04885"]}],"mendeley":{"formattedCitation":"(63)","plainTextFormattedCitation":"(63)","previouslyFormattedCitation":"(63)"},"properties":{"noteIndex":0},"schema":"https://github.com/citation-style-language/schema/raw/master/csl-citation.json"}</w:instrText>
      </w:r>
      <w:r w:rsidR="00130288" w:rsidRPr="005A28F5">
        <w:rPr>
          <w:color w:val="000000" w:themeColor="text1"/>
          <w:u w:color="7D7D7D"/>
        </w:rPr>
        <w:fldChar w:fldCharType="separate"/>
      </w:r>
      <w:r w:rsidR="002A7D5D" w:rsidRPr="002A7D5D">
        <w:rPr>
          <w:rFonts w:ascii="Times New Roman" w:hAnsi="Times New Roman" w:cs="Times New Roman"/>
          <w:noProof/>
          <w:color w:val="000000" w:themeColor="text1"/>
          <w:sz w:val="24"/>
          <w:szCs w:val="24"/>
          <w:u w:color="7D7D7D"/>
          <w:lang w:val="en-GB"/>
        </w:rPr>
        <w:t>(63)</w:t>
      </w:r>
      <w:r w:rsidR="00130288" w:rsidRPr="005A28F5">
        <w:rPr>
          <w:color w:val="000000" w:themeColor="text1"/>
          <w:u w:color="7D7D7D"/>
        </w:rPr>
        <w:fldChar w:fldCharType="end"/>
      </w:r>
      <w:r w:rsidRPr="005A28F5">
        <w:rPr>
          <w:rFonts w:ascii="Times New Roman" w:hAnsi="Times New Roman" w:cs="Times New Roman"/>
          <w:color w:val="000000" w:themeColor="text1"/>
          <w:sz w:val="24"/>
          <w:szCs w:val="24"/>
          <w:u w:color="7D7D7D"/>
          <w:lang w:val="en-GB"/>
        </w:rPr>
        <w:t xml:space="preserve">, </w:t>
      </w:r>
      <w:r w:rsidRPr="005A28F5">
        <w:rPr>
          <w:rFonts w:ascii="Times New Roman" w:hAnsi="Times New Roman" w:cs="Times New Roman"/>
          <w:sz w:val="24"/>
          <w:szCs w:val="24"/>
          <w:u w:color="7D7D7D"/>
          <w:lang w:val="en-GB"/>
        </w:rPr>
        <w:t xml:space="preserve">while </w:t>
      </w:r>
      <w:r w:rsidRPr="005A28F5">
        <w:rPr>
          <w:rFonts w:ascii="Times New Roman" w:hAnsi="Times New Roman" w:cs="Times New Roman"/>
          <w:i/>
          <w:sz w:val="24"/>
          <w:szCs w:val="24"/>
          <w:u w:color="7D7D7D"/>
          <w:lang w:val="en-GB"/>
        </w:rPr>
        <w:t>CDH18</w:t>
      </w:r>
      <w:r w:rsidRPr="005A28F5">
        <w:rPr>
          <w:rFonts w:ascii="Times New Roman" w:hAnsi="Times New Roman" w:cs="Times New Roman"/>
          <w:sz w:val="24"/>
          <w:szCs w:val="24"/>
          <w:u w:color="7D7D7D"/>
          <w:lang w:val="en-GB"/>
        </w:rPr>
        <w:t xml:space="preserve"> has </w:t>
      </w:r>
      <w:r w:rsidR="00130288" w:rsidRPr="005A28F5">
        <w:rPr>
          <w:rFonts w:ascii="Times New Roman" w:hAnsi="Times New Roman" w:cs="Times New Roman"/>
          <w:sz w:val="24"/>
          <w:szCs w:val="24"/>
          <w:u w:color="7D7D7D"/>
          <w:lang w:val="en-GB"/>
        </w:rPr>
        <w:t xml:space="preserve">similarly </w:t>
      </w:r>
      <w:r w:rsidRPr="005A28F5">
        <w:rPr>
          <w:rFonts w:ascii="Times New Roman" w:hAnsi="Times New Roman" w:cs="Times New Roman"/>
          <w:sz w:val="24"/>
          <w:szCs w:val="24"/>
          <w:u w:color="7D7D7D"/>
          <w:lang w:val="en-GB"/>
        </w:rPr>
        <w:t xml:space="preserve">been associated with </w:t>
      </w:r>
      <w:r w:rsidR="00130288" w:rsidRPr="005A28F5">
        <w:rPr>
          <w:rFonts w:ascii="Times New Roman" w:hAnsi="Times New Roman" w:cs="Times New Roman"/>
          <w:sz w:val="24"/>
          <w:szCs w:val="24"/>
          <w:u w:color="7D7D7D"/>
          <w:lang w:val="en-GB"/>
        </w:rPr>
        <w:t xml:space="preserve">blood pressure traits including </w:t>
      </w:r>
      <w:r w:rsidRPr="005A28F5">
        <w:rPr>
          <w:rFonts w:ascii="Times New Roman" w:hAnsi="Times New Roman" w:cs="Times New Roman"/>
          <w:sz w:val="24"/>
          <w:szCs w:val="24"/>
          <w:u w:color="7D7D7D"/>
          <w:lang w:val="en-GB"/>
        </w:rPr>
        <w:t>hypertension</w:t>
      </w:r>
      <w:r w:rsidR="00130288" w:rsidRPr="005A28F5">
        <w:rPr>
          <w:rFonts w:ascii="Times New Roman" w:hAnsi="Times New Roman" w:cs="Times New Roman"/>
          <w:sz w:val="24"/>
          <w:szCs w:val="24"/>
          <w:u w:color="7D7D7D"/>
          <w:lang w:val="en-GB"/>
        </w:rPr>
        <w:t xml:space="preserve"> </w:t>
      </w:r>
      <w:r w:rsidR="00AA11CB" w:rsidRPr="005A28F5">
        <w:rPr>
          <w:u w:color="7D7D7D"/>
        </w:rPr>
        <w:fldChar w:fldCharType="begin" w:fldLock="1"/>
      </w:r>
      <w:r w:rsidR="000C3130">
        <w:rPr>
          <w:rFonts w:ascii="Times New Roman" w:hAnsi="Times New Roman" w:cs="Times New Roman"/>
          <w:sz w:val="24"/>
          <w:szCs w:val="24"/>
          <w:u w:color="7D7D7D"/>
          <w:lang w:val="en-GB"/>
        </w:rPr>
        <w:instrText>ADDIN CSL_CITATION {"citationItems":[{"id":"ITEM-1","itemData":{"DOI":"10.1371/journal.pgen.1006728","ISBN":"1111111111","ISSN":"1553-7404","PMID":"28498854","abstract":"Hypertension is a leading cause of global disease, mortality, and disability. While individuals of African descent suffer a disproportionate burden of hypertension and its complications, they have been underrepresented in genetic studies. To identify novel susceptibility loci for blood pressure and hypertension in people of African ancestry, we performed both single and multiple-trait genome-wide association analyses. We analyzed 21 genome-wide association studies comprised of 31,968 individuals of African ancestry, and validated our results with additional 54,395 individuals from multi-ethnic studies. These analyses identified nine loci with eleven independent variants which reached genome-wide significance (P &lt; 1.25×10-8) for either systolic and diastolic blood pressure, hypertension, or for combined traits. Single-trait analyses identified two loci (TARID/TCF21 and LLPH/TMBIM4) and multiple-trait analyses identified one novel locus (FRMD3) for blood pressure. At these three loci, as well as at GRP20/CDH17, associated variants had alleles common only in African-ancestry populations. Functional annotation showed enrichment for genes expressed in immune and kidney cells, as well as in heart and vascular cells/tissues. Experiments driven by these findings and using angiotensin-II induced hypertension in mice showed altered kidney mRNA expression of six genes, suggesting their potential role in hypertension. Our study provides new evidence for genes related to hypertension susceptibility, and the need to study African-ancestry populations in order to identify biologic factors contributing to hypertension.","author":[{"dropping-particle":"","family":"Liang","given":"Jingjing","non-dropping-particle":"","parse-names":false,"suffix":""},{"dropping-particle":"","family":"Le","given":"Thu H.","non-dropping-particle":"","parse-names":false,"suffix":""},{"dropping-particle":"","family":"Edwards","given":"Digna R. Velez","non-dropping-particle":"","parse-names":false,"suffix":""},{"dropping-particle":"","family":"Tayo","given":"Bamidele O.","non-dropping-particle":"","parse-names":false,"suffix":""},{"dropping-particle":"","family":"Gaulton","given":"Kyle J.","non-dropping-particle":"","parse-names":false,"suffix":""},{"dropping-particle":"","family":"Smith","given":"Jennifer A.","non-dropping-particle":"","parse-names":false,"suffix":""},{"dropping-particle":"","family":"Lu","given":"Yingchang","non-dropping-particle":"","parse-names":false,"suffix":""},{"dropping-particle":"","family":"Jensen","given":"Richard A.","non-dropping-particle":"","parse-names":false,"suffix":""},{"dropping-particle":"","family":"Chen","given":"Guanjie","non-dropping-particle":"","parse-names":false,"suffix":""},{"dropping-particle":"","family":"Yanek","given":"Lisa R.","non-dropping-particle":"","parse-names":false,"suffix":""},{"dropping-particle":"","family":"Schwander","given":"Karen","non-dropping-particle":"","parse-names":false,"suffix":""},{"dropping-particle":"","family":"Tajuddin","given":"Salman M.","non-dropping-particle":"","parse-names":false,"suffix":""},{"dropping-particle":"","family":"Sofer","given":"Tamar","non-dropping-particle":"","parse-names":false,"suffix":""},{"dropping-particle":"","family":"Kim","given":"Wonji","non-dropping-particle":"","parse-names":false,"suffix":""},{"dropping-particle":"","family":"Kayima","given":"James","non-dropping-particle":"","parse-names":false,"suffix":""},{"dropping-particle":"","family":"McKenzie","given":"Colin A.","non-dropping-particle":"","parse-names":false,"suffix":""},{"dropping-particle":"","family":"Fox","given":"Ervin","non-dropping-particle":"","parse-names":false,"suffix":""},{"dropping-particle":"","family":"Nalls","given":"Michael A.","non-dropping-particle":"","parse-names":false,"suffix":""},{"dropping-particle":"","family":"Young","given":"J. Hunter","non-dropping-particle":"","parse-names":false,"suffix":""},{"dropping-particle":"V.","family":"Sun","given":"Yan","non-dropping-particle":"","parse-names":false,"suffix":""},{"dropping-particle":"","family":"Lane","given":"Jacqueline M.","non-dropping-particle":"","parse-names":false,"suffix":""},{"dropping-particle":"","family":"Cechova","given":"Sylvia","non-dropping-particle":"","parse-names":false,"suffix":""},{"dropping-particle":"","family":"Zhou","given":"Jie","non-dropping-particle":"","parse-names":false,"suffix":""},{"dropping-particle":"","family":"Tang","given":"Hua","non-dropping-particle":"","parse-names":false,"suffix":""},{"dropping-particle":"","family":"Fornage","given":"Myriam","non-dropping-particle":"","parse-names":false,"suffix":""},{"dropping-particle":"","family":"Musani","given":"Solomon K.","non-dropping-particle":"","parse-names":false,"suffix":""},{"dropping-particle":"","family":"Wang","given":"Heming","non-dropping-particle":"","parse-names":false,"suffix":""},{"dropping-particle":"","family":"Lee","given":"Juyoung","non-dropping-particle":"","parse-names":false,"suffix":""},{"dropping-particle":"","family":"Adeyemo","given":"Adebowale","non-dropping-particle":"","parse-names":false,"suffix":""},{"dropping-particle":"","family":"Dreisbach","given":"Albert W.","non-dropping-particle":"","parse-names":false,"suffix":""},{"dropping-particle":"","family":"Forrester","given":"Terrence","non-dropping-particle":"","parse-names":false,"suffix":""},{"dropping-particle":"","family":"Chu","given":"Pei-Lun","non-dropping-particle":"","parse-names":false,"suffix":""},{"dropping-particle":"","family":"Cappola","given":"Anne","non-dropping-particle":"","parse-names":false,"suffix":""},{"dropping-particle":"","family":"Evans","given":"Michele K.","non-dropping-particle":"","parse-names":false,"suffix":""},{"dropping-particle":"","family":"Morrison","given":"Alanna C.","non-dropping-particle":"","parse-names":false,"suffix":""},{"dropping-particle":"","family":"Martin","given":"Lisa W.","non-dropping-particle":"","parse-names":false,"suffix":""},{"dropping-particle":"","family":"Wiggins","given":"Kerri L.","non-dropping-particle":"","parse-names":false,"suffix":""},{"dropping-particle":"","family":"Hui","given":"Qin","non-dropping-particle":"","parse-names":false,"suffix":""},{"dropping-particle":"","family":"Zhao","given":"Wei","non-dropping-particle":"","parse-names":false,"suffix":""},{"dropping-particle":"","family":"Jackson","given":"Rebecca D.","non-dropping-particle":"","parse-names":false,"suffix":""},{"dropping-particle":"","family":"Ware","given":"Erin B.","non-dropping-particle":"","parse-names":false,"suffix":""},{"dropping-particle":"","family":"Faul","given":"Jessica D.","non-dropping-particle":"","parse-names":false,"suffix":""},{"dropping-particle":"","family":"Reiner","given":"Alex P.","non-dropping-particle":"","parse-names":false,"suffix":""},{"dropping-particle":"","family":"Bray","given":"Michael","non-dropping-particle":"","parse-names":false,"suffix":""},{"dropping-particle":"","family":"Denny","given":"Joshua C.","non-dropping-particle":"","parse-names":false,"suffix":""},{"dropping-particle":"","family":"Mosley","given":"Thomas H.","non-dropping-particle":"","parse-names":false,"suffix":""},{"dropping-particle":"","family":"Palmas","given":"Walter","non-dropping-particle":"","parse-names":false,"suffix":""},{"dropping-particle":"","family":"Guo","given":"Xiuqing","non-dropping-particle":"","parse-names":false,"suffix":""},{"dropping-particle":"","family":"Papanicolaou","given":"George J.","non-dropping-particle":"","parse-names":false,"suffix":""},{"dropping-particle":"","family":"Penman","given":"Alan D.","non-dropping-particle":"","parse-names":false,"suffix":""},{"dropping-particle":"","family":"Polak","given":"Joseph F.","non-dropping-particle":"","parse-names":false,"suffix":""},{"dropping-particle":"","family":"Rice","given":"Kenneth","non-dropping-particle":"","parse-names":false,"suffix":""},{"dropping-particle":"","family":"Taylor","given":"Ken D.","non-dropping-particle":"","parse-names":false,"suffix":""},{"dropping-particle":"","family":"Boerwinkle","given":"Eric","non-dropping-particle":"","parse-names":false,"suffix":""},{"dropping-particle":"","family":"Bottinger","given":"Erwin P.","non-dropping-particle":"","parse-names":false,"suffix":""},{"dropping-particle":"","family":"Liu","given":"Kiang","non-dropping-particle":"","parse-names":false,"suffix":""},{"dropping-particle":"","family":"Risch","given":"Neil","non-dropping-particle":"","parse-names":false,"suffix":""},{"dropping-particle":"","family":"Hunt","given":"Steven C.","non-dropping-particle":"","parse-names":false,"suffix":""},{"dropping-particle":"","family":"Kooperberg","given":"Charles","non-dropping-particle":"","parse-names":false,"suffix":""},{"dropping-particle":"","family":"Zonderman","given":"Alan B.","non-dropping-particle":"","parse-names":false,"suffix":""},{"dropping-particle":"","family":"Laurie","given":"Cathy C.","non-dropping-particle":"","parse-names":false,"suffix":""},{"dropping-particle":"","family":"Becker","given":"Diane M.","non-dropping-particle":"","parse-names":false,"suffix":""},{"dropping-particle":"","family":"Cai","given":"Jianwen","non-dropping-particle":"","parse-names":false,"suffix":""},{"dropping-particle":"","family":"Loos","given":"Ruth J. F.","non-dropping-particle":"","parse-names":false,"suffix":""},{"dropping-particle":"","family":"Psaty","given":"Bruce M.","non-dropping-particle":"","parse-names":false,"suffix":""},{"dropping-particle":"","family":"Weir","given":"David R.","non-dropping-particle":"","parse-names":false,"suffix":""},{"dropping-particle":"","family":"Kardia","given":"Sharon L. R.","non-dropping-particle":"","parse-names":false,"suffix":""},{"dropping-particle":"","family":"Arnett","given":"Donna K.","non-dropping-particle":"","parse-names":false,"suffix":""},{"dropping-particle":"","family":"Won","given":"Sungho","non-dropping-particle":"","parse-names":false,"suffix":""},{"dropping-particle":"","family":"Edwards","given":"Todd L.","non-dropping-particle":"","parse-names":false,"suffix":""},{"dropping-particle":"","family":"Redline","given":"Susan","non-dropping-particle":"","parse-names":false,"suffix":""},{"dropping-particle":"","family":"Cooper","given":"Richard S.","non-dropping-particle":"","parse-names":false,"suffix":""},{"dropping-particle":"","family":"Rao","given":"D. C.","non-dropping-particle":"","parse-names":false,"suffix":""},{"dropping-particle":"","family":"Rotter","given":"Jerome I.","non-dropping-particle":"","parse-names":false,"suffix":""},{"dropping-particle":"","family":"Rotimi","given":"Charles","non-dropping-particle":"","parse-names":false,"suffix":""},{"dropping-particle":"","family":"Levy","given":"Daniel","non-dropping-particle":"","parse-names":false,"suffix":""},{"dropping-particle":"","family":"Chakravarti","given":"Aravinda","non-dropping-particle":"","parse-names":false,"suffix":""},{"dropping-particle":"","family":"Zhu","given":"Xiaofeng","non-dropping-particle":"","parse-names":false,"suffix":""},{"dropping-particle":"","family":"Franceschini","given":"Nora","non-dropping-particle":"","parse-names":false,"suffix":""}],"container-title":"PLOS Genetics","editor":[{"dropping-particle":"","family":"Gibson","given":"Greg","non-dropping-particle":"","parse-names":false,"suffix":""}],"id":"ITEM-1","issue":"5","issued":{"date-parts":[["2017","5"]]},"page":"e1006728","title":"Single-trait and multi-trait genome-wide association analyses identify novel loci for blood pressure in African-ancestry populations","type":"article-journal","volume":"13"},"uris":["http://www.mendeley.com/documents/?uuid=91f9d680-35dd-4220-a973-7cd0f4bdc0ef"]}],"mendeley":{"formattedCitation":"(64)","plainTextFormattedCitation":"(64)","previouslyFormattedCitation":"(64)"},"properties":{"noteIndex":0},"schema":"https://github.com/citation-style-language/schema/raw/master/csl-citation.json"}</w:instrText>
      </w:r>
      <w:r w:rsidR="00AA11CB" w:rsidRPr="005A28F5">
        <w:rPr>
          <w:u w:color="7D7D7D"/>
        </w:rPr>
        <w:fldChar w:fldCharType="separate"/>
      </w:r>
      <w:r w:rsidR="002A7D5D" w:rsidRPr="002A7D5D">
        <w:rPr>
          <w:rFonts w:ascii="Times New Roman" w:hAnsi="Times New Roman" w:cs="Times New Roman"/>
          <w:noProof/>
          <w:sz w:val="24"/>
          <w:szCs w:val="24"/>
          <w:u w:color="7D7D7D"/>
          <w:lang w:val="en-GB"/>
        </w:rPr>
        <w:t>(64)</w:t>
      </w:r>
      <w:r w:rsidR="00AA11CB" w:rsidRPr="005A28F5">
        <w:rPr>
          <w:u w:color="7D7D7D"/>
        </w:rPr>
        <w:fldChar w:fldCharType="end"/>
      </w:r>
      <w:r w:rsidR="00130288" w:rsidRPr="005A28F5">
        <w:rPr>
          <w:rFonts w:ascii="Times New Roman" w:hAnsi="Times New Roman" w:cs="Times New Roman"/>
          <w:sz w:val="24"/>
          <w:szCs w:val="24"/>
          <w:u w:color="7D7D7D"/>
          <w:lang w:val="en-GB"/>
        </w:rPr>
        <w:t xml:space="preserve">. </w:t>
      </w:r>
    </w:p>
    <w:p w14:paraId="6963E446" w14:textId="38395109" w:rsidR="003A3110" w:rsidRPr="005A28F5" w:rsidRDefault="003A3110" w:rsidP="001A64D3">
      <w:pPr>
        <w:pStyle w:val="BodyA"/>
        <w:spacing w:line="360" w:lineRule="auto"/>
        <w:outlineLvl w:val="0"/>
        <w:rPr>
          <w:rFonts w:ascii="Times New Roman" w:hAnsi="Times New Roman" w:cs="Times New Roman"/>
          <w:sz w:val="24"/>
          <w:szCs w:val="24"/>
          <w:u w:color="7D7D7D"/>
          <w:lang w:val="en-GB"/>
        </w:rPr>
      </w:pPr>
    </w:p>
    <w:p w14:paraId="6BC4EFF1" w14:textId="038C8BB9" w:rsidR="003A3110" w:rsidRPr="005A28F5" w:rsidRDefault="003A3110" w:rsidP="001A64D3">
      <w:pPr>
        <w:pStyle w:val="BodyA"/>
        <w:spacing w:line="360" w:lineRule="auto"/>
        <w:outlineLvl w:val="0"/>
        <w:rPr>
          <w:rFonts w:ascii="Times New Roman" w:hAnsi="Times New Roman" w:cs="Times New Roman"/>
          <w:sz w:val="24"/>
          <w:szCs w:val="24"/>
          <w:u w:color="0432FF"/>
          <w:lang w:val="en-GB"/>
        </w:rPr>
      </w:pPr>
      <w:r w:rsidRPr="005A28F5">
        <w:rPr>
          <w:rFonts w:ascii="Times New Roman" w:hAnsi="Times New Roman" w:cs="Times New Roman"/>
          <w:sz w:val="24"/>
          <w:szCs w:val="24"/>
          <w:u w:color="0432FF"/>
          <w:lang w:val="en-GB"/>
        </w:rPr>
        <w:t>In the Indian EWAS</w:t>
      </w:r>
      <w:r w:rsidR="000C58F0" w:rsidRPr="005A28F5">
        <w:rPr>
          <w:rFonts w:ascii="Times New Roman" w:hAnsi="Times New Roman" w:cs="Times New Roman"/>
          <w:sz w:val="24"/>
          <w:szCs w:val="24"/>
          <w:u w:color="0432FF"/>
          <w:lang w:val="en-GB"/>
        </w:rPr>
        <w:t xml:space="preserve">, </w:t>
      </w:r>
      <w:r w:rsidRPr="005A28F5">
        <w:rPr>
          <w:rFonts w:ascii="Times New Roman" w:hAnsi="Times New Roman" w:cs="Times New Roman"/>
          <w:sz w:val="24"/>
          <w:szCs w:val="24"/>
          <w:u w:color="0432FF"/>
          <w:lang w:val="en-GB"/>
        </w:rPr>
        <w:t xml:space="preserve">one DMP mapping to </w:t>
      </w:r>
      <w:r w:rsidRPr="005A28F5">
        <w:rPr>
          <w:rFonts w:ascii="Times New Roman" w:hAnsi="Times New Roman" w:cs="Times New Roman"/>
          <w:i/>
          <w:sz w:val="24"/>
          <w:szCs w:val="24"/>
          <w:u w:color="0432FF"/>
          <w:lang w:val="en-GB"/>
        </w:rPr>
        <w:t>TMEM106A</w:t>
      </w:r>
      <w:r w:rsidRPr="005A28F5">
        <w:rPr>
          <w:rFonts w:ascii="Times New Roman" w:hAnsi="Times New Roman" w:cs="Times New Roman"/>
          <w:sz w:val="24"/>
          <w:szCs w:val="24"/>
          <w:u w:color="0432FF"/>
          <w:lang w:val="en-GB"/>
        </w:rPr>
        <w:t xml:space="preserve"> passed FDR </w:t>
      </w:r>
      <w:r w:rsidR="00833FCF" w:rsidRPr="005A28F5">
        <w:rPr>
          <w:rFonts w:ascii="Times New Roman" w:hAnsi="Times New Roman" w:cs="Times New Roman"/>
          <w:sz w:val="24"/>
          <w:szCs w:val="24"/>
          <w:u w:color="0432FF"/>
          <w:lang w:val="en-GB"/>
        </w:rPr>
        <w:t xml:space="preserve">&lt; </w:t>
      </w:r>
      <w:r w:rsidRPr="005A28F5">
        <w:rPr>
          <w:rFonts w:ascii="Times New Roman" w:hAnsi="Times New Roman" w:cs="Times New Roman"/>
          <w:sz w:val="24"/>
          <w:szCs w:val="24"/>
          <w:u w:color="0432FF"/>
          <w:lang w:val="en-GB"/>
        </w:rPr>
        <w:t xml:space="preserve">5%. However, observed beta differences at this DMP and at other subthreshold loci were very small (most &lt; 1%), and this together with the non-reproducibility of the results using different modelling strategies suggested no evidence for an effect of intervention on methylation in this cohort. This conclusion was supported by sensitivity analyses, and by the findings from the candidate </w:t>
      </w:r>
      <w:r w:rsidRPr="005A28F5">
        <w:rPr>
          <w:rFonts w:ascii="Times New Roman" w:hAnsi="Times New Roman" w:cs="Times New Roman"/>
          <w:sz w:val="24"/>
          <w:szCs w:val="24"/>
          <w:u w:color="0432FF"/>
          <w:lang w:val="en-GB"/>
        </w:rPr>
        <w:lastRenderedPageBreak/>
        <w:t xml:space="preserve">locus analyses. Consistent with this, significant DMPs from the Gambian analysis </w:t>
      </w:r>
      <w:r w:rsidR="000C58F0" w:rsidRPr="005A28F5">
        <w:rPr>
          <w:rFonts w:ascii="Times New Roman" w:hAnsi="Times New Roman" w:cs="Times New Roman"/>
          <w:sz w:val="24"/>
          <w:szCs w:val="24"/>
          <w:u w:color="0432FF"/>
          <w:lang w:val="en-GB"/>
        </w:rPr>
        <w:t xml:space="preserve">did not </w:t>
      </w:r>
      <w:r w:rsidRPr="005A28F5">
        <w:rPr>
          <w:rFonts w:ascii="Times New Roman" w:hAnsi="Times New Roman" w:cs="Times New Roman"/>
          <w:sz w:val="24"/>
          <w:szCs w:val="24"/>
          <w:u w:color="0432FF"/>
          <w:lang w:val="en-GB"/>
        </w:rPr>
        <w:t xml:space="preserve">replicate in the Indian EWAS </w:t>
      </w:r>
      <w:r w:rsidR="000C58F0" w:rsidRPr="005A28F5">
        <w:rPr>
          <w:rFonts w:ascii="Times New Roman" w:hAnsi="Times New Roman" w:cs="Times New Roman"/>
          <w:sz w:val="24"/>
          <w:szCs w:val="24"/>
          <w:u w:color="0432FF"/>
          <w:lang w:val="en-GB"/>
        </w:rPr>
        <w:t>results</w:t>
      </w:r>
      <w:r w:rsidRPr="005A28F5">
        <w:rPr>
          <w:rFonts w:ascii="Times New Roman" w:hAnsi="Times New Roman" w:cs="Times New Roman"/>
          <w:sz w:val="24"/>
          <w:szCs w:val="24"/>
          <w:u w:color="0432FF"/>
          <w:lang w:val="en-GB"/>
        </w:rPr>
        <w:t>.</w:t>
      </w:r>
    </w:p>
    <w:p w14:paraId="630789C8" w14:textId="4F955E08" w:rsidR="00E01BB2" w:rsidRPr="005A28F5" w:rsidRDefault="00E01BB2" w:rsidP="001A64D3">
      <w:pPr>
        <w:pStyle w:val="BodyA"/>
        <w:spacing w:line="360" w:lineRule="auto"/>
        <w:outlineLvl w:val="0"/>
        <w:rPr>
          <w:rFonts w:ascii="Times New Roman" w:eastAsia="Cambria" w:hAnsi="Times New Roman" w:cs="Times New Roman"/>
          <w:sz w:val="24"/>
          <w:szCs w:val="24"/>
          <w:u w:color="7D7D7D"/>
          <w:lang w:val="en-GB"/>
        </w:rPr>
      </w:pPr>
    </w:p>
    <w:p w14:paraId="00F620B2" w14:textId="75764767" w:rsidR="00E01BB2" w:rsidRPr="005A28F5" w:rsidRDefault="00BC3B0C" w:rsidP="001A64D3">
      <w:pPr>
        <w:pStyle w:val="BodyA"/>
        <w:tabs>
          <w:tab w:val="left" w:pos="720"/>
        </w:tabs>
        <w:spacing w:line="360" w:lineRule="auto"/>
        <w:outlineLvl w:val="0"/>
        <w:rPr>
          <w:rFonts w:ascii="Times New Roman" w:eastAsia="Cambria" w:hAnsi="Times New Roman" w:cs="Times New Roman"/>
          <w:sz w:val="24"/>
          <w:szCs w:val="24"/>
          <w:u w:color="7D7D7D"/>
          <w:lang w:val="en-GB"/>
        </w:rPr>
      </w:pPr>
      <w:r w:rsidRPr="005A28F5">
        <w:rPr>
          <w:rFonts w:ascii="Times New Roman" w:hAnsi="Times New Roman" w:cs="Times New Roman"/>
          <w:sz w:val="24"/>
          <w:szCs w:val="24"/>
          <w:u w:color="0432FF"/>
          <w:lang w:val="en-GB"/>
        </w:rPr>
        <w:t>A parallel analysis investigated associations with the nutritional intervention at loci not on the EPIC array, but with prior evidence of links to  maternal nutrition and/or health outcomes collected as part of the EMPHASIS study</w:t>
      </w:r>
      <w:r w:rsidR="00961CD2" w:rsidRPr="005A28F5">
        <w:rPr>
          <w:rFonts w:ascii="Times New Roman" w:hAnsi="Times New Roman" w:cs="Times New Roman"/>
          <w:sz w:val="24"/>
          <w:szCs w:val="24"/>
          <w:u w:color="0432FF"/>
          <w:lang w:val="en-GB"/>
        </w:rPr>
        <w:t xml:space="preserve"> </w:t>
      </w:r>
      <w:r w:rsidR="00961CD2" w:rsidRPr="005A28F5">
        <w:rPr>
          <w:rStyle w:val="None"/>
          <w:rFonts w:ascii="Times New Roman" w:hAnsi="Times New Roman" w:cs="Times New Roman"/>
          <w:sz w:val="24"/>
          <w:szCs w:val="24"/>
          <w:u w:color="0432FF"/>
          <w:lang w:val="en-GB"/>
        </w:rPr>
        <w:fldChar w:fldCharType="begin" w:fldLock="1"/>
      </w:r>
      <w:r w:rsidR="00897103">
        <w:rPr>
          <w:rStyle w:val="None"/>
          <w:rFonts w:ascii="Times New Roman" w:hAnsi="Times New Roman" w:cs="Times New Roman"/>
          <w:sz w:val="24"/>
          <w:szCs w:val="24"/>
          <w:u w:color="0432FF"/>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00961CD2" w:rsidRPr="005A28F5">
        <w:rPr>
          <w:rStyle w:val="None"/>
          <w:rFonts w:ascii="Times New Roman" w:hAnsi="Times New Roman" w:cs="Times New Roman"/>
          <w:sz w:val="24"/>
          <w:szCs w:val="24"/>
          <w:u w:color="0432FF"/>
          <w:lang w:val="en-GB"/>
        </w:rPr>
        <w:fldChar w:fldCharType="separate"/>
      </w:r>
      <w:r w:rsidR="001754FE" w:rsidRPr="001754FE">
        <w:rPr>
          <w:rStyle w:val="None"/>
          <w:rFonts w:ascii="Times New Roman" w:hAnsi="Times New Roman" w:cs="Times New Roman"/>
          <w:noProof/>
          <w:sz w:val="24"/>
          <w:szCs w:val="24"/>
          <w:u w:color="0432FF"/>
          <w:lang w:val="en-GB"/>
        </w:rPr>
        <w:t>(24)</w:t>
      </w:r>
      <w:r w:rsidR="00961CD2" w:rsidRPr="005A28F5">
        <w:rPr>
          <w:rStyle w:val="None"/>
          <w:rFonts w:ascii="Times New Roman" w:hAnsi="Times New Roman" w:cs="Times New Roman"/>
          <w:sz w:val="24"/>
          <w:szCs w:val="24"/>
          <w:u w:color="0432FF"/>
          <w:lang w:val="en-GB"/>
        </w:rPr>
        <w:fldChar w:fldCharType="end"/>
      </w:r>
      <w:r w:rsidR="007E5060" w:rsidRPr="005A28F5">
        <w:rPr>
          <w:rFonts w:ascii="Times New Roman" w:hAnsi="Times New Roman" w:cs="Times New Roman"/>
          <w:sz w:val="24"/>
          <w:szCs w:val="24"/>
          <w:u w:color="0432FF"/>
          <w:lang w:val="en-GB"/>
        </w:rPr>
        <w:t xml:space="preserve">. None of the candidates in either </w:t>
      </w:r>
      <w:r w:rsidRPr="005A28F5">
        <w:rPr>
          <w:rFonts w:ascii="Times New Roman" w:hAnsi="Times New Roman" w:cs="Times New Roman"/>
          <w:sz w:val="24"/>
          <w:szCs w:val="24"/>
          <w:u w:color="0432FF"/>
          <w:lang w:val="en-GB"/>
        </w:rPr>
        <w:t xml:space="preserve">cohort showed significant </w:t>
      </w:r>
      <w:r w:rsidR="00215DF0" w:rsidRPr="005A28F5">
        <w:rPr>
          <w:rFonts w:ascii="Times New Roman" w:hAnsi="Times New Roman" w:cs="Times New Roman"/>
          <w:sz w:val="24"/>
          <w:szCs w:val="24"/>
          <w:u w:color="0432FF"/>
          <w:lang w:val="en-GB"/>
        </w:rPr>
        <w:t xml:space="preserve">regional </w:t>
      </w:r>
      <w:r w:rsidRPr="005A28F5">
        <w:rPr>
          <w:rFonts w:ascii="Times New Roman" w:hAnsi="Times New Roman" w:cs="Times New Roman"/>
          <w:sz w:val="24"/>
          <w:szCs w:val="24"/>
          <w:u w:color="0432FF"/>
          <w:lang w:val="en-GB"/>
        </w:rPr>
        <w:t xml:space="preserve">DNAm differences associated with </w:t>
      </w:r>
      <w:r w:rsidR="00961CD2" w:rsidRPr="005A28F5">
        <w:rPr>
          <w:rFonts w:ascii="Times New Roman" w:hAnsi="Times New Roman" w:cs="Times New Roman"/>
          <w:sz w:val="24"/>
          <w:szCs w:val="24"/>
          <w:u w:color="0432FF"/>
          <w:lang w:val="en-GB"/>
        </w:rPr>
        <w:t xml:space="preserve">the intervention at FDR </w:t>
      </w:r>
      <w:r w:rsidR="00833FCF" w:rsidRPr="005A28F5">
        <w:rPr>
          <w:rFonts w:ascii="Times New Roman" w:hAnsi="Times New Roman" w:cs="Times New Roman"/>
          <w:sz w:val="24"/>
          <w:szCs w:val="24"/>
          <w:u w:color="0432FF"/>
          <w:lang w:val="en-GB"/>
        </w:rPr>
        <w:t xml:space="preserve">&lt; </w:t>
      </w:r>
      <w:r w:rsidR="00961CD2" w:rsidRPr="005A28F5">
        <w:rPr>
          <w:rFonts w:ascii="Times New Roman" w:hAnsi="Times New Roman" w:cs="Times New Roman"/>
          <w:sz w:val="24"/>
          <w:szCs w:val="24"/>
          <w:u w:color="0432FF"/>
          <w:lang w:val="en-GB"/>
        </w:rPr>
        <w:t>5%.</w:t>
      </w:r>
      <w:r w:rsidR="00F56EEE" w:rsidRPr="005A28F5">
        <w:rPr>
          <w:rFonts w:ascii="Times New Roman" w:hAnsi="Times New Roman" w:cs="Times New Roman"/>
          <w:sz w:val="24"/>
          <w:szCs w:val="24"/>
          <w:u w:color="0432FF"/>
          <w:lang w:val="en-GB"/>
        </w:rPr>
        <w:t xml:space="preserve"> </w:t>
      </w:r>
      <w:r w:rsidR="00961CD2" w:rsidRPr="005A28F5">
        <w:rPr>
          <w:rFonts w:ascii="Times New Roman" w:hAnsi="Times New Roman" w:cs="Times New Roman"/>
          <w:sz w:val="24"/>
          <w:szCs w:val="24"/>
          <w:u w:color="0432FF"/>
          <w:lang w:val="en-GB"/>
        </w:rPr>
        <w:t xml:space="preserve"> </w:t>
      </w:r>
      <w:r w:rsidR="009B4717" w:rsidRPr="005A28F5">
        <w:rPr>
          <w:rFonts w:ascii="Times New Roman" w:hAnsi="Times New Roman" w:cs="Times New Roman"/>
          <w:sz w:val="24"/>
          <w:szCs w:val="24"/>
          <w:u w:color="0432FF"/>
          <w:lang w:val="en-GB"/>
        </w:rPr>
        <w:t xml:space="preserve">However, </w:t>
      </w:r>
      <w:r w:rsidR="007E5060" w:rsidRPr="005A28F5">
        <w:rPr>
          <w:rFonts w:ascii="Times New Roman" w:hAnsi="Times New Roman" w:cs="Times New Roman"/>
          <w:sz w:val="24"/>
          <w:szCs w:val="24"/>
          <w:u w:color="0432FF"/>
          <w:lang w:val="en-GB"/>
        </w:rPr>
        <w:t xml:space="preserve">in the Gambian candidates </w:t>
      </w:r>
      <w:r w:rsidR="009B4717" w:rsidRPr="005A28F5">
        <w:rPr>
          <w:rFonts w:ascii="Times New Roman" w:hAnsi="Times New Roman" w:cs="Times New Roman"/>
          <w:sz w:val="24"/>
          <w:szCs w:val="24"/>
          <w:u w:color="0432FF"/>
          <w:lang w:val="en-GB"/>
        </w:rPr>
        <w:t>w</w:t>
      </w:r>
      <w:r w:rsidR="008B04DD" w:rsidRPr="005A28F5">
        <w:rPr>
          <w:rFonts w:ascii="Times New Roman" w:hAnsi="Times New Roman" w:cs="Times New Roman"/>
          <w:sz w:val="24"/>
          <w:szCs w:val="24"/>
          <w:u w:color="0432FF"/>
          <w:lang w:val="en-GB"/>
        </w:rPr>
        <w:t>e found</w:t>
      </w:r>
      <w:r w:rsidR="008B04DD" w:rsidRPr="005A28F5">
        <w:rPr>
          <w:rStyle w:val="CommentReference"/>
          <w:rFonts w:ascii="Times New Roman" w:hAnsi="Times New Roman" w:cs="Times New Roman"/>
          <w:color w:val="auto"/>
          <w:lang w:val="en-GB" w:eastAsia="en-US"/>
        </w:rPr>
        <w:t xml:space="preserve"> </w:t>
      </w:r>
      <w:r w:rsidR="00D923B5" w:rsidRPr="005A28F5">
        <w:rPr>
          <w:rFonts w:ascii="Times New Roman" w:hAnsi="Times New Roman" w:cs="Times New Roman"/>
          <w:sz w:val="24"/>
          <w:szCs w:val="24"/>
          <w:u w:color="0432FF"/>
          <w:lang w:val="en-GB"/>
        </w:rPr>
        <w:t xml:space="preserve">consistent </w:t>
      </w:r>
      <w:r w:rsidR="009B4717" w:rsidRPr="005A28F5">
        <w:rPr>
          <w:rFonts w:ascii="Times New Roman" w:hAnsi="Times New Roman" w:cs="Times New Roman"/>
          <w:sz w:val="24"/>
          <w:szCs w:val="24"/>
          <w:u w:color="0432FF"/>
          <w:lang w:val="en-GB"/>
        </w:rPr>
        <w:t xml:space="preserve">associations (nominal </w:t>
      </w:r>
      <w:r w:rsidR="007C3D95" w:rsidRPr="005A28F5">
        <w:rPr>
          <w:rFonts w:ascii="Times New Roman" w:hAnsi="Times New Roman" w:cs="Times New Roman"/>
          <w:sz w:val="24"/>
          <w:szCs w:val="24"/>
          <w:u w:color="0432FF"/>
          <w:lang w:val="en-GB"/>
        </w:rPr>
        <w:t xml:space="preserve">regional </w:t>
      </w:r>
      <w:r w:rsidR="009B4717" w:rsidRPr="005A28F5">
        <w:rPr>
          <w:rFonts w:ascii="Times New Roman" w:hAnsi="Times New Roman" w:cs="Times New Roman"/>
          <w:sz w:val="24"/>
          <w:szCs w:val="24"/>
          <w:u w:color="0432FF"/>
          <w:lang w:val="en-GB"/>
        </w:rPr>
        <w:t>p</w:t>
      </w:r>
      <w:r w:rsidR="00027E35" w:rsidRPr="005A28F5">
        <w:rPr>
          <w:rFonts w:ascii="Times New Roman" w:hAnsi="Times New Roman" w:cs="Times New Roman"/>
          <w:sz w:val="24"/>
          <w:szCs w:val="24"/>
          <w:u w:color="0432FF"/>
          <w:lang w:val="en-GB"/>
        </w:rPr>
        <w:t xml:space="preserve"> </w:t>
      </w:r>
      <w:r w:rsidR="009B4717" w:rsidRPr="005A28F5">
        <w:rPr>
          <w:rFonts w:ascii="Times New Roman" w:hAnsi="Times New Roman" w:cs="Times New Roman"/>
          <w:sz w:val="24"/>
          <w:szCs w:val="24"/>
          <w:u w:color="0432FF"/>
          <w:lang w:val="en-GB"/>
        </w:rPr>
        <w:t>&lt;</w:t>
      </w:r>
      <w:r w:rsidR="00027E35" w:rsidRPr="005A28F5">
        <w:rPr>
          <w:rFonts w:ascii="Times New Roman" w:hAnsi="Times New Roman" w:cs="Times New Roman"/>
          <w:sz w:val="24"/>
          <w:szCs w:val="24"/>
          <w:u w:color="0432FF"/>
          <w:lang w:val="en-GB"/>
        </w:rPr>
        <w:t xml:space="preserve"> </w:t>
      </w:r>
      <w:r w:rsidR="009B4717" w:rsidRPr="005A28F5">
        <w:rPr>
          <w:rFonts w:ascii="Times New Roman" w:hAnsi="Times New Roman" w:cs="Times New Roman"/>
          <w:sz w:val="24"/>
          <w:szCs w:val="24"/>
          <w:u w:color="0432FF"/>
          <w:lang w:val="en-GB"/>
        </w:rPr>
        <w:t xml:space="preserve">0.05) </w:t>
      </w:r>
      <w:r w:rsidR="00D923B5" w:rsidRPr="005A28F5">
        <w:rPr>
          <w:rFonts w:ascii="Times New Roman" w:hAnsi="Times New Roman" w:cs="Times New Roman"/>
          <w:sz w:val="24"/>
          <w:szCs w:val="24"/>
          <w:u w:color="0432FF"/>
          <w:lang w:val="en-GB"/>
        </w:rPr>
        <w:t xml:space="preserve">across all measured CpGs </w:t>
      </w:r>
      <w:r w:rsidR="000C58F0" w:rsidRPr="005A28F5">
        <w:rPr>
          <w:rFonts w:ascii="Times New Roman" w:hAnsi="Times New Roman" w:cs="Times New Roman"/>
          <w:sz w:val="24"/>
          <w:szCs w:val="24"/>
          <w:u w:color="0432FF"/>
          <w:lang w:val="en-GB"/>
        </w:rPr>
        <w:t>in two r</w:t>
      </w:r>
      <w:r w:rsidRPr="005A28F5">
        <w:rPr>
          <w:rFonts w:ascii="Times New Roman" w:hAnsi="Times New Roman" w:cs="Times New Roman"/>
          <w:sz w:val="24"/>
          <w:szCs w:val="24"/>
          <w:u w:color="0432FF"/>
          <w:lang w:val="en-GB"/>
        </w:rPr>
        <w:t>egion</w:t>
      </w:r>
      <w:r w:rsidR="000C58F0" w:rsidRPr="005A28F5">
        <w:rPr>
          <w:rFonts w:ascii="Times New Roman" w:hAnsi="Times New Roman" w:cs="Times New Roman"/>
          <w:sz w:val="24"/>
          <w:szCs w:val="24"/>
          <w:u w:color="0432FF"/>
          <w:lang w:val="en-GB"/>
        </w:rPr>
        <w:t>s, 1)  a region</w:t>
      </w:r>
      <w:r w:rsidRPr="005A28F5">
        <w:rPr>
          <w:rFonts w:ascii="Times New Roman" w:hAnsi="Times New Roman" w:cs="Times New Roman"/>
          <w:sz w:val="24"/>
          <w:szCs w:val="24"/>
          <w:u w:color="0432FF"/>
          <w:lang w:val="en-GB"/>
        </w:rPr>
        <w:t xml:space="preserve"> proximal to the imprinting control region of </w:t>
      </w:r>
      <w:r w:rsidR="00961CD2" w:rsidRPr="005A28F5">
        <w:rPr>
          <w:rFonts w:ascii="Times New Roman" w:hAnsi="Times New Roman" w:cs="Times New Roman"/>
          <w:i/>
          <w:sz w:val="24"/>
          <w:szCs w:val="24"/>
          <w:lang w:val="en-GB"/>
        </w:rPr>
        <w:t>H19</w:t>
      </w:r>
      <w:r w:rsidR="00961CD2" w:rsidRPr="005A28F5">
        <w:rPr>
          <w:rFonts w:ascii="Times New Roman" w:hAnsi="Times New Roman" w:cs="Times New Roman"/>
          <w:sz w:val="24"/>
          <w:szCs w:val="24"/>
          <w:lang w:val="en-GB"/>
        </w:rPr>
        <w:t xml:space="preserve">, </w:t>
      </w:r>
      <w:r w:rsidRPr="005A28F5">
        <w:rPr>
          <w:rFonts w:ascii="Times New Roman" w:hAnsi="Times New Roman" w:cs="Times New Roman"/>
          <w:sz w:val="24"/>
          <w:szCs w:val="24"/>
          <w:lang w:val="en-GB"/>
        </w:rPr>
        <w:t>a gene involved in fetal growth and development</w:t>
      </w:r>
      <w:r w:rsidR="009B4717" w:rsidRPr="005A28F5">
        <w:rPr>
          <w:rFonts w:ascii="Times New Roman" w:hAnsi="Times New Roman" w:cs="Times New Roman"/>
          <w:sz w:val="24"/>
          <w:szCs w:val="24"/>
          <w:lang w:val="en-GB"/>
        </w:rPr>
        <w:t>,</w:t>
      </w:r>
      <w:r w:rsidRPr="005A28F5">
        <w:rPr>
          <w:rFonts w:ascii="Times New Roman" w:hAnsi="Times New Roman" w:cs="Times New Roman"/>
          <w:sz w:val="24"/>
          <w:szCs w:val="24"/>
          <w:lang w:val="en-GB"/>
        </w:rPr>
        <w:t xml:space="preserve"> and </w:t>
      </w:r>
      <w:r w:rsidR="000C58F0" w:rsidRPr="005A28F5">
        <w:rPr>
          <w:rFonts w:ascii="Times New Roman" w:hAnsi="Times New Roman" w:cs="Times New Roman"/>
          <w:sz w:val="24"/>
          <w:szCs w:val="24"/>
          <w:lang w:val="en-GB"/>
        </w:rPr>
        <w:t xml:space="preserve">2) </w:t>
      </w:r>
      <w:r w:rsidR="000C58F0" w:rsidRPr="005A28F5">
        <w:rPr>
          <w:rFonts w:ascii="Times New Roman" w:hAnsi="Times New Roman" w:cs="Times New Roman"/>
          <w:i/>
          <w:sz w:val="24"/>
          <w:szCs w:val="24"/>
          <w:lang w:val="en-GB"/>
        </w:rPr>
        <w:t>PAX8</w:t>
      </w:r>
      <w:r w:rsidR="000C58F0" w:rsidRPr="005A28F5">
        <w:rPr>
          <w:rFonts w:ascii="Times New Roman" w:hAnsi="Times New Roman" w:cs="Times New Roman"/>
          <w:sz w:val="24"/>
          <w:szCs w:val="24"/>
          <w:lang w:val="en-GB"/>
        </w:rPr>
        <w:t xml:space="preserve"> - </w:t>
      </w:r>
      <w:r w:rsidRPr="005A28F5">
        <w:rPr>
          <w:rFonts w:ascii="Times New Roman" w:hAnsi="Times New Roman" w:cs="Times New Roman"/>
          <w:sz w:val="24"/>
          <w:szCs w:val="24"/>
          <w:lang w:val="en-GB"/>
        </w:rPr>
        <w:t xml:space="preserve"> a previously identified human metastable epiallele</w:t>
      </w:r>
      <w:r w:rsidR="009B4717" w:rsidRPr="005A28F5">
        <w:rPr>
          <w:rFonts w:ascii="Times New Roman" w:hAnsi="Times New Roman" w:cs="Times New Roman"/>
          <w:sz w:val="24"/>
          <w:szCs w:val="24"/>
          <w:lang w:val="en-GB"/>
        </w:rPr>
        <w:t>. D</w:t>
      </w:r>
      <w:r w:rsidRPr="005A28F5">
        <w:rPr>
          <w:rFonts w:ascii="Times New Roman" w:hAnsi="Times New Roman" w:cs="Times New Roman"/>
          <w:sz w:val="24"/>
          <w:szCs w:val="24"/>
          <w:u w:color="0432FF"/>
          <w:lang w:val="en-GB"/>
        </w:rPr>
        <w:t xml:space="preserve">ecreased methylation at </w:t>
      </w:r>
      <w:r w:rsidRPr="005A28F5">
        <w:rPr>
          <w:rFonts w:ascii="Times New Roman" w:hAnsi="Times New Roman" w:cs="Times New Roman"/>
          <w:i/>
          <w:sz w:val="24"/>
          <w:szCs w:val="24"/>
          <w:u w:color="0432FF"/>
          <w:lang w:val="en-GB"/>
        </w:rPr>
        <w:t>H19</w:t>
      </w:r>
      <w:r w:rsidRPr="005A28F5">
        <w:rPr>
          <w:rFonts w:ascii="Times New Roman" w:hAnsi="Times New Roman" w:cs="Times New Roman"/>
          <w:sz w:val="24"/>
          <w:szCs w:val="24"/>
          <w:u w:color="0432FF"/>
          <w:lang w:val="en-GB"/>
        </w:rPr>
        <w:t xml:space="preserve"> </w:t>
      </w:r>
      <w:r w:rsidR="00AA11CB" w:rsidRPr="005A28F5">
        <w:rPr>
          <w:rFonts w:ascii="Times New Roman" w:hAnsi="Times New Roman" w:cs="Times New Roman"/>
          <w:sz w:val="24"/>
          <w:szCs w:val="24"/>
          <w:u w:color="0432FF"/>
          <w:lang w:val="en-GB"/>
        </w:rPr>
        <w:t xml:space="preserve">has been </w:t>
      </w:r>
      <w:r w:rsidRPr="005A28F5">
        <w:rPr>
          <w:rFonts w:ascii="Times New Roman" w:hAnsi="Times New Roman" w:cs="Times New Roman"/>
          <w:sz w:val="24"/>
          <w:szCs w:val="24"/>
          <w:u w:color="0432FF"/>
          <w:lang w:val="en-GB"/>
        </w:rPr>
        <w:t>associated with folic acid supplementation taken bef</w:t>
      </w:r>
      <w:r w:rsidR="00D923B5" w:rsidRPr="005A28F5">
        <w:rPr>
          <w:rFonts w:ascii="Times New Roman" w:hAnsi="Times New Roman" w:cs="Times New Roman"/>
          <w:sz w:val="24"/>
          <w:szCs w:val="24"/>
          <w:u w:color="0432FF"/>
          <w:lang w:val="en-GB"/>
        </w:rPr>
        <w:t xml:space="preserve">ore and during pregnancy </w:t>
      </w:r>
      <w:r w:rsidR="00AA11CB" w:rsidRPr="005A28F5">
        <w:rPr>
          <w:rStyle w:val="None"/>
          <w:rFonts w:ascii="Times New Roman" w:hAnsi="Times New Roman" w:cs="Times New Roman"/>
          <w:sz w:val="24"/>
          <w:szCs w:val="24"/>
          <w:u w:color="0432FF"/>
          <w:lang w:val="en-GB"/>
        </w:rPr>
        <w:fldChar w:fldCharType="begin" w:fldLock="1"/>
      </w:r>
      <w:r w:rsidR="000C3130">
        <w:rPr>
          <w:rStyle w:val="None"/>
          <w:rFonts w:ascii="Times New Roman" w:hAnsi="Times New Roman" w:cs="Times New Roman"/>
          <w:sz w:val="24"/>
          <w:szCs w:val="24"/>
          <w:u w:color="0432FF"/>
          <w:lang w:val="en-GB"/>
        </w:rPr>
        <w:instrText>ADDIN CSL_CITATION {"citationItems":[{"id":"ITEM-1","itemData":{"DOI":"10.4161/epi.6.7.16263","ISBN":"1559-2308 (Electronic)\\r1559-2294 (Linking)","ISSN":"1559-2294","PMID":"21636975","abstract":"Folic acid (FA) supplementation before and during pregnancy has been associated with decreased risk of neural tube defects although recent reports suggest it may also increase the risk of other chronic diseases. We evaluated exposure to maternal FA supplementation before and during pregnancy in relation to aberrant DNA methylation at two differentially methylated regions (DMRs) regulating Insulin-like Growth Factor 2 (IGF2) expression in infants. Aberrant methylation at these regions has been associated with IGF2 deregulation and increased susceptibility to several chronic diseases. Using a self-administered questionnaire, we assessed FA intake before and during pregnancy in 438 pregnant women. Pyrosequencing was used to measure methylation at two IGF2 DMRs in umbilical cord blood leukocytes. Mixed models were used to determine relationships between maternal FA supplementation before or during pregnancy and DNA methylation levels at birth. Average methylation at the H19 DMR was 61.2%. Compared to infants ...","author":[{"dropping-particle":"","family":"Hoyo","given":"Cathrine","non-dropping-particle":"","parse-names":false,"suffix":""},{"dropping-particle":"","family":"Murtha","given":"Amy P.","non-dropping-particle":"","parse-names":false,"suffix":""},{"dropping-particle":"","family":"Schildkraut","given":"Joellen M.","non-dropping-particle":"","parse-names":false,"suffix":""},{"dropping-particle":"","family":"Jirtle","given":"Randy L.","non-dropping-particle":"","parse-names":false,"suffix":""},{"dropping-particle":"","family":"Demark-Wahnefried","given":"Wendy","non-dropping-particle":"","parse-names":false,"suffix":""},{"dropping-particle":"","family":"Forman","given":"Michele R.","non-dropping-particle":"","parse-names":false,"suffix":""},{"dropping-particle":"","family":"Iversen","given":"Edwin S.","non-dropping-particle":"","parse-names":false,"suffix":""},{"dropping-particle":"","family":"Kurtzberg","given":"Joanne","non-dropping-particle":"","parse-names":false,"suffix":""},{"dropping-particle":"","family":"Overcash","given":"Francine","non-dropping-particle":"","parse-names":false,"suffix":""},{"dropping-particle":"","family":"Huang","given":"Zhiqing","non-dropping-particle":"","parse-names":false,"suffix":""},{"dropping-particle":"","family":"Murphy","given":"Susan K.","non-dropping-particle":"","parse-names":false,"suffix":""}],"container-title":"Epigenetics","id":"ITEM-1","issue":"7","issued":{"date-parts":[["2011","7","1"]]},"page":"928-936","title":"Methylation variation at IGF2 differentially methylated regions and maternal folic acid use before and during pregnancy","type":"article-journal","volume":"6"},"uris":["http://www.mendeley.com/documents/?uuid=a03caa12-fbfd-4694-a7bf-5a322f54e310"]}],"mendeley":{"formattedCitation":"(65)","plainTextFormattedCitation":"(65)","previouslyFormattedCitation":"(65)"},"properties":{"noteIndex":0},"schema":"https://github.com/citation-style-language/schema/raw/master/csl-citation.json"}</w:instrText>
      </w:r>
      <w:r w:rsidR="00AA11CB" w:rsidRPr="005A28F5">
        <w:rPr>
          <w:rStyle w:val="None"/>
          <w:rFonts w:ascii="Times New Roman" w:hAnsi="Times New Roman" w:cs="Times New Roman"/>
          <w:sz w:val="24"/>
          <w:szCs w:val="24"/>
          <w:u w:color="0432FF"/>
          <w:lang w:val="en-GB"/>
        </w:rPr>
        <w:fldChar w:fldCharType="separate"/>
      </w:r>
      <w:r w:rsidR="002A7D5D" w:rsidRPr="002A7D5D">
        <w:rPr>
          <w:rStyle w:val="None"/>
          <w:rFonts w:ascii="Times New Roman" w:hAnsi="Times New Roman" w:cs="Times New Roman"/>
          <w:noProof/>
          <w:sz w:val="24"/>
          <w:szCs w:val="24"/>
          <w:u w:color="0432FF"/>
          <w:lang w:val="en-GB"/>
        </w:rPr>
        <w:t>(65)</w:t>
      </w:r>
      <w:r w:rsidR="00AA11CB" w:rsidRPr="005A28F5">
        <w:rPr>
          <w:rStyle w:val="None"/>
          <w:rFonts w:ascii="Times New Roman" w:hAnsi="Times New Roman" w:cs="Times New Roman"/>
          <w:sz w:val="24"/>
          <w:szCs w:val="24"/>
          <w:u w:color="0432FF"/>
          <w:lang w:val="en-GB"/>
        </w:rPr>
        <w:fldChar w:fldCharType="end"/>
      </w:r>
      <w:r w:rsidR="00F94334" w:rsidRPr="005A28F5">
        <w:rPr>
          <w:rFonts w:ascii="Times New Roman" w:hAnsi="Times New Roman" w:cs="Times New Roman"/>
          <w:sz w:val="24"/>
          <w:szCs w:val="24"/>
          <w:u w:color="0432FF"/>
          <w:lang w:val="en-GB"/>
        </w:rPr>
        <w:t>. P</w:t>
      </w:r>
      <w:r w:rsidRPr="005A28F5">
        <w:rPr>
          <w:rFonts w:ascii="Times New Roman" w:hAnsi="Times New Roman" w:cs="Times New Roman"/>
          <w:sz w:val="24"/>
          <w:szCs w:val="24"/>
          <w:u w:color="0432FF"/>
          <w:lang w:val="en-GB"/>
        </w:rPr>
        <w:t xml:space="preserve">revious studies in The Gambia have found increased methylation of </w:t>
      </w:r>
      <w:r w:rsidRPr="005A28F5">
        <w:rPr>
          <w:rFonts w:ascii="Times New Roman" w:hAnsi="Times New Roman" w:cs="Times New Roman"/>
          <w:i/>
          <w:sz w:val="24"/>
          <w:szCs w:val="24"/>
          <w:u w:color="0432FF"/>
          <w:lang w:val="en-GB"/>
        </w:rPr>
        <w:t>PAX8</w:t>
      </w:r>
      <w:r w:rsidRPr="005A28F5">
        <w:rPr>
          <w:rFonts w:ascii="Times New Roman" w:hAnsi="Times New Roman" w:cs="Times New Roman"/>
          <w:sz w:val="24"/>
          <w:szCs w:val="24"/>
          <w:u w:color="0432FF"/>
          <w:lang w:val="en-GB"/>
        </w:rPr>
        <w:t xml:space="preserve"> associated with rainy season conceptions </w:t>
      </w:r>
      <w:r w:rsidR="00AA11CB" w:rsidRPr="005A28F5">
        <w:rPr>
          <w:rStyle w:val="None"/>
          <w:rFonts w:ascii="Times New Roman" w:hAnsi="Times New Roman" w:cs="Times New Roman"/>
          <w:sz w:val="24"/>
          <w:szCs w:val="24"/>
          <w:u w:color="0432FF"/>
          <w:lang w:val="en-GB"/>
        </w:rPr>
        <w:fldChar w:fldCharType="begin" w:fldLock="1"/>
      </w:r>
      <w:r w:rsidR="000C3130">
        <w:rPr>
          <w:rStyle w:val="None"/>
          <w:rFonts w:ascii="Times New Roman" w:hAnsi="Times New Roman" w:cs="Times New Roman"/>
          <w:sz w:val="24"/>
          <w:szCs w:val="24"/>
          <w:u w:color="0432FF"/>
          <w:lang w:val="en-GB"/>
        </w:rPr>
        <w:instrText>ADDIN CSL_CITATION {"citationItems":[{"id":"ITEM-1","itemData":{"DOI":"10.1371/journal.pgen.1001252","ISBN":"1553-7404 (Electronic) 1553-7390 (Linking)","ISSN":"1553-7404","PMID":"21203497","abstract":"Throughout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disease.","author":[{"dropping-particle":"","family":"Waterland","given":"Robert A","non-dropping-particle":"","parse-names":false,"suffix":""},{"dropping-particle":"","family":"Kellermayer","given":"Richard","non-dropping-particle":"","parse-names":false,"suffix":""},{"dropping-particle":"","family":"Laritsky","given":"Eleonora","non-dropping-particle":"","parse-names":false,"suffix":""},{"dropping-particle":"","family":"Rayco-Solon","given":"Pura","non-dropping-particle":"","parse-names":false,"suffix":""},{"dropping-particle":"","family":"Harris","given":"R Alan","non-dropping-particle":"","parse-names":false,"suffix":""},{"dropping-particle":"","family":"Travisano","given":"Michael","non-dropping-particle":"","parse-names":false,"suffix":""},{"dropping-particle":"","family":"Zhang","given":"Wenjuan","non-dropping-particle":"","parse-names":false,"suffix":""},{"dropping-particle":"","family":"Torskaya","given":"Maria S","non-dropping-particle":"","parse-names":false,"suffix":""},{"dropping-particle":"","family":"Zhang","given":"Jiexin","non-dropping-particle":"","parse-names":false,"suffix":""},{"dropping-particle":"","family":"Shen","given":"Lanlan","non-dropping-particle":"","parse-names":false,"suffix":""},{"dropping-particle":"","family":"Manary","given":"Mark J","non-dropping-particle":"","parse-names":false,"suffix":""},{"dropping-particle":"","family":"Prentice","given":"Andrew M","non-dropping-particle":"","parse-names":false,"suffix":""}],"container-title":"PLoS genetics","editor":[{"dropping-particle":"","family":"Whitelaw","given":"Emma","non-dropping-particle":"","parse-names":false,"suffix":""}],"id":"ITEM-1","issue":"12","issued":{"date-parts":[["2010","12","23"]]},"page":"e1001252","title":"Season of conception in rural gambia affects DNA methylation at putative human metastable epialleles.","type":"article-journal","volume":"6"},"uris":["http://www.mendeley.com/documents/?uuid=43f2c9dd-08d3-4dd5-a7d2-06d6ca62f29f"]}],"mendeley":{"formattedCitation":"(66)","plainTextFormattedCitation":"(66)","previouslyFormattedCitation":"(66)"},"properties":{"noteIndex":0},"schema":"https://github.com/citation-style-language/schema/raw/master/csl-citation.json"}</w:instrText>
      </w:r>
      <w:r w:rsidR="00AA11CB" w:rsidRPr="005A28F5">
        <w:rPr>
          <w:rStyle w:val="None"/>
          <w:rFonts w:ascii="Times New Roman" w:hAnsi="Times New Roman" w:cs="Times New Roman"/>
          <w:sz w:val="24"/>
          <w:szCs w:val="24"/>
          <w:u w:color="0432FF"/>
          <w:lang w:val="en-GB"/>
        </w:rPr>
        <w:fldChar w:fldCharType="separate"/>
      </w:r>
      <w:r w:rsidR="002A7D5D" w:rsidRPr="002A7D5D">
        <w:rPr>
          <w:rStyle w:val="None"/>
          <w:rFonts w:ascii="Times New Roman" w:hAnsi="Times New Roman" w:cs="Times New Roman"/>
          <w:noProof/>
          <w:sz w:val="24"/>
          <w:szCs w:val="24"/>
          <w:u w:color="0432FF"/>
          <w:lang w:val="en-GB"/>
        </w:rPr>
        <w:t>(66)</w:t>
      </w:r>
      <w:r w:rsidR="00AA11CB" w:rsidRPr="005A28F5">
        <w:rPr>
          <w:rStyle w:val="None"/>
          <w:rFonts w:ascii="Times New Roman" w:hAnsi="Times New Roman" w:cs="Times New Roman"/>
          <w:sz w:val="24"/>
          <w:szCs w:val="24"/>
          <w:u w:color="0432FF"/>
          <w:lang w:val="en-GB"/>
        </w:rPr>
        <w:fldChar w:fldCharType="end"/>
      </w:r>
      <w:r w:rsidR="00BD6885" w:rsidRPr="005A28F5">
        <w:rPr>
          <w:rFonts w:ascii="Times New Roman" w:hAnsi="Times New Roman" w:cs="Times New Roman"/>
          <w:sz w:val="24"/>
          <w:szCs w:val="24"/>
          <w:u w:color="0432FF"/>
          <w:lang w:val="en-GB"/>
        </w:rPr>
        <w:t>,</w:t>
      </w:r>
      <w:r w:rsidRPr="005A28F5">
        <w:rPr>
          <w:rFonts w:ascii="Times New Roman" w:hAnsi="Times New Roman" w:cs="Times New Roman"/>
          <w:sz w:val="24"/>
          <w:szCs w:val="24"/>
          <w:u w:color="0432FF"/>
          <w:lang w:val="en-GB"/>
        </w:rPr>
        <w:t xml:space="preserve"> an exposure associated with </w:t>
      </w:r>
      <w:r w:rsidR="00BD6885" w:rsidRPr="005A28F5">
        <w:rPr>
          <w:rFonts w:ascii="Times New Roman" w:hAnsi="Times New Roman" w:cs="Times New Roman"/>
          <w:sz w:val="24"/>
          <w:szCs w:val="24"/>
          <w:u w:color="0432FF"/>
          <w:lang w:val="en-GB"/>
        </w:rPr>
        <w:t xml:space="preserve">an increase in certain </w:t>
      </w:r>
      <w:r w:rsidR="003A3110" w:rsidRPr="005A28F5">
        <w:rPr>
          <w:rFonts w:ascii="Times New Roman" w:hAnsi="Times New Roman" w:cs="Times New Roman"/>
          <w:sz w:val="24"/>
          <w:szCs w:val="24"/>
          <w:u w:color="0432FF"/>
          <w:lang w:val="en-GB"/>
        </w:rPr>
        <w:t xml:space="preserve">maternal </w:t>
      </w:r>
      <w:r w:rsidR="00BD6885" w:rsidRPr="005A28F5">
        <w:rPr>
          <w:rFonts w:ascii="Times New Roman" w:hAnsi="Times New Roman" w:cs="Times New Roman"/>
          <w:sz w:val="24"/>
          <w:szCs w:val="24"/>
          <w:u w:color="0432FF"/>
          <w:lang w:val="en-GB"/>
        </w:rPr>
        <w:t xml:space="preserve">1-C </w:t>
      </w:r>
      <w:r w:rsidR="00D923B5" w:rsidRPr="005A28F5">
        <w:rPr>
          <w:rFonts w:ascii="Times New Roman" w:hAnsi="Times New Roman" w:cs="Times New Roman"/>
          <w:sz w:val="24"/>
          <w:szCs w:val="24"/>
          <w:u w:color="0432FF"/>
          <w:lang w:val="en-GB"/>
        </w:rPr>
        <w:t>micronutrient levels.</w:t>
      </w:r>
      <w:r w:rsidR="003A3110" w:rsidRPr="005A28F5">
        <w:rPr>
          <w:rFonts w:ascii="Times New Roman" w:hAnsi="Times New Roman" w:cs="Times New Roman"/>
          <w:sz w:val="24"/>
          <w:szCs w:val="24"/>
          <w:u w:color="0432FF"/>
          <w:lang w:val="en-GB"/>
        </w:rPr>
        <w:t xml:space="preserve"> </w:t>
      </w:r>
      <w:r w:rsidR="000C58F0" w:rsidRPr="005A28F5">
        <w:rPr>
          <w:rFonts w:ascii="Times New Roman" w:hAnsi="Times New Roman" w:cs="Times New Roman"/>
          <w:sz w:val="24"/>
          <w:szCs w:val="24"/>
          <w:u w:color="0432FF"/>
          <w:lang w:val="en-GB"/>
        </w:rPr>
        <w:t xml:space="preserve">For both regions, the direction of the effects across the regions were </w:t>
      </w:r>
      <w:r w:rsidR="00162BB1" w:rsidRPr="005A28F5">
        <w:rPr>
          <w:rFonts w:ascii="Times New Roman" w:hAnsi="Times New Roman" w:cs="Times New Roman"/>
          <w:sz w:val="24"/>
          <w:szCs w:val="24"/>
          <w:u w:color="0432FF"/>
          <w:lang w:val="en-GB"/>
        </w:rPr>
        <w:t>consistent with</w:t>
      </w:r>
      <w:r w:rsidR="000C58F0" w:rsidRPr="005A28F5">
        <w:rPr>
          <w:rFonts w:ascii="Times New Roman" w:hAnsi="Times New Roman" w:cs="Times New Roman"/>
          <w:sz w:val="24"/>
          <w:szCs w:val="24"/>
          <w:u w:color="0432FF"/>
          <w:lang w:val="en-GB"/>
        </w:rPr>
        <w:t xml:space="preserve"> these previous findings.</w:t>
      </w:r>
    </w:p>
    <w:p w14:paraId="7DFE145C" w14:textId="77777777" w:rsidR="000C484D" w:rsidRPr="005A28F5" w:rsidRDefault="000C484D" w:rsidP="001A64D3">
      <w:pPr>
        <w:pStyle w:val="BodyA"/>
        <w:spacing w:line="360" w:lineRule="auto"/>
        <w:outlineLvl w:val="0"/>
        <w:rPr>
          <w:rFonts w:ascii="Times New Roman" w:hAnsi="Times New Roman" w:cs="Times New Roman"/>
          <w:sz w:val="24"/>
          <w:szCs w:val="24"/>
          <w:u w:color="0432FF"/>
          <w:lang w:val="en-GB"/>
        </w:rPr>
      </w:pPr>
    </w:p>
    <w:p w14:paraId="63269369" w14:textId="64439795" w:rsidR="00711F38" w:rsidRDefault="00572105" w:rsidP="001A64D3">
      <w:pPr>
        <w:pStyle w:val="BodyA"/>
        <w:spacing w:line="360" w:lineRule="auto"/>
        <w:outlineLvl w:val="0"/>
        <w:rPr>
          <w:rFonts w:ascii="Times New Roman" w:hAnsi="Times New Roman" w:cs="Times New Roman"/>
          <w:sz w:val="24"/>
          <w:szCs w:val="24"/>
          <w:u w:color="0432FF"/>
          <w:lang w:val="en-GB"/>
        </w:rPr>
      </w:pPr>
      <w:r w:rsidRPr="005A28F5">
        <w:rPr>
          <w:rFonts w:ascii="Times New Roman" w:hAnsi="Times New Roman" w:cs="Times New Roman"/>
          <w:sz w:val="24"/>
          <w:szCs w:val="24"/>
          <w:u w:color="0432FF"/>
          <w:lang w:val="en-GB"/>
        </w:rPr>
        <w:t xml:space="preserve">There are many possible </w:t>
      </w:r>
      <w:r w:rsidR="00F94334" w:rsidRPr="005A28F5">
        <w:rPr>
          <w:rFonts w:ascii="Times New Roman" w:hAnsi="Times New Roman" w:cs="Times New Roman"/>
          <w:sz w:val="24"/>
          <w:szCs w:val="24"/>
          <w:u w:color="0432FF"/>
          <w:lang w:val="en-GB"/>
        </w:rPr>
        <w:t xml:space="preserve">reasons </w:t>
      </w:r>
      <w:r w:rsidR="007B3DF7" w:rsidRPr="005A28F5">
        <w:rPr>
          <w:rFonts w:ascii="Times New Roman" w:hAnsi="Times New Roman" w:cs="Times New Roman"/>
          <w:sz w:val="24"/>
          <w:szCs w:val="24"/>
          <w:u w:color="0432FF"/>
          <w:lang w:val="en-GB"/>
        </w:rPr>
        <w:t xml:space="preserve">that could explain why </w:t>
      </w:r>
      <w:r w:rsidRPr="005A28F5">
        <w:rPr>
          <w:rFonts w:ascii="Times New Roman" w:hAnsi="Times New Roman" w:cs="Times New Roman"/>
          <w:sz w:val="24"/>
          <w:szCs w:val="24"/>
          <w:u w:color="0432FF"/>
          <w:lang w:val="en-GB"/>
        </w:rPr>
        <w:t xml:space="preserve">DNAm differences </w:t>
      </w:r>
      <w:r w:rsidR="00F94334" w:rsidRPr="005A28F5">
        <w:rPr>
          <w:rFonts w:ascii="Times New Roman" w:hAnsi="Times New Roman" w:cs="Times New Roman"/>
          <w:sz w:val="24"/>
          <w:szCs w:val="24"/>
          <w:u w:color="0432FF"/>
          <w:lang w:val="en-GB"/>
        </w:rPr>
        <w:t>associated with the intervention were not</w:t>
      </w:r>
      <w:r w:rsidRPr="005A28F5">
        <w:rPr>
          <w:rFonts w:ascii="Times New Roman" w:hAnsi="Times New Roman" w:cs="Times New Roman"/>
          <w:sz w:val="24"/>
          <w:szCs w:val="24"/>
          <w:u w:color="0432FF"/>
          <w:lang w:val="en-GB"/>
        </w:rPr>
        <w:t xml:space="preserve"> identified </w:t>
      </w:r>
      <w:r w:rsidR="00BE194E">
        <w:rPr>
          <w:rFonts w:ascii="Times New Roman" w:hAnsi="Times New Roman" w:cs="Times New Roman"/>
          <w:sz w:val="24"/>
          <w:szCs w:val="24"/>
          <w:u w:color="0432FF"/>
          <w:lang w:val="en-GB"/>
        </w:rPr>
        <w:t xml:space="preserve">in </w:t>
      </w:r>
      <w:r w:rsidRPr="005A28F5">
        <w:rPr>
          <w:rFonts w:ascii="Times New Roman" w:hAnsi="Times New Roman" w:cs="Times New Roman"/>
          <w:sz w:val="24"/>
          <w:szCs w:val="24"/>
          <w:u w:color="0432FF"/>
          <w:lang w:val="en-GB"/>
        </w:rPr>
        <w:t>the Indian cohort</w:t>
      </w:r>
      <w:r w:rsidR="0036049B" w:rsidRPr="005A28F5">
        <w:rPr>
          <w:rFonts w:ascii="Times New Roman" w:hAnsi="Times New Roman" w:cs="Times New Roman"/>
          <w:sz w:val="24"/>
          <w:szCs w:val="24"/>
          <w:u w:color="0432FF"/>
          <w:lang w:val="en-GB"/>
        </w:rPr>
        <w:t xml:space="preserve">. </w:t>
      </w:r>
      <w:r w:rsidR="004057BE" w:rsidRPr="005A28F5">
        <w:rPr>
          <w:rFonts w:ascii="Times New Roman" w:hAnsi="Times New Roman" w:cs="Times New Roman"/>
          <w:sz w:val="24"/>
          <w:szCs w:val="24"/>
          <w:u w:color="0432FF"/>
          <w:lang w:val="en-GB"/>
        </w:rPr>
        <w:t xml:space="preserve">This could reflect the much lower micronutrient levels in the food-based supplement used in the </w:t>
      </w:r>
      <w:r w:rsidR="004057BE" w:rsidRPr="009672F1">
        <w:rPr>
          <w:rFonts w:ascii="Times New Roman" w:hAnsi="Times New Roman" w:cs="Times New Roman"/>
          <w:sz w:val="24"/>
          <w:szCs w:val="24"/>
          <w:u w:color="0432FF"/>
          <w:lang w:val="en-GB"/>
        </w:rPr>
        <w:t>Mumbai trial</w:t>
      </w:r>
      <w:r w:rsidR="004057BE" w:rsidRPr="005A28F5">
        <w:rPr>
          <w:rFonts w:ascii="Times New Roman" w:hAnsi="Times New Roman" w:cs="Times New Roman"/>
          <w:sz w:val="24"/>
          <w:szCs w:val="24"/>
          <w:u w:color="0432FF"/>
          <w:lang w:val="en-GB"/>
        </w:rPr>
        <w:t xml:space="preserve"> compared with the multiple </w:t>
      </w:r>
      <w:r w:rsidR="004057BE" w:rsidRPr="005A28F5">
        <w:rPr>
          <w:rFonts w:ascii="Times New Roman" w:hAnsi="Times New Roman" w:cs="Times New Roman"/>
          <w:color w:val="000000" w:themeColor="text1"/>
          <w:sz w:val="24"/>
          <w:szCs w:val="24"/>
          <w:u w:color="0432FF"/>
          <w:lang w:val="en-GB"/>
        </w:rPr>
        <w:t xml:space="preserve">micronutrient tablet used in the </w:t>
      </w:r>
      <w:r w:rsidR="004057BE" w:rsidRPr="009672F1">
        <w:rPr>
          <w:rFonts w:ascii="Times New Roman" w:hAnsi="Times New Roman" w:cs="Times New Roman"/>
          <w:color w:val="000000" w:themeColor="text1"/>
          <w:sz w:val="24"/>
          <w:szCs w:val="24"/>
          <w:u w:color="0432FF"/>
          <w:lang w:val="en-GB"/>
        </w:rPr>
        <w:t>Gambian trial</w:t>
      </w:r>
      <w:r w:rsidR="004057BE" w:rsidRPr="005A28F5">
        <w:rPr>
          <w:rFonts w:ascii="Times New Roman" w:hAnsi="Times New Roman" w:cs="Times New Roman"/>
          <w:color w:val="000000" w:themeColor="text1"/>
          <w:sz w:val="24"/>
          <w:szCs w:val="24"/>
          <w:u w:color="0432FF"/>
          <w:lang w:val="en-GB"/>
        </w:rPr>
        <w:t xml:space="preserve">, </w:t>
      </w:r>
      <w:r w:rsidR="002E0BCD" w:rsidRPr="005A28F5">
        <w:rPr>
          <w:rFonts w:ascii="Times New Roman" w:hAnsi="Times New Roman" w:cs="Times New Roman"/>
          <w:color w:val="000000" w:themeColor="text1"/>
          <w:sz w:val="24"/>
          <w:szCs w:val="24"/>
          <w:u w:color="0432FF"/>
          <w:lang w:val="en-GB"/>
        </w:rPr>
        <w:t xml:space="preserve">or </w:t>
      </w:r>
      <w:r w:rsidR="00702A97" w:rsidRPr="005A28F5">
        <w:rPr>
          <w:rFonts w:ascii="Times New Roman" w:hAnsi="Times New Roman" w:cs="Times New Roman"/>
          <w:color w:val="000000" w:themeColor="text1"/>
          <w:sz w:val="24"/>
          <w:szCs w:val="24"/>
          <w:u w:color="0432FF"/>
          <w:lang w:val="en-GB"/>
        </w:rPr>
        <w:t xml:space="preserve">the </w:t>
      </w:r>
      <w:r w:rsidR="00BC3B0C" w:rsidRPr="005A28F5">
        <w:rPr>
          <w:rFonts w:ascii="Times New Roman" w:hAnsi="Times New Roman" w:cs="Times New Roman"/>
          <w:color w:val="000000" w:themeColor="text1"/>
          <w:sz w:val="24"/>
          <w:szCs w:val="24"/>
          <w:u w:color="0432FF"/>
          <w:lang w:val="en-GB"/>
        </w:rPr>
        <w:t>different combinations of nutrients</w:t>
      </w:r>
      <w:r w:rsidR="00702A97" w:rsidRPr="005A28F5">
        <w:rPr>
          <w:rFonts w:ascii="Times New Roman" w:hAnsi="Times New Roman" w:cs="Times New Roman"/>
          <w:color w:val="000000" w:themeColor="text1"/>
          <w:sz w:val="24"/>
          <w:szCs w:val="24"/>
          <w:u w:color="0432FF"/>
          <w:lang w:val="en-GB"/>
        </w:rPr>
        <w:t xml:space="preserve">, </w:t>
      </w:r>
      <w:r w:rsidR="005C3D08" w:rsidRPr="005A28F5">
        <w:rPr>
          <w:rFonts w:ascii="Times New Roman" w:hAnsi="Times New Roman" w:cs="Times New Roman"/>
          <w:color w:val="000000" w:themeColor="text1"/>
          <w:sz w:val="24"/>
          <w:szCs w:val="24"/>
          <w:u w:color="0432FF"/>
          <w:lang w:val="en-GB"/>
        </w:rPr>
        <w:t>and</w:t>
      </w:r>
      <w:r w:rsidR="00702A97" w:rsidRPr="005A28F5">
        <w:rPr>
          <w:rFonts w:ascii="Times New Roman" w:hAnsi="Times New Roman" w:cs="Times New Roman"/>
          <w:color w:val="000000" w:themeColor="text1"/>
          <w:sz w:val="24"/>
          <w:szCs w:val="24"/>
          <w:u w:color="0432FF"/>
          <w:lang w:val="en-GB"/>
        </w:rPr>
        <w:t>/or</w:t>
      </w:r>
      <w:r w:rsidR="005C3D08" w:rsidRPr="005A28F5">
        <w:rPr>
          <w:rFonts w:ascii="Times New Roman" w:hAnsi="Times New Roman" w:cs="Times New Roman"/>
          <w:color w:val="000000" w:themeColor="text1"/>
          <w:sz w:val="24"/>
          <w:szCs w:val="24"/>
          <w:u w:color="0432FF"/>
          <w:lang w:val="en-GB"/>
        </w:rPr>
        <w:t xml:space="preserve"> their different</w:t>
      </w:r>
      <w:r w:rsidR="00702A97" w:rsidRPr="005A28F5">
        <w:rPr>
          <w:rFonts w:ascii="Times New Roman" w:hAnsi="Times New Roman" w:cs="Times New Roman"/>
          <w:color w:val="000000" w:themeColor="text1"/>
          <w:sz w:val="24"/>
          <w:szCs w:val="24"/>
          <w:u w:color="0432FF"/>
          <w:lang w:val="en-GB"/>
        </w:rPr>
        <w:t xml:space="preserve"> bioavailability</w:t>
      </w:r>
      <w:r w:rsidR="00027E35" w:rsidRPr="005A28F5">
        <w:rPr>
          <w:rFonts w:ascii="Times New Roman" w:hAnsi="Times New Roman" w:cs="Times New Roman"/>
          <w:color w:val="000000" w:themeColor="text1"/>
          <w:sz w:val="24"/>
          <w:szCs w:val="24"/>
          <w:u w:color="0432FF"/>
          <w:lang w:val="en-GB"/>
        </w:rPr>
        <w:t>. T</w:t>
      </w:r>
      <w:r w:rsidR="005C3D08" w:rsidRPr="005A28F5">
        <w:rPr>
          <w:rFonts w:ascii="Times New Roman" w:hAnsi="Times New Roman" w:cs="Times New Roman"/>
          <w:color w:val="000000" w:themeColor="text1"/>
          <w:sz w:val="24"/>
          <w:szCs w:val="24"/>
          <w:u w:color="0432FF"/>
          <w:lang w:val="en-GB"/>
        </w:rPr>
        <w:t xml:space="preserve">he two populations </w:t>
      </w:r>
      <w:r w:rsidR="004C3883" w:rsidRPr="005A28F5">
        <w:rPr>
          <w:rFonts w:ascii="Times New Roman" w:hAnsi="Times New Roman" w:cs="Times New Roman"/>
          <w:color w:val="000000" w:themeColor="text1"/>
          <w:sz w:val="24"/>
          <w:szCs w:val="24"/>
          <w:u w:color="0432FF"/>
          <w:lang w:val="en-GB"/>
        </w:rPr>
        <w:t xml:space="preserve">also </w:t>
      </w:r>
      <w:r w:rsidR="005C3D08" w:rsidRPr="005A28F5">
        <w:rPr>
          <w:rFonts w:ascii="Times New Roman" w:hAnsi="Times New Roman" w:cs="Times New Roman"/>
          <w:color w:val="000000" w:themeColor="text1"/>
          <w:sz w:val="24"/>
          <w:szCs w:val="24"/>
          <w:u w:color="0432FF"/>
          <w:lang w:val="en-GB"/>
        </w:rPr>
        <w:t>have c</w:t>
      </w:r>
      <w:r w:rsidR="00BC3B0C" w:rsidRPr="005A28F5">
        <w:rPr>
          <w:rFonts w:ascii="Times New Roman" w:hAnsi="Times New Roman" w:cs="Times New Roman"/>
          <w:color w:val="000000" w:themeColor="text1"/>
          <w:sz w:val="24"/>
          <w:szCs w:val="24"/>
          <w:u w:color="0432FF"/>
          <w:lang w:val="en-GB"/>
        </w:rPr>
        <w:t>ontrasting nutritional and genetic backgrounds</w:t>
      </w:r>
      <w:r w:rsidR="00576DA0" w:rsidRPr="005A28F5">
        <w:rPr>
          <w:rFonts w:ascii="Times New Roman" w:hAnsi="Times New Roman" w:cs="Times New Roman"/>
          <w:color w:val="000000" w:themeColor="text1"/>
          <w:sz w:val="24"/>
          <w:szCs w:val="24"/>
          <w:u w:color="0432FF"/>
          <w:lang w:val="en-GB"/>
        </w:rPr>
        <w:t xml:space="preserve"> </w:t>
      </w:r>
      <w:r w:rsidR="005C3D08" w:rsidRPr="005A28F5">
        <w:rPr>
          <w:rFonts w:ascii="Times New Roman" w:hAnsi="Times New Roman" w:cs="Times New Roman"/>
          <w:color w:val="000000" w:themeColor="text1"/>
          <w:sz w:val="24"/>
          <w:szCs w:val="24"/>
          <w:u w:color="0432FF"/>
          <w:lang w:val="en-GB"/>
        </w:rPr>
        <w:t xml:space="preserve">and there is the potential influence of </w:t>
      </w:r>
      <w:r w:rsidR="00702A97" w:rsidRPr="005A28F5">
        <w:rPr>
          <w:rFonts w:ascii="Times New Roman" w:hAnsi="Times New Roman" w:cs="Times New Roman"/>
          <w:color w:val="000000" w:themeColor="text1"/>
          <w:sz w:val="24"/>
          <w:szCs w:val="24"/>
          <w:u w:color="0432FF"/>
          <w:lang w:val="en-GB"/>
        </w:rPr>
        <w:t xml:space="preserve">different </w:t>
      </w:r>
      <w:r w:rsidR="005C3D08" w:rsidRPr="005A28F5">
        <w:rPr>
          <w:rFonts w:ascii="Times New Roman" w:hAnsi="Times New Roman" w:cs="Times New Roman"/>
          <w:color w:val="000000" w:themeColor="text1"/>
          <w:sz w:val="24"/>
          <w:szCs w:val="24"/>
          <w:u w:color="0432FF"/>
          <w:lang w:val="en-GB"/>
        </w:rPr>
        <w:t>postnatal environment</w:t>
      </w:r>
      <w:r w:rsidR="00702A97" w:rsidRPr="005A28F5">
        <w:rPr>
          <w:rFonts w:ascii="Times New Roman" w:hAnsi="Times New Roman" w:cs="Times New Roman"/>
          <w:color w:val="000000" w:themeColor="text1"/>
          <w:sz w:val="24"/>
          <w:szCs w:val="24"/>
          <w:u w:color="0432FF"/>
          <w:lang w:val="en-GB"/>
        </w:rPr>
        <w:t>s</w:t>
      </w:r>
      <w:r w:rsidR="00BC3B0C" w:rsidRPr="005A28F5">
        <w:rPr>
          <w:rFonts w:ascii="Times New Roman" w:hAnsi="Times New Roman" w:cs="Times New Roman"/>
          <w:color w:val="000000" w:themeColor="text1"/>
          <w:sz w:val="24"/>
          <w:szCs w:val="24"/>
          <w:u w:color="0432FF"/>
          <w:lang w:val="en-GB"/>
        </w:rPr>
        <w:t xml:space="preserve">. </w:t>
      </w:r>
      <w:r w:rsidR="00576DA0" w:rsidRPr="005A28F5">
        <w:rPr>
          <w:rFonts w:ascii="Times New Roman" w:hAnsi="Times New Roman" w:cs="Times New Roman"/>
          <w:color w:val="000000" w:themeColor="text1"/>
          <w:sz w:val="24"/>
          <w:szCs w:val="24"/>
          <w:u w:color="0432FF"/>
          <w:lang w:val="en-GB"/>
        </w:rPr>
        <w:t xml:space="preserve">Inter-cohort differences in </w:t>
      </w:r>
      <w:r w:rsidR="00927BED" w:rsidRPr="005A28F5">
        <w:rPr>
          <w:rFonts w:ascii="Times New Roman" w:hAnsi="Times New Roman" w:cs="Times New Roman"/>
          <w:color w:val="000000" w:themeColor="text1"/>
          <w:sz w:val="24"/>
          <w:szCs w:val="24"/>
          <w:u w:color="0432FF"/>
          <w:lang w:val="en-GB"/>
        </w:rPr>
        <w:t xml:space="preserve">child age, and in </w:t>
      </w:r>
      <w:r w:rsidR="00576DA0" w:rsidRPr="005A28F5">
        <w:rPr>
          <w:rFonts w:ascii="Times New Roman" w:hAnsi="Times New Roman" w:cs="Times New Roman"/>
          <w:color w:val="000000" w:themeColor="text1"/>
          <w:sz w:val="24"/>
          <w:szCs w:val="24"/>
          <w:u w:color="0432FF"/>
          <w:lang w:val="en-GB"/>
        </w:rPr>
        <w:t xml:space="preserve">other maternal factors such as </w:t>
      </w:r>
      <w:r w:rsidR="00702A97" w:rsidRPr="005A28F5">
        <w:rPr>
          <w:rFonts w:ascii="Times New Roman" w:hAnsi="Times New Roman" w:cs="Times New Roman"/>
          <w:color w:val="000000" w:themeColor="text1"/>
          <w:sz w:val="24"/>
          <w:szCs w:val="24"/>
          <w:u w:color="0432FF"/>
          <w:lang w:val="en-GB"/>
        </w:rPr>
        <w:t>lower</w:t>
      </w:r>
      <w:r w:rsidR="00576DA0" w:rsidRPr="005A28F5">
        <w:rPr>
          <w:rFonts w:ascii="Times New Roman" w:hAnsi="Times New Roman" w:cs="Times New Roman"/>
          <w:color w:val="000000" w:themeColor="text1"/>
          <w:sz w:val="24"/>
          <w:szCs w:val="24"/>
          <w:u w:color="0432FF"/>
          <w:lang w:val="en-GB"/>
        </w:rPr>
        <w:t xml:space="preserve"> maternal height </w:t>
      </w:r>
      <w:r w:rsidR="009A2E88" w:rsidRPr="005A28F5">
        <w:rPr>
          <w:rFonts w:ascii="Times New Roman" w:hAnsi="Times New Roman" w:cs="Times New Roman"/>
          <w:color w:val="000000" w:themeColor="text1"/>
          <w:sz w:val="24"/>
          <w:szCs w:val="24"/>
          <w:u w:color="0432FF"/>
          <w:lang w:val="en-GB"/>
        </w:rPr>
        <w:t xml:space="preserve">and age </w:t>
      </w:r>
      <w:r w:rsidR="00576DA0" w:rsidRPr="005A28F5">
        <w:rPr>
          <w:rFonts w:ascii="Times New Roman" w:hAnsi="Times New Roman" w:cs="Times New Roman"/>
          <w:color w:val="000000" w:themeColor="text1"/>
          <w:sz w:val="24"/>
          <w:szCs w:val="24"/>
          <w:u w:color="0432FF"/>
          <w:lang w:val="en-GB"/>
        </w:rPr>
        <w:t>in</w:t>
      </w:r>
      <w:r w:rsidR="00702A97" w:rsidRPr="005A28F5">
        <w:rPr>
          <w:rFonts w:ascii="Times New Roman" w:hAnsi="Times New Roman" w:cs="Times New Roman"/>
          <w:color w:val="000000" w:themeColor="text1"/>
          <w:sz w:val="24"/>
          <w:szCs w:val="24"/>
          <w:u w:color="0432FF"/>
          <w:lang w:val="en-GB"/>
        </w:rPr>
        <w:t xml:space="preserve"> the</w:t>
      </w:r>
      <w:r w:rsidR="00576DA0" w:rsidRPr="005A28F5">
        <w:rPr>
          <w:rFonts w:ascii="Times New Roman" w:hAnsi="Times New Roman" w:cs="Times New Roman"/>
          <w:color w:val="000000" w:themeColor="text1"/>
          <w:sz w:val="24"/>
          <w:szCs w:val="24"/>
          <w:u w:color="0432FF"/>
          <w:lang w:val="en-GB"/>
        </w:rPr>
        <w:t xml:space="preserve"> Indian </w:t>
      </w:r>
      <w:r w:rsidR="00576DA0" w:rsidRPr="005A28F5">
        <w:rPr>
          <w:rFonts w:ascii="Times New Roman" w:hAnsi="Times New Roman" w:cs="Times New Roman"/>
          <w:sz w:val="24"/>
          <w:szCs w:val="24"/>
          <w:u w:color="0432FF"/>
          <w:lang w:val="en-GB"/>
        </w:rPr>
        <w:t xml:space="preserve">participants </w:t>
      </w:r>
      <w:r w:rsidR="004C3883" w:rsidRPr="005A28F5">
        <w:rPr>
          <w:rFonts w:ascii="Times New Roman" w:hAnsi="Times New Roman" w:cs="Times New Roman"/>
          <w:sz w:val="24"/>
          <w:szCs w:val="24"/>
          <w:u w:color="0432FF"/>
          <w:lang w:val="en-GB"/>
        </w:rPr>
        <w:t xml:space="preserve">might also play a role </w:t>
      </w:r>
      <w:r w:rsidR="00576DA0" w:rsidRPr="005A28F5">
        <w:rPr>
          <w:rFonts w:ascii="Times New Roman" w:hAnsi="Times New Roman" w:cs="Times New Roman"/>
          <w:sz w:val="24"/>
          <w:szCs w:val="24"/>
          <w:u w:color="0432FF"/>
          <w:lang w:val="en-GB"/>
        </w:rPr>
        <w:fldChar w:fldCharType="begin" w:fldLock="1"/>
      </w:r>
      <w:r w:rsidR="00897103">
        <w:rPr>
          <w:rFonts w:ascii="Times New Roman" w:hAnsi="Times New Roman" w:cs="Times New Roman"/>
          <w:sz w:val="24"/>
          <w:szCs w:val="24"/>
          <w:u w:color="0432FF"/>
          <w:lang w:val="en-GB"/>
        </w:rPr>
        <w:instrText>ADDIN CSL_CITATION {"citationItems":[{"id":"ITEM-1","itemData":{"DOI":"10.1186/s40795-017-0200-0","ISSN":"2055-0928","author":[{"dropping-particle":"","family":"Chandak","given":"Giriraj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uris":["http://www.mendeley.com/documents/?uuid=4f484035-e3d8-4fd2-b2d9-fdddd3adee68"]}],"mendeley":{"formattedCitation":"(24)","plainTextFormattedCitation":"(24)","previouslyFormattedCitation":"(24)"},"properties":{"noteIndex":0},"schema":"https://github.com/citation-style-language/schema/raw/master/csl-citation.json"}</w:instrText>
      </w:r>
      <w:r w:rsidR="00576DA0" w:rsidRPr="005A28F5">
        <w:rPr>
          <w:rFonts w:ascii="Times New Roman" w:hAnsi="Times New Roman" w:cs="Times New Roman"/>
          <w:sz w:val="24"/>
          <w:szCs w:val="24"/>
          <w:u w:color="0432FF"/>
          <w:lang w:val="en-GB"/>
        </w:rPr>
        <w:fldChar w:fldCharType="separate"/>
      </w:r>
      <w:r w:rsidR="001754FE" w:rsidRPr="001754FE">
        <w:rPr>
          <w:rFonts w:ascii="Times New Roman" w:hAnsi="Times New Roman" w:cs="Times New Roman"/>
          <w:noProof/>
          <w:sz w:val="24"/>
          <w:szCs w:val="24"/>
          <w:u w:color="0432FF"/>
          <w:lang w:val="en-GB"/>
        </w:rPr>
        <w:t>(24)</w:t>
      </w:r>
      <w:r w:rsidR="00576DA0" w:rsidRPr="005A28F5">
        <w:rPr>
          <w:rFonts w:ascii="Times New Roman" w:hAnsi="Times New Roman" w:cs="Times New Roman"/>
          <w:sz w:val="24"/>
          <w:szCs w:val="24"/>
          <w:u w:color="0432FF"/>
          <w:lang w:val="en-GB"/>
        </w:rPr>
        <w:fldChar w:fldCharType="end"/>
      </w:r>
      <w:r w:rsidR="00576DA0" w:rsidRPr="005A28F5">
        <w:rPr>
          <w:rFonts w:ascii="Times New Roman" w:hAnsi="Times New Roman" w:cs="Times New Roman"/>
          <w:sz w:val="24"/>
          <w:szCs w:val="24"/>
          <w:u w:color="0432FF"/>
          <w:lang w:val="en-GB"/>
        </w:rPr>
        <w:t>.</w:t>
      </w:r>
      <w:r w:rsidR="00A30D2D" w:rsidRPr="005A28F5">
        <w:rPr>
          <w:rFonts w:ascii="Times New Roman" w:hAnsi="Times New Roman" w:cs="Times New Roman"/>
          <w:sz w:val="24"/>
          <w:szCs w:val="24"/>
          <w:u w:color="0432FF"/>
          <w:lang w:val="en-GB"/>
        </w:rPr>
        <w:t xml:space="preserve"> </w:t>
      </w:r>
      <w:r w:rsidR="00702A97" w:rsidRPr="005A28F5">
        <w:rPr>
          <w:rFonts w:ascii="Times New Roman" w:hAnsi="Times New Roman" w:cs="Times New Roman"/>
          <w:sz w:val="24"/>
          <w:szCs w:val="24"/>
          <w:u w:color="0432FF"/>
          <w:lang w:val="en-GB"/>
        </w:rPr>
        <w:t xml:space="preserve">The timing of the intervention differed between the </w:t>
      </w:r>
      <w:r w:rsidR="00702A97" w:rsidRPr="00132905">
        <w:rPr>
          <w:rFonts w:ascii="Times New Roman" w:hAnsi="Times New Roman" w:cs="Times New Roman"/>
          <w:sz w:val="24"/>
          <w:szCs w:val="24"/>
          <w:u w:color="0432FF"/>
          <w:lang w:val="en-GB"/>
        </w:rPr>
        <w:t xml:space="preserve">trials: stopping in early pregnancy in the Gambian trial while continuing until delivery in the Indian trial. </w:t>
      </w:r>
      <w:r w:rsidR="00BE194E" w:rsidRPr="00132905">
        <w:rPr>
          <w:rFonts w:ascii="Times New Roman" w:hAnsi="Times New Roman" w:cs="Times New Roman"/>
          <w:sz w:val="24"/>
          <w:szCs w:val="24"/>
          <w:u w:color="0432FF"/>
          <w:lang w:val="en-GB"/>
        </w:rPr>
        <w:t xml:space="preserve">In the Gambian tablet-based trial, compliance was monitored using tablet counts, and was high (88% of </w:t>
      </w:r>
      <w:r w:rsidR="00914F00" w:rsidRPr="00132905">
        <w:rPr>
          <w:rFonts w:ascii="Times New Roman" w:hAnsi="Times New Roman" w:cs="Times New Roman"/>
          <w:sz w:val="24"/>
          <w:szCs w:val="24"/>
          <w:u w:color="0432FF"/>
          <w:lang w:val="en-GB"/>
        </w:rPr>
        <w:t xml:space="preserve">all </w:t>
      </w:r>
      <w:r w:rsidR="00BE194E" w:rsidRPr="00132905">
        <w:rPr>
          <w:rFonts w:ascii="Times New Roman" w:hAnsi="Times New Roman" w:cs="Times New Roman"/>
          <w:sz w:val="24"/>
          <w:szCs w:val="24"/>
          <w:u w:color="0432FF"/>
          <w:lang w:val="en-GB"/>
        </w:rPr>
        <w:t xml:space="preserve">tablets </w:t>
      </w:r>
      <w:r w:rsidR="00914F00" w:rsidRPr="00132905">
        <w:rPr>
          <w:rFonts w:ascii="Times New Roman" w:hAnsi="Times New Roman" w:cs="Times New Roman"/>
          <w:sz w:val="24"/>
          <w:szCs w:val="24"/>
          <w:u w:color="0432FF"/>
          <w:lang w:val="en-GB"/>
        </w:rPr>
        <w:t xml:space="preserve">were eaten </w:t>
      </w:r>
      <w:r w:rsidR="00BE194E" w:rsidRPr="00132905">
        <w:rPr>
          <w:rFonts w:ascii="Times New Roman" w:hAnsi="Times New Roman" w:cs="Times New Roman"/>
          <w:sz w:val="24"/>
          <w:szCs w:val="24"/>
          <w:u w:color="0432FF"/>
          <w:lang w:val="en-GB"/>
        </w:rPr>
        <w:t xml:space="preserve">in the intervention group </w:t>
      </w:r>
      <w:proofErr w:type="gramStart"/>
      <w:r w:rsidR="00BE194E" w:rsidRPr="00132905">
        <w:rPr>
          <w:rFonts w:ascii="Times New Roman" w:hAnsi="Times New Roman" w:cs="Times New Roman"/>
          <w:sz w:val="24"/>
          <w:szCs w:val="24"/>
          <w:u w:color="0432FF"/>
          <w:lang w:val="en-GB"/>
        </w:rPr>
        <w:t>and  86</w:t>
      </w:r>
      <w:proofErr w:type="gramEnd"/>
      <w:r w:rsidR="00BE194E" w:rsidRPr="00132905">
        <w:rPr>
          <w:rFonts w:ascii="Times New Roman" w:hAnsi="Times New Roman" w:cs="Times New Roman"/>
          <w:sz w:val="24"/>
          <w:szCs w:val="24"/>
          <w:u w:color="0432FF"/>
          <w:lang w:val="en-GB"/>
        </w:rPr>
        <w:t xml:space="preserve">% in controls). In the Indian trial, women were offered one food-based supplement/snack per day on 6 days per week, and full compliance was defined as three or more per week; only </w:t>
      </w:r>
      <w:r w:rsidR="00BC3B0C" w:rsidRPr="00132905">
        <w:rPr>
          <w:rFonts w:ascii="Times New Roman" w:hAnsi="Times New Roman" w:cs="Times New Roman"/>
          <w:sz w:val="24"/>
          <w:szCs w:val="24"/>
          <w:u w:color="0432FF"/>
          <w:lang w:val="en-GB"/>
        </w:rPr>
        <w:t>43% in the intervention group and 58% in the control group</w:t>
      </w:r>
      <w:r w:rsidR="00BE194E" w:rsidRPr="00132905">
        <w:rPr>
          <w:rFonts w:ascii="Times New Roman" w:hAnsi="Times New Roman" w:cs="Times New Roman"/>
          <w:sz w:val="24"/>
          <w:szCs w:val="24"/>
          <w:u w:color="0432FF"/>
          <w:lang w:val="en-GB"/>
        </w:rPr>
        <w:t xml:space="preserve"> achieved this</w:t>
      </w:r>
      <w:r w:rsidR="00A30D2D" w:rsidRPr="00132905">
        <w:rPr>
          <w:rFonts w:ascii="Times New Roman" w:hAnsi="Times New Roman" w:cs="Times New Roman"/>
          <w:sz w:val="24"/>
          <w:szCs w:val="24"/>
          <w:u w:color="0432FF"/>
          <w:lang w:val="en-GB"/>
        </w:rPr>
        <w:t xml:space="preserve">. </w:t>
      </w:r>
      <w:r w:rsidR="00B553F0" w:rsidRPr="00132905">
        <w:rPr>
          <w:rFonts w:ascii="Times New Roman" w:hAnsi="Times New Roman" w:cs="Times New Roman"/>
          <w:sz w:val="24"/>
          <w:szCs w:val="24"/>
          <w:u w:color="0432FF"/>
          <w:lang w:val="en-GB"/>
        </w:rPr>
        <w:t>Compliance in the Mumbai trial</w:t>
      </w:r>
      <w:r w:rsidR="00B553F0" w:rsidRPr="00B553F0">
        <w:rPr>
          <w:rFonts w:ascii="Times New Roman" w:hAnsi="Times New Roman" w:cs="Times New Roman"/>
          <w:sz w:val="24"/>
          <w:szCs w:val="24"/>
          <w:u w:color="0432FF"/>
          <w:lang w:val="en-GB"/>
        </w:rPr>
        <w:t xml:space="preserve"> was </w:t>
      </w:r>
      <w:r w:rsidR="00B553F0">
        <w:rPr>
          <w:rFonts w:ascii="Times New Roman" w:hAnsi="Times New Roman" w:cs="Times New Roman"/>
          <w:sz w:val="24"/>
          <w:szCs w:val="24"/>
          <w:u w:color="0432FF"/>
          <w:lang w:val="en-GB"/>
        </w:rPr>
        <w:t xml:space="preserve">therefore </w:t>
      </w:r>
      <w:r w:rsidR="00B553F0" w:rsidRPr="00B553F0">
        <w:rPr>
          <w:rFonts w:ascii="Times New Roman" w:hAnsi="Times New Roman" w:cs="Times New Roman"/>
          <w:sz w:val="24"/>
          <w:szCs w:val="24"/>
          <w:u w:color="0432FF"/>
          <w:lang w:val="en-GB"/>
        </w:rPr>
        <w:t xml:space="preserve">low by the usual standards of an RCT. </w:t>
      </w:r>
      <w:r w:rsidR="00B553F0">
        <w:rPr>
          <w:rFonts w:ascii="Times New Roman" w:hAnsi="Times New Roman" w:cs="Times New Roman"/>
          <w:sz w:val="24"/>
          <w:szCs w:val="24"/>
          <w:u w:color="0432FF"/>
          <w:lang w:val="en-GB"/>
        </w:rPr>
        <w:t xml:space="preserve">The supplement was </w:t>
      </w:r>
      <w:r w:rsidR="00B553F0" w:rsidRPr="00B553F0">
        <w:rPr>
          <w:rFonts w:ascii="Times New Roman" w:hAnsi="Times New Roman" w:cs="Times New Roman"/>
          <w:sz w:val="24"/>
          <w:szCs w:val="24"/>
          <w:u w:color="0432FF"/>
          <w:lang w:val="en-GB"/>
        </w:rPr>
        <w:t>started pre-conceptionally in order to cover the earliest days</w:t>
      </w:r>
      <w:r w:rsidR="00B553F0">
        <w:rPr>
          <w:rFonts w:ascii="Times New Roman" w:hAnsi="Times New Roman" w:cs="Times New Roman"/>
          <w:sz w:val="24"/>
          <w:szCs w:val="24"/>
          <w:u w:color="0432FF"/>
          <w:lang w:val="en-GB"/>
        </w:rPr>
        <w:t xml:space="preserve"> and </w:t>
      </w:r>
      <w:r w:rsidR="00B553F0" w:rsidRPr="00B553F0">
        <w:rPr>
          <w:rFonts w:ascii="Times New Roman" w:hAnsi="Times New Roman" w:cs="Times New Roman"/>
          <w:sz w:val="24"/>
          <w:szCs w:val="24"/>
          <w:u w:color="0432FF"/>
          <w:lang w:val="en-GB"/>
        </w:rPr>
        <w:t xml:space="preserve">weeks of pregnancy, but this meant that women often took the supplement for many months </w:t>
      </w:r>
      <w:r w:rsidR="00B553F0" w:rsidRPr="00B553F0">
        <w:rPr>
          <w:rFonts w:ascii="Times New Roman" w:hAnsi="Times New Roman" w:cs="Times New Roman"/>
          <w:sz w:val="24"/>
          <w:szCs w:val="24"/>
          <w:u w:color="0432FF"/>
          <w:lang w:val="en-GB"/>
        </w:rPr>
        <w:lastRenderedPageBreak/>
        <w:t xml:space="preserve">before conceiving. Food-based interventions are particularly challenging </w:t>
      </w:r>
      <w:r w:rsidR="00B553F0">
        <w:rPr>
          <w:rFonts w:ascii="Times New Roman" w:hAnsi="Times New Roman" w:cs="Times New Roman"/>
          <w:sz w:val="24"/>
          <w:szCs w:val="24"/>
          <w:u w:color="0432FF"/>
          <w:lang w:val="en-GB"/>
        </w:rPr>
        <w:t xml:space="preserve">in this respect </w:t>
      </w:r>
      <w:r w:rsidR="00B553F0" w:rsidRPr="00B553F0">
        <w:rPr>
          <w:rFonts w:ascii="Times New Roman" w:hAnsi="Times New Roman" w:cs="Times New Roman"/>
          <w:sz w:val="24"/>
          <w:szCs w:val="24"/>
          <w:u w:color="0432FF"/>
          <w:lang w:val="en-GB"/>
        </w:rPr>
        <w:t xml:space="preserve">because food is a personal choice, whereas people are used to </w:t>
      </w:r>
      <w:r w:rsidR="00F34AFC">
        <w:rPr>
          <w:rFonts w:ascii="Times New Roman" w:hAnsi="Times New Roman" w:cs="Times New Roman"/>
          <w:sz w:val="24"/>
          <w:szCs w:val="24"/>
          <w:u w:color="0432FF"/>
          <w:lang w:val="en-GB"/>
        </w:rPr>
        <w:t>taking</w:t>
      </w:r>
      <w:r w:rsidR="00B553F0" w:rsidRPr="00B553F0">
        <w:rPr>
          <w:rFonts w:ascii="Times New Roman" w:hAnsi="Times New Roman" w:cs="Times New Roman"/>
          <w:sz w:val="24"/>
          <w:szCs w:val="24"/>
          <w:u w:color="0432FF"/>
          <w:lang w:val="en-GB"/>
        </w:rPr>
        <w:t xml:space="preserve"> tablets without expecting any aesthetic qualities from them. </w:t>
      </w:r>
    </w:p>
    <w:p w14:paraId="0357CCDB" w14:textId="77777777" w:rsidR="00711F38" w:rsidRDefault="00711F38" w:rsidP="001A64D3">
      <w:pPr>
        <w:pStyle w:val="BodyA"/>
        <w:spacing w:line="360" w:lineRule="auto"/>
        <w:outlineLvl w:val="0"/>
        <w:rPr>
          <w:rFonts w:ascii="Times New Roman" w:hAnsi="Times New Roman" w:cs="Times New Roman"/>
          <w:sz w:val="24"/>
          <w:szCs w:val="24"/>
          <w:u w:color="0432FF"/>
          <w:lang w:val="en-GB"/>
        </w:rPr>
      </w:pPr>
    </w:p>
    <w:p w14:paraId="17B5121C" w14:textId="6727C254" w:rsidR="00E01BB2" w:rsidRPr="005A28F5" w:rsidRDefault="00487865" w:rsidP="001A64D3">
      <w:pPr>
        <w:pStyle w:val="BodyA"/>
        <w:spacing w:line="360" w:lineRule="auto"/>
        <w:outlineLvl w:val="0"/>
        <w:rPr>
          <w:rFonts w:ascii="Times New Roman" w:eastAsia="Cambria" w:hAnsi="Times New Roman" w:cs="Times New Roman"/>
          <w:sz w:val="24"/>
          <w:szCs w:val="24"/>
          <w:u w:color="0432FF"/>
          <w:lang w:val="en-GB"/>
        </w:rPr>
      </w:pPr>
      <w:r>
        <w:rPr>
          <w:rFonts w:ascii="Times New Roman" w:hAnsi="Times New Roman" w:cs="Times New Roman"/>
          <w:sz w:val="24"/>
          <w:szCs w:val="24"/>
          <w:u w:color="0432FF"/>
          <w:lang w:val="en-GB"/>
        </w:rPr>
        <w:t>W</w:t>
      </w:r>
      <w:r w:rsidR="00316934">
        <w:rPr>
          <w:rFonts w:ascii="Times New Roman" w:hAnsi="Times New Roman" w:cs="Times New Roman"/>
          <w:sz w:val="24"/>
          <w:szCs w:val="24"/>
          <w:u w:color="0432FF"/>
          <w:lang w:val="en-GB"/>
        </w:rPr>
        <w:t xml:space="preserve">e have previously reported that </w:t>
      </w:r>
      <w:r>
        <w:rPr>
          <w:rFonts w:ascii="Times New Roman" w:hAnsi="Times New Roman" w:cs="Times New Roman"/>
          <w:sz w:val="24"/>
          <w:szCs w:val="24"/>
          <w:u w:color="0432FF"/>
          <w:lang w:val="en-GB"/>
        </w:rPr>
        <w:t xml:space="preserve">despite low compliance, </w:t>
      </w:r>
      <w:r w:rsidR="00BC3B0C" w:rsidRPr="005A28F5">
        <w:rPr>
          <w:rFonts w:ascii="Times New Roman" w:hAnsi="Times New Roman" w:cs="Times New Roman"/>
          <w:sz w:val="24"/>
          <w:szCs w:val="24"/>
          <w:u w:color="0432FF"/>
          <w:lang w:val="en-GB"/>
        </w:rPr>
        <w:t>the Indian intervention significantly reduced gestational diabetes</w:t>
      </w:r>
      <w:r w:rsidR="004C4B26" w:rsidRPr="005A28F5">
        <w:rPr>
          <w:rFonts w:ascii="Times New Roman" w:hAnsi="Times New Roman" w:cs="Times New Roman"/>
          <w:sz w:val="24"/>
          <w:szCs w:val="24"/>
          <w:u w:color="0432FF"/>
          <w:lang w:val="en-GB"/>
        </w:rPr>
        <w:t xml:space="preserve"> </w:t>
      </w:r>
      <w:r w:rsidR="004C4B26" w:rsidRPr="005A28F5">
        <w:rPr>
          <w:rFonts w:ascii="Times New Roman" w:hAnsi="Times New Roman" w:cs="Times New Roman"/>
          <w:sz w:val="24"/>
          <w:szCs w:val="24"/>
          <w:u w:color="0432FF"/>
          <w:lang w:val="en-GB"/>
        </w:rPr>
        <w:fldChar w:fldCharType="begin" w:fldLock="1"/>
      </w:r>
      <w:r w:rsidR="000C3130">
        <w:rPr>
          <w:rFonts w:ascii="Times New Roman" w:hAnsi="Times New Roman" w:cs="Times New Roman"/>
          <w:sz w:val="24"/>
          <w:szCs w:val="24"/>
          <w:u w:color="0432FF"/>
          <w:lang w:val="en-GB"/>
        </w:rPr>
        <w:instrText>ADDIN CSL_CITATION {"citationItems":[{"id":"ITEM-1","itemData":{"DOI":"10.3945/jn.115.223461","ISBN":"1541-6100","ISSN":"0022-3166","PMID":"27281802","abstract":"BACKGROUND Prospective observational studies suggest that maternal diets rich in leafy green vegetables and fruit may help prevent gestational diabetes mellitus (GDM). OBJECTIVE Our objective was to test whether increasing women's dietary intake of leafy green vegetables, fruit, and milk before conception and throughout pregnancy reduced their risk of GDM. METHODS Project SARAS (\"excellent\") (2006-2012) was a nonblinded, individually randomized, controlled trial in women living in slums in the city of Mumbai, India. The interventions included a daily snack made from leafy green vegetables, fruit, and milk for the treatment group or low-micronutrient vegetables (e.g., potato and onion) for the control group, in addition to the usual diet. Results for the primary outcome, birth weight, have been reported. Women were invited to take an oral-glucose-tolerance test (OGTT) at 28-32 wk gestation to screen for GDM (WHO 1999 criteria). The prevalence of GDM was compared between the intervention and control groups, and Kernel density analysis was used to compare distributions of 120-min plasma glucose concentrations between groups. RESULTS Of 6513 women randomly assigned, 2291 became pregnant; of these, 2028 reached a gestation of 28 wk, 1008 (50%) attended for an OGTT, and 100 (9.9%) had GDM. In an intention-to-treat analysis, the prevalence of GDM was reduced in the treatment group (7.3% compared with 12.4% in controls; OR: 0.56; 95% CI: 0.36, 0.86; P = 0.008). The reduction in GDM remained significant after adjusting for prepregnancy adiposity and fat or weight gain during pregnancy. Kernel density analysis showed that this was explained by the fact that fewer women in the treatment group had a 2-h glucose concentration in the range 7.5-10.0 mmol/L. CONCLUSIONS In low-income settings, in which women have a low intake of micronutrient-rich foods, improving dietary micronutrient quality by increasing intake of leafy green vegetables, fruit, and/or milk may have an important protective effect against the development of GDM. This trial was registered at www.controlled-trials.com as ISRCTN62811278.","author":[{"dropping-particle":"","family":"Sahariah","given":"Sirazul A.","non-dropping-particle":"","parse-names":false,"suffix":""},{"dropping-particle":"","family":"Potdar","given":"Ramesh D.","non-dropping-particle":"","parse-names":false,"suffix":""},{"dropping-particle":"","family":"Gandhi","given":"Meera","non-dropping-particle":"","parse-names":false,"suffix":""},{"dropping-particle":"","family":"Kehoe","given":"Sarah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ox","given":"Vanessa A.","non-dropping-particle":"","parse-names":false,"suffix":""},{"dropping-particle":"","family":"Jackson","given":"Alan A.","non-dropping-particle":"","parse-names":false,"suffix":""},{"dropping-particle":"","family":"Margetts","given":"Barrie M.","non-dropping-particle":"","parse-names":false,"suffix":""},{"dropping-particle":"","family":"Fall","given":"Caroline HD","non-dropping-particle":"","parse-names":false,"suffix":""}],"container-title":"The Journal of Nutrition","id":"ITEM-1","issue":"7","issued":{"date-parts":[["2016","7"]]},"page":"1453S-1460S","title":"A Daily Snack Containing Leafy Green Vegetables, Fruit, and Milk before and during Pregnancy Prevents Gestational Diabetes in a Randomized, Controlled Trial in Mumbai, India","type":"article-journal","volume":"146"},"uris":["http://www.mendeley.com/documents/?uuid=c77783a3-14d3-46de-9147-85a4c3180be3"]}],"mendeley":{"formattedCitation":"(28)","plainTextFormattedCitation":"(28)","previouslyFormattedCitation":"(28)"},"properties":{"noteIndex":0},"schema":"https://github.com/citation-style-language/schema/raw/master/csl-citation.json"}</w:instrText>
      </w:r>
      <w:r w:rsidR="004C4B26" w:rsidRPr="005A28F5">
        <w:rPr>
          <w:rFonts w:ascii="Times New Roman" w:hAnsi="Times New Roman" w:cs="Times New Roman"/>
          <w:sz w:val="24"/>
          <w:szCs w:val="24"/>
          <w:u w:color="0432FF"/>
          <w:lang w:val="en-GB"/>
        </w:rPr>
        <w:fldChar w:fldCharType="separate"/>
      </w:r>
      <w:r w:rsidR="002A7D5D" w:rsidRPr="002A7D5D">
        <w:rPr>
          <w:rFonts w:ascii="Times New Roman" w:hAnsi="Times New Roman" w:cs="Times New Roman"/>
          <w:noProof/>
          <w:sz w:val="24"/>
          <w:szCs w:val="24"/>
          <w:u w:color="0432FF"/>
          <w:lang w:val="en-GB"/>
        </w:rPr>
        <w:t>(28)</w:t>
      </w:r>
      <w:r w:rsidR="004C4B26" w:rsidRPr="005A28F5">
        <w:rPr>
          <w:rFonts w:ascii="Times New Roman" w:hAnsi="Times New Roman" w:cs="Times New Roman"/>
          <w:sz w:val="24"/>
          <w:szCs w:val="24"/>
          <w:u w:color="0432FF"/>
          <w:lang w:val="en-GB"/>
        </w:rPr>
        <w:fldChar w:fldCharType="end"/>
      </w:r>
      <w:r w:rsidR="00BC3B0C" w:rsidRPr="005A28F5">
        <w:rPr>
          <w:rFonts w:ascii="Times New Roman" w:hAnsi="Times New Roman" w:cs="Times New Roman"/>
          <w:sz w:val="24"/>
          <w:szCs w:val="24"/>
          <w:u w:color="0432FF"/>
          <w:lang w:val="en-GB"/>
        </w:rPr>
        <w:t xml:space="preserve"> and increased birthweight</w:t>
      </w:r>
      <w:r w:rsidR="004C4B26" w:rsidRPr="005A28F5">
        <w:rPr>
          <w:rFonts w:ascii="Times New Roman" w:hAnsi="Times New Roman" w:cs="Times New Roman"/>
          <w:sz w:val="24"/>
          <w:szCs w:val="24"/>
          <w:u w:color="0432FF"/>
          <w:lang w:val="en-GB"/>
        </w:rPr>
        <w:t xml:space="preserve"> </w:t>
      </w:r>
      <w:r w:rsidR="004C4B26" w:rsidRPr="005A28F5">
        <w:rPr>
          <w:rFonts w:ascii="Times New Roman" w:hAnsi="Times New Roman" w:cs="Times New Roman"/>
          <w:sz w:val="24"/>
          <w:szCs w:val="24"/>
          <w:u w:color="0432FF"/>
          <w:lang w:val="en-GB"/>
        </w:rPr>
        <w:fldChar w:fldCharType="begin" w:fldLock="1"/>
      </w:r>
      <w:r w:rsidR="00897103">
        <w:rPr>
          <w:rFonts w:ascii="Times New Roman" w:hAnsi="Times New Roman" w:cs="Times New Roman"/>
          <w:sz w:val="24"/>
          <w:szCs w:val="24"/>
          <w:u w:color="0432FF"/>
          <w:lang w:val="en-GB"/>
        </w:rPr>
        <w:instrText>ADDIN CSL_CITATION {"citationItems":[{"id":"ITEM-1","itemData":{"DOI":"10.3945/ajcn.114.084921.1","ISBN":"0002-9165","ISSN":"1938-3207","PMID":"25332324","author":[{"dropping-particle":"","family":"Potdar","given":"Ramesh D","non-dropping-particle":"","parse-names":false,"suffix":""},{"dropping-particle":"","family":"Sahariah","given":"Sirazul a","non-dropping-particle":"","parse-names":false,"suffix":""},{"dropping-particle":"","family":"Gandhi","given":"Meera","non-dropping-particle":"","parse-names":false,"suffix":""},{"dropping-particle":"","family":"Kehoe","given":"Sarah H","non-dropping-particle":"","parse-names":false,"suffix":""},{"dropping-particle":"","family":"Brown","given":"Nick","non-dropping-particle":"","parse-names":false,"suffix":""},{"dropping-particle":"","family":"Sane","given":"Harshad","non-dropping-particle":"","parse-names":false,"suffix":""},{"dropping-particle":"","family":"Dayama","given":"Monika","non-dropping-particle":"","parse-names":false,"suffix":""},{"dropping-particle":"","family":"Jha","given":"Swati","non-dropping-particle":"","parse-names":false,"suffix":""},{"dropping-particle":"","family":"Lawande","given":"Ashwin","non-dropping-particle":"","parse-names":false,"suffix":""},{"dropping-particle":"","family":"Coakley","given":"Patsy J","non-dropping-particle":"","parse-names":false,"suffix":""},{"dropping-particle":"","family":"Marley-zagar","given":"Ella","non-dropping-particle":"","parse-names":false,"suffix":""},{"dropping-particle":"","family":"Chopra","given":"Harsha","non-dropping-particle":"","parse-names":false,"suffix":""},{"dropping-particle":"","family":"Shivshankaran","given":"Devi","non-dropping-particle":"","parse-names":false,"suffix":""},{"dropping-particle":"","family":"Chheda-gala","given":"Purvi","non-dropping-particle":"","parse-names":false,"suffix":""},{"dropping-particle":"","family":"Muley-lotankar","given":"Priyadarshini","non-dropping-particle":"","parse-names":false,"suffix":""},{"dropping-particle":"","family":"Subbulakshmi","given":"G","non-dropping-particle":"","parse-names":false,"suffix":""},{"dropping-particle":"","family":"Wills","given":"Andrew K","non-dropping-particle":"","parse-names":false,"suffix":""},{"dropping-particle":"","family":"Cox","given":"Vanessa a","non-dropping-particle":"","parse-names":false,"suffix":""},{"dropping-particle":"","family":"Taskar","given":"Vijaya","non-dropping-particle":"","parse-names":false,"suffix":""},{"dropping-particle":"","family":"Barker","given":"David J P","non-dropping-particle":"","parse-names":false,"suffix":""},{"dropping-particle":"","family":"Jackson","given":"Alan a","non-dropping-particle":"","parse-names":false,"suffix":""},{"dropping-particle":"","family":"Margetts","given":"Barrie M","non-dropping-particle":"","parse-names":false,"suffix":""},{"dropping-particle":"","family":"Fall","given":"Caroline H D","non-dropping-particle":"","parse-names":false,"suffix":""}],"container-title":"Am J Clin Nutr","id":"ITEM-1","issued":{"date-parts":[["2014"]]},"page":"1257-1268","title":"Improving women’ s diet quality preconceptionally and during gestation: effects on birth weight and prevalence of low birth weight-a randomized controlled efficacy trial in India (Mumbai Maternal Nutrition Project)","type":"article-journal","volume":"100"},"uris":["http://www.mendeley.com/documents/?uuid=1c2ece84-83d3-4ec1-bab4-c98da6f5350c"]}],"mendeley":{"formattedCitation":"(25)","plainTextFormattedCitation":"(25)","previouslyFormattedCitation":"(25)"},"properties":{"noteIndex":0},"schema":"https://github.com/citation-style-language/schema/raw/master/csl-citation.json"}</w:instrText>
      </w:r>
      <w:r w:rsidR="004C4B26" w:rsidRPr="005A28F5">
        <w:rPr>
          <w:rFonts w:ascii="Times New Roman" w:hAnsi="Times New Roman" w:cs="Times New Roman"/>
          <w:sz w:val="24"/>
          <w:szCs w:val="24"/>
          <w:u w:color="0432FF"/>
          <w:lang w:val="en-GB"/>
        </w:rPr>
        <w:fldChar w:fldCharType="separate"/>
      </w:r>
      <w:r w:rsidR="001754FE" w:rsidRPr="001754FE">
        <w:rPr>
          <w:rFonts w:ascii="Times New Roman" w:hAnsi="Times New Roman" w:cs="Times New Roman"/>
          <w:noProof/>
          <w:sz w:val="24"/>
          <w:szCs w:val="24"/>
          <w:u w:color="0432FF"/>
          <w:lang w:val="en-GB"/>
        </w:rPr>
        <w:t>(25)</w:t>
      </w:r>
      <w:r w:rsidR="004C4B26" w:rsidRPr="005A28F5">
        <w:rPr>
          <w:rFonts w:ascii="Times New Roman" w:hAnsi="Times New Roman" w:cs="Times New Roman"/>
          <w:sz w:val="24"/>
          <w:szCs w:val="24"/>
          <w:u w:color="0432FF"/>
          <w:lang w:val="en-GB"/>
        </w:rPr>
        <w:fldChar w:fldCharType="end"/>
      </w:r>
      <w:r w:rsidR="00316934">
        <w:rPr>
          <w:rFonts w:ascii="Times New Roman" w:hAnsi="Times New Roman" w:cs="Times New Roman"/>
          <w:sz w:val="24"/>
          <w:szCs w:val="24"/>
          <w:u w:color="0432FF"/>
          <w:lang w:val="en-GB"/>
        </w:rPr>
        <w:t>. T</w:t>
      </w:r>
      <w:r w:rsidR="00BC5807" w:rsidRPr="005A28F5">
        <w:rPr>
          <w:rFonts w:ascii="Times New Roman" w:hAnsi="Times New Roman" w:cs="Times New Roman"/>
          <w:sz w:val="24"/>
          <w:szCs w:val="24"/>
          <w:u w:color="0432FF"/>
          <w:lang w:val="en-GB"/>
        </w:rPr>
        <w:t xml:space="preserve">he Gambian </w:t>
      </w:r>
      <w:r w:rsidR="00F34AFC">
        <w:rPr>
          <w:rFonts w:ascii="Times New Roman" w:hAnsi="Times New Roman" w:cs="Times New Roman"/>
          <w:sz w:val="24"/>
          <w:szCs w:val="24"/>
          <w:u w:color="0432FF"/>
          <w:lang w:val="en-GB"/>
        </w:rPr>
        <w:t xml:space="preserve">intervention </w:t>
      </w:r>
      <w:r w:rsidR="00BC5807" w:rsidRPr="005A28F5">
        <w:rPr>
          <w:rFonts w:ascii="Times New Roman" w:hAnsi="Times New Roman" w:cs="Times New Roman"/>
          <w:sz w:val="24"/>
          <w:szCs w:val="24"/>
          <w:u w:color="0432FF"/>
          <w:lang w:val="en-GB"/>
        </w:rPr>
        <w:t xml:space="preserve">had </w:t>
      </w:r>
      <w:r w:rsidR="00F34AFC">
        <w:rPr>
          <w:rFonts w:ascii="Times New Roman" w:hAnsi="Times New Roman" w:cs="Times New Roman"/>
          <w:sz w:val="24"/>
          <w:szCs w:val="24"/>
          <w:u w:color="0432FF"/>
          <w:lang w:val="en-GB"/>
        </w:rPr>
        <w:t>no effect on birth weight but improved</w:t>
      </w:r>
      <w:r w:rsidR="00BC5807" w:rsidRPr="005A28F5">
        <w:rPr>
          <w:rFonts w:ascii="Times New Roman" w:hAnsi="Times New Roman" w:cs="Times New Roman"/>
          <w:sz w:val="24"/>
          <w:szCs w:val="24"/>
          <w:u w:color="0432FF"/>
          <w:lang w:val="en-GB"/>
        </w:rPr>
        <w:t xml:space="preserve"> one measure of placental function (uterine-artery resistance index) </w:t>
      </w:r>
      <w:r w:rsidR="00BC5807" w:rsidRPr="005A28F5">
        <w:rPr>
          <w:rFonts w:ascii="Times New Roman" w:hAnsi="Times New Roman" w:cs="Times New Roman"/>
          <w:sz w:val="24"/>
          <w:szCs w:val="24"/>
          <w:u w:color="0432FF"/>
          <w:lang w:val="en-GB"/>
        </w:rPr>
        <w:fldChar w:fldCharType="begin" w:fldLock="1"/>
      </w:r>
      <w:r w:rsidR="00897103">
        <w:rPr>
          <w:rFonts w:ascii="Times New Roman" w:hAnsi="Times New Roman" w:cs="Times New Roman"/>
          <w:sz w:val="24"/>
          <w:szCs w:val="24"/>
          <w:u w:color="0432FF"/>
          <w:lang w:val="en-GB"/>
        </w:rPr>
        <w:instrText>ADDIN CSL_CITATION {"citationItems":[{"id":"ITEM-1","itemData":{"DOI":"10.3945/ajcn.113.072413","ISBN":"1938-3207 (electronic) 0002-9165","ISSN":"19383207","PMID":"26561613","abstract":"Background: Maternal micronutrient deficiencies are commonly associated with clinical indicators of placental dysfunction. Objective: We tested the hypothesis that periconceptional multiplemicronutrient supplementation (MMS) affects placental function. Design: We conducted a double-blind, randomized, placebo-controlled trial of MMS in 17- to 45-y-old Gambian women who were menstruating regularly and within the previous 3 mo. Eligible subjects were pre- randomly assigned to supplementation with the UNICEF/WHO/United Nations University multiple micronutrient preparation (UNIMMAP) or placebo on recruitment and until they reached their first antenatal checkup or for 1 y if they failed to conceive. Primary outcome measures were midgestational indexes of utero-placental vascular-endothelial function [ratio of plasminogen-activator inhibitor (PAI) 1 to PAI-2 and mean uterine-artery resistance index (UtARI)] and placental active transport capacity at delivery [fetal to maternal measles antibody (MMA) ratio]. Results: We recruited 1156 women who yielded 415 pregnancies, of which 376 met all of the inclusion criteria. With adjustment for gestational age at sampling, there were no differences in PAI-1 to PAI-2 or MMA ratios between trial arms, but there was a 0.02-unit reduction in UtARI between 18 and 32 wk of gestation (95% CI: 20.03, 20.00; P = 0.040) in women taking UNIMMAP. Conclusions: Placental vascular function was modifiable by periconceptional micronutrient supplementation. However, the effect was small and supplementation did not further affect other variables of placental function. This trial was registered at www.controlled-trials. com as ISRCTN 13687662.","author":[{"dropping-particle":"","family":"Owens","given":"Stephen","non-dropping-particle":"","parse-names":false,"suffix":""},{"dropping-particle":"","family":"Gulati","given":"Ruchi","non-dropping-particle":"","parse-names":false,"suffix":""},{"dropping-particle":"","family":"Fulford","given":"Anthony J","non-dropping-particle":"","parse-names":false,"suffix":""},{"dropping-particle":"","family":"Sosseh","given":"Fatou","non-dropping-particle":"","parse-names":false,"suffix":""},{"dropping-particle":"","family":"Denison","given":"Fiona C","non-dropping-particle":"","parse-names":false,"suffix":""},{"dropping-particle":"","family":"Brabin","given":"Bernard J","non-dropping-particle":"","parse-names":false,"suffix":""},{"dropping-particle":"","family":"Prentice","given":"Andrew M","non-dropping-particle":"","parse-names":false,"suffix":""}],"container-title":"American Journal of Clinical Nutrition","id":"ITEM-1","issue":"6","issued":{"date-parts":[["2015"]]},"page":"1450-1459","title":"Periconceptional multiple-micronutrient supplementation and placental function in rural Gambian women: A double-blind, randomized, placebo-controlled trial","type":"article-journal","volume":"102"},"uris":["http://www.mendeley.com/documents/?uuid=c7dffdda-f57b-4236-9f8c-64ed6bbb9386"]}],"mendeley":{"formattedCitation":"(26)","plainTextFormattedCitation":"(26)","previouslyFormattedCitation":"(26)"},"properties":{"noteIndex":0},"schema":"https://github.com/citation-style-language/schema/raw/master/csl-citation.json"}</w:instrText>
      </w:r>
      <w:r w:rsidR="00BC5807" w:rsidRPr="005A28F5">
        <w:rPr>
          <w:rFonts w:ascii="Times New Roman" w:hAnsi="Times New Roman" w:cs="Times New Roman"/>
          <w:sz w:val="24"/>
          <w:szCs w:val="24"/>
          <w:u w:color="0432FF"/>
          <w:lang w:val="en-GB"/>
        </w:rPr>
        <w:fldChar w:fldCharType="separate"/>
      </w:r>
      <w:r w:rsidR="001754FE" w:rsidRPr="001754FE">
        <w:rPr>
          <w:rFonts w:ascii="Times New Roman" w:hAnsi="Times New Roman" w:cs="Times New Roman"/>
          <w:noProof/>
          <w:sz w:val="24"/>
          <w:szCs w:val="24"/>
          <w:u w:color="0432FF"/>
          <w:lang w:val="en-GB"/>
        </w:rPr>
        <w:t>(26)</w:t>
      </w:r>
      <w:r w:rsidR="00BC5807" w:rsidRPr="005A28F5">
        <w:rPr>
          <w:rFonts w:ascii="Times New Roman" w:hAnsi="Times New Roman" w:cs="Times New Roman"/>
          <w:sz w:val="24"/>
          <w:szCs w:val="24"/>
          <w:u w:color="0432FF"/>
          <w:lang w:val="en-GB"/>
        </w:rPr>
        <w:fldChar w:fldCharType="end"/>
      </w:r>
      <w:r w:rsidR="00BC3B0C" w:rsidRPr="005A28F5">
        <w:rPr>
          <w:rFonts w:ascii="Times New Roman" w:hAnsi="Times New Roman" w:cs="Times New Roman"/>
          <w:sz w:val="24"/>
          <w:szCs w:val="24"/>
          <w:u w:color="0432FF"/>
          <w:lang w:val="en-GB"/>
        </w:rPr>
        <w:t xml:space="preserve">. </w:t>
      </w:r>
      <w:r w:rsidR="00CC380B">
        <w:rPr>
          <w:rFonts w:ascii="Times New Roman" w:hAnsi="Times New Roman" w:cs="Times New Roman"/>
          <w:sz w:val="24"/>
          <w:szCs w:val="24"/>
          <w:u w:color="0432FF"/>
          <w:lang w:val="en-GB"/>
        </w:rPr>
        <w:t>W</w:t>
      </w:r>
      <w:r w:rsidR="00D663DF">
        <w:rPr>
          <w:rFonts w:ascii="Times New Roman" w:hAnsi="Times New Roman" w:cs="Times New Roman"/>
          <w:sz w:val="24"/>
          <w:szCs w:val="24"/>
          <w:u w:color="0432FF"/>
          <w:lang w:val="en-GB"/>
        </w:rPr>
        <w:t xml:space="preserve">e did not investigate links </w:t>
      </w:r>
      <w:proofErr w:type="spellStart"/>
      <w:r w:rsidR="00D663DF">
        <w:rPr>
          <w:rFonts w:ascii="Times New Roman" w:hAnsi="Times New Roman" w:cs="Times New Roman"/>
          <w:sz w:val="24"/>
          <w:szCs w:val="24"/>
          <w:u w:color="0432FF"/>
          <w:lang w:val="en-GB"/>
        </w:rPr>
        <w:t>betweeen</w:t>
      </w:r>
      <w:proofErr w:type="spellEnd"/>
      <w:r w:rsidR="00D663DF">
        <w:rPr>
          <w:rFonts w:ascii="Times New Roman" w:hAnsi="Times New Roman" w:cs="Times New Roman"/>
          <w:sz w:val="24"/>
          <w:szCs w:val="24"/>
          <w:u w:color="0432FF"/>
          <w:lang w:val="en-GB"/>
        </w:rPr>
        <w:t xml:space="preserve"> intervention-associated </w:t>
      </w:r>
      <w:proofErr w:type="spellStart"/>
      <w:r w:rsidR="00D663DF">
        <w:rPr>
          <w:rFonts w:ascii="Times New Roman" w:hAnsi="Times New Roman" w:cs="Times New Roman"/>
          <w:sz w:val="24"/>
          <w:szCs w:val="24"/>
          <w:u w:color="0432FF"/>
          <w:lang w:val="en-GB"/>
        </w:rPr>
        <w:t>CpGs</w:t>
      </w:r>
      <w:proofErr w:type="spellEnd"/>
      <w:r w:rsidR="00D663DF">
        <w:rPr>
          <w:rFonts w:ascii="Times New Roman" w:hAnsi="Times New Roman" w:cs="Times New Roman"/>
          <w:sz w:val="24"/>
          <w:szCs w:val="24"/>
          <w:u w:color="0432FF"/>
          <w:lang w:val="en-GB"/>
        </w:rPr>
        <w:t xml:space="preserve"> </w:t>
      </w:r>
      <w:r w:rsidR="00711F38">
        <w:rPr>
          <w:rFonts w:ascii="Times New Roman" w:hAnsi="Times New Roman" w:cs="Times New Roman"/>
          <w:sz w:val="24"/>
          <w:szCs w:val="24"/>
          <w:u w:color="0432FF"/>
          <w:lang w:val="en-GB"/>
        </w:rPr>
        <w:t xml:space="preserve">(with DNAm measured in mild-childhood) </w:t>
      </w:r>
      <w:r w:rsidR="00D663DF">
        <w:rPr>
          <w:rFonts w:ascii="Times New Roman" w:hAnsi="Times New Roman" w:cs="Times New Roman"/>
          <w:sz w:val="24"/>
          <w:szCs w:val="24"/>
          <w:u w:color="0432FF"/>
          <w:lang w:val="en-GB"/>
        </w:rPr>
        <w:t xml:space="preserve">and these previously published intervention-associated </w:t>
      </w:r>
      <w:r w:rsidR="00597904">
        <w:rPr>
          <w:rFonts w:ascii="Times New Roman" w:hAnsi="Times New Roman" w:cs="Times New Roman"/>
          <w:sz w:val="24"/>
          <w:szCs w:val="24"/>
          <w:u w:color="0432FF"/>
          <w:lang w:val="en-GB"/>
        </w:rPr>
        <w:t xml:space="preserve">maternal and neonatal </w:t>
      </w:r>
      <w:r w:rsidR="00D663DF">
        <w:rPr>
          <w:rFonts w:ascii="Times New Roman" w:hAnsi="Times New Roman" w:cs="Times New Roman"/>
          <w:sz w:val="24"/>
          <w:szCs w:val="24"/>
          <w:u w:color="0432FF"/>
          <w:lang w:val="en-GB"/>
        </w:rPr>
        <w:t xml:space="preserve">birth </w:t>
      </w:r>
      <w:proofErr w:type="spellStart"/>
      <w:r w:rsidR="00D663DF">
        <w:rPr>
          <w:rFonts w:ascii="Times New Roman" w:hAnsi="Times New Roman" w:cs="Times New Roman"/>
          <w:sz w:val="24"/>
          <w:szCs w:val="24"/>
          <w:u w:color="0432FF"/>
          <w:lang w:val="en-GB"/>
        </w:rPr>
        <w:t>outomes</w:t>
      </w:r>
      <w:proofErr w:type="spellEnd"/>
      <w:r w:rsidR="00316934">
        <w:rPr>
          <w:rFonts w:ascii="Times New Roman" w:hAnsi="Times New Roman" w:cs="Times New Roman"/>
          <w:sz w:val="24"/>
          <w:szCs w:val="24"/>
          <w:u w:color="0432FF"/>
          <w:lang w:val="en-GB"/>
        </w:rPr>
        <w:t xml:space="preserve">, since </w:t>
      </w:r>
      <w:r w:rsidR="00711F38">
        <w:rPr>
          <w:rFonts w:ascii="Times New Roman" w:hAnsi="Times New Roman" w:cs="Times New Roman"/>
          <w:sz w:val="24"/>
          <w:szCs w:val="24"/>
          <w:u w:color="0432FF"/>
          <w:lang w:val="en-GB"/>
        </w:rPr>
        <w:t>it would be difficult to discount reverse causation effects</w:t>
      </w:r>
      <w:r w:rsidR="00D663DF">
        <w:rPr>
          <w:rFonts w:ascii="Times New Roman" w:hAnsi="Times New Roman" w:cs="Times New Roman"/>
          <w:sz w:val="24"/>
          <w:szCs w:val="24"/>
          <w:u w:color="0432FF"/>
          <w:lang w:val="en-GB"/>
        </w:rPr>
        <w:t xml:space="preserve">. </w:t>
      </w:r>
      <w:r w:rsidR="00BC3B0C" w:rsidRPr="00487865">
        <w:rPr>
          <w:rFonts w:ascii="Times New Roman" w:hAnsi="Times New Roman" w:cs="Times New Roman"/>
          <w:sz w:val="24"/>
          <w:szCs w:val="24"/>
          <w:u w:color="0432FF"/>
          <w:lang w:val="en-GB"/>
        </w:rPr>
        <w:t xml:space="preserve">It is possible (in both cohorts) that </w:t>
      </w:r>
      <w:r w:rsidR="00BC7EEB" w:rsidRPr="00487865">
        <w:rPr>
          <w:rFonts w:ascii="Times New Roman" w:hAnsi="Times New Roman" w:cs="Times New Roman"/>
          <w:sz w:val="24"/>
          <w:szCs w:val="24"/>
          <w:u w:color="0432FF"/>
          <w:lang w:val="en-GB"/>
        </w:rPr>
        <w:t xml:space="preserve">some </w:t>
      </w:r>
      <w:r w:rsidR="00BC3B0C" w:rsidRPr="00487865">
        <w:rPr>
          <w:rFonts w:ascii="Times New Roman" w:hAnsi="Times New Roman" w:cs="Times New Roman"/>
          <w:sz w:val="24"/>
          <w:szCs w:val="24"/>
          <w:u w:color="0432FF"/>
          <w:lang w:val="en-GB"/>
        </w:rPr>
        <w:t>DNAm differences between intervention and control groups were present earlier, and ha</w:t>
      </w:r>
      <w:r w:rsidR="00702A97" w:rsidRPr="00487865">
        <w:rPr>
          <w:rFonts w:ascii="Times New Roman" w:hAnsi="Times New Roman" w:cs="Times New Roman"/>
          <w:sz w:val="24"/>
          <w:szCs w:val="24"/>
          <w:u w:color="0432FF"/>
          <w:lang w:val="en-GB"/>
        </w:rPr>
        <w:t xml:space="preserve">d </w:t>
      </w:r>
      <w:r w:rsidR="000D4C4F" w:rsidRPr="00487865">
        <w:rPr>
          <w:rFonts w:ascii="Times New Roman" w:hAnsi="Times New Roman" w:cs="Times New Roman"/>
          <w:sz w:val="24"/>
          <w:szCs w:val="24"/>
          <w:u w:color="0432FF"/>
          <w:lang w:val="en-GB"/>
        </w:rPr>
        <w:t xml:space="preserve">decreased or </w:t>
      </w:r>
      <w:r w:rsidR="00BC3B0C" w:rsidRPr="00487865">
        <w:rPr>
          <w:rFonts w:ascii="Times New Roman" w:hAnsi="Times New Roman" w:cs="Times New Roman"/>
          <w:sz w:val="24"/>
          <w:szCs w:val="24"/>
          <w:u w:color="0432FF"/>
          <w:lang w:val="en-GB"/>
        </w:rPr>
        <w:t>disappeared by mid-</w:t>
      </w:r>
      <w:r w:rsidR="004057BE" w:rsidRPr="00487865">
        <w:rPr>
          <w:rFonts w:ascii="Times New Roman" w:hAnsi="Times New Roman" w:cs="Times New Roman"/>
          <w:sz w:val="24"/>
          <w:szCs w:val="24"/>
          <w:u w:color="0432FF"/>
          <w:lang w:val="en-GB"/>
        </w:rPr>
        <w:t>childhood</w:t>
      </w:r>
      <w:r w:rsidR="00CD363C" w:rsidRPr="00487865">
        <w:rPr>
          <w:rFonts w:ascii="Times New Roman" w:hAnsi="Times New Roman" w:cs="Times New Roman"/>
          <w:sz w:val="24"/>
          <w:szCs w:val="24"/>
          <w:u w:color="0432FF"/>
          <w:lang w:val="en-GB"/>
        </w:rPr>
        <w:t xml:space="preserve"> </w:t>
      </w:r>
      <w:r w:rsidR="00CD363C" w:rsidRPr="00487865">
        <w:rPr>
          <w:rFonts w:ascii="Times New Roman" w:hAnsi="Times New Roman" w:cs="Times New Roman"/>
          <w:sz w:val="24"/>
          <w:szCs w:val="24"/>
          <w:u w:color="0432FF"/>
          <w:lang w:val="en-GB"/>
        </w:rPr>
        <w:fldChar w:fldCharType="begin" w:fldLock="1"/>
      </w:r>
      <w:r w:rsidR="000C3130">
        <w:rPr>
          <w:rFonts w:ascii="Times New Roman" w:hAnsi="Times New Roman" w:cs="Times New Roman"/>
          <w:sz w:val="24"/>
          <w:szCs w:val="24"/>
          <w:u w:color="0432FF"/>
          <w:lang w:val="en-GB"/>
        </w:rPr>
        <w:instrText>ADDIN CSL_CITATION {"citationItems":[{"id":"ITEM-1","itemData":{"DOI":"10.1093/hmg/ddv119","ISBN":"0964-6906","ISSN":"14602083","PMID":"25869828","abstract":"Gestational age (GA) and birth weight have been implicated in the determination of long-term health. It has been hypothesized that changes in DNA methylation may mediate these long-term effects. We obtained DNA methylation profiles from cord blood and peripheral blood at ages 7 and 17 in the same children from the Avon Longitudinal Study of Parents and Children. Repeated-measures data were used to investigate changes in birth-related methylation during childhood and adolescence. Ten developmental phenotypes (e.g. height) were analysed to identify possible mediation of health effects by DNA methylation. In cord blood, methylation at 224 CpG sites was found to be associated with GA and 23 CpG sites with birth weight. Methylation changed in the majority of these sites over time, but neither birth characteristic was strongly associated with methylation at age 7 or 17 (using a conservative correction for multiple testing of P &lt; 1.03 × 10(-7)), suggesting resolution of differential methylation by early childhood. Associations were observed between birth weight-associated CpG sites and phenotypic characteristics in childhood. One strong association involved birth weight, methylation of a CpG site proximal to the NFIX locus and bone mineral density at age 17. Analysis of serial methylation from birth to adolescence provided evidence for a lack of persistence of methylation differences beyond early childhood. Sites associated with birth weight were linked to developmental genes and have methylation levels which are associated with developmental phenotypes. Replication and interrogation of causal relationships are needed to substantiate whether methylation differences at birth influence the association between birth weight and development.","author":[{"dropping-particle":"","family":"Simpkin","given":"Andrew J.","non-dropping-particle":"","parse-names":false,"suffix":""},{"dropping-particle":"","family":"Suderman","given":"Matthew","non-dropping-particle":"","parse-names":false,"suffix":""},{"dropping-particle":"","family":"Gaunt","given":"Tom R.","non-dropping-particle":"","parse-names":false,"suffix":""},{"dropping-particle":"","family":"Lyttleton","given":"Oliver","non-dropping-particle":"","parse-names":false,"suffix":""},{"dropping-particle":"","family":"Mcardle","given":"Wendy L.","non-dropping-particle":"","parse-names":false,"suffix":""},{"dropping-particle":"","family":"Ring","given":"Susan M.","non-dropping-particle":"","parse-names":false,"suffix":""},{"dropping-particle":"","family":"Tilling","given":"Kate","non-dropping-particle":"","parse-names":false,"suffix":""},{"dropping-particle":"","family":"Smith","given":"George Davey","non-dropping-particle":"","parse-names":false,"suffix":""},{"dropping-particle":"","family":"Relton","given":"Caroline L.","non-dropping-particle":"","parse-names":false,"suffix":""},{"dropping-particle":"","family":"Davey Smith","given":"George","non-dropping-particle":"","parse-names":false,"suffix":""},{"dropping-particle":"","family":"Relton","given":"Caroline L.","non-dropping-particle":"","parse-names":false,"suffix":""},{"dropping-particle":"","family":"Smith","given":"George Davey","non-dropping-particle":"","parse-names":false,"suffix":""},{"dropping-particle":"","family":"Relton","given":"Caroline L.","non-dropping-particle":"","parse-names":false,"suffix":""},{"dropping-particle":"","family":"Davey Smith","given":"George","non-dropping-particle":"","parse-names":false,"suffix":""},{"dropping-particle":"","family":"Relton","given":"Caroline L.","non-dropping-particle":"","parse-names":false,"suffix":""}],"container-title":"Human Molecular Genetics","id":"ITEM-1","issue":"13","issued":{"date-parts":[["2015"]]},"page":"3752-3763","title":"Longitudinal analysis of DNA methylation associated with birth weight and gestational age","type":"article-journal","volume":"24"},"uris":["http://www.mendeley.com/documents/?uuid=c5df6d08-2a82-4df1-865d-d8aae12f7fe9"]}],"mendeley":{"formattedCitation":"(67)","plainTextFormattedCitation":"(67)","previouslyFormattedCitation":"(66)"},"properties":{"noteIndex":0},"schema":"https://github.com/citation-style-language/schema/raw/master/csl-citation.json"}</w:instrText>
      </w:r>
      <w:r w:rsidR="00CD363C" w:rsidRPr="00487865">
        <w:rPr>
          <w:rFonts w:ascii="Times New Roman" w:hAnsi="Times New Roman" w:cs="Times New Roman"/>
          <w:sz w:val="24"/>
          <w:szCs w:val="24"/>
          <w:u w:color="0432FF"/>
          <w:lang w:val="en-GB"/>
        </w:rPr>
        <w:fldChar w:fldCharType="separate"/>
      </w:r>
      <w:r w:rsidR="000C3130" w:rsidRPr="000C3130">
        <w:rPr>
          <w:rFonts w:ascii="Times New Roman" w:hAnsi="Times New Roman" w:cs="Times New Roman"/>
          <w:noProof/>
          <w:sz w:val="24"/>
          <w:szCs w:val="24"/>
          <w:u w:color="0432FF"/>
          <w:lang w:val="en-GB"/>
        </w:rPr>
        <w:t>(67)</w:t>
      </w:r>
      <w:r w:rsidR="00CD363C" w:rsidRPr="00487865">
        <w:rPr>
          <w:rFonts w:ascii="Times New Roman" w:hAnsi="Times New Roman" w:cs="Times New Roman"/>
          <w:sz w:val="24"/>
          <w:szCs w:val="24"/>
          <w:u w:color="0432FF"/>
          <w:lang w:val="en-GB"/>
        </w:rPr>
        <w:fldChar w:fldCharType="end"/>
      </w:r>
      <w:r w:rsidR="00027E35" w:rsidRPr="00487865">
        <w:rPr>
          <w:rFonts w:ascii="Times New Roman" w:hAnsi="Times New Roman" w:cs="Times New Roman"/>
          <w:sz w:val="24"/>
          <w:szCs w:val="24"/>
          <w:u w:color="0432FF"/>
          <w:lang w:val="en-GB"/>
        </w:rPr>
        <w:t>.</w:t>
      </w:r>
      <w:r w:rsidR="001B1292">
        <w:rPr>
          <w:rFonts w:ascii="Times New Roman" w:hAnsi="Times New Roman" w:cs="Times New Roman"/>
          <w:sz w:val="24"/>
          <w:szCs w:val="24"/>
          <w:u w:color="0432FF"/>
          <w:lang w:val="en-GB"/>
        </w:rPr>
        <w:t xml:space="preserve"> </w:t>
      </w:r>
      <w:r w:rsidR="004D0E4A">
        <w:rPr>
          <w:rFonts w:ascii="Times New Roman" w:hAnsi="Times New Roman" w:cs="Times New Roman"/>
          <w:sz w:val="24"/>
          <w:szCs w:val="24"/>
          <w:u w:color="0432FF"/>
          <w:lang w:val="en-GB"/>
        </w:rPr>
        <w:t xml:space="preserve">We were not able to investigate </w:t>
      </w:r>
      <w:r w:rsidR="000C3130">
        <w:rPr>
          <w:rFonts w:ascii="Times New Roman" w:hAnsi="Times New Roman" w:cs="Times New Roman"/>
          <w:sz w:val="24"/>
          <w:szCs w:val="24"/>
          <w:u w:color="0432FF"/>
          <w:lang w:val="en-GB"/>
        </w:rPr>
        <w:t xml:space="preserve">such </w:t>
      </w:r>
      <w:r w:rsidR="004D0E4A">
        <w:rPr>
          <w:rFonts w:ascii="Times New Roman" w:hAnsi="Times New Roman" w:cs="Times New Roman"/>
          <w:sz w:val="24"/>
          <w:szCs w:val="24"/>
          <w:u w:color="0432FF"/>
          <w:lang w:val="en-GB"/>
        </w:rPr>
        <w:t xml:space="preserve">longitudinal changes in DNAm </w:t>
      </w:r>
      <w:r w:rsidR="00CC380B">
        <w:rPr>
          <w:rFonts w:ascii="Times New Roman" w:hAnsi="Times New Roman" w:cs="Times New Roman"/>
          <w:sz w:val="24"/>
          <w:szCs w:val="24"/>
          <w:u w:color="0432FF"/>
          <w:lang w:val="en-GB"/>
        </w:rPr>
        <w:t xml:space="preserve">as neonatal samples were not collected in the original studies. </w:t>
      </w:r>
    </w:p>
    <w:p w14:paraId="66B43F77" w14:textId="77777777" w:rsidR="00E01BB2" w:rsidRPr="005A28F5" w:rsidRDefault="00E01BB2" w:rsidP="001A64D3">
      <w:pPr>
        <w:pStyle w:val="BodyA"/>
        <w:spacing w:line="360" w:lineRule="auto"/>
        <w:rPr>
          <w:rFonts w:ascii="Times New Roman" w:eastAsia="Cambria" w:hAnsi="Times New Roman" w:cs="Times New Roman"/>
          <w:sz w:val="24"/>
          <w:szCs w:val="24"/>
          <w:u w:color="808080"/>
          <w:lang w:val="en-GB"/>
        </w:rPr>
      </w:pPr>
    </w:p>
    <w:p w14:paraId="2BF3B0CB" w14:textId="1FF85FC1" w:rsidR="00E01BB2" w:rsidRPr="005A28F5" w:rsidRDefault="00E11FE3" w:rsidP="001A64D3">
      <w:pPr>
        <w:pStyle w:val="BodyA"/>
        <w:spacing w:line="360" w:lineRule="auto"/>
        <w:rPr>
          <w:rFonts w:ascii="Times New Roman" w:eastAsia="Cambria" w:hAnsi="Times New Roman" w:cs="Times New Roman"/>
          <w:color w:val="808080"/>
          <w:u w:color="808080"/>
          <w:lang w:val="en-GB"/>
        </w:rPr>
      </w:pPr>
      <w:r w:rsidRPr="005A28F5">
        <w:rPr>
          <w:rFonts w:ascii="Times New Roman" w:hAnsi="Times New Roman" w:cs="Times New Roman"/>
          <w:sz w:val="24"/>
          <w:szCs w:val="24"/>
          <w:shd w:val="clear" w:color="auto" w:fill="FFFFFF"/>
          <w:lang w:val="en-GB"/>
        </w:rPr>
        <w:t>DNAm</w:t>
      </w:r>
      <w:r w:rsidR="00BC3B0C" w:rsidRPr="005A28F5">
        <w:rPr>
          <w:rFonts w:ascii="Times New Roman" w:hAnsi="Times New Roman" w:cs="Times New Roman"/>
          <w:sz w:val="24"/>
          <w:szCs w:val="24"/>
          <w:shd w:val="clear" w:color="auto" w:fill="FFFFFF"/>
          <w:lang w:val="en-GB"/>
        </w:rPr>
        <w:t xml:space="preserve"> can </w:t>
      </w:r>
      <w:r w:rsidR="00BC3B0C" w:rsidRPr="005A28F5">
        <w:rPr>
          <w:rFonts w:ascii="Times New Roman" w:hAnsi="Times New Roman" w:cs="Times New Roman"/>
          <w:color w:val="000000" w:themeColor="text1"/>
          <w:sz w:val="24"/>
          <w:szCs w:val="24"/>
          <w:shd w:val="clear" w:color="auto" w:fill="FFFFFF"/>
          <w:lang w:val="en-GB"/>
        </w:rPr>
        <w:t>be influenced by genotype and genetic variation may therefore be an important confounder in observed associations</w:t>
      </w:r>
      <w:r w:rsidR="00BB4349" w:rsidRPr="005A28F5">
        <w:rPr>
          <w:rStyle w:val="None"/>
          <w:rFonts w:ascii="Times New Roman" w:hAnsi="Times New Roman" w:cs="Times New Roman"/>
          <w:color w:val="000000" w:themeColor="text1"/>
          <w:sz w:val="24"/>
          <w:szCs w:val="24"/>
          <w:shd w:val="clear" w:color="auto" w:fill="FFFFFF"/>
          <w:lang w:val="en-GB"/>
        </w:rPr>
        <w:fldChar w:fldCharType="begin" w:fldLock="1"/>
      </w:r>
      <w:r w:rsidR="000C3130">
        <w:rPr>
          <w:rStyle w:val="None"/>
          <w:rFonts w:ascii="Times New Roman" w:hAnsi="Times New Roman" w:cs="Times New Roman"/>
          <w:color w:val="000000" w:themeColor="text1"/>
          <w:sz w:val="24"/>
          <w:szCs w:val="24"/>
          <w:shd w:val="clear" w:color="auto" w:fill="FFFFFF"/>
          <w:lang w:val="en-GB"/>
        </w:rPr>
        <w:instrText>ADDIN CSL_CITATION {"citationItems":[{"id":"ITEM-1","itemData":{"DOI":"10.1371/journal.pgen.1006105","ISSN":"1553-7404","abstract":"Epigenome-wide association studies represent one means of applying genome-wide assays to identify molecular events that could be associated with human phenotypes. The epigenome is especially intriguing as a target for study, as epigenetic regulatory processes are, by definition, heritable from parent to daughter cells and are found to have transcrip-tional regulatory properties. As such, the epigenome is an attractive candidate for mediating long-term responses to cellular stimuli, such as environmental effects modifying disease risk. Such epigenomic studies represent a broader category of disease -omics, which suffer from multiple problems in design and execution that severely limit their interpretability. Here we define many of the problems with current epigenomic studies and propose solutions that can be applied to allow this and other disease -omics studies to achieve their potential for generating valuable insights.","author":[{"dropping-particle":"","family":"Birney","given":"Ewan","non-dropping-particle":"","parse-names":false,"suffix":""},{"dropping-particle":"","family":"Smith","given":"George Davey","non-dropping-particle":"","parse-names":false,"suffix":""},{"dropping-particle":"","family":"Greally","given":"John M","non-dropping-particle":"","parse-names":false,"suffix":""}],"container-title":"PLOS Genetics","editor":[{"dropping-particle":"","family":"Barsh","given":"Gregory S.","non-dropping-particle":"","parse-names":false,"suffix":""}],"id":"ITEM-1","issue":"6","issued":{"date-parts":[["2016","6","23"]]},"page":"e1006105","title":"Epigenome-wide Association Studies and the Interpretation of Disease -Omics","type":"article-journal","volume":"12"},"uris":["http://www.mendeley.com/documents/?uuid=ba97e4af-1091-3d4f-a916-2b44cc1a54b7"]}],"mendeley":{"formattedCitation":"(68)","plainTextFormattedCitation":"(68)","previouslyFormattedCitation":"(67)"},"properties":{"noteIndex":0},"schema":"https://github.com/citation-style-language/schema/raw/master/csl-citation.json"}</w:instrText>
      </w:r>
      <w:r w:rsidR="00BB4349" w:rsidRPr="005A28F5">
        <w:rPr>
          <w:rStyle w:val="None"/>
          <w:rFonts w:ascii="Times New Roman" w:hAnsi="Times New Roman" w:cs="Times New Roman"/>
          <w:color w:val="000000" w:themeColor="text1"/>
          <w:sz w:val="24"/>
          <w:szCs w:val="24"/>
          <w:shd w:val="clear" w:color="auto" w:fill="FFFFFF"/>
          <w:lang w:val="en-GB"/>
        </w:rPr>
        <w:fldChar w:fldCharType="separate"/>
      </w:r>
      <w:r w:rsidR="000C3130" w:rsidRPr="000C3130">
        <w:rPr>
          <w:rStyle w:val="None"/>
          <w:rFonts w:ascii="Times New Roman" w:hAnsi="Times New Roman" w:cs="Times New Roman"/>
          <w:noProof/>
          <w:color w:val="000000" w:themeColor="text1"/>
          <w:sz w:val="24"/>
          <w:szCs w:val="24"/>
          <w:shd w:val="clear" w:color="auto" w:fill="FFFFFF"/>
          <w:lang w:val="en-GB"/>
        </w:rPr>
        <w:t>(68)</w:t>
      </w:r>
      <w:r w:rsidR="00BB4349" w:rsidRPr="005A28F5">
        <w:rPr>
          <w:rStyle w:val="None"/>
          <w:rFonts w:ascii="Times New Roman" w:hAnsi="Times New Roman" w:cs="Times New Roman"/>
          <w:color w:val="000000" w:themeColor="text1"/>
          <w:sz w:val="24"/>
          <w:szCs w:val="24"/>
          <w:shd w:val="clear" w:color="auto" w:fill="FFFFFF"/>
          <w:lang w:val="en-GB"/>
        </w:rPr>
        <w:fldChar w:fldCharType="end"/>
      </w:r>
      <w:r w:rsidR="008E3B28" w:rsidRPr="005A28F5">
        <w:rPr>
          <w:rStyle w:val="None"/>
          <w:rFonts w:ascii="Times New Roman" w:hAnsi="Times New Roman" w:cs="Times New Roman"/>
          <w:color w:val="000000" w:themeColor="text1"/>
          <w:sz w:val="24"/>
          <w:szCs w:val="24"/>
          <w:shd w:val="clear" w:color="auto" w:fill="FFFFFF"/>
          <w:lang w:val="en-GB"/>
        </w:rPr>
        <w:t>, although this is unlikely given the randomised design of this study</w:t>
      </w:r>
      <w:r w:rsidR="00BC3B0C" w:rsidRPr="005A28F5">
        <w:rPr>
          <w:rFonts w:ascii="Times New Roman" w:hAnsi="Times New Roman" w:cs="Times New Roman"/>
          <w:color w:val="000000" w:themeColor="text1"/>
          <w:sz w:val="24"/>
          <w:szCs w:val="24"/>
          <w:shd w:val="clear" w:color="auto" w:fill="FFFFFF"/>
          <w:lang w:val="en-GB"/>
        </w:rPr>
        <w:t xml:space="preserve">. A genome-wide mQTL analysis of Gambian intervention-associated CpGs provided evidence that methylation </w:t>
      </w:r>
      <w:r w:rsidR="00BC3B0C" w:rsidRPr="005A28F5">
        <w:rPr>
          <w:rFonts w:ascii="Times New Roman" w:hAnsi="Times New Roman" w:cs="Times New Roman"/>
          <w:sz w:val="24"/>
          <w:szCs w:val="24"/>
          <w:shd w:val="clear" w:color="auto" w:fill="FFFFFF"/>
          <w:lang w:val="en-GB"/>
        </w:rPr>
        <w:t xml:space="preserve">status of </w:t>
      </w:r>
      <w:r w:rsidR="00BC3B0C" w:rsidRPr="005A28F5">
        <w:rPr>
          <w:rFonts w:ascii="Times New Roman" w:hAnsi="Times New Roman" w:cs="Times New Roman"/>
          <w:i/>
          <w:sz w:val="24"/>
          <w:szCs w:val="24"/>
          <w:shd w:val="clear" w:color="auto" w:fill="FFFFFF"/>
          <w:lang w:val="en-GB"/>
        </w:rPr>
        <w:t>ESM1</w:t>
      </w:r>
      <w:r w:rsidR="00BC3B0C" w:rsidRPr="005A28F5">
        <w:rPr>
          <w:rFonts w:ascii="Times New Roman" w:hAnsi="Times New Roman" w:cs="Times New Roman"/>
          <w:sz w:val="24"/>
          <w:szCs w:val="24"/>
          <w:shd w:val="clear" w:color="auto" w:fill="FFFFFF"/>
          <w:lang w:val="en-GB"/>
        </w:rPr>
        <w:t xml:space="preserve"> is independently influenced by the intervention and by genotype in </w:t>
      </w:r>
      <w:r w:rsidR="00BC3B0C" w:rsidRPr="005A28F5">
        <w:rPr>
          <w:rFonts w:ascii="Times New Roman" w:hAnsi="Times New Roman" w:cs="Times New Roman"/>
          <w:i/>
          <w:sz w:val="24"/>
          <w:szCs w:val="24"/>
          <w:shd w:val="clear" w:color="auto" w:fill="FFFFFF"/>
          <w:lang w:val="en-GB"/>
        </w:rPr>
        <w:t>cis</w:t>
      </w:r>
      <w:r w:rsidR="00BC3B0C" w:rsidRPr="005A28F5">
        <w:rPr>
          <w:rFonts w:ascii="Times New Roman" w:hAnsi="Times New Roman" w:cs="Times New Roman"/>
          <w:sz w:val="24"/>
          <w:szCs w:val="24"/>
          <w:shd w:val="clear" w:color="auto" w:fill="FFFFFF"/>
          <w:lang w:val="en-GB"/>
        </w:rPr>
        <w:t xml:space="preserve">. </w:t>
      </w:r>
      <w:r w:rsidR="00B02493" w:rsidRPr="005A28F5">
        <w:rPr>
          <w:rFonts w:ascii="Times New Roman" w:hAnsi="Times New Roman" w:cs="Times New Roman"/>
          <w:sz w:val="24"/>
          <w:szCs w:val="24"/>
          <w:shd w:val="clear" w:color="auto" w:fill="FFFFFF"/>
          <w:lang w:val="en-GB"/>
        </w:rPr>
        <w:t xml:space="preserve">There is existing evidence that the identified </w:t>
      </w:r>
      <w:r w:rsidR="00B02493" w:rsidRPr="005A28F5">
        <w:rPr>
          <w:rFonts w:ascii="Times New Roman" w:hAnsi="Times New Roman" w:cs="Times New Roman"/>
          <w:i/>
          <w:sz w:val="24"/>
          <w:szCs w:val="24"/>
          <w:shd w:val="clear" w:color="auto" w:fill="FFFFFF"/>
          <w:lang w:val="en-GB"/>
        </w:rPr>
        <w:t>cis-</w:t>
      </w:r>
      <w:r w:rsidR="00B02493" w:rsidRPr="005A28F5">
        <w:rPr>
          <w:rFonts w:ascii="Times New Roman" w:hAnsi="Times New Roman" w:cs="Times New Roman"/>
          <w:sz w:val="24"/>
          <w:szCs w:val="24"/>
          <w:shd w:val="clear" w:color="auto" w:fill="FFFFFF"/>
          <w:lang w:val="en-GB"/>
        </w:rPr>
        <w:t>mQTL</w:t>
      </w:r>
      <w:r w:rsidR="00B02493" w:rsidRPr="005A28F5">
        <w:rPr>
          <w:rFonts w:ascii="Times New Roman" w:hAnsi="Times New Roman" w:cs="Times New Roman"/>
          <w:i/>
          <w:sz w:val="24"/>
          <w:szCs w:val="24"/>
          <w:shd w:val="clear" w:color="auto" w:fill="FFFFFF"/>
          <w:lang w:val="en-GB"/>
        </w:rPr>
        <w:t xml:space="preserve">, </w:t>
      </w:r>
      <w:r w:rsidR="00B02493" w:rsidRPr="005A28F5">
        <w:rPr>
          <w:rFonts w:ascii="Times New Roman" w:hAnsi="Times New Roman" w:cs="Times New Roman"/>
          <w:sz w:val="24"/>
          <w:szCs w:val="24"/>
          <w:shd w:val="clear" w:color="auto" w:fill="FFFFFF"/>
          <w:lang w:val="en-GB"/>
        </w:rPr>
        <w:t xml:space="preserve">rs1423249, is also a </w:t>
      </w:r>
      <w:r w:rsidR="00B02493" w:rsidRPr="005A28F5">
        <w:rPr>
          <w:rFonts w:ascii="Times New Roman" w:hAnsi="Times New Roman" w:cs="Times New Roman"/>
          <w:i/>
          <w:sz w:val="24"/>
          <w:szCs w:val="24"/>
          <w:shd w:val="clear" w:color="auto" w:fill="FFFFFF"/>
          <w:lang w:val="en-GB"/>
        </w:rPr>
        <w:t>cis</w:t>
      </w:r>
      <w:r w:rsidR="00B02493" w:rsidRPr="005A28F5">
        <w:rPr>
          <w:rFonts w:ascii="Times New Roman" w:hAnsi="Times New Roman" w:cs="Times New Roman"/>
          <w:sz w:val="24"/>
          <w:szCs w:val="24"/>
          <w:shd w:val="clear" w:color="auto" w:fill="FFFFFF"/>
          <w:lang w:val="en-GB"/>
        </w:rPr>
        <w:t>-</w:t>
      </w:r>
      <w:proofErr w:type="spellStart"/>
      <w:r w:rsidR="00B02493" w:rsidRPr="005A28F5">
        <w:rPr>
          <w:rFonts w:ascii="Times New Roman" w:hAnsi="Times New Roman" w:cs="Times New Roman"/>
          <w:sz w:val="24"/>
          <w:szCs w:val="24"/>
          <w:shd w:val="clear" w:color="auto" w:fill="FFFFFF"/>
          <w:lang w:val="en-GB"/>
        </w:rPr>
        <w:t>eQTL</w:t>
      </w:r>
      <w:proofErr w:type="spellEnd"/>
      <w:r w:rsidR="00B02493" w:rsidRPr="005A28F5">
        <w:rPr>
          <w:rFonts w:ascii="Times New Roman" w:hAnsi="Times New Roman" w:cs="Times New Roman"/>
          <w:sz w:val="24"/>
          <w:szCs w:val="24"/>
          <w:shd w:val="clear" w:color="auto" w:fill="FFFFFF"/>
          <w:lang w:val="en-GB"/>
        </w:rPr>
        <w:t xml:space="preserve"> for </w:t>
      </w:r>
      <w:r w:rsidR="00B02493" w:rsidRPr="005A28F5">
        <w:rPr>
          <w:rFonts w:ascii="Times New Roman" w:hAnsi="Times New Roman" w:cs="Times New Roman"/>
          <w:i/>
          <w:sz w:val="24"/>
          <w:szCs w:val="24"/>
          <w:shd w:val="clear" w:color="auto" w:fill="FFFFFF"/>
          <w:lang w:val="en-GB"/>
        </w:rPr>
        <w:t>ESM1</w:t>
      </w:r>
      <w:r w:rsidR="00B02493" w:rsidRPr="005A28F5">
        <w:rPr>
          <w:rFonts w:ascii="Times New Roman" w:hAnsi="Times New Roman" w:cs="Times New Roman"/>
          <w:sz w:val="24"/>
          <w:szCs w:val="24"/>
          <w:shd w:val="clear" w:color="auto" w:fill="FFFFFF"/>
          <w:lang w:val="en-GB"/>
        </w:rPr>
        <w:t xml:space="preserve"> in human lung tissue </w:t>
      </w:r>
      <w:r w:rsidR="00B02493" w:rsidRPr="005A28F5">
        <w:rPr>
          <w:rFonts w:ascii="Times New Roman" w:hAnsi="Times New Roman" w:cs="Times New Roman"/>
          <w:sz w:val="24"/>
          <w:szCs w:val="24"/>
          <w:shd w:val="clear" w:color="auto" w:fill="FFFFFF"/>
          <w:lang w:val="en-GB"/>
        </w:rPr>
        <w:fldChar w:fldCharType="begin" w:fldLock="1"/>
      </w:r>
      <w:r w:rsidR="000C3130">
        <w:rPr>
          <w:rFonts w:ascii="Times New Roman" w:hAnsi="Times New Roman" w:cs="Times New Roman"/>
          <w:sz w:val="24"/>
          <w:szCs w:val="24"/>
          <w:shd w:val="clear" w:color="auto" w:fill="FFFFFF"/>
          <w:lang w:val="en-GB"/>
        </w:rPr>
        <w:instrText>ADDIN CSL_CITATION {"citationItems":[{"id":"ITEM-1","itemData":{"DOI":"10.1371/journal.pgen.1003029","ISBN":"1553-7404 (Electronic)\\n1553-7390 (Linking)","ISSN":"15537390","PMID":"23209423","abstract":"Genome-wide association studies (GWAS) have identified loci reproducibly associated with pulmonary diseases; however, the molecular mechanism underlying these associations are largely unknown. The objectives of this study were to discover genetic variants affecting gene expression in human lung tissue, to refine susceptibility loci for asthma identified in GWAS studies, and to use the genetics of gene expression and network analyses to find key molecular drivers of asthma. We performed a genome-wide search for expression quantitative trait loci (eQTL) in 1,111 human lung samples. The lung eQTL dataset was then used to inform asthma genetic studies reported in the literature. The top ranked lung eQTLs were integrated with the GWAS on asthma reported by the GABRIEL consortium to generate a Bayesian gene expression network for discovery of novel molecular pathways underpinning asthma. We detected 17,178 cis- and 593 trans- lung eQTLs, which can be used to explore the functional consequences of loci associated with lung diseases and traits. Some strong eQTLs are also asthma susceptibility loci. For example, rs3859192 on chr17q21 is robustly associated with the mRNA levels of GSDMA (P = 3.55 × 10(-151)). The genetic-gene expression network identified the SOCS3 pathway as one of the key drivers of asthma. The eQTLs and gene networks identified in this study are powerful tools for elucidating the causal mechanisms underlying pulmonary disease. This data resource offers much-needed support to pinpoint the causal genes and characterize the molecular function of gene variants associated with lung diseases.","author":[{"dropping-particle":"","family":"Hao","given":"Ke","non-dropping-particle":"","parse-names":false,"suffix":""},{"dropping-particle":"","family":"Bossé","given":"Yohan","non-dropping-particle":"","parse-names":false,"suffix":""},{"dropping-particle":"","family":"Nickle","given":"David C.","non-dropping-particle":"","parse-names":false,"suffix":""},{"dropping-particle":"","family":"Paré","given":"Peter D.","non-dropping-particle":"","parse-names":false,"suffix":""},{"dropping-particle":"","family":"Postma","given":"Dirkje S.","non-dropping-particle":"","parse-names":false,"suffix":""},{"dropping-particle":"","family":"Laviolette","given":"Michel","non-dropping-particle":"","parse-names":false,"suffix":""},{"dropping-particle":"","family":"Sandford","given":"Andrew","non-dropping-particle":"","parse-names":false,"suffix":""},{"dropping-particle":"","family":"Hackett","given":"Tillie L.","non-dropping-particle":"","parse-names":false,"suffix":""},{"dropping-particle":"","family":"Daley","given":"Denise","non-dropping-particle":"","parse-names":false,"suffix":""},{"dropping-particle":"","family":"Hogg","given":"James C.","non-dropping-particle":"","parse-names":false,"suffix":""},{"dropping-particle":"","family":"Elliott","given":"W. Mark","non-dropping-particle":"","parse-names":false,"suffix":""},{"dropping-particle":"","family":"Couture","given":"Christian","non-dropping-particle":"","parse-names":false,"suffix":""},{"dropping-particle":"","family":"Lamontagne","given":"Maxime","non-dropping-particle":"","parse-names":false,"suffix":""},{"dropping-particle":"","family":"Brandsma","given":"Corry Anke","non-dropping-particle":"","parse-names":false,"suffix":""},{"dropping-particle":"","family":"Berge","given":"Maarten","non-dropping-particle":"van den","parse-names":false,"suffix":""},{"dropping-particle":"","family":"Koppelman","given":"Gerard","non-dropping-particle":"","parse-names":false,"suffix":""},{"dropping-particle":"","family":"Reicin","given":"Alise S.","non-dropping-particle":"","parse-names":false,"suffix":""},{"dropping-particle":"","family":"Nicholson","given":"Donald W.","non-dropping-particle":"","parse-names":false,"suffix":""},{"dropping-particle":"","family":"Malkov","given":"Vladislav","non-dropping-particle":"","parse-names":false,"suffix":""},{"dropping-particle":"","family":"Derry","given":"Jonathan M.","non-dropping-particle":"","parse-names":false,"suffix":""},{"dropping-particle":"","family":"Suver","given":"Christine","non-dropping-particle":"","parse-names":false,"suffix":""},{"dropping-particle":"","family":"Tsou","given":"Jeffrey A.","non-dropping-particle":"","parse-names":false,"suffix":""},{"dropping-particle":"","family":"Kulkarni","given":"Amit","non-dropping-particle":"","parse-names":false,"suffix":""},{"dropping-particle":"","family":"Zhang","given":"Chunsheng","non-dropping-particle":"","parse-names":false,"suffix":""},{"dropping-particle":"","family":"Vessey","given":"Rupert","non-dropping-particle":"","parse-names":false,"suffix":""},{"dropping-particle":"","family":"Opiteck","given":"Greg J.","non-dropping-particle":"","parse-names":false,"suffix":""},{"dropping-particle":"","family":"Curtis","given":"Sean P.","non-dropping-particle":"","parse-names":false,"suffix":""},{"dropping-particle":"","family":"Timens","given":"Wim","non-dropping-particle":"","parse-names":false,"suffix":""},{"dropping-particle":"","family":"Sin","given":"Don D.","non-dropping-particle":"","parse-names":false,"suffix":""}],"container-title":"PLoS Genetics","editor":[{"dropping-particle":"","family":"Williams","given":"Scott M.","non-dropping-particle":"","parse-names":false,"suffix":""}],"id":"ITEM-1","issue":"11","issued":{"date-parts":[["2012","11"]]},"page":"e1003029","title":"Lung eQTLs to Help Reveal the Molecular Underpinnings of Asthma","type":"article-journal","volume":"8"},"uris":["http://www.mendeley.com/documents/?uuid=36f249c0-73d3-41c0-89e8-e1cf3fc7d754"]}],"mendeley":{"formattedCitation":"(69)","plainTextFormattedCitation":"(69)","previouslyFormattedCitation":"(68)"},"properties":{"noteIndex":0},"schema":"https://github.com/citation-style-language/schema/raw/master/csl-citation.json"}</w:instrText>
      </w:r>
      <w:r w:rsidR="00B02493" w:rsidRPr="005A28F5">
        <w:rPr>
          <w:rFonts w:ascii="Times New Roman" w:hAnsi="Times New Roman" w:cs="Times New Roman"/>
          <w:sz w:val="24"/>
          <w:szCs w:val="24"/>
          <w:shd w:val="clear" w:color="auto" w:fill="FFFFFF"/>
          <w:lang w:val="en-GB"/>
        </w:rPr>
        <w:fldChar w:fldCharType="separate"/>
      </w:r>
      <w:r w:rsidR="000C3130" w:rsidRPr="000C3130">
        <w:rPr>
          <w:rFonts w:ascii="Times New Roman" w:hAnsi="Times New Roman" w:cs="Times New Roman"/>
          <w:noProof/>
          <w:sz w:val="24"/>
          <w:szCs w:val="24"/>
          <w:shd w:val="clear" w:color="auto" w:fill="FFFFFF"/>
          <w:lang w:val="en-GB"/>
        </w:rPr>
        <w:t>(69)</w:t>
      </w:r>
      <w:r w:rsidR="00B02493" w:rsidRPr="005A28F5">
        <w:rPr>
          <w:rFonts w:ascii="Times New Roman" w:hAnsi="Times New Roman" w:cs="Times New Roman"/>
          <w:sz w:val="24"/>
          <w:szCs w:val="24"/>
          <w:shd w:val="clear" w:color="auto" w:fill="FFFFFF"/>
          <w:lang w:val="en-GB"/>
        </w:rPr>
        <w:fldChar w:fldCharType="end"/>
      </w:r>
      <w:r w:rsidR="00B02493" w:rsidRPr="005A28F5">
        <w:rPr>
          <w:rFonts w:ascii="Times New Roman" w:hAnsi="Times New Roman" w:cs="Times New Roman"/>
          <w:sz w:val="24"/>
          <w:szCs w:val="24"/>
          <w:shd w:val="clear" w:color="auto" w:fill="FFFFFF"/>
          <w:lang w:val="en-GB"/>
        </w:rPr>
        <w:t xml:space="preserve">, suggesting this variant might influence </w:t>
      </w:r>
      <w:r w:rsidR="00B02493" w:rsidRPr="005A28F5">
        <w:rPr>
          <w:rFonts w:ascii="Times New Roman" w:hAnsi="Times New Roman" w:cs="Times New Roman"/>
          <w:i/>
          <w:sz w:val="24"/>
          <w:szCs w:val="24"/>
          <w:shd w:val="clear" w:color="auto" w:fill="FFFFFF"/>
          <w:lang w:val="en-GB"/>
        </w:rPr>
        <w:t>ESM1</w:t>
      </w:r>
      <w:r w:rsidR="00B02493" w:rsidRPr="005A28F5">
        <w:rPr>
          <w:rFonts w:ascii="Times New Roman" w:hAnsi="Times New Roman" w:cs="Times New Roman"/>
          <w:sz w:val="24"/>
          <w:szCs w:val="24"/>
          <w:shd w:val="clear" w:color="auto" w:fill="FFFFFF"/>
          <w:lang w:val="en-GB"/>
        </w:rPr>
        <w:t xml:space="preserve"> expression through its effect on methylation at the </w:t>
      </w:r>
      <w:r w:rsidR="00B02493" w:rsidRPr="005A28F5">
        <w:rPr>
          <w:rFonts w:ascii="Times New Roman" w:hAnsi="Times New Roman" w:cs="Times New Roman"/>
          <w:i/>
          <w:sz w:val="24"/>
          <w:szCs w:val="24"/>
          <w:shd w:val="clear" w:color="auto" w:fill="FFFFFF"/>
          <w:lang w:val="en-GB"/>
        </w:rPr>
        <w:t xml:space="preserve">ESM1 </w:t>
      </w:r>
      <w:r w:rsidR="00B02493" w:rsidRPr="005A28F5">
        <w:rPr>
          <w:rFonts w:ascii="Times New Roman" w:hAnsi="Times New Roman" w:cs="Times New Roman"/>
          <w:sz w:val="24"/>
          <w:szCs w:val="24"/>
          <w:shd w:val="clear" w:color="auto" w:fill="FFFFFF"/>
          <w:lang w:val="en-GB"/>
        </w:rPr>
        <w:t xml:space="preserve">DMR. </w:t>
      </w:r>
      <w:r w:rsidR="0032715B" w:rsidRPr="005A28F5">
        <w:rPr>
          <w:rFonts w:ascii="Times New Roman" w:hAnsi="Times New Roman" w:cs="Times New Roman"/>
          <w:sz w:val="24"/>
          <w:szCs w:val="24"/>
          <w:shd w:val="clear" w:color="auto" w:fill="FFFFFF"/>
          <w:lang w:val="en-GB"/>
        </w:rPr>
        <w:t>Identification of</w:t>
      </w:r>
      <w:r w:rsidR="003A2907" w:rsidRPr="005A28F5">
        <w:rPr>
          <w:rFonts w:ascii="Times New Roman" w:hAnsi="Times New Roman" w:cs="Times New Roman"/>
          <w:sz w:val="24"/>
          <w:szCs w:val="24"/>
          <w:shd w:val="clear" w:color="auto" w:fill="FFFFFF"/>
          <w:lang w:val="en-GB"/>
        </w:rPr>
        <w:t xml:space="preserve"> </w:t>
      </w:r>
      <w:r w:rsidR="00BC3B0C" w:rsidRPr="005A28F5">
        <w:rPr>
          <w:rFonts w:ascii="Times New Roman" w:hAnsi="Times New Roman" w:cs="Times New Roman"/>
          <w:sz w:val="24"/>
          <w:szCs w:val="24"/>
          <w:shd w:val="clear" w:color="auto" w:fill="FFFFFF"/>
          <w:lang w:val="en-GB"/>
        </w:rPr>
        <w:t>mQTL</w:t>
      </w:r>
      <w:r w:rsidR="0032715B" w:rsidRPr="005A28F5">
        <w:rPr>
          <w:rFonts w:ascii="Times New Roman" w:hAnsi="Times New Roman" w:cs="Times New Roman"/>
          <w:sz w:val="24"/>
          <w:szCs w:val="24"/>
          <w:shd w:val="clear" w:color="auto" w:fill="FFFFFF"/>
          <w:lang w:val="en-GB"/>
        </w:rPr>
        <w:t>s</w:t>
      </w:r>
      <w:r w:rsidR="00BC3B0C" w:rsidRPr="005A28F5">
        <w:rPr>
          <w:rFonts w:ascii="Times New Roman" w:hAnsi="Times New Roman" w:cs="Times New Roman"/>
          <w:sz w:val="24"/>
          <w:szCs w:val="24"/>
          <w:shd w:val="clear" w:color="auto" w:fill="FFFFFF"/>
          <w:lang w:val="en-GB"/>
        </w:rPr>
        <w:t xml:space="preserve"> can also provide insights into regulatory pathways underlying GWAS signals for common diseases </w:t>
      </w:r>
      <w:r w:rsidR="00BB4349" w:rsidRPr="005A28F5">
        <w:rPr>
          <w:rStyle w:val="None"/>
          <w:rFonts w:ascii="Times New Roman" w:hAnsi="Times New Roman" w:cs="Times New Roman"/>
          <w:sz w:val="24"/>
          <w:szCs w:val="24"/>
          <w:shd w:val="clear" w:color="auto" w:fill="FFFFFF"/>
          <w:lang w:val="en-GB"/>
        </w:rPr>
        <w:fldChar w:fldCharType="begin" w:fldLock="1"/>
      </w:r>
      <w:r w:rsidR="000C3130">
        <w:rPr>
          <w:rStyle w:val="None"/>
          <w:rFonts w:ascii="Times New Roman" w:hAnsi="Times New Roman" w:cs="Times New Roman"/>
          <w:sz w:val="24"/>
          <w:szCs w:val="24"/>
          <w:shd w:val="clear" w:color="auto" w:fill="FFFFFF"/>
          <w:lang w:val="en-GB"/>
        </w:rPr>
        <w:instrText>ADDIN CSL_CITATION {"citationItems":[{"id":"ITEM-1","itemData":{"DOI":"10.1186/s13059-017-1250-y","ISSN":"1474760X","PMID":"28629478","abstract":"Studies on genetic–epigenetic interactions, including the mapping of methylation quantitative trait loci (mQTLs) and haplotype-dependent allele-specific DNA methylation (hap-ASM), have become a major focus in the post-genome-wide-association-study (GWAS) era. Such maps can nominate regulatory sequence variants that underlie GWAS signals for common diseases, ranging from neuropsychiatric disorders to cancers. Conversely, mQTLs need to be filtered out when searching for non-genetic effects in epigenome-wide association studies (EWAS). Sequence variants in CCCTC-binding factor (CTCF) and transcription factor binding sites have been mechanistically linked to mQTLs and hap-ASM. Identifying these sites can point to disease-associated transcriptional pathways, with implications for targeted treatment and prevention.","author":[{"dropping-particle":"","family":"Do","given":"Catherine","non-dropping-particle":"","parse-names":false,"suffix":""},{"dropping-particle":"","family":"Shearer","given":"Alyssa","non-dropping-particle":"","parse-names":false,"suffix":""},{"dropping-particle":"","family":"Suzuki","given":"Masako","non-dropping-particle":"","parse-names":false,"suffix":""},{"dropping-particle":"","family":"Terry","given":"Mary Beth","non-dropping-particle":"","parse-names":false,"suffix":""},{"dropping-particle":"","family":"Gelernter","given":"Joel","non-dropping-particle":"","parse-names":false,"suffix":""},{"dropping-particle":"","family":"Greally","given":"John M.","non-dropping-particle":"","parse-names":false,"suffix":""},{"dropping-particle":"","family":"Tycko","given":"Benjamin","non-dropping-particle":"","parse-names":false,"suffix":""}],"container-title":"Genome Biology","id":"ITEM-1","issue":"1","issued":{"date-parts":[["2017"]]},"page":"1-22","publisher":"Genome Biology","title":"Genetic-epigenetic interactions in cis: A major focus in the post-GWAS era","type":"article-journal","volume":"18"},"uris":["http://www.mendeley.com/documents/?uuid=1cc6f628-6594-4b01-a273-ea5ccf8c800d"]}],"mendeley":{"formattedCitation":"(47)","plainTextFormattedCitation":"(47)","previouslyFormattedCitation":"(47)"},"properties":{"noteIndex":0},"schema":"https://github.com/citation-style-language/schema/raw/master/csl-citation.json"}</w:instrText>
      </w:r>
      <w:r w:rsidR="00BB4349" w:rsidRPr="005A28F5">
        <w:rPr>
          <w:rStyle w:val="None"/>
          <w:rFonts w:ascii="Times New Roman" w:hAnsi="Times New Roman" w:cs="Times New Roman"/>
          <w:sz w:val="24"/>
          <w:szCs w:val="24"/>
          <w:shd w:val="clear" w:color="auto" w:fill="FFFFFF"/>
          <w:lang w:val="en-GB"/>
        </w:rPr>
        <w:fldChar w:fldCharType="separate"/>
      </w:r>
      <w:r w:rsidR="002A7D5D" w:rsidRPr="002A7D5D">
        <w:rPr>
          <w:rStyle w:val="None"/>
          <w:rFonts w:ascii="Times New Roman" w:hAnsi="Times New Roman" w:cs="Times New Roman"/>
          <w:noProof/>
          <w:sz w:val="24"/>
          <w:szCs w:val="24"/>
          <w:shd w:val="clear" w:color="auto" w:fill="FFFFFF"/>
          <w:lang w:val="en-GB"/>
        </w:rPr>
        <w:t>(47)</w:t>
      </w:r>
      <w:r w:rsidR="00BB4349" w:rsidRPr="005A28F5">
        <w:rPr>
          <w:rStyle w:val="None"/>
          <w:rFonts w:ascii="Times New Roman" w:hAnsi="Times New Roman" w:cs="Times New Roman"/>
          <w:sz w:val="24"/>
          <w:szCs w:val="24"/>
          <w:shd w:val="clear" w:color="auto" w:fill="FFFFFF"/>
          <w:lang w:val="en-GB"/>
        </w:rPr>
        <w:fldChar w:fldCharType="end"/>
      </w:r>
      <w:r w:rsidR="00BC3B0C" w:rsidRPr="005A28F5">
        <w:rPr>
          <w:rFonts w:ascii="Times New Roman" w:hAnsi="Times New Roman" w:cs="Times New Roman"/>
          <w:sz w:val="24"/>
          <w:szCs w:val="24"/>
          <w:shd w:val="clear" w:color="auto" w:fill="FFFFFF"/>
          <w:lang w:val="en-GB"/>
        </w:rPr>
        <w:t xml:space="preserve">. We therefore explored phenotypic associations at the identified </w:t>
      </w:r>
      <w:r w:rsidR="00BC3B0C" w:rsidRPr="005A28F5">
        <w:rPr>
          <w:rFonts w:ascii="Times New Roman" w:hAnsi="Times New Roman" w:cs="Times New Roman"/>
          <w:i/>
          <w:sz w:val="24"/>
          <w:szCs w:val="24"/>
          <w:shd w:val="clear" w:color="auto" w:fill="FFFFFF"/>
          <w:lang w:val="en-GB"/>
        </w:rPr>
        <w:t>cis</w:t>
      </w:r>
      <w:r w:rsidR="00BC3B0C" w:rsidRPr="005A28F5">
        <w:rPr>
          <w:rFonts w:ascii="Times New Roman" w:hAnsi="Times New Roman" w:cs="Times New Roman"/>
          <w:sz w:val="24"/>
          <w:szCs w:val="24"/>
          <w:shd w:val="clear" w:color="auto" w:fill="FFFFFF"/>
          <w:lang w:val="en-GB"/>
        </w:rPr>
        <w:t xml:space="preserve">-mQTL influencing multiple CpGs at the </w:t>
      </w:r>
      <w:r w:rsidR="00BC3B0C" w:rsidRPr="005A28F5">
        <w:rPr>
          <w:rFonts w:ascii="Times New Roman" w:hAnsi="Times New Roman" w:cs="Times New Roman"/>
          <w:i/>
          <w:sz w:val="24"/>
          <w:szCs w:val="24"/>
          <w:shd w:val="clear" w:color="auto" w:fill="FFFFFF"/>
          <w:lang w:val="en-GB"/>
        </w:rPr>
        <w:t>ESM1</w:t>
      </w:r>
      <w:r w:rsidR="00BC3B0C" w:rsidRPr="005A28F5">
        <w:rPr>
          <w:rFonts w:ascii="Times New Roman" w:hAnsi="Times New Roman" w:cs="Times New Roman"/>
          <w:sz w:val="24"/>
          <w:szCs w:val="24"/>
          <w:shd w:val="clear" w:color="auto" w:fill="FFFFFF"/>
          <w:lang w:val="en-GB"/>
        </w:rPr>
        <w:t xml:space="preserve"> DMR, and </w:t>
      </w:r>
      <w:r w:rsidR="002E0BCD" w:rsidRPr="005A28F5">
        <w:rPr>
          <w:rFonts w:ascii="Times New Roman" w:hAnsi="Times New Roman" w:cs="Times New Roman"/>
          <w:sz w:val="24"/>
          <w:szCs w:val="24"/>
          <w:shd w:val="clear" w:color="auto" w:fill="FFFFFF"/>
          <w:lang w:val="en-GB"/>
        </w:rPr>
        <w:t xml:space="preserve">found </w:t>
      </w:r>
      <w:r w:rsidR="00045F31" w:rsidRPr="005A28F5">
        <w:rPr>
          <w:rFonts w:ascii="Times New Roman" w:hAnsi="Times New Roman" w:cs="Times New Roman"/>
          <w:sz w:val="24"/>
          <w:szCs w:val="24"/>
          <w:shd w:val="clear" w:color="auto" w:fill="FFFFFF"/>
          <w:lang w:val="en-GB"/>
        </w:rPr>
        <w:t>suggestive associations</w:t>
      </w:r>
      <w:r w:rsidR="003A2907" w:rsidRPr="005A28F5">
        <w:rPr>
          <w:rFonts w:ascii="Times New Roman" w:hAnsi="Times New Roman" w:cs="Times New Roman"/>
          <w:sz w:val="24"/>
          <w:szCs w:val="24"/>
          <w:shd w:val="clear" w:color="auto" w:fill="FFFFFF"/>
          <w:lang w:val="en-GB"/>
        </w:rPr>
        <w:t xml:space="preserve"> with pericarditis and kidney function. F</w:t>
      </w:r>
      <w:r w:rsidR="00BC3B0C" w:rsidRPr="005A28F5">
        <w:rPr>
          <w:rFonts w:ascii="Times New Roman" w:hAnsi="Times New Roman" w:cs="Times New Roman"/>
          <w:sz w:val="24"/>
          <w:szCs w:val="24"/>
          <w:shd w:val="clear" w:color="auto" w:fill="FFFFFF"/>
          <w:lang w:val="en-GB"/>
        </w:rPr>
        <w:t xml:space="preserve">urther support for these links will require functional work to assess the relationship between </w:t>
      </w:r>
      <w:r w:rsidR="00B02493" w:rsidRPr="005A28F5">
        <w:rPr>
          <w:rFonts w:ascii="Times New Roman" w:hAnsi="Times New Roman" w:cs="Times New Roman"/>
          <w:i/>
          <w:sz w:val="24"/>
          <w:szCs w:val="24"/>
          <w:shd w:val="clear" w:color="auto" w:fill="FFFFFF"/>
          <w:lang w:val="en-GB"/>
        </w:rPr>
        <w:t>cis-</w:t>
      </w:r>
      <w:r w:rsidR="00B02493" w:rsidRPr="005A28F5">
        <w:rPr>
          <w:rFonts w:ascii="Times New Roman" w:hAnsi="Times New Roman" w:cs="Times New Roman"/>
          <w:sz w:val="24"/>
          <w:szCs w:val="24"/>
          <w:shd w:val="clear" w:color="auto" w:fill="FFFFFF"/>
          <w:lang w:val="en-GB"/>
        </w:rPr>
        <w:t xml:space="preserve">genotype, </w:t>
      </w:r>
      <w:r w:rsidR="00BC3B0C" w:rsidRPr="005A28F5">
        <w:rPr>
          <w:rFonts w:ascii="Times New Roman" w:hAnsi="Times New Roman" w:cs="Times New Roman"/>
          <w:sz w:val="24"/>
          <w:szCs w:val="24"/>
          <w:shd w:val="clear" w:color="auto" w:fill="FFFFFF"/>
          <w:lang w:val="en-GB"/>
        </w:rPr>
        <w:t xml:space="preserve">methylation at the </w:t>
      </w:r>
      <w:r w:rsidR="00BC3B0C" w:rsidRPr="005A28F5">
        <w:rPr>
          <w:rFonts w:ascii="Times New Roman" w:hAnsi="Times New Roman" w:cs="Times New Roman"/>
          <w:i/>
          <w:sz w:val="24"/>
          <w:szCs w:val="24"/>
          <w:shd w:val="clear" w:color="auto" w:fill="FFFFFF"/>
          <w:lang w:val="en-GB"/>
        </w:rPr>
        <w:t>ESM1</w:t>
      </w:r>
      <w:r w:rsidR="00BC3B0C" w:rsidRPr="005A28F5">
        <w:rPr>
          <w:rFonts w:ascii="Times New Roman" w:hAnsi="Times New Roman" w:cs="Times New Roman"/>
          <w:sz w:val="24"/>
          <w:szCs w:val="24"/>
          <w:shd w:val="clear" w:color="auto" w:fill="FFFFFF"/>
          <w:lang w:val="en-GB"/>
        </w:rPr>
        <w:t xml:space="preserve"> DMR, gene expression, and relevant biological pathways. </w:t>
      </w:r>
    </w:p>
    <w:p w14:paraId="1D1D1E2E" w14:textId="77777777" w:rsidR="00E01BB2" w:rsidRPr="005A28F5" w:rsidRDefault="00E01BB2" w:rsidP="001A64D3">
      <w:pPr>
        <w:pStyle w:val="BodyA"/>
        <w:tabs>
          <w:tab w:val="left" w:pos="720"/>
        </w:tabs>
        <w:spacing w:line="360" w:lineRule="auto"/>
        <w:outlineLvl w:val="0"/>
        <w:rPr>
          <w:rFonts w:ascii="Times New Roman" w:eastAsia="Cambria" w:hAnsi="Times New Roman" w:cs="Times New Roman"/>
          <w:sz w:val="24"/>
          <w:szCs w:val="24"/>
          <w:u w:color="0432FF"/>
          <w:lang w:val="en-GB"/>
        </w:rPr>
      </w:pPr>
    </w:p>
    <w:p w14:paraId="011B9917" w14:textId="767A079C" w:rsidR="00E01BB2" w:rsidRPr="005A28F5" w:rsidRDefault="00043139" w:rsidP="001A64D3">
      <w:pPr>
        <w:pStyle w:val="BodyA"/>
        <w:spacing w:line="360" w:lineRule="auto"/>
        <w:rPr>
          <w:rFonts w:ascii="Times New Roman" w:eastAsia="Cambria" w:hAnsi="Times New Roman" w:cs="Times New Roman"/>
          <w:sz w:val="24"/>
          <w:szCs w:val="24"/>
          <w:shd w:val="clear" w:color="auto" w:fill="FFFFFF"/>
          <w:lang w:val="en-GB"/>
        </w:rPr>
      </w:pPr>
      <w:r w:rsidRPr="005A28F5">
        <w:rPr>
          <w:rFonts w:ascii="Times New Roman" w:hAnsi="Times New Roman" w:cs="Times New Roman"/>
          <w:sz w:val="24"/>
          <w:szCs w:val="24"/>
          <w:shd w:val="clear" w:color="auto" w:fill="FFFFFF"/>
          <w:lang w:val="en-GB"/>
        </w:rPr>
        <w:t xml:space="preserve">Findings from human </w:t>
      </w:r>
      <w:r w:rsidR="00BC3B0C" w:rsidRPr="005A28F5">
        <w:rPr>
          <w:rFonts w:ascii="Times New Roman" w:hAnsi="Times New Roman" w:cs="Times New Roman"/>
          <w:sz w:val="24"/>
          <w:szCs w:val="24"/>
          <w:shd w:val="clear" w:color="auto" w:fill="FFFFFF"/>
          <w:lang w:val="en-GB"/>
        </w:rPr>
        <w:t xml:space="preserve">and animal studies suggest </w:t>
      </w:r>
      <w:r w:rsidR="00E175ED" w:rsidRPr="005A28F5">
        <w:rPr>
          <w:rFonts w:ascii="Times New Roman" w:hAnsi="Times New Roman" w:cs="Times New Roman"/>
          <w:sz w:val="24"/>
          <w:szCs w:val="24"/>
          <w:shd w:val="clear" w:color="auto" w:fill="FFFFFF"/>
          <w:lang w:val="en-GB"/>
        </w:rPr>
        <w:t>that MEs</w:t>
      </w:r>
      <w:r w:rsidR="00BC3B0C" w:rsidRPr="005A28F5">
        <w:rPr>
          <w:rFonts w:ascii="Times New Roman" w:hAnsi="Times New Roman" w:cs="Times New Roman"/>
          <w:sz w:val="24"/>
          <w:szCs w:val="24"/>
          <w:shd w:val="clear" w:color="auto" w:fill="FFFFFF"/>
          <w:lang w:val="en-GB"/>
        </w:rPr>
        <w:t xml:space="preserve"> and CpGs mapping to imprinted genes may be particularly sensitive to maternal periconceptional nutrition </w:t>
      </w:r>
      <w:r w:rsidR="00BB4349" w:rsidRPr="005A28F5">
        <w:rPr>
          <w:rStyle w:val="None"/>
          <w:rFonts w:ascii="Times New Roman" w:hAnsi="Times New Roman" w:cs="Times New Roman"/>
          <w:shd w:val="clear" w:color="auto" w:fill="FFFFFF"/>
          <w:lang w:val="en-GB"/>
        </w:rPr>
        <w:fldChar w:fldCharType="begin" w:fldLock="1"/>
      </w:r>
      <w:r w:rsidR="000C3130">
        <w:rPr>
          <w:rStyle w:val="None"/>
          <w:rFonts w:ascii="Times New Roman" w:hAnsi="Times New Roman" w:cs="Times New Roman"/>
          <w:sz w:val="24"/>
          <w:szCs w:val="24"/>
          <w:shd w:val="clear" w:color="auto" w:fill="FFFFFF"/>
          <w:lang w:val="en-GB"/>
        </w:rPr>
        <w:instrText>ADDIN CSL_CITATION {"citationItems":[{"id":"ITEM-1","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Epidemiology","id":"ITEM-1","issue":"August","issued":{"date-parts":[["2018","8","17"]]},"page":"1-28","title":"Candidate genes linking maternal nutrient exposure to offspring health via DNA methylation: a review of existing evidence in humans with specific focus on one-carbon metabolism","type":"article-journal"},"uris":["http://www.mendeley.com/documents/?uuid=444e4c97-0b67-4638-8308-cf6d2307c1b0"]},{"id":"ITEM-2","itemData":{"ISSN":"0270-7306","PMID":"12861015","abstract":"Early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humans.","author":[{"dropping-particle":"","family":"Waterland","given":"Robert A","non-dropping-particle":"","parse-names":false,"suffix":""},{"dropping-particle":"","family":"Jirtle","given":"Randy L","non-dropping-particle":"","parse-names":false,"suffix":""}],"container-title":"Molecular and cellular biology","id":"ITEM-2","issue":"15","issued":{"date-parts":[["2003","8"]]},"page":"5293-300","title":"Transposable elements: targets for early nutritional effects on epigenetic gene regulation.","type":"article-journal","volume":"23"},"uris":["http://www.mendeley.com/documents/?uuid=13bcf302-4966-4cf8-b0fd-272179109f43"]}],"mendeley":{"formattedCitation":"(9,41)","plainTextFormattedCitation":"(9,41)","previouslyFormattedCitation":"(9,41)"},"properties":{"noteIndex":0},"schema":"https://github.com/citation-style-language/schema/raw/master/csl-citation.json"}</w:instrText>
      </w:r>
      <w:r w:rsidR="00BB4349" w:rsidRPr="005A28F5">
        <w:rPr>
          <w:rStyle w:val="None"/>
          <w:rFonts w:ascii="Times New Roman" w:hAnsi="Times New Roman" w:cs="Times New Roman"/>
          <w:shd w:val="clear" w:color="auto" w:fill="FFFFFF"/>
          <w:lang w:val="en-GB"/>
        </w:rPr>
        <w:fldChar w:fldCharType="separate"/>
      </w:r>
      <w:r w:rsidR="002A7D5D" w:rsidRPr="002A7D5D">
        <w:rPr>
          <w:rStyle w:val="None"/>
          <w:rFonts w:ascii="Times New Roman" w:hAnsi="Times New Roman" w:cs="Times New Roman"/>
          <w:noProof/>
          <w:sz w:val="24"/>
          <w:szCs w:val="24"/>
          <w:shd w:val="clear" w:color="auto" w:fill="FFFFFF"/>
          <w:lang w:val="en-GB"/>
        </w:rPr>
        <w:t>(9,41)</w:t>
      </w:r>
      <w:r w:rsidR="00BB4349" w:rsidRPr="005A28F5">
        <w:rPr>
          <w:rStyle w:val="None"/>
          <w:rFonts w:ascii="Times New Roman" w:hAnsi="Times New Roman" w:cs="Times New Roman"/>
          <w:shd w:val="clear" w:color="auto" w:fill="FFFFFF"/>
          <w:lang w:val="en-GB"/>
        </w:rPr>
        <w:fldChar w:fldCharType="end"/>
      </w:r>
      <w:r w:rsidR="00BC3B0C" w:rsidRPr="005A28F5">
        <w:rPr>
          <w:rFonts w:ascii="Times New Roman" w:hAnsi="Times New Roman" w:cs="Times New Roman"/>
          <w:sz w:val="24"/>
          <w:szCs w:val="24"/>
          <w:shd w:val="clear" w:color="auto" w:fill="FFFFFF"/>
          <w:lang w:val="en-GB"/>
        </w:rPr>
        <w:t xml:space="preserve">. We looked for evidence of enrichment of loci mapping to MEs and imprinted regions using a less conservative significance threshold to capture potential subthreshold signals not detected in DMP and DMR analyses. We found strong evidence </w:t>
      </w:r>
      <w:r w:rsidR="002F576C" w:rsidRPr="005A28F5">
        <w:rPr>
          <w:rFonts w:ascii="Times New Roman" w:hAnsi="Times New Roman" w:cs="Times New Roman"/>
          <w:sz w:val="24"/>
          <w:szCs w:val="24"/>
          <w:shd w:val="clear" w:color="auto" w:fill="FFFFFF"/>
          <w:lang w:val="en-GB"/>
        </w:rPr>
        <w:t xml:space="preserve">for </w:t>
      </w:r>
      <w:r w:rsidR="00BC3B0C" w:rsidRPr="005A28F5">
        <w:rPr>
          <w:rFonts w:ascii="Times New Roman" w:hAnsi="Times New Roman" w:cs="Times New Roman"/>
          <w:sz w:val="24"/>
          <w:szCs w:val="24"/>
          <w:shd w:val="clear" w:color="auto" w:fill="FFFFFF"/>
          <w:lang w:val="en-GB"/>
        </w:rPr>
        <w:t xml:space="preserve">enrichment </w:t>
      </w:r>
      <w:r w:rsidR="002F576C" w:rsidRPr="005A28F5">
        <w:rPr>
          <w:rFonts w:ascii="Times New Roman" w:hAnsi="Times New Roman" w:cs="Times New Roman"/>
          <w:sz w:val="24"/>
          <w:szCs w:val="24"/>
          <w:shd w:val="clear" w:color="auto" w:fill="FFFFFF"/>
          <w:lang w:val="en-GB"/>
        </w:rPr>
        <w:t>of</w:t>
      </w:r>
      <w:r w:rsidR="00BC3B0C" w:rsidRPr="005A28F5">
        <w:rPr>
          <w:rFonts w:ascii="Times New Roman" w:hAnsi="Times New Roman" w:cs="Times New Roman"/>
          <w:sz w:val="24"/>
          <w:szCs w:val="24"/>
          <w:shd w:val="clear" w:color="auto" w:fill="FFFFFF"/>
          <w:lang w:val="en-GB"/>
        </w:rPr>
        <w:t xml:space="preserve"> MEs, and weaker evidence </w:t>
      </w:r>
      <w:r w:rsidR="00BC3B0C" w:rsidRPr="005A28F5">
        <w:rPr>
          <w:rFonts w:ascii="Times New Roman" w:hAnsi="Times New Roman" w:cs="Times New Roman"/>
          <w:sz w:val="24"/>
          <w:szCs w:val="24"/>
          <w:shd w:val="clear" w:color="auto" w:fill="FFFFFF"/>
          <w:lang w:val="en-GB"/>
        </w:rPr>
        <w:lastRenderedPageBreak/>
        <w:t xml:space="preserve">for </w:t>
      </w:r>
      <w:r w:rsidR="002F576C" w:rsidRPr="005A28F5">
        <w:rPr>
          <w:rFonts w:ascii="Times New Roman" w:hAnsi="Times New Roman" w:cs="Times New Roman"/>
          <w:sz w:val="24"/>
          <w:szCs w:val="24"/>
          <w:shd w:val="clear" w:color="auto" w:fill="FFFFFF"/>
          <w:lang w:val="en-GB"/>
        </w:rPr>
        <w:t xml:space="preserve">enrichment of </w:t>
      </w:r>
      <w:r w:rsidR="00BC3B0C" w:rsidRPr="005A28F5">
        <w:rPr>
          <w:rFonts w:ascii="Times New Roman" w:hAnsi="Times New Roman" w:cs="Times New Roman"/>
          <w:sz w:val="24"/>
          <w:szCs w:val="24"/>
          <w:shd w:val="clear" w:color="auto" w:fill="FFFFFF"/>
          <w:lang w:val="en-GB"/>
        </w:rPr>
        <w:t>CpGs mapping to imprinting control regions</w:t>
      </w:r>
      <w:r w:rsidR="00FC0A60" w:rsidRPr="005A28F5">
        <w:rPr>
          <w:rFonts w:ascii="Times New Roman" w:hAnsi="Times New Roman" w:cs="Times New Roman"/>
          <w:sz w:val="24"/>
          <w:szCs w:val="24"/>
          <w:shd w:val="clear" w:color="auto" w:fill="FFFFFF"/>
          <w:lang w:val="en-GB"/>
        </w:rPr>
        <w:t xml:space="preserve"> (ICRs)</w:t>
      </w:r>
      <w:r w:rsidR="00BC3B0C" w:rsidRPr="005A28F5">
        <w:rPr>
          <w:rFonts w:ascii="Times New Roman" w:hAnsi="Times New Roman" w:cs="Times New Roman"/>
          <w:sz w:val="24"/>
          <w:szCs w:val="24"/>
          <w:shd w:val="clear" w:color="auto" w:fill="FFFFFF"/>
          <w:lang w:val="en-GB"/>
        </w:rPr>
        <w:t xml:space="preserve"> in the Gambian cohort. </w:t>
      </w:r>
      <w:r w:rsidR="002D4D18" w:rsidRPr="005A28F5">
        <w:rPr>
          <w:rFonts w:ascii="Times New Roman" w:hAnsi="Times New Roman" w:cs="Times New Roman"/>
          <w:sz w:val="24"/>
          <w:szCs w:val="24"/>
          <w:shd w:val="clear" w:color="auto" w:fill="FFFFFF"/>
          <w:lang w:val="en-GB"/>
        </w:rPr>
        <w:t xml:space="preserve">Strong enrichment for putative MEs </w:t>
      </w:r>
      <w:r w:rsidR="00BC3B0C" w:rsidRPr="005A28F5">
        <w:rPr>
          <w:rFonts w:ascii="Times New Roman" w:hAnsi="Times New Roman" w:cs="Times New Roman"/>
          <w:sz w:val="24"/>
          <w:szCs w:val="24"/>
          <w:shd w:val="clear" w:color="auto" w:fill="FFFFFF"/>
          <w:lang w:val="en-GB"/>
        </w:rPr>
        <w:t>provides further evidence that these loci</w:t>
      </w:r>
      <w:r w:rsidR="002D4D18" w:rsidRPr="005A28F5">
        <w:rPr>
          <w:rFonts w:ascii="Times New Roman" w:hAnsi="Times New Roman" w:cs="Times New Roman"/>
          <w:sz w:val="24"/>
          <w:szCs w:val="24"/>
          <w:shd w:val="clear" w:color="auto" w:fill="FFFFFF"/>
          <w:lang w:val="en-GB"/>
        </w:rPr>
        <w:t>,</w:t>
      </w:r>
      <w:r w:rsidR="00BC3B0C" w:rsidRPr="005A28F5">
        <w:rPr>
          <w:rFonts w:ascii="Times New Roman" w:hAnsi="Times New Roman" w:cs="Times New Roman"/>
          <w:sz w:val="24"/>
          <w:szCs w:val="24"/>
          <w:shd w:val="clear" w:color="auto" w:fill="FFFFFF"/>
          <w:lang w:val="en-GB"/>
        </w:rPr>
        <w:t xml:space="preserve"> identified in a previous screen in independent samples, </w:t>
      </w:r>
      <w:r w:rsidR="002D4D18" w:rsidRPr="005A28F5">
        <w:rPr>
          <w:rFonts w:ascii="Times New Roman" w:hAnsi="Times New Roman" w:cs="Times New Roman"/>
          <w:sz w:val="24"/>
          <w:szCs w:val="24"/>
          <w:shd w:val="clear" w:color="auto" w:fill="FFFFFF"/>
          <w:lang w:val="en-GB"/>
        </w:rPr>
        <w:t xml:space="preserve">may be </w:t>
      </w:r>
      <w:r w:rsidR="00BC3B0C" w:rsidRPr="005A28F5">
        <w:rPr>
          <w:rFonts w:ascii="Times New Roman" w:hAnsi="Times New Roman" w:cs="Times New Roman"/>
          <w:sz w:val="24"/>
          <w:szCs w:val="24"/>
          <w:shd w:val="clear" w:color="auto" w:fill="FFFFFF"/>
          <w:lang w:val="en-GB"/>
        </w:rPr>
        <w:t xml:space="preserve">sensitive to </w:t>
      </w:r>
      <w:r w:rsidR="002D4D18" w:rsidRPr="005A28F5">
        <w:rPr>
          <w:rFonts w:ascii="Times New Roman" w:hAnsi="Times New Roman" w:cs="Times New Roman"/>
          <w:sz w:val="24"/>
          <w:szCs w:val="24"/>
          <w:shd w:val="clear" w:color="auto" w:fill="FFFFFF"/>
          <w:lang w:val="en-GB"/>
        </w:rPr>
        <w:t xml:space="preserve">periconceptional </w:t>
      </w:r>
      <w:r w:rsidR="00BC3B0C" w:rsidRPr="005A28F5">
        <w:rPr>
          <w:rFonts w:ascii="Times New Roman" w:hAnsi="Times New Roman" w:cs="Times New Roman"/>
          <w:sz w:val="24"/>
          <w:szCs w:val="24"/>
          <w:shd w:val="clear" w:color="auto" w:fill="FFFFFF"/>
          <w:lang w:val="en-GB"/>
        </w:rPr>
        <w:t xml:space="preserve">maternal nutrition, and thus bear the hallmarks of metastability. Observed correlations of methylation between blood and buccal cell methylation at </w:t>
      </w:r>
      <w:r w:rsidR="00BC3B0C" w:rsidRPr="005A28F5">
        <w:rPr>
          <w:rFonts w:ascii="Times New Roman" w:hAnsi="Times New Roman" w:cs="Times New Roman"/>
          <w:i/>
          <w:sz w:val="24"/>
          <w:szCs w:val="24"/>
          <w:shd w:val="clear" w:color="auto" w:fill="FFFFFF"/>
          <w:lang w:val="en-GB"/>
        </w:rPr>
        <w:t>ESM1</w:t>
      </w:r>
      <w:r w:rsidR="00BC3B0C" w:rsidRPr="005A28F5">
        <w:rPr>
          <w:rFonts w:ascii="Times New Roman" w:hAnsi="Times New Roman" w:cs="Times New Roman"/>
          <w:sz w:val="24"/>
          <w:szCs w:val="24"/>
          <w:shd w:val="clear" w:color="auto" w:fill="FFFFFF"/>
          <w:lang w:val="en-GB"/>
        </w:rPr>
        <w:t xml:space="preserve"> and </w:t>
      </w:r>
      <w:r w:rsidR="00BC3B0C" w:rsidRPr="005A28F5">
        <w:rPr>
          <w:rFonts w:ascii="Times New Roman" w:hAnsi="Times New Roman" w:cs="Times New Roman"/>
          <w:i/>
          <w:sz w:val="24"/>
          <w:szCs w:val="24"/>
          <w:shd w:val="clear" w:color="auto" w:fill="FFFFFF"/>
          <w:lang w:val="en-GB"/>
        </w:rPr>
        <w:t>LZTS1</w:t>
      </w:r>
      <w:r w:rsidR="002D4D18" w:rsidRPr="005A28F5">
        <w:rPr>
          <w:rFonts w:ascii="Times New Roman" w:hAnsi="Times New Roman" w:cs="Times New Roman"/>
          <w:sz w:val="24"/>
          <w:szCs w:val="24"/>
          <w:shd w:val="clear" w:color="auto" w:fill="FFFFFF"/>
          <w:lang w:val="en-GB"/>
        </w:rPr>
        <w:t xml:space="preserve"> - </w:t>
      </w:r>
      <w:r w:rsidR="00BC3B0C" w:rsidRPr="005A28F5">
        <w:rPr>
          <w:rFonts w:ascii="Times New Roman" w:hAnsi="Times New Roman" w:cs="Times New Roman"/>
          <w:sz w:val="24"/>
          <w:szCs w:val="24"/>
          <w:shd w:val="clear" w:color="auto" w:fill="FFFFFF"/>
          <w:lang w:val="en-GB"/>
        </w:rPr>
        <w:t>cells derived from different germ layers</w:t>
      </w:r>
      <w:r w:rsidR="002D4D18" w:rsidRPr="005A28F5">
        <w:rPr>
          <w:rFonts w:ascii="Times New Roman" w:hAnsi="Times New Roman" w:cs="Times New Roman"/>
          <w:sz w:val="24"/>
          <w:szCs w:val="24"/>
          <w:shd w:val="clear" w:color="auto" w:fill="FFFFFF"/>
          <w:lang w:val="en-GB"/>
        </w:rPr>
        <w:t xml:space="preserve"> - </w:t>
      </w:r>
      <w:r w:rsidR="00BC3B0C" w:rsidRPr="005A28F5">
        <w:rPr>
          <w:rFonts w:ascii="Times New Roman" w:hAnsi="Times New Roman" w:cs="Times New Roman"/>
          <w:sz w:val="24"/>
          <w:szCs w:val="24"/>
          <w:shd w:val="clear" w:color="auto" w:fill="FFFFFF"/>
          <w:lang w:val="en-GB"/>
        </w:rPr>
        <w:t xml:space="preserve">combined with increased inter-individual variation at these loci, is again a hallmark of MEs. This further indicates that the supplement may be exerting its influence in the first days following conception, when the developing embryo’s epigenome undergoes extensive remodelling </w:t>
      </w:r>
      <w:r w:rsidR="00BB4349" w:rsidRPr="005A28F5">
        <w:rPr>
          <w:rStyle w:val="None"/>
          <w:rFonts w:ascii="Times New Roman" w:hAnsi="Times New Roman" w:cs="Times New Roman"/>
          <w:sz w:val="24"/>
          <w:szCs w:val="24"/>
          <w:shd w:val="clear" w:color="auto" w:fill="FFFFFF"/>
          <w:lang w:val="en-GB"/>
        </w:rPr>
        <w:fldChar w:fldCharType="begin" w:fldLock="1"/>
      </w:r>
      <w:r w:rsidR="000C3130">
        <w:rPr>
          <w:rStyle w:val="None"/>
          <w:rFonts w:ascii="Times New Roman" w:hAnsi="Times New Roman" w:cs="Times New Roman"/>
          <w:sz w:val="24"/>
          <w:szCs w:val="24"/>
          <w:shd w:val="clear" w:color="auto" w:fill="FFFFFF"/>
          <w:lang w:val="en-GB"/>
        </w:rPr>
        <w:instrText>ADDIN CSL_CITATION {"citationItems":[{"id":"ITEM-1","itemData":{"DOI":"10.1126/sciadv.aat2624","ISSN":"2375-2548","author":[{"dropping-particle":"","family":"Kessler","given":"Noah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uris":["http://www.mendeley.com/documents/?uuid=d24301e0-24a7-4a05-8076-656c9e03a9f7"]}],"mendeley":{"formattedCitation":"(40)","plainTextFormattedCitation":"(40)","previouslyFormattedCitation":"(40)"},"properties":{"noteIndex":0},"schema":"https://github.com/citation-style-language/schema/raw/master/csl-citation.json"}</w:instrText>
      </w:r>
      <w:r w:rsidR="00BB4349" w:rsidRPr="005A28F5">
        <w:rPr>
          <w:rStyle w:val="None"/>
          <w:rFonts w:ascii="Times New Roman" w:hAnsi="Times New Roman" w:cs="Times New Roman"/>
          <w:sz w:val="24"/>
          <w:szCs w:val="24"/>
          <w:shd w:val="clear" w:color="auto" w:fill="FFFFFF"/>
          <w:lang w:val="en-GB"/>
        </w:rPr>
        <w:fldChar w:fldCharType="separate"/>
      </w:r>
      <w:r w:rsidR="002A7D5D" w:rsidRPr="002A7D5D">
        <w:rPr>
          <w:rStyle w:val="None"/>
          <w:rFonts w:ascii="Times New Roman" w:hAnsi="Times New Roman" w:cs="Times New Roman"/>
          <w:noProof/>
          <w:sz w:val="24"/>
          <w:szCs w:val="24"/>
          <w:shd w:val="clear" w:color="auto" w:fill="FFFFFF"/>
          <w:lang w:val="en-GB"/>
        </w:rPr>
        <w:t>(40)</w:t>
      </w:r>
      <w:r w:rsidR="00BB4349" w:rsidRPr="005A28F5">
        <w:rPr>
          <w:rStyle w:val="None"/>
          <w:rFonts w:ascii="Times New Roman" w:hAnsi="Times New Roman" w:cs="Times New Roman"/>
          <w:sz w:val="24"/>
          <w:szCs w:val="24"/>
          <w:shd w:val="clear" w:color="auto" w:fill="FFFFFF"/>
          <w:lang w:val="en-GB"/>
        </w:rPr>
        <w:fldChar w:fldCharType="end"/>
      </w:r>
      <w:r w:rsidR="00BC3B0C" w:rsidRPr="005A28F5">
        <w:rPr>
          <w:rFonts w:ascii="Times New Roman" w:hAnsi="Times New Roman" w:cs="Times New Roman"/>
          <w:sz w:val="24"/>
          <w:szCs w:val="24"/>
          <w:shd w:val="clear" w:color="auto" w:fill="FFFFFF"/>
          <w:lang w:val="en-GB"/>
        </w:rPr>
        <w:t xml:space="preserve">. </w:t>
      </w:r>
    </w:p>
    <w:p w14:paraId="1ACCBAAF" w14:textId="77777777" w:rsidR="00E01BB2" w:rsidRPr="005A28F5" w:rsidRDefault="00E01BB2" w:rsidP="001A64D3">
      <w:pPr>
        <w:pStyle w:val="BodyA"/>
        <w:spacing w:line="360" w:lineRule="auto"/>
        <w:rPr>
          <w:rFonts w:ascii="Times New Roman" w:eastAsia="Cambria" w:hAnsi="Times New Roman" w:cs="Times New Roman"/>
          <w:sz w:val="24"/>
          <w:szCs w:val="24"/>
          <w:shd w:val="clear" w:color="auto" w:fill="FFFFFF"/>
          <w:lang w:val="en-GB"/>
        </w:rPr>
      </w:pPr>
    </w:p>
    <w:p w14:paraId="080584E6" w14:textId="0D57A3E4" w:rsidR="00022382" w:rsidRPr="005A28F5" w:rsidRDefault="00022382" w:rsidP="001A64D3">
      <w:pPr>
        <w:pStyle w:val="BodyA"/>
        <w:tabs>
          <w:tab w:val="left" w:pos="720"/>
        </w:tabs>
        <w:spacing w:line="360" w:lineRule="auto"/>
        <w:outlineLvl w:val="0"/>
        <w:rPr>
          <w:rFonts w:ascii="Times New Roman" w:hAnsi="Times New Roman" w:cs="Times New Roman"/>
          <w:sz w:val="24"/>
          <w:szCs w:val="24"/>
          <w:u w:color="0432FF"/>
          <w:lang w:val="en-GB"/>
        </w:rPr>
      </w:pPr>
      <w:r w:rsidRPr="005A28F5">
        <w:rPr>
          <w:rFonts w:ascii="Times New Roman" w:hAnsi="Times New Roman" w:cs="Times New Roman"/>
          <w:sz w:val="24"/>
          <w:szCs w:val="24"/>
          <w:u w:color="0432FF"/>
          <w:lang w:val="en-GB"/>
        </w:rPr>
        <w:t>Although we might expect the provision of micronutrients relevant to one-carbon metabolism to increase availability of methyl donors and essential cofactors, there</w:t>
      </w:r>
      <w:r w:rsidR="00E11FE3" w:rsidRPr="005A28F5">
        <w:rPr>
          <w:rFonts w:ascii="Times New Roman" w:hAnsi="Times New Roman" w:cs="Times New Roman"/>
          <w:sz w:val="24"/>
          <w:szCs w:val="24"/>
          <w:u w:color="0432FF"/>
          <w:lang w:val="en-GB"/>
        </w:rPr>
        <w:t>by</w:t>
      </w:r>
      <w:r w:rsidRPr="005A28F5">
        <w:rPr>
          <w:rFonts w:ascii="Times New Roman" w:hAnsi="Times New Roman" w:cs="Times New Roman"/>
          <w:sz w:val="24"/>
          <w:szCs w:val="24"/>
          <w:u w:color="0432FF"/>
          <w:lang w:val="en-GB"/>
        </w:rPr>
        <w:t xml:space="preserve"> increasing </w:t>
      </w:r>
      <w:r w:rsidR="00E11FE3" w:rsidRPr="005A28F5">
        <w:rPr>
          <w:rFonts w:ascii="Times New Roman" w:hAnsi="Times New Roman" w:cs="Times New Roman"/>
          <w:sz w:val="24"/>
          <w:szCs w:val="24"/>
          <w:u w:color="0432FF"/>
          <w:lang w:val="en-GB"/>
        </w:rPr>
        <w:t>DNAm</w:t>
      </w:r>
      <w:r w:rsidRPr="005A28F5">
        <w:rPr>
          <w:rFonts w:ascii="Times New Roman" w:hAnsi="Times New Roman" w:cs="Times New Roman"/>
          <w:sz w:val="24"/>
          <w:szCs w:val="24"/>
          <w:u w:color="0432FF"/>
          <w:lang w:val="en-GB"/>
        </w:rPr>
        <w:t xml:space="preserve">, we found the reverse. </w:t>
      </w:r>
      <w:r w:rsidR="00993E80" w:rsidRPr="005A28F5">
        <w:rPr>
          <w:rFonts w:ascii="Times New Roman" w:hAnsi="Times New Roman" w:cs="Times New Roman"/>
          <w:sz w:val="24"/>
          <w:szCs w:val="24"/>
          <w:u w:color="0432FF"/>
          <w:lang w:val="en-GB"/>
        </w:rPr>
        <w:t>Evidence on r</w:t>
      </w:r>
      <w:r w:rsidRPr="005A28F5">
        <w:rPr>
          <w:rFonts w:ascii="Times New Roman" w:hAnsi="Times New Roman" w:cs="Times New Roman"/>
          <w:sz w:val="24"/>
          <w:szCs w:val="24"/>
          <w:u w:color="0432FF"/>
          <w:lang w:val="en-GB"/>
        </w:rPr>
        <w:t xml:space="preserve">elationships between nutritional exposures and </w:t>
      </w:r>
      <w:r w:rsidR="00E11FE3" w:rsidRPr="005A28F5">
        <w:rPr>
          <w:rFonts w:ascii="Times New Roman" w:hAnsi="Times New Roman" w:cs="Times New Roman"/>
          <w:sz w:val="24"/>
          <w:szCs w:val="24"/>
          <w:u w:color="0432FF"/>
          <w:lang w:val="en-GB"/>
        </w:rPr>
        <w:t>DNAm</w:t>
      </w:r>
      <w:r w:rsidRPr="005A28F5">
        <w:rPr>
          <w:rFonts w:ascii="Times New Roman" w:hAnsi="Times New Roman" w:cs="Times New Roman"/>
          <w:sz w:val="24"/>
          <w:szCs w:val="24"/>
          <w:u w:color="0432FF"/>
          <w:lang w:val="en-GB"/>
        </w:rPr>
        <w:t xml:space="preserve"> patterns </w:t>
      </w:r>
      <w:r w:rsidR="00993E80" w:rsidRPr="005A28F5">
        <w:rPr>
          <w:rFonts w:ascii="Times New Roman" w:hAnsi="Times New Roman" w:cs="Times New Roman"/>
          <w:sz w:val="24"/>
          <w:szCs w:val="24"/>
          <w:u w:color="0432FF"/>
          <w:lang w:val="en-GB"/>
        </w:rPr>
        <w:t xml:space="preserve">is </w:t>
      </w:r>
      <w:r w:rsidRPr="005A28F5">
        <w:rPr>
          <w:rFonts w:ascii="Times New Roman" w:hAnsi="Times New Roman" w:cs="Times New Roman"/>
          <w:sz w:val="24"/>
          <w:szCs w:val="24"/>
          <w:u w:color="0432FF"/>
          <w:lang w:val="en-GB"/>
        </w:rPr>
        <w:t xml:space="preserve">inconsistent, varying by supplemental form, timing of exposure, genetic and nutritional background and the genetic loci investigated </w:t>
      </w:r>
      <w:r w:rsidRPr="005A28F5">
        <w:rPr>
          <w:rFonts w:ascii="Times New Roman" w:hAnsi="Times New Roman" w:cs="Times New Roman"/>
          <w:sz w:val="24"/>
          <w:szCs w:val="24"/>
          <w:u w:color="0432FF"/>
          <w:lang w:val="en-GB"/>
        </w:rPr>
        <w:fldChar w:fldCharType="begin" w:fldLock="1"/>
      </w:r>
      <w:r w:rsidR="001754FE">
        <w:rPr>
          <w:rFonts w:ascii="Times New Roman" w:hAnsi="Times New Roman" w:cs="Times New Roman"/>
          <w:sz w:val="24"/>
          <w:szCs w:val="24"/>
          <w:u w:color="0432FF"/>
          <w:lang w:val="en-GB"/>
        </w:rPr>
        <w:instrText>ADDIN CSL_CITATION {"citationItems":[{"id":"ITEM-1","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Epidemiology","id":"ITEM-1","issue":"August","issued":{"date-parts":[["2018","8","17"]]},"page":"1-28","title":"Candidate genes linking maternal nutrient exposure to offspring health via DNA methylation: a review of existing evidence in humans with specific focus on one-carbon metabolism","type":"article-journal"},"uris":["http://www.mendeley.com/documents/?uuid=444e4c97-0b67-4638-8308-cf6d2307c1b0"]}],"mendeley":{"formattedCitation":"(9)","plainTextFormattedCitation":"(9)","previouslyFormattedCitation":"(9)"},"properties":{"noteIndex":0},"schema":"https://github.com/citation-style-language/schema/raw/master/csl-citation.json"}</w:instrText>
      </w:r>
      <w:r w:rsidRPr="005A28F5">
        <w:rPr>
          <w:rFonts w:ascii="Times New Roman" w:hAnsi="Times New Roman" w:cs="Times New Roman"/>
          <w:sz w:val="24"/>
          <w:szCs w:val="24"/>
          <w:u w:color="0432FF"/>
          <w:lang w:val="en-GB"/>
        </w:rPr>
        <w:fldChar w:fldCharType="separate"/>
      </w:r>
      <w:r w:rsidR="0063572E" w:rsidRPr="00453860">
        <w:rPr>
          <w:rFonts w:ascii="Times New Roman" w:hAnsi="Times New Roman" w:cs="Times New Roman"/>
          <w:noProof/>
          <w:sz w:val="24"/>
          <w:szCs w:val="24"/>
          <w:u w:color="0432FF"/>
          <w:lang w:val="en-GB"/>
        </w:rPr>
        <w:t>(9)</w:t>
      </w:r>
      <w:r w:rsidRPr="005A28F5">
        <w:rPr>
          <w:rFonts w:ascii="Times New Roman" w:hAnsi="Times New Roman" w:cs="Times New Roman"/>
          <w:sz w:val="24"/>
          <w:szCs w:val="24"/>
          <w:u w:color="0432FF"/>
          <w:lang w:val="en-GB"/>
        </w:rPr>
        <w:fldChar w:fldCharType="end"/>
      </w:r>
      <w:r w:rsidRPr="005A28F5">
        <w:rPr>
          <w:rFonts w:ascii="Times New Roman" w:hAnsi="Times New Roman" w:cs="Times New Roman"/>
          <w:sz w:val="24"/>
          <w:szCs w:val="24"/>
          <w:u w:color="0432FF"/>
          <w:lang w:val="en-GB"/>
        </w:rPr>
        <w:t xml:space="preserve">. </w:t>
      </w:r>
      <w:r w:rsidRPr="005A28F5">
        <w:rPr>
          <w:rFonts w:ascii="Times New Roman" w:hAnsi="Times New Roman" w:cs="Times New Roman"/>
          <w:sz w:val="24"/>
          <w:szCs w:val="24"/>
          <w:lang w:val="en-GB"/>
        </w:rPr>
        <w:t>Whil</w:t>
      </w:r>
      <w:r w:rsidR="00993E80" w:rsidRPr="005A28F5">
        <w:rPr>
          <w:rFonts w:ascii="Times New Roman" w:hAnsi="Times New Roman" w:cs="Times New Roman"/>
          <w:sz w:val="24"/>
          <w:szCs w:val="24"/>
          <w:lang w:val="en-GB"/>
        </w:rPr>
        <w:t>e</w:t>
      </w:r>
      <w:r w:rsidRPr="005A28F5">
        <w:rPr>
          <w:rFonts w:ascii="Times New Roman" w:hAnsi="Times New Roman" w:cs="Times New Roman"/>
          <w:sz w:val="24"/>
          <w:szCs w:val="24"/>
          <w:lang w:val="en-GB"/>
        </w:rPr>
        <w:t xml:space="preserve"> it is not possible to fully disentangle the effect of any single micronutrient from the multiple micronutrient intervention</w:t>
      </w:r>
      <w:r w:rsidR="00993E80" w:rsidRPr="005A28F5">
        <w:rPr>
          <w:rFonts w:ascii="Times New Roman" w:hAnsi="Times New Roman" w:cs="Times New Roman"/>
          <w:sz w:val="24"/>
          <w:szCs w:val="24"/>
          <w:lang w:val="en-GB"/>
        </w:rPr>
        <w:t>s studied here</w:t>
      </w:r>
      <w:r w:rsidRPr="005A28F5">
        <w:rPr>
          <w:rFonts w:ascii="Times New Roman" w:hAnsi="Times New Roman" w:cs="Times New Roman"/>
          <w:sz w:val="24"/>
          <w:szCs w:val="24"/>
          <w:lang w:val="en-GB"/>
        </w:rPr>
        <w:t>, it is notable that two recent RCT-based studies found an inverse relationship between maternal folic acid supplementation</w:t>
      </w:r>
      <w:r w:rsidR="0058185F" w:rsidRPr="005A28F5">
        <w:rPr>
          <w:rFonts w:ascii="Times New Roman" w:hAnsi="Times New Roman" w:cs="Times New Roman"/>
          <w:sz w:val="24"/>
          <w:szCs w:val="24"/>
          <w:lang w:val="en-GB"/>
        </w:rPr>
        <w:t xml:space="preserve"> during pregnancy</w:t>
      </w:r>
      <w:r w:rsidRPr="005A28F5">
        <w:rPr>
          <w:rFonts w:ascii="Times New Roman" w:hAnsi="Times New Roman" w:cs="Times New Roman"/>
          <w:sz w:val="24"/>
          <w:szCs w:val="24"/>
          <w:lang w:val="en-GB"/>
        </w:rPr>
        <w:t xml:space="preserve"> and offspring </w:t>
      </w:r>
      <w:r w:rsidR="00E11FE3" w:rsidRPr="005A28F5">
        <w:rPr>
          <w:rFonts w:ascii="Times New Roman" w:hAnsi="Times New Roman" w:cs="Times New Roman"/>
          <w:sz w:val="24"/>
          <w:szCs w:val="24"/>
          <w:lang w:val="en-GB"/>
        </w:rPr>
        <w:t>DNAm</w:t>
      </w:r>
      <w:r w:rsidR="000A0823" w:rsidRPr="005A28F5">
        <w:rPr>
          <w:rFonts w:ascii="Times New Roman" w:hAnsi="Times New Roman" w:cs="Times New Roman"/>
          <w:sz w:val="24"/>
          <w:szCs w:val="24"/>
          <w:lang w:val="en-GB"/>
        </w:rPr>
        <w:t xml:space="preserve"> </w:t>
      </w:r>
      <w:r w:rsidR="000A0823" w:rsidRPr="005A28F5">
        <w:rPr>
          <w:rStyle w:val="None"/>
          <w:rFonts w:ascii="Times New Roman" w:hAnsi="Times New Roman" w:cs="Times New Roman"/>
          <w:sz w:val="24"/>
          <w:szCs w:val="24"/>
          <w:u w:color="0432FF"/>
          <w:lang w:val="en-GB"/>
        </w:rPr>
        <w:fldChar w:fldCharType="begin" w:fldLock="1"/>
      </w:r>
      <w:r w:rsidR="00897103">
        <w:rPr>
          <w:rStyle w:val="None"/>
          <w:rFonts w:ascii="Times New Roman" w:hAnsi="Times New Roman" w:cs="Times New Roman"/>
          <w:sz w:val="24"/>
          <w:szCs w:val="24"/>
          <w:u w:color="0432FF"/>
          <w:lang w:val="en-GB"/>
        </w:rPr>
        <w:instrText>ADDIN CSL_CITATION {"citationItems":[{"id":"ITEM-1","itemData":{"DOI":"10.1093/ajcn/nqx069","ISSN":"0002-9165","PMID":"29635492","abstract":"Background: Emerging evidence suggests that maternal folate status can impact cognitive development in childhood. Folate-dependent DNA methylation may provide a biological mechanism to link fo-late status during pregnancy with cognition in the offspring. Objective: The objective was to investigate the effect of continued folic acid (FA) supplementation beyond the first trimester of preg-nancy on DNA methylation in cord blood of epigenetically controlled genes related to brain development and function. Design: Using available cord blood samples (n = 86) from the Folic Acid Supplementation in the Second and Third Trimesters (FASSTT) trial in pregnancy, we applied pyrosequencing techniques to analyze cord blood DNA at 9 candidate loci known to be regulated by methy-lation, including some previously implicated in observational stud-ies: the widely dispersed retrotransposon long interspersed nuclear element-1 (LINE-1) and 8 single-copy loci (RBM46, PEG3, IGF2, GRB10, BDNF, GRIN3B, OPCML, and APC2). Results: The newborns of mothers who received ongoing FA (400 µg/d) through the second and third trimesters, compared with placebo, had significantly lower overall DNA methylation levels at LINE-1 (56.3% ± 1.7% compared with 57.2% ± 2.1%; P = 0.024), IFG2 (48.9% ± 4.4% compared with 51.2% ± 5.1%; P = 0.021), and BDNF (2.7% ± 0.7% compared with 3.1% ± 0.8%; P = 0.003). The effect of FA treatment on DNA methylation was significant only in female offspring for IGF2 (P = 0.028) and only in males for BDNF (P = 0.012). For GRB10 and GRIN3B, we detected no ef-fect on overall methylation; however, individual cytosine-phosphate-guanine sites showed significant DNA methylation changes in response to FA. Conclusions: Continued supplementation with FA through trimesters 2 and 3 of pregnancy results in significant changes in DNA methylation in cord blood of genes related to brain devel-opment. The findings offer a potential biological mechanism linking maternal folate status with neurodevelopment of the offspring, but this requires further investigation using a genome-wide approach. This trial was registered at www.isrctn.com as ISRCTN19917787. Am J Clin Nutr 2018;107:566–575.","author":[{"dropping-particle":"","family":"Caffrey","given":"Aoife","non-dropping-particle":"","parse-names":false,"suffix":""},{"dropping-particle":"","family":"Irwin","given":"Rachelle E","non-dropping-particle":"","parse-names":false,"suffix":""},{"dropping-particle":"","family":"McNulty","given":"Helene","non-dropping-particle":"","parse-names":false,"suffix":""},{"dropping-particle":"","family":"Strain","given":"J J","non-dropping-particle":"","parse-names":false,"suffix":""},{"dropping-particle":"","family":"Lees-Murdock","given":"Diane J","non-dropping-particle":"","parse-names":false,"suffix":""},{"dropping-particle":"","family":"McNulty","given":"Breige A","non-dropping-particle":"","parse-names":false,"suffix":""},{"dropping-particle":"","family":"Ward","given":"Mary","non-dropping-particle":"","parse-names":false,"suffix":""},{"dropping-particle":"","family":"Walsh","given":"Colum P","non-dropping-particle":"","parse-names":false,"suffix":""},{"dropping-particle":"","family":"Pentieva","given":"Kristina","non-dropping-particle":"","parse-names":false,"suffix":""}],"container-title":"The American Journal of Clinical Nutrition","id":"ITEM-1","issue":"4","issued":{"date-parts":[["2018"]]},"page":"566-575","title":"Gene-specific DNA methylation in newborns in response to folic acid supplementation during the second and third trimesters of pregnancy: epigenetic analysis from a randomized controlled trial","type":"article-journal","volume":"107"},"uris":["http://www.mendeley.com/documents/?uuid=d0886c78-ac04-4ca7-8eea-eaee9a3a2c58"]},{"id":"ITEM-2","itemData":{"DOI":"10.1093/ije/dyy032","ISSN":"0300-5771","author":[{"dropping-particle":"","family":"Richmond","given":"Rebecca","non-dropping-particle":"","parse-names":false,"suffix":""},{"dropping-particle":"","family":"Sharp","given":"Gemma","non-dropping-particle":"","parse-names":false,"suffix":""},{"dropping-particle":"","family":"Herbert","given":"Georgia","non-dropping-particle":"","parse-names":false,"suffix":""},{"dropping-particle":"","family":"Atkinson","given":"Charlotte","non-dropping-particle":"","parse-names":false,"suffix":""},{"dropping-particle":"","family":"Taylor","given":"Caroline","non-dropping-particle":"","parse-names":false,"suffix":""},{"dropping-particle":"","family":"Bhattachrya","given":"Sohinee","non-dropping-particle":"","parse-names":false,"suffix":""},{"dropping-particle":"","family":"Campbell","given":"Doris","non-dropping-particle":"","parse-names":false,"suffix":""},{"dropping-particle":"","family":"Hall","given":"Marion","non-dropping-particle":"","parse-names":false,"suffix":""},{"dropping-particle":"","family":"Kazmi","given":"Nabila","non-dropping-particle":"","parse-names":false,"suffix":""},{"dropping-particle":"","family":"Gaunt","given":"Tom","non-dropping-particle":"","parse-names":false,"suffix":""},{"dropping-particle":"","family":"McArdle","given":"Wendy","non-dropping-particle":"","parse-names":false,"suffix":""},{"dropping-particle":"","family":"Ring","given":"Susan","non-dropping-particle":"","parse-names":false,"suffix":""},{"dropping-particle":"","family":"Davey Smith","given":"George","non-dropping-particle":"","parse-names":false,"suffix":""},{"dropping-particle":"","family":"Ness","given":"Andrew R","non-dropping-particle":"","parse-names":false,"suffix":""},{"dropping-particle":"","family":"Relton","given":"Caroline","non-dropping-particle":"","parse-names":false,"suffix":""}],"container-title":"International Journal of Epidemiology","id":"ITEM-2","issue":"March","issued":{"date-parts":[["2018"]]},"page":"1-10","title":"The long-term impact of folic acid in pregnancy on offspring DNA methylation : follow-up of the Aberdeen folic acid supplementation trial (AFAST)","type":"article-journal","volume":"In Press"},"uris":["http://www.mendeley.com/documents/?uuid=93f5d468-36a2-4e1e-b9ea-ff893b299d8e"]}],"mendeley":{"formattedCitation":"(21,22)","plainTextFormattedCitation":"(21,22)","previouslyFormattedCitation":"(21,22)"},"properties":{"noteIndex":0},"schema":"https://github.com/citation-style-language/schema/raw/master/csl-citation.json"}</w:instrText>
      </w:r>
      <w:r w:rsidR="000A0823" w:rsidRPr="005A28F5">
        <w:rPr>
          <w:rStyle w:val="None"/>
          <w:rFonts w:ascii="Times New Roman" w:hAnsi="Times New Roman" w:cs="Times New Roman"/>
          <w:sz w:val="24"/>
          <w:szCs w:val="24"/>
          <w:u w:color="0432FF"/>
          <w:lang w:val="en-GB"/>
        </w:rPr>
        <w:fldChar w:fldCharType="separate"/>
      </w:r>
      <w:r w:rsidR="001754FE" w:rsidRPr="001754FE">
        <w:rPr>
          <w:rStyle w:val="None"/>
          <w:rFonts w:ascii="Times New Roman" w:hAnsi="Times New Roman" w:cs="Times New Roman"/>
          <w:noProof/>
          <w:sz w:val="24"/>
          <w:szCs w:val="24"/>
          <w:u w:color="0432FF"/>
          <w:lang w:val="en-GB"/>
        </w:rPr>
        <w:t>(21,22)</w:t>
      </w:r>
      <w:r w:rsidR="000A0823" w:rsidRPr="005A28F5">
        <w:rPr>
          <w:rStyle w:val="None"/>
          <w:rFonts w:ascii="Times New Roman" w:hAnsi="Times New Roman" w:cs="Times New Roman"/>
          <w:sz w:val="24"/>
          <w:szCs w:val="24"/>
          <w:u w:color="0432FF"/>
          <w:lang w:val="en-GB"/>
        </w:rPr>
        <w:fldChar w:fldCharType="end"/>
      </w:r>
      <w:r w:rsidRPr="005A28F5">
        <w:rPr>
          <w:rFonts w:ascii="Times New Roman" w:hAnsi="Times New Roman" w:cs="Times New Roman"/>
          <w:sz w:val="24"/>
          <w:szCs w:val="24"/>
          <w:u w:color="0432FF"/>
          <w:lang w:val="en-GB"/>
        </w:rPr>
        <w:t>. Given th</w:t>
      </w:r>
      <w:r w:rsidR="00F94334" w:rsidRPr="005A28F5">
        <w:rPr>
          <w:rFonts w:ascii="Times New Roman" w:hAnsi="Times New Roman" w:cs="Times New Roman"/>
          <w:sz w:val="24"/>
          <w:szCs w:val="24"/>
          <w:u w:color="0432FF"/>
          <w:lang w:val="en-GB"/>
        </w:rPr>
        <w:t>at the</w:t>
      </w:r>
      <w:r w:rsidRPr="005A28F5">
        <w:rPr>
          <w:rFonts w:ascii="Times New Roman" w:hAnsi="Times New Roman" w:cs="Times New Roman"/>
          <w:sz w:val="24"/>
          <w:szCs w:val="24"/>
          <w:u w:color="0432FF"/>
          <w:lang w:val="en-GB"/>
        </w:rPr>
        <w:t xml:space="preserve"> </w:t>
      </w:r>
      <w:r w:rsidRPr="005A28F5">
        <w:rPr>
          <w:rFonts w:ascii="Times New Roman" w:hAnsi="Times New Roman" w:cs="Times New Roman"/>
          <w:sz w:val="24"/>
          <w:szCs w:val="24"/>
          <w:lang w:val="en-GB"/>
        </w:rPr>
        <w:t xml:space="preserve">daily UNIMMAP supplement used in the Gambian intervention contains 400µg of folic acid, alongside 14 other micronutrients, it is possible this component may be driving the inverse relationship </w:t>
      </w:r>
      <w:r w:rsidR="00993E80" w:rsidRPr="005A28F5">
        <w:rPr>
          <w:rFonts w:ascii="Times New Roman" w:hAnsi="Times New Roman" w:cs="Times New Roman"/>
          <w:sz w:val="24"/>
          <w:szCs w:val="24"/>
          <w:lang w:val="en-GB"/>
        </w:rPr>
        <w:t>observe</w:t>
      </w:r>
      <w:r w:rsidR="00F94334" w:rsidRPr="005A28F5">
        <w:rPr>
          <w:rFonts w:ascii="Times New Roman" w:hAnsi="Times New Roman" w:cs="Times New Roman"/>
          <w:sz w:val="24"/>
          <w:szCs w:val="24"/>
          <w:lang w:val="en-GB"/>
        </w:rPr>
        <w:t>d</w:t>
      </w:r>
      <w:r w:rsidR="00027E35" w:rsidRPr="005A28F5">
        <w:rPr>
          <w:rFonts w:ascii="Times New Roman" w:hAnsi="Times New Roman" w:cs="Times New Roman"/>
          <w:sz w:val="24"/>
          <w:szCs w:val="24"/>
          <w:lang w:val="en-GB"/>
        </w:rPr>
        <w:t>.</w:t>
      </w:r>
      <w:r w:rsidR="00027E35" w:rsidRPr="005A28F5">
        <w:rPr>
          <w:rFonts w:ascii="Times New Roman" w:hAnsi="Times New Roman" w:cs="Times New Roman"/>
          <w:sz w:val="24"/>
          <w:szCs w:val="24"/>
          <w:u w:color="0432FF"/>
          <w:lang w:val="en-GB"/>
        </w:rPr>
        <w:t xml:space="preserve"> </w:t>
      </w:r>
    </w:p>
    <w:p w14:paraId="178D59D2" w14:textId="77777777" w:rsidR="00E01BB2" w:rsidRPr="005A28F5" w:rsidRDefault="00E01BB2" w:rsidP="001A64D3">
      <w:pPr>
        <w:pStyle w:val="BodyB"/>
        <w:spacing w:line="360" w:lineRule="auto"/>
        <w:rPr>
          <w:rFonts w:eastAsia="Cambria" w:cs="Times New Roman"/>
          <w:u w:color="7D7D7D"/>
          <w:lang w:val="en-GB"/>
        </w:rPr>
      </w:pPr>
    </w:p>
    <w:p w14:paraId="42559E5A" w14:textId="4D167808" w:rsidR="00912B39" w:rsidRPr="005A28F5" w:rsidRDefault="00BC5807" w:rsidP="00332186">
      <w:pPr>
        <w:pStyle w:val="BodyA"/>
        <w:spacing w:line="360" w:lineRule="auto"/>
        <w:outlineLvl w:val="0"/>
        <w:rPr>
          <w:rFonts w:ascii="Times New Roman" w:hAnsi="Times New Roman" w:cs="Times New Roman"/>
          <w:color w:val="000000" w:themeColor="text1"/>
          <w:sz w:val="24"/>
          <w:szCs w:val="24"/>
          <w:lang w:val="en-GB"/>
        </w:rPr>
      </w:pPr>
      <w:r w:rsidRPr="005A28F5">
        <w:rPr>
          <w:rFonts w:ascii="Times New Roman" w:hAnsi="Times New Roman" w:cs="Times New Roman"/>
          <w:sz w:val="24"/>
          <w:szCs w:val="24"/>
          <w:lang w:val="en-GB"/>
        </w:rPr>
        <w:t xml:space="preserve">The </w:t>
      </w:r>
      <w:r w:rsidR="00BC3B0C" w:rsidRPr="005A28F5">
        <w:rPr>
          <w:rFonts w:ascii="Times New Roman" w:hAnsi="Times New Roman" w:cs="Times New Roman"/>
          <w:sz w:val="24"/>
          <w:szCs w:val="24"/>
          <w:lang w:val="en-GB"/>
        </w:rPr>
        <w:t>EMPHASIS study target</w:t>
      </w:r>
      <w:r w:rsidR="0016786B">
        <w:rPr>
          <w:rFonts w:ascii="Times New Roman" w:hAnsi="Times New Roman" w:cs="Times New Roman"/>
          <w:sz w:val="24"/>
          <w:szCs w:val="24"/>
          <w:lang w:val="en-GB"/>
        </w:rPr>
        <w:t>s</w:t>
      </w:r>
      <w:r w:rsidR="00BC3B0C" w:rsidRPr="005A28F5">
        <w:rPr>
          <w:rFonts w:ascii="Times New Roman" w:hAnsi="Times New Roman" w:cs="Times New Roman"/>
          <w:sz w:val="24"/>
          <w:szCs w:val="24"/>
          <w:lang w:val="en-GB"/>
        </w:rPr>
        <w:t xml:space="preserve"> Indian and Gambian populations with poor nutrition and increased rates of morbidity compared to high-income countries</w:t>
      </w:r>
      <w:r w:rsidR="00504DE7">
        <w:rPr>
          <w:rFonts w:ascii="Times New Roman" w:hAnsi="Times New Roman" w:cs="Times New Roman"/>
          <w:sz w:val="24"/>
          <w:szCs w:val="24"/>
          <w:lang w:val="en-GB"/>
        </w:rPr>
        <w:t xml:space="preserve">. The elucidation of </w:t>
      </w:r>
      <w:r w:rsidR="00BC3B0C" w:rsidRPr="005A28F5">
        <w:rPr>
          <w:rFonts w:ascii="Times New Roman" w:hAnsi="Times New Roman" w:cs="Times New Roman"/>
          <w:sz w:val="24"/>
          <w:szCs w:val="24"/>
          <w:lang w:val="en-GB"/>
        </w:rPr>
        <w:t>epigenetic mechanisms link</w:t>
      </w:r>
      <w:r w:rsidR="00504DE7">
        <w:rPr>
          <w:rFonts w:ascii="Times New Roman" w:hAnsi="Times New Roman" w:cs="Times New Roman"/>
          <w:sz w:val="24"/>
          <w:szCs w:val="24"/>
          <w:lang w:val="en-GB"/>
        </w:rPr>
        <w:t>ing</w:t>
      </w:r>
      <w:r w:rsidR="00BC3B0C" w:rsidRPr="005A28F5">
        <w:rPr>
          <w:rFonts w:ascii="Times New Roman" w:hAnsi="Times New Roman" w:cs="Times New Roman"/>
          <w:sz w:val="24"/>
          <w:szCs w:val="24"/>
          <w:lang w:val="en-GB"/>
        </w:rPr>
        <w:t xml:space="preserve"> maternal nutritional exposures to poor health outcomes</w:t>
      </w:r>
      <w:r w:rsidR="00504DE7">
        <w:rPr>
          <w:rFonts w:ascii="Times New Roman" w:hAnsi="Times New Roman" w:cs="Times New Roman"/>
          <w:sz w:val="24"/>
          <w:szCs w:val="24"/>
          <w:lang w:val="en-GB"/>
        </w:rPr>
        <w:t xml:space="preserve"> therefore has </w:t>
      </w:r>
      <w:r w:rsidR="00BC3B0C" w:rsidRPr="005A28F5">
        <w:rPr>
          <w:rFonts w:ascii="Times New Roman" w:hAnsi="Times New Roman" w:cs="Times New Roman"/>
          <w:sz w:val="24"/>
          <w:szCs w:val="24"/>
          <w:lang w:val="en-GB"/>
        </w:rPr>
        <w:t>the potential to make an impact in areas with a high burden of disease.</w:t>
      </w:r>
      <w:r w:rsidR="0075687F" w:rsidRPr="005A28F5">
        <w:rPr>
          <w:rFonts w:ascii="Times New Roman" w:hAnsi="Times New Roman" w:cs="Times New Roman"/>
          <w:sz w:val="24"/>
          <w:szCs w:val="24"/>
          <w:lang w:val="en-GB"/>
        </w:rPr>
        <w:t xml:space="preserve"> </w:t>
      </w:r>
      <w:r w:rsidR="0016786B">
        <w:rPr>
          <w:rFonts w:ascii="Times New Roman" w:hAnsi="Times New Roman" w:cs="Times New Roman"/>
          <w:sz w:val="24"/>
          <w:szCs w:val="24"/>
          <w:lang w:val="en-GB"/>
        </w:rPr>
        <w:t>Importantly</w:t>
      </w:r>
      <w:r w:rsidR="0075687F" w:rsidRPr="005A28F5">
        <w:rPr>
          <w:rFonts w:ascii="Times New Roman" w:hAnsi="Times New Roman" w:cs="Times New Roman"/>
          <w:sz w:val="24"/>
          <w:szCs w:val="24"/>
          <w:lang w:val="en-GB"/>
        </w:rPr>
        <w:t>, both cohorts follow up on randomized control</w:t>
      </w:r>
      <w:r w:rsidR="00F87D7B">
        <w:rPr>
          <w:rFonts w:ascii="Times New Roman" w:hAnsi="Times New Roman" w:cs="Times New Roman"/>
          <w:sz w:val="24"/>
          <w:szCs w:val="24"/>
          <w:lang w:val="en-GB"/>
        </w:rPr>
        <w:t>led</w:t>
      </w:r>
      <w:r w:rsidR="0075687F" w:rsidRPr="005A28F5">
        <w:rPr>
          <w:rFonts w:ascii="Times New Roman" w:hAnsi="Times New Roman" w:cs="Times New Roman"/>
          <w:sz w:val="24"/>
          <w:szCs w:val="24"/>
          <w:lang w:val="en-GB"/>
        </w:rPr>
        <w:t xml:space="preserve"> intervention trials, so strengthening causal inference by minimising the potential for confounding and bias evident in observational studies. A</w:t>
      </w:r>
      <w:r w:rsidR="0075687F" w:rsidRPr="005A28F5">
        <w:rPr>
          <w:rFonts w:ascii="Times New Roman" w:hAnsi="Times New Roman" w:cs="Times New Roman"/>
          <w:color w:val="000000" w:themeColor="text1"/>
          <w:sz w:val="24"/>
          <w:szCs w:val="24"/>
          <w:lang w:val="en-GB"/>
        </w:rPr>
        <w:t>lternative causal pathways are possible however, notably reverse causation whereby the nutrient intervention influences a postnatal phenotypic trait which in turn affects DNAm at associated loci</w:t>
      </w:r>
      <w:r w:rsidR="0075687F" w:rsidRPr="005A28F5">
        <w:rPr>
          <w:rFonts w:ascii="Times New Roman" w:hAnsi="Times New Roman" w:cs="Times New Roman"/>
          <w:sz w:val="24"/>
          <w:szCs w:val="24"/>
          <w:lang w:val="en-GB"/>
        </w:rPr>
        <w:t>. These issues are particularly challenging in the context of epigenetic studies as DNAm has been associated with a wide range of exposures and outcomes including many relating to maternal effects during pregnancy and pre-pregnancy</w:t>
      </w:r>
      <w:r w:rsidR="00027E35" w:rsidRPr="005A28F5">
        <w:rPr>
          <w:rFonts w:ascii="Times New Roman" w:hAnsi="Times New Roman" w:cs="Times New Roman"/>
          <w:sz w:val="24"/>
          <w:szCs w:val="24"/>
          <w:lang w:val="en-GB"/>
        </w:rPr>
        <w:t>. I</w:t>
      </w:r>
      <w:r w:rsidR="00912B39" w:rsidRPr="005A28F5">
        <w:rPr>
          <w:rFonts w:ascii="Times New Roman" w:hAnsi="Times New Roman" w:cs="Times New Roman"/>
          <w:color w:val="000000" w:themeColor="text1"/>
          <w:sz w:val="24"/>
          <w:szCs w:val="24"/>
          <w:lang w:val="en-GB"/>
        </w:rPr>
        <w:t>n the next stage of the EMPHASIS study, analyses of DNAm-phenotype associations in conjunction with causal analysis tech</w:t>
      </w:r>
      <w:r w:rsidR="00912B39" w:rsidRPr="005A28F5">
        <w:rPr>
          <w:rFonts w:ascii="Times New Roman" w:hAnsi="Times New Roman" w:cs="Times New Roman"/>
          <w:color w:val="000000" w:themeColor="text1"/>
          <w:sz w:val="24"/>
          <w:szCs w:val="24"/>
          <w:lang w:val="en-GB"/>
        </w:rPr>
        <w:lastRenderedPageBreak/>
        <w:t>niques such as Mendelian Randomi</w:t>
      </w:r>
      <w:r w:rsidR="00F94334" w:rsidRPr="005A28F5">
        <w:rPr>
          <w:rFonts w:ascii="Times New Roman" w:hAnsi="Times New Roman" w:cs="Times New Roman"/>
          <w:color w:val="000000" w:themeColor="text1"/>
          <w:sz w:val="24"/>
          <w:szCs w:val="24"/>
          <w:lang w:val="en-GB"/>
        </w:rPr>
        <w:t>s</w:t>
      </w:r>
      <w:r w:rsidR="00912B39" w:rsidRPr="005A28F5">
        <w:rPr>
          <w:rFonts w:ascii="Times New Roman" w:hAnsi="Times New Roman" w:cs="Times New Roman"/>
          <w:color w:val="000000" w:themeColor="text1"/>
          <w:sz w:val="24"/>
          <w:szCs w:val="24"/>
          <w:lang w:val="en-GB"/>
        </w:rPr>
        <w:t>ation may shed light on this.</w:t>
      </w:r>
      <w:r w:rsidR="00332186">
        <w:rPr>
          <w:rFonts w:ascii="Times New Roman" w:hAnsi="Times New Roman" w:cs="Times New Roman"/>
          <w:color w:val="000000" w:themeColor="text1"/>
          <w:sz w:val="24"/>
          <w:szCs w:val="24"/>
          <w:lang w:val="en-GB"/>
        </w:rPr>
        <w:t xml:space="preserve"> </w:t>
      </w:r>
      <w:r w:rsidR="00697CE0">
        <w:rPr>
          <w:rFonts w:ascii="Times New Roman" w:hAnsi="Times New Roman" w:cs="Times New Roman"/>
          <w:color w:val="000000" w:themeColor="text1"/>
          <w:sz w:val="24"/>
          <w:szCs w:val="24"/>
          <w:lang w:val="en-GB"/>
        </w:rPr>
        <w:t>Were</w:t>
      </w:r>
      <w:r w:rsidR="00F87D7B">
        <w:rPr>
          <w:rFonts w:ascii="Times New Roman" w:hAnsi="Times New Roman" w:cs="Times New Roman"/>
          <w:color w:val="000000" w:themeColor="text1"/>
          <w:sz w:val="24"/>
          <w:szCs w:val="24"/>
          <w:lang w:val="en-GB"/>
        </w:rPr>
        <w:t xml:space="preserve"> causal links </w:t>
      </w:r>
      <w:r w:rsidR="00697CE0">
        <w:rPr>
          <w:rFonts w:ascii="Times New Roman" w:hAnsi="Times New Roman" w:cs="Times New Roman"/>
          <w:color w:val="000000" w:themeColor="text1"/>
          <w:sz w:val="24"/>
          <w:szCs w:val="24"/>
          <w:lang w:val="en-GB"/>
        </w:rPr>
        <w:t xml:space="preserve">to </w:t>
      </w:r>
      <w:r w:rsidR="00F87D7B">
        <w:rPr>
          <w:rFonts w:ascii="Times New Roman" w:hAnsi="Times New Roman" w:cs="Times New Roman"/>
          <w:color w:val="000000" w:themeColor="text1"/>
          <w:sz w:val="24"/>
          <w:szCs w:val="24"/>
          <w:lang w:val="en-GB"/>
        </w:rPr>
        <w:t>be established</w:t>
      </w:r>
      <w:r w:rsidR="00697CE0">
        <w:rPr>
          <w:rFonts w:ascii="Times New Roman" w:hAnsi="Times New Roman" w:cs="Times New Roman"/>
          <w:color w:val="000000" w:themeColor="text1"/>
          <w:sz w:val="24"/>
          <w:szCs w:val="24"/>
          <w:lang w:val="en-GB"/>
        </w:rPr>
        <w:t xml:space="preserve">, this would provide opportunities to </w:t>
      </w:r>
      <w:r w:rsidR="00F87D7B">
        <w:rPr>
          <w:rFonts w:ascii="Times New Roman" w:hAnsi="Times New Roman" w:cs="Times New Roman"/>
          <w:color w:val="000000" w:themeColor="text1"/>
          <w:sz w:val="24"/>
          <w:szCs w:val="24"/>
          <w:lang w:val="en-GB"/>
        </w:rPr>
        <w:t xml:space="preserve">gain </w:t>
      </w:r>
      <w:r w:rsidR="00D80511">
        <w:rPr>
          <w:rFonts w:ascii="Times New Roman" w:hAnsi="Times New Roman" w:cs="Times New Roman"/>
          <w:sz w:val="24"/>
          <w:szCs w:val="24"/>
          <w:lang w:val="en-GB"/>
        </w:rPr>
        <w:t xml:space="preserve">insights into the efficacy of </w:t>
      </w:r>
      <w:r w:rsidR="00697CE0">
        <w:rPr>
          <w:rFonts w:ascii="Times New Roman" w:hAnsi="Times New Roman" w:cs="Times New Roman"/>
          <w:sz w:val="24"/>
          <w:szCs w:val="24"/>
          <w:lang w:val="en-GB"/>
        </w:rPr>
        <w:t xml:space="preserve">periconceptional </w:t>
      </w:r>
      <w:r w:rsidR="00D80511">
        <w:rPr>
          <w:rFonts w:ascii="Times New Roman" w:hAnsi="Times New Roman" w:cs="Times New Roman"/>
          <w:sz w:val="24"/>
          <w:szCs w:val="24"/>
          <w:lang w:val="en-GB"/>
        </w:rPr>
        <w:t>nutritional interventions for improving health</w:t>
      </w:r>
      <w:r w:rsidR="00697CE0">
        <w:rPr>
          <w:rFonts w:ascii="Times New Roman" w:hAnsi="Times New Roman" w:cs="Times New Roman"/>
          <w:sz w:val="24"/>
          <w:szCs w:val="24"/>
          <w:lang w:val="en-GB"/>
        </w:rPr>
        <w:t xml:space="preserve"> in the next generation</w:t>
      </w:r>
      <w:r w:rsidR="005C0B30">
        <w:rPr>
          <w:rFonts w:ascii="Times New Roman" w:hAnsi="Times New Roman" w:cs="Times New Roman"/>
          <w:sz w:val="24"/>
          <w:szCs w:val="24"/>
          <w:lang w:val="en-GB"/>
        </w:rPr>
        <w:t>.</w:t>
      </w:r>
      <w:r w:rsidR="00332186">
        <w:rPr>
          <w:rFonts w:ascii="Times New Roman" w:hAnsi="Times New Roman" w:cs="Times New Roman"/>
          <w:sz w:val="24"/>
          <w:szCs w:val="24"/>
          <w:lang w:val="en-GB"/>
        </w:rPr>
        <w:t xml:space="preserve"> </w:t>
      </w:r>
    </w:p>
    <w:p w14:paraId="5B81329A" w14:textId="02072CFE" w:rsidR="00EA4EC3" w:rsidRPr="005A28F5" w:rsidRDefault="00EA4EC3" w:rsidP="001A64D3">
      <w:pPr>
        <w:pStyle w:val="BodyA"/>
        <w:spacing w:line="360" w:lineRule="auto"/>
        <w:outlineLvl w:val="0"/>
        <w:rPr>
          <w:rFonts w:ascii="Times New Roman" w:hAnsi="Times New Roman" w:cs="Times New Roman"/>
          <w:color w:val="000000" w:themeColor="text1"/>
          <w:sz w:val="24"/>
          <w:szCs w:val="24"/>
          <w:lang w:val="en-GB"/>
        </w:rPr>
      </w:pPr>
    </w:p>
    <w:p w14:paraId="6855C07F" w14:textId="1BBFAE20" w:rsidR="00EA4EC3" w:rsidRPr="005A28F5" w:rsidRDefault="00EA4EC3" w:rsidP="001A64D3">
      <w:pPr>
        <w:pStyle w:val="BodyA"/>
        <w:spacing w:line="360" w:lineRule="auto"/>
        <w:outlineLvl w:val="0"/>
        <w:rPr>
          <w:rFonts w:ascii="Times New Roman" w:hAnsi="Times New Roman" w:cs="Times New Roman"/>
          <w:color w:val="000000" w:themeColor="text1"/>
          <w:sz w:val="24"/>
          <w:szCs w:val="24"/>
          <w:lang w:val="en-GB"/>
        </w:rPr>
      </w:pPr>
      <w:r w:rsidRPr="005A28F5">
        <w:rPr>
          <w:rFonts w:ascii="Times New Roman" w:hAnsi="Times New Roman" w:cs="Times New Roman"/>
          <w:color w:val="000000" w:themeColor="text1"/>
          <w:sz w:val="24"/>
          <w:szCs w:val="24"/>
          <w:lang w:val="en-GB"/>
        </w:rPr>
        <w:t xml:space="preserve">Limitations of </w:t>
      </w:r>
      <w:r w:rsidR="00807991" w:rsidRPr="005A28F5">
        <w:rPr>
          <w:rFonts w:ascii="Times New Roman" w:hAnsi="Times New Roman" w:cs="Times New Roman"/>
          <w:color w:val="000000" w:themeColor="text1"/>
          <w:sz w:val="24"/>
          <w:szCs w:val="24"/>
          <w:lang w:val="en-GB"/>
        </w:rPr>
        <w:t>the study</w:t>
      </w:r>
      <w:r w:rsidRPr="005A28F5">
        <w:rPr>
          <w:rFonts w:ascii="Times New Roman" w:hAnsi="Times New Roman" w:cs="Times New Roman"/>
          <w:color w:val="000000" w:themeColor="text1"/>
          <w:sz w:val="24"/>
          <w:szCs w:val="24"/>
          <w:lang w:val="en-GB"/>
        </w:rPr>
        <w:t>, many of which we discuss</w:t>
      </w:r>
      <w:r w:rsidR="00807991" w:rsidRPr="005A28F5">
        <w:rPr>
          <w:rFonts w:ascii="Times New Roman" w:hAnsi="Times New Roman" w:cs="Times New Roman"/>
          <w:color w:val="000000" w:themeColor="text1"/>
          <w:sz w:val="24"/>
          <w:szCs w:val="24"/>
          <w:lang w:val="en-GB"/>
        </w:rPr>
        <w:t xml:space="preserve"> in more detail</w:t>
      </w:r>
      <w:r w:rsidRPr="005A28F5">
        <w:rPr>
          <w:rFonts w:ascii="Times New Roman" w:hAnsi="Times New Roman" w:cs="Times New Roman"/>
          <w:color w:val="000000" w:themeColor="text1"/>
          <w:sz w:val="24"/>
          <w:szCs w:val="24"/>
          <w:lang w:val="en-GB"/>
        </w:rPr>
        <w:t xml:space="preserve"> above, include </w:t>
      </w:r>
      <w:r w:rsidR="00807991" w:rsidRPr="005A28F5">
        <w:rPr>
          <w:rFonts w:ascii="Times New Roman" w:hAnsi="Times New Roman" w:cs="Times New Roman"/>
          <w:color w:val="000000" w:themeColor="text1"/>
          <w:sz w:val="24"/>
          <w:szCs w:val="24"/>
          <w:lang w:val="en-GB"/>
        </w:rPr>
        <w:t xml:space="preserve">the </w:t>
      </w:r>
      <w:r w:rsidRPr="005A28F5">
        <w:rPr>
          <w:rFonts w:ascii="Times New Roman" w:hAnsi="Times New Roman" w:cs="Times New Roman"/>
          <w:color w:val="000000" w:themeColor="text1"/>
          <w:sz w:val="24"/>
          <w:szCs w:val="24"/>
          <w:lang w:val="en-GB"/>
        </w:rPr>
        <w:t>relatively small samples sizes, particularly in the Gambian cohort</w:t>
      </w:r>
      <w:r w:rsidR="00807991" w:rsidRPr="005A28F5">
        <w:rPr>
          <w:rFonts w:ascii="Times New Roman" w:hAnsi="Times New Roman" w:cs="Times New Roman"/>
          <w:color w:val="000000" w:themeColor="text1"/>
          <w:sz w:val="24"/>
          <w:szCs w:val="24"/>
          <w:lang w:val="en-GB"/>
        </w:rPr>
        <w:t xml:space="preserve">, and </w:t>
      </w:r>
      <w:r w:rsidRPr="005A28F5">
        <w:rPr>
          <w:rFonts w:ascii="Times New Roman" w:hAnsi="Times New Roman" w:cs="Times New Roman"/>
          <w:color w:val="000000" w:themeColor="text1"/>
          <w:sz w:val="24"/>
          <w:szCs w:val="24"/>
          <w:lang w:val="en-GB"/>
        </w:rPr>
        <w:t>the low</w:t>
      </w:r>
      <w:r w:rsidR="00BE194E">
        <w:rPr>
          <w:rFonts w:ascii="Times New Roman" w:hAnsi="Times New Roman" w:cs="Times New Roman"/>
          <w:color w:val="000000" w:themeColor="text1"/>
          <w:sz w:val="24"/>
          <w:szCs w:val="24"/>
          <w:lang w:val="en-GB"/>
        </w:rPr>
        <w:t>er</w:t>
      </w:r>
      <w:r w:rsidRPr="005A28F5">
        <w:rPr>
          <w:rFonts w:ascii="Times New Roman" w:hAnsi="Times New Roman" w:cs="Times New Roman"/>
          <w:color w:val="000000" w:themeColor="text1"/>
          <w:sz w:val="24"/>
          <w:szCs w:val="24"/>
          <w:lang w:val="en-GB"/>
        </w:rPr>
        <w:t xml:space="preserve"> multiple micronutrient input in the Indian food-based supplement</w:t>
      </w:r>
      <w:r w:rsidR="00807991" w:rsidRPr="005A28F5">
        <w:rPr>
          <w:rFonts w:ascii="Times New Roman" w:hAnsi="Times New Roman" w:cs="Times New Roman"/>
          <w:color w:val="000000" w:themeColor="text1"/>
          <w:sz w:val="24"/>
          <w:szCs w:val="24"/>
          <w:lang w:val="en-GB"/>
        </w:rPr>
        <w:t xml:space="preserve">.  </w:t>
      </w:r>
      <w:r w:rsidR="001D1EB9" w:rsidRPr="005A28F5">
        <w:rPr>
          <w:rFonts w:ascii="Times New Roman" w:hAnsi="Times New Roman" w:cs="Times New Roman"/>
          <w:color w:val="000000" w:themeColor="text1"/>
          <w:sz w:val="24"/>
          <w:szCs w:val="24"/>
          <w:lang w:val="en-GB"/>
        </w:rPr>
        <w:t>Also</w:t>
      </w:r>
      <w:r w:rsidR="00807991" w:rsidRPr="005A28F5">
        <w:rPr>
          <w:rFonts w:ascii="Times New Roman" w:hAnsi="Times New Roman" w:cs="Times New Roman"/>
          <w:color w:val="000000" w:themeColor="text1"/>
          <w:sz w:val="24"/>
          <w:szCs w:val="24"/>
          <w:lang w:val="en-GB"/>
        </w:rPr>
        <w:t xml:space="preserve">, </w:t>
      </w:r>
      <w:r w:rsidR="001D1EB9" w:rsidRPr="005A28F5">
        <w:rPr>
          <w:rFonts w:ascii="Times New Roman" w:hAnsi="Times New Roman" w:cs="Times New Roman"/>
          <w:color w:val="000000" w:themeColor="text1"/>
          <w:sz w:val="24"/>
          <w:szCs w:val="24"/>
          <w:lang w:val="en-GB"/>
        </w:rPr>
        <w:t xml:space="preserve">neonatal </w:t>
      </w:r>
      <w:r w:rsidR="00807991" w:rsidRPr="005A28F5">
        <w:rPr>
          <w:rFonts w:ascii="Times New Roman" w:hAnsi="Times New Roman" w:cs="Times New Roman"/>
          <w:color w:val="000000" w:themeColor="text1"/>
          <w:sz w:val="24"/>
          <w:szCs w:val="24"/>
          <w:lang w:val="en-GB"/>
        </w:rPr>
        <w:t xml:space="preserve">DNA samples were not </w:t>
      </w:r>
      <w:r w:rsidR="001D1EB9" w:rsidRPr="005A28F5">
        <w:rPr>
          <w:rFonts w:ascii="Times New Roman" w:hAnsi="Times New Roman" w:cs="Times New Roman"/>
          <w:color w:val="000000" w:themeColor="text1"/>
          <w:sz w:val="24"/>
          <w:szCs w:val="24"/>
          <w:lang w:val="en-GB"/>
        </w:rPr>
        <w:t xml:space="preserve">available so that we were unable to explore the stability of DNAm signatures over time, or the possible attenuation of intervention-associated DNAm with age. Finally, the EPIC array </w:t>
      </w:r>
      <w:r w:rsidR="00183157" w:rsidRPr="005A28F5">
        <w:rPr>
          <w:rFonts w:ascii="Times New Roman" w:hAnsi="Times New Roman" w:cs="Times New Roman"/>
          <w:color w:val="000000" w:themeColor="text1"/>
          <w:sz w:val="24"/>
          <w:szCs w:val="24"/>
          <w:lang w:val="en-GB"/>
        </w:rPr>
        <w:t xml:space="preserve">necessarily offers limited coverage </w:t>
      </w:r>
      <w:r w:rsidR="001D1EB9" w:rsidRPr="005A28F5">
        <w:rPr>
          <w:rFonts w:ascii="Times New Roman" w:hAnsi="Times New Roman" w:cs="Times New Roman"/>
          <w:color w:val="000000" w:themeColor="text1"/>
          <w:sz w:val="24"/>
          <w:szCs w:val="24"/>
          <w:lang w:val="en-GB"/>
        </w:rPr>
        <w:t>of the human me</w:t>
      </w:r>
      <w:r w:rsidR="00183157" w:rsidRPr="005A28F5">
        <w:rPr>
          <w:rFonts w:ascii="Times New Roman" w:hAnsi="Times New Roman" w:cs="Times New Roman"/>
          <w:color w:val="000000" w:themeColor="text1"/>
          <w:sz w:val="24"/>
          <w:szCs w:val="24"/>
          <w:lang w:val="en-GB"/>
        </w:rPr>
        <w:t>thylome, leaving us unable to detect nutrition-DNAm associations at the majority of genomic methylation sites</w:t>
      </w:r>
      <w:r w:rsidR="00160AA2" w:rsidRPr="005A28F5">
        <w:rPr>
          <w:rFonts w:ascii="Times New Roman" w:hAnsi="Times New Roman" w:cs="Times New Roman"/>
          <w:color w:val="000000" w:themeColor="text1"/>
          <w:sz w:val="24"/>
          <w:szCs w:val="24"/>
          <w:lang w:val="en-GB"/>
        </w:rPr>
        <w:t>, including many putative nutrition-sensitive sites identified using whole genome bisulfite sequencing screens</w:t>
      </w:r>
      <w:r w:rsidR="00CD363C" w:rsidRPr="005A28F5">
        <w:rPr>
          <w:rFonts w:ascii="Times New Roman" w:hAnsi="Times New Roman" w:cs="Times New Roman"/>
          <w:color w:val="000000" w:themeColor="text1"/>
          <w:sz w:val="24"/>
          <w:szCs w:val="24"/>
          <w:lang w:val="en-GB"/>
        </w:rPr>
        <w:t xml:space="preserve"> </w:t>
      </w:r>
      <w:r w:rsidR="00CD363C" w:rsidRPr="005A28F5">
        <w:rPr>
          <w:rFonts w:ascii="Times New Roman" w:hAnsi="Times New Roman" w:cs="Times New Roman"/>
          <w:color w:val="000000" w:themeColor="text1"/>
          <w:sz w:val="24"/>
          <w:szCs w:val="24"/>
          <w:lang w:val="en-GB"/>
        </w:rPr>
        <w:fldChar w:fldCharType="begin" w:fldLock="1"/>
      </w:r>
      <w:r w:rsidR="000C3130">
        <w:rPr>
          <w:rFonts w:ascii="Times New Roman" w:hAnsi="Times New Roman" w:cs="Times New Roman"/>
          <w:color w:val="000000" w:themeColor="text1"/>
          <w:sz w:val="24"/>
          <w:szCs w:val="24"/>
          <w:lang w:val="en-GB"/>
        </w:rPr>
        <w:instrText>ADDIN CSL_CITATION {"citationItems":[{"id":"ITEM-1","itemData":{"DOI":"10.1126/sciadv.aat2624","ISSN":"2375-2548","author":[{"dropping-particle":"","family":"Kessler","given":"Noah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uris":["http://www.mendeley.com/documents/?uuid=d24301e0-24a7-4a05-8076-656c9e03a9f7"]}],"mendeley":{"formattedCitation":"(40)","plainTextFormattedCitation":"(40)","previouslyFormattedCitation":"(40)"},"properties":{"noteIndex":0},"schema":"https://github.com/citation-style-language/schema/raw/master/csl-citation.json"}</w:instrText>
      </w:r>
      <w:r w:rsidR="00CD363C" w:rsidRPr="005A28F5">
        <w:rPr>
          <w:rFonts w:ascii="Times New Roman" w:hAnsi="Times New Roman" w:cs="Times New Roman"/>
          <w:color w:val="000000" w:themeColor="text1"/>
          <w:sz w:val="24"/>
          <w:szCs w:val="24"/>
          <w:lang w:val="en-GB"/>
        </w:rPr>
        <w:fldChar w:fldCharType="separate"/>
      </w:r>
      <w:r w:rsidR="002A7D5D" w:rsidRPr="002A7D5D">
        <w:rPr>
          <w:rFonts w:ascii="Times New Roman" w:hAnsi="Times New Roman" w:cs="Times New Roman"/>
          <w:noProof/>
          <w:color w:val="000000" w:themeColor="text1"/>
          <w:sz w:val="24"/>
          <w:szCs w:val="24"/>
          <w:lang w:val="en-GB"/>
        </w:rPr>
        <w:t>(40)</w:t>
      </w:r>
      <w:r w:rsidR="00CD363C" w:rsidRPr="005A28F5">
        <w:rPr>
          <w:rFonts w:ascii="Times New Roman" w:hAnsi="Times New Roman" w:cs="Times New Roman"/>
          <w:color w:val="000000" w:themeColor="text1"/>
          <w:sz w:val="24"/>
          <w:szCs w:val="24"/>
          <w:lang w:val="en-GB"/>
        </w:rPr>
        <w:fldChar w:fldCharType="end"/>
      </w:r>
      <w:r w:rsidR="00CD363C" w:rsidRPr="005A28F5">
        <w:rPr>
          <w:rFonts w:ascii="Times New Roman" w:hAnsi="Times New Roman" w:cs="Times New Roman"/>
          <w:color w:val="000000" w:themeColor="text1"/>
          <w:sz w:val="24"/>
          <w:szCs w:val="24"/>
          <w:lang w:val="en-GB"/>
        </w:rPr>
        <w:t>.</w:t>
      </w:r>
    </w:p>
    <w:p w14:paraId="20C8088D" w14:textId="2BC7E695" w:rsidR="00576DA0" w:rsidRPr="005A28F5" w:rsidRDefault="00576DA0" w:rsidP="001A64D3">
      <w:pPr>
        <w:pStyle w:val="BodyB"/>
        <w:spacing w:line="360" w:lineRule="auto"/>
        <w:rPr>
          <w:rFonts w:cs="Times New Roman"/>
          <w:color w:val="000000" w:themeColor="text1"/>
          <w:lang w:val="en-GB"/>
        </w:rPr>
      </w:pPr>
    </w:p>
    <w:p w14:paraId="45CFA980" w14:textId="55021109" w:rsidR="00576DA0" w:rsidRPr="005A28F5" w:rsidRDefault="00576DA0" w:rsidP="001A64D3">
      <w:pPr>
        <w:pStyle w:val="BodyA"/>
        <w:spacing w:line="360" w:lineRule="auto"/>
        <w:outlineLvl w:val="2"/>
        <w:rPr>
          <w:rFonts w:ascii="Times New Roman" w:eastAsia="Cambria" w:hAnsi="Times New Roman" w:cs="Times New Roman"/>
          <w:color w:val="000000" w:themeColor="text1"/>
          <w:sz w:val="24"/>
          <w:szCs w:val="24"/>
          <w:lang w:val="en-GB"/>
        </w:rPr>
      </w:pPr>
      <w:r w:rsidRPr="005A28F5">
        <w:rPr>
          <w:rFonts w:ascii="Times New Roman" w:hAnsi="Times New Roman" w:cs="Times New Roman"/>
          <w:color w:val="000000" w:themeColor="text1"/>
          <w:sz w:val="24"/>
          <w:szCs w:val="24"/>
          <w:lang w:val="en-GB"/>
        </w:rPr>
        <w:t>In conclusion, our evidence suggests that micronutrient supplementation of Gambian mothers in the periconceptional period may alter children’s DNAm, measured at 7-9 years. Further studies are required to link the observed methylation changes to differences in gene expression, and to assess links to health-relevant outcomes.</w:t>
      </w:r>
    </w:p>
    <w:p w14:paraId="4D8975B1" w14:textId="77777777" w:rsidR="00765E82" w:rsidRPr="005A28F5" w:rsidRDefault="00765E82" w:rsidP="001A64D3">
      <w:pPr>
        <w:pStyle w:val="BodyA"/>
        <w:spacing w:line="360" w:lineRule="auto"/>
        <w:outlineLvl w:val="0"/>
        <w:rPr>
          <w:rFonts w:ascii="Times New Roman" w:eastAsia="Cambria" w:hAnsi="Times New Roman" w:cs="Times New Roman"/>
          <w:sz w:val="24"/>
          <w:szCs w:val="24"/>
          <w:u w:color="0432FF"/>
          <w:lang w:val="en-GB"/>
        </w:rPr>
      </w:pPr>
    </w:p>
    <w:p w14:paraId="07C03F75" w14:textId="77777777" w:rsidR="00D45400" w:rsidRPr="005A28F5" w:rsidRDefault="00D45400" w:rsidP="001A64D3">
      <w:pPr>
        <w:pStyle w:val="BodyA"/>
        <w:spacing w:line="360" w:lineRule="auto"/>
        <w:outlineLvl w:val="0"/>
        <w:rPr>
          <w:rStyle w:val="None"/>
          <w:rFonts w:ascii="Times New Roman" w:eastAsia="Cambria" w:hAnsi="Times New Roman" w:cs="Times New Roman"/>
          <w:sz w:val="21"/>
          <w:szCs w:val="21"/>
          <w:lang w:val="en-GB"/>
        </w:rPr>
      </w:pPr>
    </w:p>
    <w:p w14:paraId="15255A1D" w14:textId="77777777" w:rsidR="00E85AB9" w:rsidRPr="005A28F5" w:rsidRDefault="00E85AB9" w:rsidP="001A64D3">
      <w:pPr>
        <w:pStyle w:val="BodyA"/>
        <w:spacing w:line="360" w:lineRule="auto"/>
        <w:outlineLvl w:val="0"/>
        <w:rPr>
          <w:rStyle w:val="None"/>
          <w:rFonts w:ascii="Times New Roman" w:eastAsia="Arial" w:hAnsi="Times New Roman" w:cs="Times New Roman"/>
          <w:sz w:val="24"/>
          <w:szCs w:val="24"/>
          <w:lang w:val="en-GB"/>
        </w:rPr>
        <w:sectPr w:rsidR="00E85AB9" w:rsidRPr="005A28F5" w:rsidSect="00E85AB9">
          <w:pgSz w:w="11900" w:h="16840"/>
          <w:pgMar w:top="1440" w:right="1440" w:bottom="1440" w:left="1440" w:header="720" w:footer="720" w:gutter="0"/>
          <w:lnNumType w:countBy="1" w:restart="continuous"/>
          <w:cols w:space="720"/>
          <w:docGrid w:linePitch="360"/>
        </w:sectPr>
      </w:pPr>
    </w:p>
    <w:p w14:paraId="3D49F19C" w14:textId="77777777" w:rsidR="00A527D4" w:rsidRPr="005A28F5" w:rsidRDefault="00A527D4" w:rsidP="00A527D4">
      <w:pPr>
        <w:pStyle w:val="BodyA"/>
        <w:spacing w:line="360" w:lineRule="auto"/>
        <w:outlineLvl w:val="0"/>
        <w:rPr>
          <w:rStyle w:val="None"/>
          <w:rFonts w:ascii="Times New Roman" w:eastAsia="Cambria" w:hAnsi="Times New Roman" w:cs="Times New Roman"/>
          <w:sz w:val="36"/>
          <w:szCs w:val="36"/>
          <w:lang w:val="en-GB"/>
        </w:rPr>
      </w:pPr>
      <w:r w:rsidRPr="005A28F5">
        <w:rPr>
          <w:rStyle w:val="None"/>
          <w:rFonts w:ascii="Times New Roman" w:hAnsi="Times New Roman" w:cs="Times New Roman"/>
          <w:sz w:val="40"/>
          <w:szCs w:val="40"/>
          <w:lang w:val="en-GB"/>
        </w:rPr>
        <w:lastRenderedPageBreak/>
        <w:t>Acknowledgements</w:t>
      </w:r>
    </w:p>
    <w:p w14:paraId="58C6C135" w14:textId="77777777" w:rsidR="00A527D4" w:rsidRPr="005A28F5" w:rsidRDefault="00A527D4" w:rsidP="00A527D4">
      <w:pPr>
        <w:pStyle w:val="BodyA"/>
        <w:spacing w:line="360" w:lineRule="auto"/>
        <w:outlineLvl w:val="0"/>
        <w:rPr>
          <w:rStyle w:val="None"/>
          <w:rFonts w:ascii="Times New Roman" w:eastAsia="Arial" w:hAnsi="Times New Roman" w:cs="Times New Roman"/>
          <w:sz w:val="24"/>
          <w:szCs w:val="24"/>
          <w:lang w:val="en-GB"/>
        </w:rPr>
      </w:pPr>
      <w:r w:rsidRPr="005A28F5">
        <w:rPr>
          <w:rStyle w:val="None"/>
          <w:rFonts w:ascii="Times New Roman" w:eastAsia="Arial" w:hAnsi="Times New Roman" w:cs="Times New Roman"/>
          <w:sz w:val="24"/>
          <w:szCs w:val="24"/>
          <w:lang w:val="en-GB"/>
        </w:rPr>
        <w:t xml:space="preserve">We thank the parents and children in India and The Gambia for participating, and field teams in both centres. The help of Mr </w:t>
      </w:r>
      <w:proofErr w:type="spellStart"/>
      <w:r w:rsidRPr="005A28F5">
        <w:rPr>
          <w:rStyle w:val="None"/>
          <w:rFonts w:ascii="Times New Roman" w:eastAsia="Arial" w:hAnsi="Times New Roman" w:cs="Times New Roman"/>
          <w:sz w:val="24"/>
          <w:szCs w:val="24"/>
          <w:lang w:val="en-GB"/>
        </w:rPr>
        <w:t>Inder</w:t>
      </w:r>
      <w:proofErr w:type="spellEnd"/>
      <w:r w:rsidRPr="005A28F5">
        <w:rPr>
          <w:rStyle w:val="None"/>
          <w:rFonts w:ascii="Times New Roman" w:eastAsia="Arial" w:hAnsi="Times New Roman" w:cs="Times New Roman"/>
          <w:sz w:val="24"/>
          <w:szCs w:val="24"/>
          <w:lang w:val="en-GB"/>
        </w:rPr>
        <w:t xml:space="preserve"> Deo Mali in isolation of genomic DNA is thankfully acknowledged. We are grateful to our partners and advisors Caroline Relton (Steering Committee Chair), Partha P Majumder and Frank </w:t>
      </w:r>
      <w:proofErr w:type="spellStart"/>
      <w:r w:rsidRPr="005A28F5">
        <w:rPr>
          <w:rStyle w:val="None"/>
          <w:rFonts w:ascii="Times New Roman" w:eastAsia="Arial" w:hAnsi="Times New Roman" w:cs="Times New Roman"/>
          <w:sz w:val="24"/>
          <w:szCs w:val="24"/>
          <w:lang w:val="en-GB"/>
        </w:rPr>
        <w:t>Dudbridge</w:t>
      </w:r>
      <w:proofErr w:type="spellEnd"/>
      <w:r w:rsidRPr="005A28F5">
        <w:rPr>
          <w:rStyle w:val="None"/>
          <w:rFonts w:ascii="Times New Roman" w:eastAsia="Arial" w:hAnsi="Times New Roman" w:cs="Times New Roman"/>
          <w:sz w:val="24"/>
          <w:szCs w:val="24"/>
          <w:lang w:val="en-GB"/>
        </w:rPr>
        <w:t xml:space="preserve"> (Steering Committee members).</w:t>
      </w:r>
    </w:p>
    <w:p w14:paraId="5BEEED1D" w14:textId="77777777" w:rsidR="00A527D4" w:rsidRPr="005A28F5" w:rsidRDefault="00A527D4" w:rsidP="00A527D4">
      <w:pPr>
        <w:pStyle w:val="BodyA"/>
        <w:spacing w:line="360" w:lineRule="auto"/>
        <w:outlineLvl w:val="0"/>
        <w:rPr>
          <w:rStyle w:val="None"/>
          <w:rFonts w:ascii="Times New Roman" w:eastAsia="Arial" w:hAnsi="Times New Roman" w:cs="Times New Roman"/>
          <w:sz w:val="24"/>
          <w:szCs w:val="24"/>
          <w:lang w:val="en-GB"/>
        </w:rPr>
      </w:pPr>
    </w:p>
    <w:p w14:paraId="0FEB81A8" w14:textId="77777777" w:rsidR="00A527D4" w:rsidRPr="005A28F5" w:rsidRDefault="00A527D4" w:rsidP="00A527D4">
      <w:pPr>
        <w:pStyle w:val="BodyA"/>
        <w:spacing w:line="360" w:lineRule="auto"/>
        <w:outlineLvl w:val="0"/>
        <w:rPr>
          <w:rStyle w:val="None"/>
          <w:rFonts w:ascii="Times New Roman" w:eastAsia="Cambria" w:hAnsi="Times New Roman" w:cs="Times New Roman"/>
          <w:sz w:val="36"/>
          <w:szCs w:val="36"/>
          <w:lang w:val="en-GB"/>
        </w:rPr>
      </w:pPr>
      <w:r w:rsidRPr="005A28F5">
        <w:rPr>
          <w:rStyle w:val="None"/>
          <w:rFonts w:ascii="Times New Roman" w:hAnsi="Times New Roman" w:cs="Times New Roman"/>
          <w:sz w:val="40"/>
          <w:szCs w:val="40"/>
          <w:lang w:val="en-GB"/>
        </w:rPr>
        <w:t>Author contributions</w:t>
      </w:r>
    </w:p>
    <w:p w14:paraId="58D9D003" w14:textId="07C7BBC2" w:rsidR="00A527D4" w:rsidRPr="005A28F5" w:rsidRDefault="00A527D4" w:rsidP="00A527D4">
      <w:pPr>
        <w:pStyle w:val="BodyA"/>
        <w:spacing w:line="360" w:lineRule="auto"/>
        <w:outlineLvl w:val="0"/>
        <w:rPr>
          <w:rStyle w:val="None"/>
          <w:rFonts w:ascii="Times New Roman" w:hAnsi="Times New Roman" w:cs="Times New Roman"/>
          <w:sz w:val="24"/>
          <w:szCs w:val="24"/>
          <w:u w:color="0432FF"/>
          <w:lang w:val="en-GB"/>
        </w:rPr>
      </w:pPr>
      <w:r w:rsidRPr="005A28F5">
        <w:rPr>
          <w:rFonts w:ascii="Times New Roman" w:hAnsi="Times New Roman" w:cs="Times New Roman"/>
          <w:sz w:val="24"/>
          <w:szCs w:val="24"/>
          <w:u w:color="0432FF"/>
          <w:lang w:val="en-GB"/>
        </w:rPr>
        <w:t>C.H.D.F., G.R.C., M.J.S., A.M.P. </w:t>
      </w:r>
      <w:r w:rsidRPr="005A28F5">
        <w:rPr>
          <w:rStyle w:val="None"/>
          <w:rFonts w:ascii="Times New Roman" w:hAnsi="Times New Roman" w:cs="Times New Roman"/>
          <w:sz w:val="24"/>
          <w:szCs w:val="24"/>
          <w:u w:color="0432FF"/>
          <w:lang w:val="en-GB"/>
        </w:rPr>
        <w:t xml:space="preserve">conceived and designed the study; P.I., </w:t>
      </w:r>
      <w:proofErr w:type="spellStart"/>
      <w:r w:rsidRPr="005A28F5">
        <w:rPr>
          <w:rFonts w:ascii="Times New Roman" w:hAnsi="Times New Roman" w:cs="Times New Roman"/>
          <w:sz w:val="24"/>
          <w:szCs w:val="24"/>
          <w:u w:color="0432FF"/>
          <w:lang w:val="en-GB"/>
        </w:rPr>
        <w:t>S.Sa</w:t>
      </w:r>
      <w:proofErr w:type="spellEnd"/>
      <w:r w:rsidRPr="005A28F5">
        <w:rPr>
          <w:rFonts w:ascii="Times New Roman" w:hAnsi="Times New Roman" w:cs="Times New Roman"/>
          <w:sz w:val="24"/>
          <w:szCs w:val="24"/>
          <w:u w:color="0432FF"/>
          <w:lang w:val="en-GB"/>
        </w:rPr>
        <w:t xml:space="preserve">., </w:t>
      </w:r>
      <w:proofErr w:type="spellStart"/>
      <w:r w:rsidRPr="005A28F5">
        <w:rPr>
          <w:rFonts w:ascii="Times New Roman" w:hAnsi="Times New Roman" w:cs="Times New Roman"/>
          <w:sz w:val="24"/>
          <w:szCs w:val="24"/>
          <w:u w:color="0432FF"/>
          <w:lang w:val="en-GB"/>
        </w:rPr>
        <w:t>S.Sh</w:t>
      </w:r>
      <w:proofErr w:type="spellEnd"/>
      <w:r w:rsidRPr="005A28F5">
        <w:rPr>
          <w:rFonts w:ascii="Times New Roman" w:hAnsi="Times New Roman" w:cs="Times New Roman"/>
          <w:sz w:val="24"/>
          <w:szCs w:val="24"/>
          <w:u w:color="0432FF"/>
          <w:lang w:val="en-GB"/>
        </w:rPr>
        <w:t xml:space="preserve">., A.S.T., D.K.Y., M.B., </w:t>
      </w:r>
      <w:r w:rsidRPr="005A28F5">
        <w:rPr>
          <w:rStyle w:val="None"/>
          <w:rFonts w:ascii="Times New Roman" w:hAnsi="Times New Roman" w:cs="Times New Roman"/>
          <w:sz w:val="24"/>
          <w:szCs w:val="24"/>
          <w:u w:color="0432FF"/>
          <w:lang w:val="en-GB"/>
        </w:rPr>
        <w:t xml:space="preserve">performed the methylation and laboratory assays; S.A.S., M.B. conducted sample and data collection;  </w:t>
      </w:r>
      <w:r w:rsidRPr="005A28F5">
        <w:rPr>
          <w:rFonts w:ascii="Times New Roman" w:hAnsi="Times New Roman" w:cs="Times New Roman"/>
          <w:sz w:val="24"/>
          <w:szCs w:val="24"/>
          <w:u w:color="0432FF"/>
          <w:lang w:val="en-GB"/>
        </w:rPr>
        <w:t xml:space="preserve">A.S., </w:t>
      </w:r>
      <w:proofErr w:type="spellStart"/>
      <w:r w:rsidRPr="005A28F5">
        <w:rPr>
          <w:rFonts w:ascii="Times New Roman" w:hAnsi="Times New Roman" w:cs="Times New Roman"/>
          <w:sz w:val="24"/>
          <w:szCs w:val="24"/>
          <w:u w:color="0432FF"/>
          <w:lang w:val="en-GB"/>
        </w:rPr>
        <w:t>S.Sh</w:t>
      </w:r>
      <w:proofErr w:type="spellEnd"/>
      <w:r w:rsidRPr="005A28F5">
        <w:rPr>
          <w:rFonts w:ascii="Times New Roman" w:hAnsi="Times New Roman" w:cs="Times New Roman"/>
          <w:sz w:val="24"/>
          <w:szCs w:val="24"/>
          <w:u w:color="0432FF"/>
          <w:lang w:val="en-GB"/>
        </w:rPr>
        <w:t xml:space="preserve">., P.I., </w:t>
      </w:r>
      <w:proofErr w:type="spellStart"/>
      <w:r w:rsidRPr="005A28F5">
        <w:rPr>
          <w:rFonts w:ascii="Times New Roman" w:hAnsi="Times New Roman" w:cs="Times New Roman"/>
          <w:sz w:val="24"/>
          <w:szCs w:val="24"/>
          <w:u w:color="0432FF"/>
          <w:lang w:val="en-GB"/>
        </w:rPr>
        <w:t>S.Sa</w:t>
      </w:r>
      <w:proofErr w:type="spellEnd"/>
      <w:r w:rsidRPr="005A28F5">
        <w:rPr>
          <w:rFonts w:ascii="Times New Roman" w:hAnsi="Times New Roman" w:cs="Times New Roman"/>
          <w:sz w:val="24"/>
          <w:szCs w:val="24"/>
          <w:u w:color="0432FF"/>
          <w:lang w:val="en-GB"/>
        </w:rPr>
        <w:t>., A.S.T., P.J., A.D., K.K., M.J.S., G.R.C., C.H.D.F., K.L.,</w:t>
      </w:r>
      <w:r w:rsidRPr="005A28F5">
        <w:rPr>
          <w:rFonts w:ascii="Times New Roman" w:hAnsi="Times New Roman" w:cs="Times New Roman"/>
          <w:u w:color="0432FF"/>
          <w:lang w:val="en-GB"/>
        </w:rPr>
        <w:t xml:space="preserve"> </w:t>
      </w:r>
      <w:r w:rsidRPr="005A28F5">
        <w:rPr>
          <w:rStyle w:val="None"/>
          <w:rFonts w:ascii="Times New Roman" w:hAnsi="Times New Roman" w:cs="Times New Roman"/>
          <w:sz w:val="24"/>
          <w:szCs w:val="24"/>
          <w:u w:color="0432FF"/>
          <w:lang w:val="en-GB"/>
        </w:rPr>
        <w:t>devised the analysis strategy</w:t>
      </w:r>
      <w:r w:rsidR="00EE4AC0">
        <w:rPr>
          <w:rStyle w:val="None"/>
          <w:rFonts w:ascii="Times New Roman" w:hAnsi="Times New Roman" w:cs="Times New Roman"/>
          <w:sz w:val="24"/>
          <w:szCs w:val="24"/>
          <w:u w:color="0432FF"/>
          <w:lang w:val="en-GB"/>
        </w:rPr>
        <w:t xml:space="preserve">; </w:t>
      </w:r>
      <w:r w:rsidRPr="005A28F5">
        <w:rPr>
          <w:rFonts w:ascii="Times New Roman" w:hAnsi="Times New Roman" w:cs="Times New Roman"/>
          <w:sz w:val="24"/>
          <w:szCs w:val="24"/>
          <w:u w:color="0432FF"/>
          <w:lang w:val="en-GB"/>
        </w:rPr>
        <w:t xml:space="preserve">A.S., P.I., </w:t>
      </w:r>
      <w:proofErr w:type="spellStart"/>
      <w:r w:rsidRPr="005A28F5">
        <w:rPr>
          <w:rFonts w:ascii="Times New Roman" w:hAnsi="Times New Roman" w:cs="Times New Roman"/>
          <w:sz w:val="24"/>
          <w:szCs w:val="24"/>
          <w:u w:color="0432FF"/>
          <w:lang w:val="en-GB"/>
        </w:rPr>
        <w:t>S.Sh</w:t>
      </w:r>
      <w:proofErr w:type="spellEnd"/>
      <w:r w:rsidRPr="005A28F5">
        <w:rPr>
          <w:rFonts w:ascii="Times New Roman" w:hAnsi="Times New Roman" w:cs="Times New Roman"/>
          <w:sz w:val="24"/>
          <w:szCs w:val="24"/>
          <w:u w:color="0432FF"/>
          <w:lang w:val="en-GB"/>
        </w:rPr>
        <w:t xml:space="preserve">., </w:t>
      </w:r>
      <w:proofErr w:type="spellStart"/>
      <w:r w:rsidRPr="005A28F5">
        <w:rPr>
          <w:rFonts w:ascii="Times New Roman" w:hAnsi="Times New Roman" w:cs="Times New Roman"/>
          <w:sz w:val="24"/>
          <w:szCs w:val="24"/>
          <w:u w:color="0432FF"/>
          <w:lang w:val="en-GB"/>
        </w:rPr>
        <w:t>S.Sa</w:t>
      </w:r>
      <w:proofErr w:type="spellEnd"/>
      <w:r w:rsidRPr="005A28F5">
        <w:rPr>
          <w:rFonts w:ascii="Times New Roman" w:hAnsi="Times New Roman" w:cs="Times New Roman"/>
          <w:sz w:val="24"/>
          <w:szCs w:val="24"/>
          <w:u w:color="0432FF"/>
          <w:lang w:val="en-GB"/>
        </w:rPr>
        <w:t>., A.S.T., A.D.</w:t>
      </w:r>
      <w:r w:rsidR="00EE4AC0">
        <w:rPr>
          <w:rFonts w:ascii="Times New Roman" w:hAnsi="Times New Roman" w:cs="Times New Roman"/>
          <w:sz w:val="24"/>
          <w:szCs w:val="24"/>
          <w:u w:color="0432FF"/>
          <w:lang w:val="en-GB"/>
        </w:rPr>
        <w:t xml:space="preserve">, M.J.S. </w:t>
      </w:r>
      <w:r w:rsidRPr="005A28F5">
        <w:rPr>
          <w:rStyle w:val="None"/>
          <w:rFonts w:ascii="Times New Roman" w:hAnsi="Times New Roman" w:cs="Times New Roman"/>
          <w:sz w:val="24"/>
          <w:szCs w:val="24"/>
          <w:u w:color="0432FF"/>
          <w:lang w:val="en-GB"/>
        </w:rPr>
        <w:t>performed statistical and bioinformatics analyses</w:t>
      </w:r>
      <w:r w:rsidR="00EE4AC0">
        <w:rPr>
          <w:rStyle w:val="None"/>
          <w:rFonts w:ascii="Times New Roman" w:hAnsi="Times New Roman" w:cs="Times New Roman"/>
          <w:sz w:val="24"/>
          <w:szCs w:val="24"/>
          <w:u w:color="0432FF"/>
          <w:lang w:val="en-GB"/>
        </w:rPr>
        <w:t>;</w:t>
      </w:r>
      <w:r w:rsidRPr="005A28F5">
        <w:rPr>
          <w:rStyle w:val="None"/>
          <w:rFonts w:ascii="Times New Roman" w:hAnsi="Times New Roman" w:cs="Times New Roman"/>
          <w:sz w:val="24"/>
          <w:szCs w:val="24"/>
          <w:u w:color="0432FF"/>
          <w:lang w:val="en-GB"/>
        </w:rPr>
        <w:t xml:space="preserve"> </w:t>
      </w:r>
      <w:r w:rsidRPr="005A28F5">
        <w:rPr>
          <w:rFonts w:ascii="Times New Roman" w:hAnsi="Times New Roman" w:cs="Times New Roman"/>
          <w:sz w:val="24"/>
          <w:szCs w:val="24"/>
          <w:u w:color="0432FF"/>
          <w:lang w:val="en-GB"/>
        </w:rPr>
        <w:t xml:space="preserve">A.S., </w:t>
      </w:r>
      <w:proofErr w:type="spellStart"/>
      <w:r w:rsidRPr="005A28F5">
        <w:rPr>
          <w:rFonts w:ascii="Times New Roman" w:hAnsi="Times New Roman" w:cs="Times New Roman"/>
          <w:sz w:val="24"/>
          <w:szCs w:val="24"/>
          <w:u w:color="0432FF"/>
          <w:lang w:val="en-GB"/>
        </w:rPr>
        <w:t>S.Sh</w:t>
      </w:r>
      <w:proofErr w:type="spellEnd"/>
      <w:r w:rsidRPr="005A28F5">
        <w:rPr>
          <w:rFonts w:ascii="Times New Roman" w:hAnsi="Times New Roman" w:cs="Times New Roman"/>
          <w:sz w:val="24"/>
          <w:szCs w:val="24"/>
          <w:u w:color="0432FF"/>
          <w:lang w:val="en-GB"/>
        </w:rPr>
        <w:t>., M.J.S., G.R.C., C.H.D.F.</w:t>
      </w:r>
      <w:r w:rsidRPr="005A28F5">
        <w:rPr>
          <w:rFonts w:ascii="Times New Roman" w:hAnsi="Times New Roman" w:cs="Times New Roman"/>
          <w:u w:color="0432FF"/>
          <w:lang w:val="en-GB"/>
        </w:rPr>
        <w:t xml:space="preserve"> </w:t>
      </w:r>
      <w:r w:rsidRPr="005A28F5">
        <w:rPr>
          <w:rStyle w:val="None"/>
          <w:rFonts w:ascii="Times New Roman" w:hAnsi="Times New Roman" w:cs="Times New Roman"/>
          <w:sz w:val="24"/>
          <w:szCs w:val="24"/>
          <w:u w:color="0432FF"/>
          <w:lang w:val="en-GB"/>
        </w:rPr>
        <w:t>drafted the manuscript and all authors critically revised and approved the manuscript.</w:t>
      </w:r>
    </w:p>
    <w:p w14:paraId="370DF5F5" w14:textId="77777777" w:rsidR="00A527D4" w:rsidRPr="005A28F5" w:rsidRDefault="00A527D4" w:rsidP="00A527D4">
      <w:pPr>
        <w:pStyle w:val="BodyA"/>
        <w:spacing w:line="360" w:lineRule="auto"/>
        <w:outlineLvl w:val="0"/>
        <w:rPr>
          <w:rStyle w:val="None"/>
          <w:rFonts w:ascii="Times New Roman" w:hAnsi="Times New Roman" w:cs="Times New Roman"/>
          <w:sz w:val="24"/>
          <w:szCs w:val="24"/>
          <w:lang w:val="en-GB"/>
        </w:rPr>
      </w:pPr>
    </w:p>
    <w:p w14:paraId="2DA17CF0" w14:textId="77777777" w:rsidR="00A527D4" w:rsidRPr="005A28F5" w:rsidRDefault="00A527D4" w:rsidP="00A527D4">
      <w:pPr>
        <w:pStyle w:val="BodyA"/>
        <w:spacing w:line="360" w:lineRule="auto"/>
        <w:outlineLvl w:val="0"/>
        <w:rPr>
          <w:rStyle w:val="None"/>
          <w:rFonts w:ascii="Times New Roman" w:eastAsia="Cambria" w:hAnsi="Times New Roman" w:cs="Times New Roman"/>
          <w:sz w:val="36"/>
          <w:szCs w:val="36"/>
          <w:lang w:val="en-GB"/>
        </w:rPr>
      </w:pPr>
      <w:r w:rsidRPr="005A28F5">
        <w:rPr>
          <w:rStyle w:val="None"/>
          <w:rFonts w:ascii="Times New Roman" w:hAnsi="Times New Roman" w:cs="Times New Roman"/>
          <w:sz w:val="40"/>
          <w:szCs w:val="40"/>
          <w:lang w:val="en-GB"/>
        </w:rPr>
        <w:t>Competing Interests</w:t>
      </w:r>
    </w:p>
    <w:p w14:paraId="2742E139" w14:textId="77777777" w:rsidR="00A527D4" w:rsidRPr="005A28F5" w:rsidRDefault="00A527D4" w:rsidP="00A527D4">
      <w:pPr>
        <w:pStyle w:val="BodyA"/>
        <w:spacing w:line="360" w:lineRule="auto"/>
        <w:outlineLvl w:val="0"/>
        <w:rPr>
          <w:rStyle w:val="None"/>
          <w:rFonts w:ascii="Times New Roman" w:eastAsia="Arial" w:hAnsi="Times New Roman" w:cs="Times New Roman"/>
          <w:sz w:val="24"/>
          <w:szCs w:val="24"/>
          <w:lang w:val="en-GB"/>
        </w:rPr>
      </w:pPr>
      <w:r w:rsidRPr="005A28F5">
        <w:rPr>
          <w:rStyle w:val="None"/>
          <w:rFonts w:ascii="Times New Roman" w:eastAsia="Arial" w:hAnsi="Times New Roman" w:cs="Times New Roman"/>
          <w:sz w:val="24"/>
          <w:szCs w:val="24"/>
          <w:lang w:val="en-GB"/>
        </w:rPr>
        <w:t>The authors have no competing interests to declare.</w:t>
      </w:r>
    </w:p>
    <w:p w14:paraId="0AC98145" w14:textId="77777777" w:rsidR="00A527D4" w:rsidRDefault="00A527D4">
      <w:pPr>
        <w:pBdr>
          <w:top w:val="nil"/>
          <w:left w:val="nil"/>
          <w:bottom w:val="nil"/>
          <w:right w:val="nil"/>
          <w:between w:val="nil"/>
          <w:bar w:val="nil"/>
        </w:pBdr>
        <w:rPr>
          <w:rStyle w:val="None"/>
          <w:rFonts w:eastAsia="Arial Unicode MS"/>
          <w:color w:val="000000"/>
          <w:sz w:val="40"/>
          <w:szCs w:val="40"/>
          <w:u w:color="000000"/>
          <w:bdr w:val="nil"/>
          <w:lang w:eastAsia="en-GB"/>
        </w:rPr>
      </w:pPr>
      <w:r>
        <w:rPr>
          <w:rStyle w:val="None"/>
          <w:sz w:val="40"/>
          <w:szCs w:val="40"/>
        </w:rPr>
        <w:br w:type="page"/>
      </w:r>
    </w:p>
    <w:p w14:paraId="63B7D3C4" w14:textId="38CC258E" w:rsidR="0018444F" w:rsidRPr="005A28F5" w:rsidRDefault="00C9036E" w:rsidP="001A64D3">
      <w:pPr>
        <w:pStyle w:val="BodyA"/>
        <w:spacing w:line="360" w:lineRule="auto"/>
        <w:outlineLvl w:val="0"/>
        <w:rPr>
          <w:rStyle w:val="None"/>
          <w:rFonts w:ascii="Times New Roman" w:hAnsi="Times New Roman" w:cs="Times New Roman"/>
          <w:sz w:val="40"/>
          <w:szCs w:val="40"/>
          <w:lang w:val="en-GB"/>
        </w:rPr>
      </w:pPr>
      <w:r w:rsidRPr="005A28F5">
        <w:rPr>
          <w:rStyle w:val="None"/>
          <w:rFonts w:ascii="Times New Roman" w:hAnsi="Times New Roman" w:cs="Times New Roman"/>
          <w:sz w:val="40"/>
          <w:szCs w:val="40"/>
          <w:lang w:val="en-GB"/>
        </w:rPr>
        <w:lastRenderedPageBreak/>
        <w:t>References</w:t>
      </w:r>
    </w:p>
    <w:p w14:paraId="47E94D6A" w14:textId="12450EE4" w:rsidR="000C3130" w:rsidRPr="000C3130" w:rsidRDefault="000A5CF2" w:rsidP="000C3130">
      <w:pPr>
        <w:widowControl w:val="0"/>
        <w:autoSpaceDE w:val="0"/>
        <w:autoSpaceDN w:val="0"/>
        <w:adjustRightInd w:val="0"/>
        <w:spacing w:line="360" w:lineRule="auto"/>
        <w:ind w:left="640" w:hanging="640"/>
        <w:rPr>
          <w:noProof/>
        </w:rPr>
      </w:pPr>
      <w:r w:rsidRPr="005A28F5">
        <w:fldChar w:fldCharType="begin" w:fldLock="1"/>
      </w:r>
      <w:r w:rsidRPr="005A28F5">
        <w:instrText xml:space="preserve">ADDIN Mendeley Bibliography CSL_BIBLIOGRAPHY </w:instrText>
      </w:r>
      <w:r w:rsidRPr="005A28F5">
        <w:fldChar w:fldCharType="separate"/>
      </w:r>
      <w:r w:rsidR="000C3130" w:rsidRPr="000C3130">
        <w:rPr>
          <w:noProof/>
        </w:rPr>
        <w:t xml:space="preserve">1. </w:t>
      </w:r>
      <w:r w:rsidR="000C3130" w:rsidRPr="000C3130">
        <w:rPr>
          <w:noProof/>
        </w:rPr>
        <w:tab/>
        <w:t xml:space="preserve">Fleming TP, Watkins AJ, Velazquez MA, Mathers JC, Prentice AM, Stephenson J, Barker M, Saffery R, Yajnik CS, Eckert JJ, et al. Origins of lifetime health around the time of conception: causes and consequences. Lancet. Elsevier Ltd; 2018;391:1842–52. </w:t>
      </w:r>
    </w:p>
    <w:p w14:paraId="5C4BC4C8"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 </w:t>
      </w:r>
      <w:r w:rsidRPr="000C3130">
        <w:rPr>
          <w:noProof/>
        </w:rPr>
        <w:tab/>
        <w:t xml:space="preserve">Stephenson J, Heslehurst N, Hall J, Schoenaker DAJM, Hutchinson J, Cade JE, Poston L, Barrett G, Crozier SR, Barker M, et al. Before the beginning: nutrition and lifestyle in the preconception period and its importance for future health. Lancet. Elsevier Ltd; 2018;391:1830–41. </w:t>
      </w:r>
    </w:p>
    <w:p w14:paraId="61C90E5C"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 </w:t>
      </w:r>
      <w:r w:rsidRPr="000C3130">
        <w:rPr>
          <w:noProof/>
        </w:rPr>
        <w:tab/>
        <w:t xml:space="preserve">Bortolus R, Blom F, Filippini F, van Poppel MNM, Leoncini E, de Smit DJ, Benetollo PP, Cornel MC, de Walle HEK, Mastroiacovo P. Prevention of congenital malformations and other adverse pregnancy outcomes with 4.0 mg of folic acid: community-based randomized clinical trial in Italy and the Netherlands. BMC Pregnancy Childbirth. 2014;14:166. </w:t>
      </w:r>
    </w:p>
    <w:p w14:paraId="7938DA3A"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 </w:t>
      </w:r>
      <w:r w:rsidRPr="000C3130">
        <w:rPr>
          <w:noProof/>
        </w:rPr>
        <w:tab/>
        <w:t xml:space="preserve">Branca F, Ferrari M. Impact of Micronutrient Deficiencies on Growth: The Stunting Syndrome. Ann Nutr Metab. 2002;46:8–17. </w:t>
      </w:r>
    </w:p>
    <w:p w14:paraId="1518D81C"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 </w:t>
      </w:r>
      <w:r w:rsidRPr="000C3130">
        <w:rPr>
          <w:noProof/>
        </w:rPr>
        <w:tab/>
        <w:t xml:space="preserve">Murrin C, Shrivastava A, Kelleher CC. Maternal macronutrient intake during pregnancy and 5 years postpartum and associations with child weight status aged five. Eur J Clin Nutr. 2013;67:670–9. </w:t>
      </w:r>
    </w:p>
    <w:p w14:paraId="75277985"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 </w:t>
      </w:r>
      <w:r w:rsidRPr="000C3130">
        <w:rPr>
          <w:noProof/>
        </w:rPr>
        <w:tab/>
        <w:t xml:space="preserve">McGarel C, Pentieva K, Strain JJ, McNulty H. Emerging roles for folate and related B-vitamins in brain health across the lifecycle. Proc Nutr Soc. 2015;74:46–55. </w:t>
      </w:r>
    </w:p>
    <w:p w14:paraId="066DCADF"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7. </w:t>
      </w:r>
      <w:r w:rsidRPr="000C3130">
        <w:rPr>
          <w:noProof/>
        </w:rPr>
        <w:tab/>
        <w:t xml:space="preserve">Yajnik CS, Deshpande SS, Jackson AA, Refsum H, Rao S, Fisher DJ, Bhat DS, Naik SS, Coyaji KJ, Joglekar C V., et al. Vitamin B12 and folate concentrations during pregnancy and insulin resistance in the offspring: the Pune Maternal Nutrition Study. Diabetologia. 2007;51:29–38. </w:t>
      </w:r>
    </w:p>
    <w:p w14:paraId="3D0C81B0"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8. </w:t>
      </w:r>
      <w:r w:rsidRPr="000C3130">
        <w:rPr>
          <w:noProof/>
        </w:rPr>
        <w:tab/>
        <w:t xml:space="preserve">Waterland RA, Michels KB. Epigenetic epidemiology of the developmental origins hypothesis. Annu Rev Nutr. Annual Reviews; 2007;27:363–88. </w:t>
      </w:r>
    </w:p>
    <w:p w14:paraId="23D80B04"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9. </w:t>
      </w:r>
      <w:r w:rsidRPr="000C3130">
        <w:rPr>
          <w:noProof/>
        </w:rPr>
        <w:tab/>
        <w:t xml:space="preserve">James P, Sajjadi S, Tomar AS, Saffari A, Fall CHD, Prentice AM, Shrestha S, Issarapu P, Yadav DK, Kaur L, et al. Candidate genes linking maternal nutrient exposure to offspring health via DNA methylation: a review of existing evidence in humans with specific focus on one-carbon metabolism. Int J Epidemiol. 2018;1–28. </w:t>
      </w:r>
    </w:p>
    <w:p w14:paraId="322B5645"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10. </w:t>
      </w:r>
      <w:r w:rsidRPr="000C3130">
        <w:rPr>
          <w:noProof/>
        </w:rPr>
        <w:tab/>
        <w:t xml:space="preserve">Smith ZD, Meissner A. DNA methylation: roles in mammalian development. Nat Rev Genet. 2013;14:204–20. </w:t>
      </w:r>
    </w:p>
    <w:p w14:paraId="4399694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11. </w:t>
      </w:r>
      <w:r w:rsidRPr="000C3130">
        <w:rPr>
          <w:noProof/>
        </w:rPr>
        <w:tab/>
        <w:t xml:space="preserve">Martin EM, Fry RC. Environmental Influences on the Epigenome: Exposure- Associated DNA Methylation in Human Populations. Annu Rev Public Health. 2018;39:309–33. </w:t>
      </w:r>
    </w:p>
    <w:p w14:paraId="6F68F5A6"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12. </w:t>
      </w:r>
      <w:r w:rsidRPr="000C3130">
        <w:rPr>
          <w:noProof/>
        </w:rPr>
        <w:tab/>
        <w:t xml:space="preserve">Jackson AA, Dunn RL, Marchand MC, Langley-Evans SC. Increased systolic blood pressure </w:t>
      </w:r>
      <w:r w:rsidRPr="000C3130">
        <w:rPr>
          <w:noProof/>
        </w:rPr>
        <w:lastRenderedPageBreak/>
        <w:t xml:space="preserve">in rats induced by a maternal low-protein diet is reversed by dietary supplementation with glycine. ClinSci(Lond). Portland Press Limited; 2002;103:633–9. </w:t>
      </w:r>
    </w:p>
    <w:p w14:paraId="28A4E33B"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13. </w:t>
      </w:r>
      <w:r w:rsidRPr="000C3130">
        <w:rPr>
          <w:noProof/>
        </w:rPr>
        <w:tab/>
        <w:t xml:space="preserve">Lillycrop KA, Phillips ES, Jackson AA, Hanson MA, Burdge GC. Dietary protein restriction of pregnant rats induces and folic acid supplementation prevents epigenetic modification of hepatic gene expression in the offspring. J Nutr. 2005;135:1382–6. </w:t>
      </w:r>
    </w:p>
    <w:p w14:paraId="58AE2713"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14. </w:t>
      </w:r>
      <w:r w:rsidRPr="000C3130">
        <w:rPr>
          <w:noProof/>
        </w:rPr>
        <w:tab/>
        <w:t xml:space="preserve">Hoyo C, Daltveit AK, Iversen E, Benjamin-Neelon SE, Fuemmeler B, Schildkraut J, Murtha AP, Overcash F, Vidal AC, Wang F, et al. Erythrocyte folate concentrations, CpG methylation at genomically imprinted domains, and birth weight in a multiethnic newborn cohort. Epigenetics. Taylor &amp; Francis; 2014;9:1120–30. </w:t>
      </w:r>
    </w:p>
    <w:p w14:paraId="2C1DD92C"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15. </w:t>
      </w:r>
      <w:r w:rsidRPr="000C3130">
        <w:rPr>
          <w:noProof/>
        </w:rPr>
        <w:tab/>
        <w:t xml:space="preserve">Steegers-Theunissen RP, Obermann-Borst SA, Kremer D, Lindemans J, Siebel C, Steegers EA, Slagboom PE, Heijmans BT. Periconceptional maternal folic acid use of 400 microg per day is related to increased methylation of the IGF2 gene in the very young child. Zhang C, editor. PLoS One. Public Library of Science; 2009;4:e7845. </w:t>
      </w:r>
    </w:p>
    <w:p w14:paraId="10213B96"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16. </w:t>
      </w:r>
      <w:r w:rsidRPr="000C3130">
        <w:rPr>
          <w:noProof/>
        </w:rPr>
        <w:tab/>
        <w:t xml:space="preserve">Azzi S, Sas TC, Koudou Y, Le Bouc Y, Souberbielle J-C, Dargent-Molina P, Netchine I, Charles M-A. Degree of methylation of ZAC1 (PLAGL1) is associated with prenatal and post-natal growth in healthy infants of the EDEN mother child cohort. Epigenetics. Landes Bioscience; 2014;9:338–45. </w:t>
      </w:r>
    </w:p>
    <w:p w14:paraId="65F7B1B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17. </w:t>
      </w:r>
      <w:r w:rsidRPr="000C3130">
        <w:rPr>
          <w:noProof/>
        </w:rPr>
        <w:tab/>
        <w:t xml:space="preserve">Silver M, Kessler NJ, Hennig BJ, Dominguez-Salas P, Laritsky E, Baker MS, Coarfa C, Hernandez-Vargas H, Castelino JM, Routledge MN, et al. Independent genomewide screens identify the tumor suppressor VTRNA2-1 as a human epiallele responsive to periconceptional environment. Genome Biol. 2015;16:118. </w:t>
      </w:r>
    </w:p>
    <w:p w14:paraId="6A69E3F1"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18. </w:t>
      </w:r>
      <w:r w:rsidRPr="000C3130">
        <w:rPr>
          <w:noProof/>
        </w:rPr>
        <w:tab/>
        <w:t xml:space="preserve">Dominguez-Salas P, Moore SE, Baker MS, Bergen AW, Cox SE, Dyer R a., Fulford AJ, Guan Y, Laritsky E, Silver MJ, et al. Maternal nutrition at conception modulates DNA methylation of human metastable epialleles. Nat Commun. Nature Publishing Group; 2014;5:1–7. </w:t>
      </w:r>
    </w:p>
    <w:p w14:paraId="7B5A774E"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19. </w:t>
      </w:r>
      <w:r w:rsidRPr="000C3130">
        <w:rPr>
          <w:noProof/>
        </w:rPr>
        <w:tab/>
        <w:t xml:space="preserve">Kühnen P, Handke D, Waterland RA, Hennig BJ, Silver M, Fulford AJ, Dominguez-Salas P, Moore SE, Prentice AM, Spranger J, et al. Interindividual Variation in DNA Methylation at a Putative POMC Metastable Epiallele Is Associated with Obesity. Cell Metab. 2016;24:502–9. </w:t>
      </w:r>
    </w:p>
    <w:p w14:paraId="589FD49C"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20. </w:t>
      </w:r>
      <w:r w:rsidRPr="000C3130">
        <w:rPr>
          <w:noProof/>
        </w:rPr>
        <w:tab/>
        <w:t xml:space="preserve">Steegers-Theunissen RPM, Twigt J, Pestinger V, Sinclair KD. The periconceptional period, reproduction and long-term health of offspring: The importance of one-carbon metabolism. Hum Reprod Update. 2013;19:640–55. </w:t>
      </w:r>
    </w:p>
    <w:p w14:paraId="06AC4675"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21. </w:t>
      </w:r>
      <w:r w:rsidRPr="000C3130">
        <w:rPr>
          <w:noProof/>
        </w:rPr>
        <w:tab/>
        <w:t xml:space="preserve">Richmond R, Sharp G, Herbert G, Atkinson C, Taylor C, Bhattachrya S, Campbell D, Hall M, Kazmi N, Gaunt T, et al. The long-term impact of folic acid in pregnancy on offspring DNA methylation : follow-up of the Aberdeen folic acid supplementation trial (AFAST). Int </w:t>
      </w:r>
      <w:r w:rsidRPr="000C3130">
        <w:rPr>
          <w:noProof/>
        </w:rPr>
        <w:lastRenderedPageBreak/>
        <w:t xml:space="preserve">J Epidemiol. 2018;In Press:1–10. </w:t>
      </w:r>
    </w:p>
    <w:p w14:paraId="1A17AB8E"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22. </w:t>
      </w:r>
      <w:r w:rsidRPr="000C3130">
        <w:rPr>
          <w:noProof/>
        </w:rPr>
        <w:tab/>
        <w:t xml:space="preserve">Caffrey A, Irwin RE, McNulty H, Strain JJ, Lees-Murdock DJ, McNulty BA, Ward M, Walsh CP, Pentieva K. Gene-specific DNA methylation in newborns in response to folic acid supplementation during the second and third trimesters of pregnancy: epigenetic analysis from a randomized controlled trial. Am J Clin Nutr. 2018;107:566–75. </w:t>
      </w:r>
    </w:p>
    <w:p w14:paraId="191D3124"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23. </w:t>
      </w:r>
      <w:r w:rsidRPr="000C3130">
        <w:rPr>
          <w:noProof/>
        </w:rPr>
        <w:tab/>
        <w:t xml:space="preserve">Geraghty AA, Sexton-Oates A, O’Brien EC, Alberdi G, Fransquet P, Saffery R, McAuliffe FM. A low glycaemic index diet in pregnancy induces DNA methylation variation in blood of newborns: Results from the ROLO randomised controlled trial. Nutrients. 2018;10:1–14. </w:t>
      </w:r>
    </w:p>
    <w:p w14:paraId="0FF301A8"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24. </w:t>
      </w:r>
      <w:r w:rsidRPr="000C3130">
        <w:rPr>
          <w:noProof/>
        </w:rPr>
        <w:tab/>
        <w:t xml:space="preserve">Chandak GR, Silver MJ, Saffari A, Lillycrop KA, Shrestha S, Sahariah SA, Di Gravio C, Goldberg G, Tomar AS, Betts M, et al. Protocol for the EMPHASIS study; epigenetic mechanisms linking maternal pre-conceptional nutrition and children’s health in India and Sub-Saharan Africa. BMC Nutr. 2017;3:81. </w:t>
      </w:r>
    </w:p>
    <w:p w14:paraId="789339C2"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25. </w:t>
      </w:r>
      <w:r w:rsidRPr="000C3130">
        <w:rPr>
          <w:noProof/>
        </w:rPr>
        <w:tab/>
        <w:t xml:space="preserve">Potdar RD, Sahariah S a, Gandhi M, Kehoe SH, Brown N, Sane H, Dayama M, Jha S, Lawande A, Coakley PJ, et al. Improving women’ s diet quality preconceptionally and during gestation: effects on birth weight and prevalence of low birth weight-a randomized controlled efficacy trial in India (Mumbai Maternal Nutrition Project). Am J Clin Nutr. 2014;100:1257–68. </w:t>
      </w:r>
    </w:p>
    <w:p w14:paraId="431BBC5D"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26. </w:t>
      </w:r>
      <w:r w:rsidRPr="000C3130">
        <w:rPr>
          <w:noProof/>
        </w:rPr>
        <w:tab/>
        <w:t xml:space="preserve">Owens S, Gulati R, Fulford AJ, Sosseh F, Denison FC, Brabin BJ, Prentice AM. Periconceptional multiple-micronutrient supplementation and placental function in rural Gambian women: A double-blind, randomized, placebo-controlled trial. Am J Clin Nutr. 2015;102:1450–9. </w:t>
      </w:r>
    </w:p>
    <w:p w14:paraId="1A16236A"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27. </w:t>
      </w:r>
      <w:r w:rsidRPr="000C3130">
        <w:rPr>
          <w:noProof/>
        </w:rPr>
        <w:tab/>
        <w:t xml:space="preserve">Rao S, Yajnik CS, Kanade A, Fall CHD, Margetts BM, Jackson AA, Shier R, Joshi S, Rege S, Lubree H, et al. Intake of Micronutrient-Rich Foods in Rural Indian Mothers Is Associated with the Size of Their Babies at Birth: Pune Maternal Nutrition Study. J Nutr. 2001;131:1217–24. </w:t>
      </w:r>
    </w:p>
    <w:p w14:paraId="5E595500"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28. </w:t>
      </w:r>
      <w:r w:rsidRPr="000C3130">
        <w:rPr>
          <w:noProof/>
        </w:rPr>
        <w:tab/>
        <w:t xml:space="preserve">Sahariah SA, Potdar RD, Gandhi M, Kehoe SH, Brown N, Sane H, Coakley PJ, Marley-Zagar E, Chopra H, Shivshankaran D, et al. A Daily Snack Containing Leafy Green Vegetables, Fruit, and Milk before and during Pregnancy Prevents Gestational Diabetes in a Randomized, Controlled Trial in Mumbai, India. J Nutr. 2016;146:1453S-1460S. </w:t>
      </w:r>
    </w:p>
    <w:p w14:paraId="241EC362"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29. </w:t>
      </w:r>
      <w:r w:rsidRPr="000C3130">
        <w:rPr>
          <w:noProof/>
        </w:rPr>
        <w:tab/>
        <w:t xml:space="preserve">Min JL, Hemani G, Davey Smith G, Relton C, Suderman M. Meffil: efficient normalization and analysis of very large DNA methylation datasets. Hancock J, editor. Bioinformatics. 2018;34:3983–9. </w:t>
      </w:r>
    </w:p>
    <w:p w14:paraId="4B3A4D0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30. </w:t>
      </w:r>
      <w:r w:rsidRPr="000C3130">
        <w:rPr>
          <w:noProof/>
        </w:rPr>
        <w:tab/>
        <w:t xml:space="preserve">Gentleman RC, Carey VJ, Bates DM, Bolstad B, Dettling M, Dudoit S, Ellis B, Gautier L, Ge Y, Gentry J, et al. Bioconductor: open software development for computational biology and bioinformatics. Genome Biol. 2004;5:R80. </w:t>
      </w:r>
    </w:p>
    <w:p w14:paraId="16AA223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lastRenderedPageBreak/>
        <w:t xml:space="preserve">31. </w:t>
      </w:r>
      <w:r w:rsidRPr="000C3130">
        <w:rPr>
          <w:noProof/>
        </w:rPr>
        <w:tab/>
        <w:t xml:space="preserve">Pidsley R, Zotenko E, Peters TJ, Lawrence MG, Risbridger GP, Molloy P, Van Djik S, Muhlhausler B, Stirzaker C, Clark SJ. Critical evaluation of the Illumina MethylationEPIC BeadChip microarray for whole-genome DNA methylation profiling. Genome Biol. Genome Biology; 2016;17:208. </w:t>
      </w:r>
    </w:p>
    <w:p w14:paraId="17EF90EB"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32. </w:t>
      </w:r>
      <w:r w:rsidRPr="000C3130">
        <w:rPr>
          <w:noProof/>
        </w:rPr>
        <w:tab/>
        <w:t xml:space="preserve">Guo Y, He J, Zhao S, Wu H, Zhong X, Sheng Q, Samuels DC, Shyr Y, Long J. Illumina human exome genotyping array clustering and quality control. Nat Protoc. 2014;9:2643–62. </w:t>
      </w:r>
    </w:p>
    <w:p w14:paraId="5C97414A"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33. </w:t>
      </w:r>
      <w:r w:rsidRPr="000C3130">
        <w:rPr>
          <w:noProof/>
        </w:rPr>
        <w:tab/>
        <w:t xml:space="preserve">Purcell S, Neale B, Todd-Brown K, Thomas L, Ferreira MARR, Bender D, Maller J, Sklar P, de Bakker PIWW, Daly MJ, et al. PLINK: A Tool Set for Whole-Genome Association and Population-Based Linkage Analyses. Am J Hum Genet. 2007;81:559–75. </w:t>
      </w:r>
    </w:p>
    <w:p w14:paraId="31B09D62"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34. </w:t>
      </w:r>
      <w:r w:rsidRPr="000C3130">
        <w:rPr>
          <w:noProof/>
        </w:rPr>
        <w:tab/>
        <w:t xml:space="preserve">van Leeuwen EM, Kanterakis A, Deelen P, Kattenberg M V., Slagboom PE, de Bakker PIW, Wijmenga C, Swertz MA, Boomsma DI, van Duijn CM, et al. Population-specific genotype imputations using minimac or IMPUTE2. Nat Protoc. 2015;10:1285–96. </w:t>
      </w:r>
    </w:p>
    <w:p w14:paraId="5F9288D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35. </w:t>
      </w:r>
      <w:r w:rsidRPr="000C3130">
        <w:rPr>
          <w:noProof/>
        </w:rPr>
        <w:tab/>
        <w:t xml:space="preserve">Smith GK. limma: Linear Models for Microarray Data. Bioinforma Comput Biol Solut Using R Bioconductor. 2005;397–420. </w:t>
      </w:r>
    </w:p>
    <w:p w14:paraId="1398DB48"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36. </w:t>
      </w:r>
      <w:r w:rsidRPr="000C3130">
        <w:rPr>
          <w:noProof/>
        </w:rPr>
        <w:tab/>
        <w:t xml:space="preserve">Peters TJ, Buckley MJ, Statham AL, Pidsley R, Samaras K, V Lord R, Clark SJ, Molloy PL. De novo identification of differentially methylated regions in the human genome. Epigenetics Chromatin. 2015;8:6. </w:t>
      </w:r>
    </w:p>
    <w:p w14:paraId="6A210297"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37. </w:t>
      </w:r>
      <w:r w:rsidRPr="000C3130">
        <w:rPr>
          <w:noProof/>
        </w:rPr>
        <w:tab/>
        <w:t xml:space="preserve">Pedersen BS, Schwartz DA, Yang I V, Kechris KJ. Comb-p: software for combining, analyzing, grouping and correcting spatially correlated P-values. Bioinformatics. Oxford University Press; 2012;28:2986–8. </w:t>
      </w:r>
    </w:p>
    <w:p w14:paraId="0F6D45DB"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38. </w:t>
      </w:r>
      <w:r w:rsidRPr="000C3130">
        <w:rPr>
          <w:noProof/>
        </w:rPr>
        <w:tab/>
        <w:t xml:space="preserve">Poole W, Gibbs DL, Shmulevich I, Bernard B, Knijnenburg TA. Combining dependent P- values with an empirical adaptation of Brown’s method. Bioinformatics. 2016;32:i430–6. </w:t>
      </w:r>
    </w:p>
    <w:p w14:paraId="6E1DA4B8"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39. </w:t>
      </w:r>
      <w:r w:rsidRPr="000C3130">
        <w:rPr>
          <w:noProof/>
        </w:rPr>
        <w:tab/>
        <w:t xml:space="preserve">Van Baak TE, Coarfa C, Dugué P-A, Fiorito G, Laritsky E, Baker MS, Kessler NJ, Dong J, Duryea JD, Silver MJ, et al. Epigenetic supersimilarity of monozygotic twin pairs. Genome Biol. Genome Biology; 2018;19:2. </w:t>
      </w:r>
    </w:p>
    <w:p w14:paraId="02450F9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40. </w:t>
      </w:r>
      <w:r w:rsidRPr="000C3130">
        <w:rPr>
          <w:noProof/>
        </w:rPr>
        <w:tab/>
        <w:t xml:space="preserve">Kessler NJ, Waterland RA, Prentice AM, Silver MJ. Establishment of environmentally sensitive DNA methylation states in the very early human embryo. Sci Adv. 2018;4:eaat2624. </w:t>
      </w:r>
    </w:p>
    <w:p w14:paraId="2E7411A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41. </w:t>
      </w:r>
      <w:r w:rsidRPr="000C3130">
        <w:rPr>
          <w:noProof/>
        </w:rPr>
        <w:tab/>
        <w:t xml:space="preserve">Waterland RA, Jirtle RL. Transposable elements: targets for early nutritional effects on epigenetic gene regulation. Mol Cell Biol. 2003;23:5293–300. </w:t>
      </w:r>
    </w:p>
    <w:p w14:paraId="35D65943"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42. </w:t>
      </w:r>
      <w:r w:rsidRPr="000C3130">
        <w:rPr>
          <w:noProof/>
        </w:rPr>
        <w:tab/>
        <w:t xml:space="preserve">Monk D, Morales J, den Dunnen JT, Russo S, Court F, Prawitt D, Eggermann T, Beygo J, Buiting K, Tümer Z. Recommendations for a nomenclature system for reporting methylation aberrations in imprinted domains. Epigenetics. 2018;13:117–21. </w:t>
      </w:r>
    </w:p>
    <w:p w14:paraId="7B2B3A26"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43. </w:t>
      </w:r>
      <w:r w:rsidRPr="000C3130">
        <w:rPr>
          <w:noProof/>
        </w:rPr>
        <w:tab/>
        <w:t xml:space="preserve">Staley JR, Blackshaw J, Kamat MA, Ellis S, Surendran P, Sun BB, Paul DS, Freitag D, Burgess S, Danesh J, et al. PhenoScanner: a database of human genotype–phenotype </w:t>
      </w:r>
      <w:r w:rsidRPr="000C3130">
        <w:rPr>
          <w:noProof/>
        </w:rPr>
        <w:lastRenderedPageBreak/>
        <w:t xml:space="preserve">associations. Bioinformatics. 2016;32:3207–9. </w:t>
      </w:r>
    </w:p>
    <w:p w14:paraId="4462C9B4"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44. </w:t>
      </w:r>
      <w:r w:rsidRPr="000C3130">
        <w:rPr>
          <w:noProof/>
        </w:rPr>
        <w:tab/>
        <w:t xml:space="preserve">The 1000 Genomes Project Consortium, Altshuler DL, Durbin RM, Abecasis GR, Bentley DR, Chakravarti A, Clark AG, Collins FS, De La Vega FM, Donnelly P, et al. A map of human genome variation from population-scale sequencing. Nature. 2011;467:1061–1073. </w:t>
      </w:r>
    </w:p>
    <w:p w14:paraId="1CE0C8A6"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45. </w:t>
      </w:r>
      <w:r w:rsidRPr="000C3130">
        <w:rPr>
          <w:noProof/>
        </w:rPr>
        <w:tab/>
        <w:t xml:space="preserve">Pan H, Holbrook JD, Karnani N, Kwoh CK. Gene, Environment and Methylation (GEM): a tool suite to efficiently navigate large scale epigenome wide association studies and integrate genotype and interaction between genotype and environment. BMC Bioinformatics. BMC Bioinformatics; 2016;17:299. </w:t>
      </w:r>
    </w:p>
    <w:p w14:paraId="767E3C01"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46. </w:t>
      </w:r>
      <w:r w:rsidRPr="000C3130">
        <w:rPr>
          <w:noProof/>
        </w:rPr>
        <w:tab/>
        <w:t xml:space="preserve">Saffari A, Silver MJ, Zavattari P, Moi L, Columbano A, Meaburn EL, Dudbridge F. Estimation of a significance threshold for epigenome-wide association studies. Genet Epidemiol. 2018;42:20–33. </w:t>
      </w:r>
    </w:p>
    <w:p w14:paraId="63D0D8F0"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47. </w:t>
      </w:r>
      <w:r w:rsidRPr="000C3130">
        <w:rPr>
          <w:noProof/>
        </w:rPr>
        <w:tab/>
        <w:t xml:space="preserve">Do C, Shearer A, Suzuki M, Terry MB, Gelernter J, Greally JM, Tycko B. Genetic-epigenetic interactions in cis: A major focus in the post-GWAS era. Genome Biol. Genome Biology; 2017;18:1–22. </w:t>
      </w:r>
    </w:p>
    <w:p w14:paraId="5E1F62A7"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48. </w:t>
      </w:r>
      <w:r w:rsidRPr="000C3130">
        <w:rPr>
          <w:noProof/>
        </w:rPr>
        <w:tab/>
        <w:t xml:space="preserve">Wagner JR, Busche S, Ge B, Kwan T, Pastinen T, Blanchette M. The relationship between DNA methylation, genetic and expression inter-individual variation in untransformed human fibroblasts. Genome Biol. 2014;15:R37. </w:t>
      </w:r>
    </w:p>
    <w:p w14:paraId="751876FC"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49. </w:t>
      </w:r>
      <w:r w:rsidRPr="000C3130">
        <w:rPr>
          <w:noProof/>
        </w:rPr>
        <w:tab/>
        <w:t xml:space="preserve">The UniProt Consortium. UniProtKB - Q9NQ30 (ESM1_HUMAN). </w:t>
      </w:r>
    </w:p>
    <w:p w14:paraId="469984FA"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50. </w:t>
      </w:r>
      <w:r w:rsidRPr="000C3130">
        <w:rPr>
          <w:noProof/>
        </w:rPr>
        <w:tab/>
        <w:t xml:space="preserve">Musialowska D, Zbroch E, Koc-Zorawska E, Musialowski P, Malyszko J. Endocan Concentration in Patients With Primary Hypertension. Angiology. 2018;69:483–9. </w:t>
      </w:r>
    </w:p>
    <w:p w14:paraId="0A8F4629"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51. </w:t>
      </w:r>
      <w:r w:rsidRPr="000C3130">
        <w:rPr>
          <w:noProof/>
        </w:rPr>
        <w:tab/>
        <w:t xml:space="preserve">Azimi A. Could “calprotectin” and “endocan” serve as “Troponin of Nephrologists”? Med Hypotheses. 2017;99:29–34. </w:t>
      </w:r>
    </w:p>
    <w:p w14:paraId="3583567B"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52. </w:t>
      </w:r>
      <w:r w:rsidRPr="000C3130">
        <w:rPr>
          <w:noProof/>
        </w:rPr>
        <w:tab/>
        <w:t xml:space="preserve">Balta S, Mikhailidis DP, Demirkol S, Ozturk C, Celik T, Iyisoy A. Endocan: A novel inflammatory indicator in cardiovascular disease? Atherosclerosis. 2015;243:339–43. </w:t>
      </w:r>
    </w:p>
    <w:p w14:paraId="0A998062"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53. </w:t>
      </w:r>
      <w:r w:rsidRPr="000C3130">
        <w:rPr>
          <w:noProof/>
        </w:rPr>
        <w:tab/>
        <w:t xml:space="preserve">Janke J, Engeli S, Gorzelniak K, Feldpausch M, Heintze U, Böhnke J, Wellner M, Herse F, Lassalle P, Luft FC, et al. Adipose tissue and circulating endothelial cell specific molecule-1 in human obesity. Horm Metab Res. {\copyright} Georg Thieme Verlag KG Stuttgart·New York; 2006;38:28–33. </w:t>
      </w:r>
    </w:p>
    <w:p w14:paraId="3DDEDEF5"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54. </w:t>
      </w:r>
      <w:r w:rsidRPr="000C3130">
        <w:rPr>
          <w:noProof/>
        </w:rPr>
        <w:tab/>
        <w:t xml:space="preserve">Nirala BK, Perumal V, Gohil NK. Glycated serum albumin stimulates expression of endothelial cell specific molecule-1 in human umbilical vein endothelial cells: Implication in diabetes mediated endothelial dysfunction. Diabetes Vasc Dis Res. 2015;12:290–7. </w:t>
      </w:r>
    </w:p>
    <w:p w14:paraId="2A1C2F0D"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55. </w:t>
      </w:r>
      <w:r w:rsidRPr="000C3130">
        <w:rPr>
          <w:noProof/>
        </w:rPr>
        <w:tab/>
        <w:t xml:space="preserve">Balta S, Demirkol S, Ozturk C, Yildirim AO, Demir M, Celik T. The Relation Between Endocan Levels and Subclinic Atherosclerosis. Clin Appl Thromb. 2016;22:495–6. </w:t>
      </w:r>
    </w:p>
    <w:p w14:paraId="1645DB98"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56. </w:t>
      </w:r>
      <w:r w:rsidRPr="000C3130">
        <w:rPr>
          <w:noProof/>
        </w:rPr>
        <w:tab/>
        <w:t xml:space="preserve">Hjort L, Martino D, Grunnet LG, Naeem H, Maksimovic J, Olsson AH, Zhang C, Ling C, Olsen SF, Saffery R, et al. Gestational diabetes and maternal obesity are associated with </w:t>
      </w:r>
      <w:r w:rsidRPr="000C3130">
        <w:rPr>
          <w:noProof/>
        </w:rPr>
        <w:lastRenderedPageBreak/>
        <w:t xml:space="preserve">epigenome-wide methylation changes in children. JCI Insight. Am Soc Clin Investig; 2018;3. </w:t>
      </w:r>
    </w:p>
    <w:p w14:paraId="11060FD8"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57. </w:t>
      </w:r>
      <w:r w:rsidRPr="000C3130">
        <w:rPr>
          <w:noProof/>
        </w:rPr>
        <w:tab/>
        <w:t xml:space="preserve">Hentschke MR, Lucas LS, Mistry HD, Pinheiro da Costa BE, Poli-de-Figueiredo CE. Endocan-1 concentrations in maternal and fetal plasma and placentae in pre-eclampsia in the third trimester of pregnancy. Cytokine. 2015;74:152–6. </w:t>
      </w:r>
    </w:p>
    <w:p w14:paraId="309A78BC"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58. </w:t>
      </w:r>
      <w:r w:rsidRPr="000C3130">
        <w:rPr>
          <w:noProof/>
        </w:rPr>
        <w:tab/>
        <w:t xml:space="preserve">Wang HZ, Jin Y, Wang P, Han C, Wang ZP, Dong MY. Alteration of serum endocan in normal pregnancy and preeclampsia. Clin Exp Obstet Gynecol. 2017;44:419–22. </w:t>
      </w:r>
    </w:p>
    <w:p w14:paraId="31167EAB"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59. </w:t>
      </w:r>
      <w:r w:rsidRPr="000C3130">
        <w:rPr>
          <w:noProof/>
        </w:rPr>
        <w:tab/>
        <w:t xml:space="preserve">Ishii H, Vecchione A, Murakumo Y, Baldassarre G, Numata S, Trapasso F, Alder H, Baffa R, Croce CM. FEZ1/LZTS1 gene at 8p22 suppresses cancer cell growth and regulates mitosis. Proc Natl Acad Sci. 2001;98:10374–9. </w:t>
      </w:r>
    </w:p>
    <w:p w14:paraId="47062CB4"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60. </w:t>
      </w:r>
      <w:r w:rsidRPr="000C3130">
        <w:rPr>
          <w:noProof/>
        </w:rPr>
        <w:tab/>
        <w:t xml:space="preserve">Kropp M, Wilson SI. The expression profile of the tumor suppressor gene Lzts1 suggests a role in neuronal development. Dev Dyn. 2012;241:984–94. </w:t>
      </w:r>
    </w:p>
    <w:p w14:paraId="52EDD346"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61. </w:t>
      </w:r>
      <w:r w:rsidRPr="000C3130">
        <w:rPr>
          <w:noProof/>
        </w:rPr>
        <w:tab/>
        <w:t xml:space="preserve">Seong E, Yuan L, Arikkath J. Cadherins and catenins in dendrite and synapse morphogenesis. Cell Adh Migr. 2015;9:202–13. </w:t>
      </w:r>
    </w:p>
    <w:p w14:paraId="08CF1520"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62. </w:t>
      </w:r>
      <w:r w:rsidRPr="000C3130">
        <w:rPr>
          <w:noProof/>
        </w:rPr>
        <w:tab/>
        <w:t xml:space="preserve">Sherva R, Tripodis Y, Bennett DA, Chibnik LB, Crane PK, de Jager PL, Farrer LA, Saykin AJ, Shulman JM, Naj A, et al. Genome-wide association study of the rate of cognitive decline in Alzheimer’s disease. Alzheimer’s Dement. 2014;10:45–52. </w:t>
      </w:r>
    </w:p>
    <w:p w14:paraId="0B6A274C"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63. </w:t>
      </w:r>
      <w:r w:rsidRPr="000C3130">
        <w:rPr>
          <w:noProof/>
        </w:rPr>
        <w:tab/>
        <w:t xml:space="preserve">Hong K-W, Kim SS, Kim Y. Genome-Wide Association Study of Orthostatic Hypotension and Supine-Standing Blood Pressure Changes in Two Korean Populations. Genomics Inform. 2013;11:129. </w:t>
      </w:r>
    </w:p>
    <w:p w14:paraId="02724AB5"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64. </w:t>
      </w:r>
      <w:r w:rsidRPr="000C3130">
        <w:rPr>
          <w:noProof/>
        </w:rPr>
        <w:tab/>
        <w:t xml:space="preserve">Liang J, Le TH, Edwards DRV, Tayo BO, Gaulton KJ, Smith JA, Lu Y, Jensen RA, Chen G, Yanek LR, et al. Single-trait and multi-trait genome-wide association analyses identify novel loci for blood pressure in African-ancestry populations. Gibson G, editor. PLOS Genet. 2017;13:e1006728. </w:t>
      </w:r>
    </w:p>
    <w:p w14:paraId="75A8A8CA"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65. </w:t>
      </w:r>
      <w:r w:rsidRPr="000C3130">
        <w:rPr>
          <w:noProof/>
        </w:rPr>
        <w:tab/>
        <w:t xml:space="preserve">Hoyo C, Murtha AP, Schildkraut JM, Jirtle RL, Demark-Wahnefried W, Forman MR, Iversen ES, Kurtzberg J, Overcash F, Huang Z, et al. Methylation variation at IGF2 differentially methylated regions and maternal folic acid use before and during pregnancy. Epigenetics. 2011;6:928–36. </w:t>
      </w:r>
    </w:p>
    <w:p w14:paraId="62603F93"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66. </w:t>
      </w:r>
      <w:r w:rsidRPr="000C3130">
        <w:rPr>
          <w:noProof/>
        </w:rPr>
        <w:tab/>
        <w:t xml:space="preserve">Waterland RA, Kellermayer R, Laritsky E, Rayco-Solon P, Harris RA, Travisano M, Zhang W, Torskaya MS, Zhang J, Shen L, et al. Season of conception in rural gambia affects DNA methylation at putative human metastable epialleles. Whitelaw E, editor. PLoS Genet. 2010;6:e1001252. </w:t>
      </w:r>
    </w:p>
    <w:p w14:paraId="2173D46E"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67. </w:t>
      </w:r>
      <w:r w:rsidRPr="000C3130">
        <w:rPr>
          <w:noProof/>
        </w:rPr>
        <w:tab/>
        <w:t xml:space="preserve">Simpkin AJ, Suderman M, Gaunt TR, Lyttleton O, Mcardle WL, Ring SM, Tilling K, Smith GD, Relton CL, Davey Smith G, et al. Longitudinal analysis of DNA methylation associated with birth weight and gestational age. Hum Mol Genet. 2015;24:3752–63. </w:t>
      </w:r>
    </w:p>
    <w:p w14:paraId="73A93442"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68. </w:t>
      </w:r>
      <w:r w:rsidRPr="000C3130">
        <w:rPr>
          <w:noProof/>
        </w:rPr>
        <w:tab/>
        <w:t xml:space="preserve">Birney E, Smith GD, Greally JM. Epigenome-wide Association Studies and the </w:t>
      </w:r>
      <w:r w:rsidRPr="000C3130">
        <w:rPr>
          <w:noProof/>
        </w:rPr>
        <w:lastRenderedPageBreak/>
        <w:t xml:space="preserve">Interpretation of Disease -Omics. Barsh GS, editor. PLOS Genet. 2016;12:e1006105. </w:t>
      </w:r>
    </w:p>
    <w:p w14:paraId="3D46BFF0" w14:textId="77777777" w:rsidR="000C3130" w:rsidRPr="000C3130" w:rsidRDefault="000C3130" w:rsidP="000C3130">
      <w:pPr>
        <w:widowControl w:val="0"/>
        <w:autoSpaceDE w:val="0"/>
        <w:autoSpaceDN w:val="0"/>
        <w:adjustRightInd w:val="0"/>
        <w:spacing w:line="360" w:lineRule="auto"/>
        <w:ind w:left="640" w:hanging="640"/>
        <w:rPr>
          <w:noProof/>
        </w:rPr>
      </w:pPr>
      <w:r w:rsidRPr="000C3130">
        <w:rPr>
          <w:noProof/>
        </w:rPr>
        <w:t xml:space="preserve">69. </w:t>
      </w:r>
      <w:r w:rsidRPr="000C3130">
        <w:rPr>
          <w:noProof/>
        </w:rPr>
        <w:tab/>
        <w:t xml:space="preserve">Hao K, Bossé Y, Nickle DC, Paré PD, Postma DS, Laviolette M, Sandford A, Hackett TL, Daley D, Hogg JC, et al. Lung eQTLs to Help Reveal the Molecular Underpinnings of Asthma. Williams SM, editor. PLoS Genet. 2012;8:e1003029. </w:t>
      </w:r>
    </w:p>
    <w:p w14:paraId="01EEC39E" w14:textId="5E3E2CAF" w:rsidR="003F5D10" w:rsidRPr="005A28F5" w:rsidRDefault="000A5CF2" w:rsidP="000C3130">
      <w:pPr>
        <w:widowControl w:val="0"/>
        <w:autoSpaceDE w:val="0"/>
        <w:autoSpaceDN w:val="0"/>
        <w:adjustRightInd w:val="0"/>
        <w:spacing w:line="360" w:lineRule="auto"/>
        <w:ind w:left="640" w:hanging="640"/>
        <w:rPr>
          <w:rStyle w:val="None"/>
        </w:rPr>
      </w:pPr>
      <w:r w:rsidRPr="005A28F5">
        <w:fldChar w:fldCharType="end"/>
      </w:r>
    </w:p>
    <w:p w14:paraId="7B0CD8F5" w14:textId="77777777" w:rsidR="00A527D4" w:rsidRDefault="00A527D4">
      <w:pPr>
        <w:pBdr>
          <w:top w:val="nil"/>
          <w:left w:val="nil"/>
          <w:bottom w:val="nil"/>
          <w:right w:val="nil"/>
          <w:between w:val="nil"/>
          <w:bar w:val="nil"/>
        </w:pBdr>
        <w:rPr>
          <w:rFonts w:eastAsia="Arial Unicode MS"/>
          <w:color w:val="000000"/>
          <w:sz w:val="40"/>
          <w:szCs w:val="40"/>
          <w:u w:color="808080"/>
          <w:bdr w:val="nil"/>
          <w:lang w:eastAsia="en-GB"/>
        </w:rPr>
      </w:pPr>
      <w:r>
        <w:rPr>
          <w:sz w:val="40"/>
          <w:szCs w:val="40"/>
          <w:u w:color="808080"/>
        </w:rPr>
        <w:br w:type="page"/>
      </w:r>
    </w:p>
    <w:p w14:paraId="523576FC" w14:textId="766425D8" w:rsidR="003F5D10" w:rsidRPr="005A28F5" w:rsidRDefault="003F5D10" w:rsidP="001A64D3">
      <w:pPr>
        <w:pStyle w:val="BodyA"/>
        <w:spacing w:line="360" w:lineRule="auto"/>
        <w:outlineLvl w:val="0"/>
        <w:rPr>
          <w:rFonts w:ascii="Times New Roman" w:hAnsi="Times New Roman" w:cs="Times New Roman"/>
          <w:sz w:val="40"/>
          <w:szCs w:val="40"/>
          <w:u w:color="808080"/>
          <w:lang w:val="en-GB"/>
        </w:rPr>
      </w:pPr>
      <w:r w:rsidRPr="005A28F5">
        <w:rPr>
          <w:rFonts w:ascii="Times New Roman" w:hAnsi="Times New Roman" w:cs="Times New Roman"/>
          <w:sz w:val="40"/>
          <w:szCs w:val="40"/>
          <w:u w:color="808080"/>
          <w:lang w:val="en-GB"/>
        </w:rPr>
        <w:lastRenderedPageBreak/>
        <w:t xml:space="preserve">The EMPHASIS study group </w:t>
      </w:r>
    </w:p>
    <w:p w14:paraId="68227730" w14:textId="622064B3" w:rsidR="008B5876" w:rsidRPr="005A28F5" w:rsidRDefault="003F5D10" w:rsidP="001A64D3">
      <w:pPr>
        <w:spacing w:line="360" w:lineRule="auto"/>
      </w:pPr>
      <w:r w:rsidRPr="005A28F5">
        <w:rPr>
          <w:b/>
        </w:rPr>
        <w:t>Ayden Saffari</w:t>
      </w:r>
      <w:r w:rsidRPr="005A28F5">
        <w:rPr>
          <w:lang w:val="en-US"/>
        </w:rPr>
        <w:t xml:space="preserve">, </w:t>
      </w:r>
      <w:r w:rsidRPr="005A28F5">
        <w:t>MRC Unit The Gambia at the London School of Hygiene and Tropical Medicine, London, UK</w:t>
      </w:r>
      <w:r w:rsidRPr="005A28F5">
        <w:rPr>
          <w:b/>
        </w:rPr>
        <w:t xml:space="preserve">, </w:t>
      </w:r>
      <w:r w:rsidRPr="005A28F5">
        <w:rPr>
          <w:b/>
          <w:lang w:val="en-US"/>
        </w:rPr>
        <w:t>Smeeta Shrestha</w:t>
      </w:r>
      <w:r w:rsidRPr="005A28F5">
        <w:rPr>
          <w:lang w:val="en-US"/>
        </w:rPr>
        <w:t xml:space="preserve">, </w:t>
      </w:r>
      <w:r w:rsidRPr="005A28F5">
        <w:t>Genomic Research on Complex diseases (GRC Group), CSIR-Centre for Cellular and Molecular Biology, Hyderabad, India</w:t>
      </w:r>
      <w:r w:rsidRPr="005A28F5">
        <w:rPr>
          <w:lang w:val="en-US"/>
        </w:rPr>
        <w:t xml:space="preserve">, and </w:t>
      </w:r>
      <w:r w:rsidRPr="005A28F5">
        <w:t>School of Basic and Applied Sciences, Dayananda Sagar University, Bangalore, India,</w:t>
      </w:r>
      <w:r w:rsidRPr="005A28F5">
        <w:rPr>
          <w:lang w:val="en-US"/>
        </w:rPr>
        <w:t xml:space="preserve"> </w:t>
      </w:r>
      <w:r w:rsidRPr="005A28F5">
        <w:rPr>
          <w:b/>
          <w:lang w:val="en-US"/>
        </w:rPr>
        <w:t>Prachand Issarapu</w:t>
      </w:r>
      <w:r w:rsidRPr="005A28F5">
        <w:rPr>
          <w:lang w:val="en-US"/>
        </w:rPr>
        <w:t xml:space="preserve">, </w:t>
      </w:r>
      <w:r w:rsidRPr="005A28F5">
        <w:t>Genomic Research on Complex diseases (GRC Group), CSIR-Centre for Cellular and Molecular Biology, Hyderabad, India</w:t>
      </w:r>
      <w:r w:rsidRPr="005A28F5">
        <w:rPr>
          <w:lang w:val="en-US"/>
        </w:rPr>
        <w:t xml:space="preserve">, </w:t>
      </w:r>
      <w:r w:rsidRPr="005A28F5">
        <w:rPr>
          <w:b/>
          <w:lang w:val="en-US"/>
        </w:rPr>
        <w:t>Sara Sajjadi</w:t>
      </w:r>
      <w:r w:rsidRPr="005A28F5">
        <w:rPr>
          <w:lang w:val="en-US"/>
        </w:rPr>
        <w:t xml:space="preserve">, </w:t>
      </w:r>
      <w:r w:rsidRPr="005A28F5">
        <w:t>Genomic Research on Complex diseases (GRC Group), CSIR-Centre for Cellular and Molecular Biology, Hyderabad, India</w:t>
      </w:r>
      <w:r w:rsidRPr="005A28F5">
        <w:rPr>
          <w:lang w:val="en-US"/>
        </w:rPr>
        <w:t xml:space="preserve">, </w:t>
      </w:r>
      <w:r w:rsidRPr="005A28F5">
        <w:rPr>
          <w:b/>
          <w:lang w:val="en-US"/>
        </w:rPr>
        <w:t>Modupeh</w:t>
      </w:r>
      <w:r w:rsidRPr="005A28F5">
        <w:rPr>
          <w:lang w:val="en-US"/>
        </w:rPr>
        <w:t xml:space="preserve"> </w:t>
      </w:r>
      <w:r w:rsidRPr="005A28F5">
        <w:rPr>
          <w:b/>
          <w:lang w:val="en-US"/>
        </w:rPr>
        <w:t>Betts</w:t>
      </w:r>
      <w:r w:rsidRPr="005A28F5">
        <w:rPr>
          <w:lang w:val="en-US"/>
        </w:rPr>
        <w:t xml:space="preserve">, </w:t>
      </w:r>
      <w:r w:rsidRPr="005A28F5">
        <w:t>MRC Unit The Gambia at the London School of Hygiene and Tropical Medicine, The Gambia</w:t>
      </w:r>
      <w:r w:rsidRPr="005A28F5">
        <w:rPr>
          <w:lang w:val="en-US"/>
        </w:rPr>
        <w:t xml:space="preserve">, </w:t>
      </w:r>
      <w:r w:rsidRPr="005A28F5">
        <w:rPr>
          <w:b/>
          <w:lang w:val="en-US"/>
        </w:rPr>
        <w:t>Sirazul Ameen Sahariah</w:t>
      </w:r>
      <w:r w:rsidRPr="005A28F5">
        <w:rPr>
          <w:lang w:val="en-US"/>
        </w:rPr>
        <w:t xml:space="preserve">, </w:t>
      </w:r>
      <w:r w:rsidRPr="005A28F5">
        <w:t>Centre for the Study of Social Change, Mumbai, India</w:t>
      </w:r>
      <w:r w:rsidRPr="005A28F5">
        <w:rPr>
          <w:lang w:val="en-US"/>
        </w:rPr>
        <w:t xml:space="preserve">, </w:t>
      </w:r>
      <w:r w:rsidRPr="005A28F5">
        <w:rPr>
          <w:b/>
          <w:lang w:val="en-US"/>
        </w:rPr>
        <w:t>Ashutosh Singh Tomar</w:t>
      </w:r>
      <w:r w:rsidRPr="005A28F5">
        <w:rPr>
          <w:lang w:val="en-US"/>
        </w:rPr>
        <w:t xml:space="preserve">, </w:t>
      </w:r>
      <w:r w:rsidRPr="005A28F5">
        <w:t>Genomic Research on Complex diseases (GRC Group), CSIR-Centre for Cellular and Molecular Biology, Hyderabad, India</w:t>
      </w:r>
      <w:r w:rsidRPr="005A28F5">
        <w:rPr>
          <w:lang w:val="en-US"/>
        </w:rPr>
        <w:t xml:space="preserve">, </w:t>
      </w:r>
      <w:r w:rsidRPr="005A28F5">
        <w:rPr>
          <w:b/>
          <w:lang w:val="en-US"/>
        </w:rPr>
        <w:t>Philip</w:t>
      </w:r>
      <w:r w:rsidRPr="005A28F5">
        <w:rPr>
          <w:lang w:val="en-US"/>
        </w:rPr>
        <w:t xml:space="preserve"> </w:t>
      </w:r>
      <w:r w:rsidRPr="005A28F5">
        <w:rPr>
          <w:b/>
          <w:lang w:val="en-US"/>
        </w:rPr>
        <w:t>James</w:t>
      </w:r>
      <w:r w:rsidRPr="005A28F5">
        <w:rPr>
          <w:lang w:val="en-US"/>
        </w:rPr>
        <w:t xml:space="preserve">, </w:t>
      </w:r>
      <w:r w:rsidRPr="005A28F5">
        <w:t>MRC Unit The Gambia at the London School of Hygiene and Tropical Medicine, London, UK</w:t>
      </w:r>
      <w:r w:rsidRPr="005A28F5">
        <w:rPr>
          <w:lang w:val="en-US"/>
        </w:rPr>
        <w:t xml:space="preserve">, </w:t>
      </w:r>
      <w:proofErr w:type="spellStart"/>
      <w:r w:rsidRPr="005A28F5">
        <w:rPr>
          <w:b/>
          <w:lang w:val="en-US"/>
        </w:rPr>
        <w:t>Akshay</w:t>
      </w:r>
      <w:proofErr w:type="spellEnd"/>
      <w:r w:rsidRPr="005A28F5">
        <w:rPr>
          <w:lang w:val="en-US"/>
        </w:rPr>
        <w:t xml:space="preserve"> </w:t>
      </w:r>
      <w:proofErr w:type="spellStart"/>
      <w:r w:rsidRPr="005A28F5">
        <w:rPr>
          <w:b/>
          <w:lang w:val="en-US"/>
        </w:rPr>
        <w:t>Dedaniya</w:t>
      </w:r>
      <w:proofErr w:type="spellEnd"/>
      <w:r w:rsidRPr="005A28F5">
        <w:rPr>
          <w:lang w:val="en-US"/>
        </w:rPr>
        <w:t xml:space="preserve">, </w:t>
      </w:r>
      <w:r w:rsidRPr="005A28F5">
        <w:t>Genomic Research on Complex diseases (GRC Group), CSIR-Centre for Cellular and Molecular Biology, Hyderabad, India</w:t>
      </w:r>
      <w:r w:rsidRPr="005A28F5">
        <w:rPr>
          <w:lang w:val="en-US"/>
        </w:rPr>
        <w:t xml:space="preserve">, </w:t>
      </w:r>
      <w:r w:rsidRPr="005A28F5">
        <w:rPr>
          <w:b/>
          <w:lang w:val="en-US"/>
        </w:rPr>
        <w:t>Dilip</w:t>
      </w:r>
      <w:r w:rsidRPr="005A28F5">
        <w:rPr>
          <w:lang w:val="en-US"/>
        </w:rPr>
        <w:t xml:space="preserve"> </w:t>
      </w:r>
      <w:r w:rsidRPr="005A28F5">
        <w:rPr>
          <w:b/>
          <w:lang w:val="en-US"/>
        </w:rPr>
        <w:t>K.</w:t>
      </w:r>
      <w:r w:rsidRPr="005A28F5">
        <w:rPr>
          <w:lang w:val="en-US"/>
        </w:rPr>
        <w:t xml:space="preserve"> </w:t>
      </w:r>
      <w:r w:rsidRPr="005A28F5">
        <w:rPr>
          <w:b/>
          <w:lang w:val="en-US"/>
        </w:rPr>
        <w:t xml:space="preserve">Yadav, </w:t>
      </w:r>
      <w:r w:rsidRPr="005A28F5">
        <w:t>Genomic Research on Complex diseases (GRC Group), CSIR-Centre for Cellular and Molecular Biology, Hyderabad, India</w:t>
      </w:r>
      <w:r w:rsidRPr="005A28F5">
        <w:rPr>
          <w:lang w:val="en-US"/>
        </w:rPr>
        <w:t xml:space="preserve">, and </w:t>
      </w:r>
      <w:r w:rsidRPr="005A28F5">
        <w:t xml:space="preserve">Program in Molecular Medicine, University of Massachusetts Medical School, Worcester, MA, USA, </w:t>
      </w:r>
      <w:r w:rsidRPr="005A28F5">
        <w:rPr>
          <w:b/>
          <w:lang w:val="en-US"/>
        </w:rPr>
        <w:t>Kalyanaraman</w:t>
      </w:r>
      <w:r w:rsidRPr="005A28F5">
        <w:rPr>
          <w:lang w:val="en-US"/>
        </w:rPr>
        <w:t xml:space="preserve"> </w:t>
      </w:r>
      <w:r w:rsidRPr="005A28F5">
        <w:rPr>
          <w:b/>
          <w:lang w:val="en-US"/>
        </w:rPr>
        <w:t>Kumaran</w:t>
      </w:r>
      <w:r w:rsidRPr="005A28F5">
        <w:rPr>
          <w:lang w:val="en-US"/>
        </w:rPr>
        <w:t xml:space="preserve">, </w:t>
      </w:r>
      <w:r w:rsidRPr="005A28F5">
        <w:t>MRC Lifecourse Epidemiology Unit, University of Southampton, Southampton, UK and CSI Holdsworth Memorial Hospital, Mysore, India</w:t>
      </w:r>
      <w:r w:rsidRPr="005A28F5">
        <w:rPr>
          <w:lang w:val="en-US"/>
        </w:rPr>
        <w:t xml:space="preserve">, </w:t>
      </w:r>
      <w:r w:rsidRPr="005A28F5">
        <w:rPr>
          <w:b/>
          <w:lang w:val="en-US"/>
        </w:rPr>
        <w:t>Andrew</w:t>
      </w:r>
      <w:r w:rsidRPr="005A28F5">
        <w:rPr>
          <w:lang w:val="en-US"/>
        </w:rPr>
        <w:t xml:space="preserve"> </w:t>
      </w:r>
      <w:r w:rsidRPr="005A28F5">
        <w:rPr>
          <w:b/>
          <w:lang w:val="en-US"/>
        </w:rPr>
        <w:t>M. Prentice</w:t>
      </w:r>
      <w:r w:rsidRPr="005A28F5">
        <w:rPr>
          <w:lang w:val="en-US"/>
        </w:rPr>
        <w:t xml:space="preserve">, </w:t>
      </w:r>
      <w:r w:rsidRPr="005A28F5">
        <w:t>MRC Unit The Gambia at the London School of Hygiene and Tropical Medicine, The Gambia</w:t>
      </w:r>
      <w:r w:rsidRPr="005A28F5">
        <w:rPr>
          <w:lang w:val="en-US"/>
        </w:rPr>
        <w:t xml:space="preserve">, </w:t>
      </w:r>
      <w:r w:rsidRPr="005A28F5">
        <w:rPr>
          <w:b/>
          <w:lang w:val="en-US"/>
        </w:rPr>
        <w:t xml:space="preserve">Karen A. Lillycrop, </w:t>
      </w:r>
      <w:r w:rsidRPr="005A28F5">
        <w:t xml:space="preserve">University of Southampton, Southampton, UK, </w:t>
      </w:r>
      <w:r w:rsidRPr="005A28F5">
        <w:rPr>
          <w:b/>
          <w:lang w:val="en-US"/>
        </w:rPr>
        <w:t xml:space="preserve">Caroline H.D. Fall, </w:t>
      </w:r>
      <w:r w:rsidRPr="005A28F5">
        <w:t>MRC Lifecourse Epidemiology Unit, University of Southampton, Southampton, UK</w:t>
      </w:r>
      <w:r w:rsidRPr="005A28F5">
        <w:rPr>
          <w:lang w:val="en-US"/>
        </w:rPr>
        <w:t xml:space="preserve"> </w:t>
      </w:r>
      <w:r w:rsidRPr="005A28F5">
        <w:rPr>
          <w:b/>
          <w:lang w:val="en-US"/>
        </w:rPr>
        <w:t>,</w:t>
      </w:r>
      <w:r w:rsidRPr="005A28F5">
        <w:rPr>
          <w:lang w:val="en-US"/>
        </w:rPr>
        <w:t xml:space="preserve"> </w:t>
      </w:r>
      <w:r w:rsidRPr="005A28F5">
        <w:rPr>
          <w:b/>
          <w:lang w:val="en-US"/>
        </w:rPr>
        <w:t>Giriraj R. Chandak,</w:t>
      </w:r>
      <w:r w:rsidRPr="005A28F5">
        <w:rPr>
          <w:lang w:val="en-US"/>
        </w:rPr>
        <w:t xml:space="preserve"> </w:t>
      </w:r>
      <w:r w:rsidRPr="005A28F5">
        <w:t xml:space="preserve">CSIR-Centre for Cellular and Molecular Biology, Hyderabad, India, </w:t>
      </w:r>
      <w:r w:rsidRPr="005A28F5">
        <w:rPr>
          <w:b/>
          <w:lang w:val="en-US"/>
        </w:rPr>
        <w:t>Matt J. Silver</w:t>
      </w:r>
      <w:r w:rsidRPr="005A28F5">
        <w:rPr>
          <w:lang w:val="en-US"/>
        </w:rPr>
        <w:t xml:space="preserve">, </w:t>
      </w:r>
      <w:r w:rsidRPr="005A28F5">
        <w:t>MRC Unit The Gambia at the London School of Hygiene and Tropical Medicine, London, UK</w:t>
      </w:r>
      <w:r w:rsidRPr="005A28F5">
        <w:rPr>
          <w:lang w:val="en-US"/>
        </w:rPr>
        <w:t xml:space="preserve">, </w:t>
      </w:r>
      <w:r w:rsidRPr="005A28F5">
        <w:rPr>
          <w:b/>
        </w:rPr>
        <w:t>Cyrus Cooper</w:t>
      </w:r>
      <w:r w:rsidRPr="005A28F5">
        <w:t>, MRC Lifecourse Epidemiology Unit, University of Southampton, Southampton, UK, </w:t>
      </w:r>
      <w:r w:rsidRPr="005A28F5">
        <w:rPr>
          <w:b/>
        </w:rPr>
        <w:t xml:space="preserve"> Chiara Di Gravio, </w:t>
      </w:r>
      <w:r w:rsidRPr="005A28F5">
        <w:t>MRC Lifecourse Epidemiology Unit, University of Southampton, Southampton, UK</w:t>
      </w:r>
      <w:r w:rsidRPr="005A28F5">
        <w:rPr>
          <w:b/>
        </w:rPr>
        <w:t>,</w:t>
      </w:r>
      <w:r w:rsidRPr="005A28F5">
        <w:t> </w:t>
      </w:r>
      <w:r w:rsidRPr="005A28F5">
        <w:rPr>
          <w:b/>
        </w:rPr>
        <w:t xml:space="preserve"> Sarah H. Kehoe</w:t>
      </w:r>
      <w:r w:rsidRPr="005A28F5">
        <w:t xml:space="preserve">, MRC Lifecourse Epidemiology Unit, University of Southampton, Southampton, UK, </w:t>
      </w:r>
      <w:r w:rsidRPr="005A28F5">
        <w:rPr>
          <w:b/>
        </w:rPr>
        <w:t>Ramesh D. Potdar</w:t>
      </w:r>
      <w:r w:rsidRPr="005A28F5">
        <w:t>, Centre for the Study of Social Change, Mumbai, India, </w:t>
      </w:r>
      <w:r w:rsidRPr="005A28F5">
        <w:rPr>
          <w:b/>
        </w:rPr>
        <w:t xml:space="preserve"> Chittaranjan S. Yajnik</w:t>
      </w:r>
      <w:r w:rsidRPr="005A28F5">
        <w:t xml:space="preserve">, Diabetes Unit, KEM Hospital and Research Centre, Pune, India, </w:t>
      </w:r>
      <w:r w:rsidRPr="005A28F5">
        <w:rPr>
          <w:b/>
        </w:rPr>
        <w:t>Suraj S Nongmaithem</w:t>
      </w:r>
      <w:r w:rsidRPr="005A28F5">
        <w:t xml:space="preserve">, Genomic Research on Complex diseases (GRC Group), CSIR-Centre for Cellular and Molecular Biology, Hyderabad, India, </w:t>
      </w:r>
      <w:r w:rsidRPr="005A28F5">
        <w:rPr>
          <w:b/>
        </w:rPr>
        <w:t>Harsha Chopra</w:t>
      </w:r>
      <w:r w:rsidRPr="005A28F5">
        <w:t xml:space="preserve">, Centre for the Study of Social Change, Mumbai, India, </w:t>
      </w:r>
      <w:r w:rsidRPr="005A28F5">
        <w:rPr>
          <w:b/>
        </w:rPr>
        <w:t>Meera Gandhi</w:t>
      </w:r>
      <w:r w:rsidRPr="005A28F5">
        <w:t>, Centre for the Study of Social Change, Mumbai, India, </w:t>
      </w:r>
      <w:r w:rsidRPr="005A28F5">
        <w:rPr>
          <w:b/>
        </w:rPr>
        <w:t xml:space="preserve"> Lovejeet Kaur</w:t>
      </w:r>
      <w:r w:rsidRPr="005A28F5">
        <w:t xml:space="preserve">, Genomic Research on Complex diseases (GRC Group), CSIR-Centre for Cellular and Molecular Biology, Hyderabad, India, </w:t>
      </w:r>
      <w:r w:rsidRPr="005A28F5">
        <w:rPr>
          <w:b/>
        </w:rPr>
        <w:t>Mohammed Ngum</w:t>
      </w:r>
      <w:r w:rsidRPr="005A28F5">
        <w:t>, MRC Unit The Gambia at the London School of Hygiene and Tropical Medicine, The Gambia, </w:t>
      </w:r>
      <w:r w:rsidRPr="005A28F5">
        <w:rPr>
          <w:b/>
        </w:rPr>
        <w:t>Momodou K. Darboe</w:t>
      </w:r>
      <w:r w:rsidRPr="005A28F5">
        <w:t xml:space="preserve">, MRC Unit </w:t>
      </w:r>
      <w:r w:rsidRPr="005A28F5">
        <w:lastRenderedPageBreak/>
        <w:t>The Gambia at the London School of Hygiene and Tropical Medicine, The Gambia, </w:t>
      </w:r>
      <w:r w:rsidRPr="005A28F5">
        <w:rPr>
          <w:b/>
        </w:rPr>
        <w:t xml:space="preserve">Gail R. Goldberg , </w:t>
      </w:r>
      <w:r w:rsidRPr="005A28F5">
        <w:t xml:space="preserve">MRC Unit The Gambia at the London School of Hygiene and Tropical Medicine, The Gambia, and MRC Nutrition and Bone Health Research Group, University of Cambridge, Cambridge, UK, </w:t>
      </w:r>
      <w:r w:rsidRPr="005A28F5">
        <w:rPr>
          <w:b/>
        </w:rPr>
        <w:t xml:space="preserve">Lena Acolatse, </w:t>
      </w:r>
      <w:r w:rsidRPr="005A28F5">
        <w:t xml:space="preserve">MRC Unit The Gambia at the London School of Hygiene and Tropical Medicine, The Gambia, </w:t>
      </w:r>
      <w:r w:rsidRPr="005A28F5">
        <w:rPr>
          <w:b/>
        </w:rPr>
        <w:t>Stephen Owens,</w:t>
      </w:r>
      <w:r w:rsidRPr="005A28F5">
        <w:t xml:space="preserve"> Institute of Health and Society, Newcastle University, Newcastle, UK,</w:t>
      </w:r>
      <w:r w:rsidRPr="005A28F5">
        <w:rPr>
          <w:b/>
        </w:rPr>
        <w:t xml:space="preserve"> Ann Prentice, </w:t>
      </w:r>
      <w:r w:rsidRPr="005A28F5">
        <w:t>MRC Unit The Gambia at the London School of Hygiene and Tropical Medicine, The Gambia, and MRC Nutrition and Bone Health Research Group, University of Cambridge, Cambridge, UK, and MRC Life Course Epidemiology Unit, University of Southampton, Southampton, UK</w:t>
      </w:r>
      <w:r w:rsidRPr="005A28F5">
        <w:rPr>
          <w:b/>
        </w:rPr>
        <w:t xml:space="preserve">, Kate A. Ward, </w:t>
      </w:r>
      <w:r w:rsidRPr="005A28F5">
        <w:rPr>
          <w:bCs/>
        </w:rPr>
        <w:t xml:space="preserve">Nutrition and Bone Health, MRC Human Nutrition Research, </w:t>
      </w:r>
      <w:r w:rsidRPr="005A28F5">
        <w:t>University of Cambridge</w:t>
      </w:r>
      <w:r w:rsidRPr="005A28F5">
        <w:rPr>
          <w:bCs/>
        </w:rPr>
        <w:t xml:space="preserve">, </w:t>
      </w:r>
      <w:proofErr w:type="spellStart"/>
      <w:r w:rsidRPr="005A28F5">
        <w:rPr>
          <w:bCs/>
        </w:rPr>
        <w:t>Cambrudge</w:t>
      </w:r>
      <w:proofErr w:type="spellEnd"/>
      <w:r w:rsidRPr="005A28F5">
        <w:rPr>
          <w:bCs/>
        </w:rPr>
        <w:t xml:space="preserve">, UK, MRC </w:t>
      </w:r>
      <w:proofErr w:type="spellStart"/>
      <w:r w:rsidRPr="005A28F5">
        <w:rPr>
          <w:bCs/>
        </w:rPr>
        <w:t>Lifecourse</w:t>
      </w:r>
      <w:proofErr w:type="spellEnd"/>
      <w:r w:rsidRPr="005A28F5">
        <w:rPr>
          <w:bCs/>
        </w:rPr>
        <w:t xml:space="preserve"> Epidemiology Unit, University of Southampton, Southampton, UK</w:t>
      </w:r>
      <w:r w:rsidRPr="005A28F5">
        <w:rPr>
          <w:b/>
          <w:bCs/>
        </w:rPr>
        <w:t xml:space="preserve">, </w:t>
      </w:r>
      <w:r w:rsidRPr="005A28F5">
        <w:rPr>
          <w:b/>
        </w:rPr>
        <w:t xml:space="preserve">Landing M.A. Jarjou, </w:t>
      </w:r>
      <w:r w:rsidRPr="005A28F5">
        <w:t>MRC Unit The Gambia at the London School of Hygiene and Tropical Medicine, The Gambia, </w:t>
      </w:r>
      <w:r w:rsidRPr="005A28F5">
        <w:rPr>
          <w:b/>
        </w:rPr>
        <w:t>Ramatoulie Janha</w:t>
      </w:r>
      <w:r w:rsidRPr="005A28F5">
        <w:t xml:space="preserve">, MRC Unit The Gambia at the London School of Hygiene and Tropical Medicine, The Gambia. </w:t>
      </w:r>
    </w:p>
    <w:p w14:paraId="0FC41EEA" w14:textId="77777777" w:rsidR="008B5876" w:rsidRPr="005A28F5" w:rsidRDefault="008B5876" w:rsidP="001A64D3">
      <w:pPr>
        <w:pBdr>
          <w:top w:val="nil"/>
          <w:left w:val="nil"/>
          <w:bottom w:val="nil"/>
          <w:right w:val="nil"/>
          <w:between w:val="nil"/>
          <w:bar w:val="nil"/>
        </w:pBdr>
        <w:spacing w:line="360" w:lineRule="auto"/>
      </w:pPr>
      <w:r w:rsidRPr="005A28F5">
        <w:br w:type="page"/>
      </w:r>
    </w:p>
    <w:p w14:paraId="5ABEB2EB" w14:textId="0054BBD1" w:rsidR="008B3F21" w:rsidRDefault="004B7D68" w:rsidP="001A64D3">
      <w:pPr>
        <w:pStyle w:val="BodyA"/>
        <w:spacing w:line="360" w:lineRule="auto"/>
        <w:outlineLvl w:val="0"/>
        <w:rPr>
          <w:rStyle w:val="None"/>
          <w:rFonts w:ascii="Times New Roman" w:hAnsi="Times New Roman" w:cs="Times New Roman"/>
          <w:sz w:val="40"/>
          <w:szCs w:val="40"/>
          <w:lang w:val="en-GB"/>
        </w:rPr>
      </w:pPr>
      <w:r w:rsidRPr="005A28F5">
        <w:rPr>
          <w:rStyle w:val="None"/>
          <w:rFonts w:ascii="Times New Roman" w:hAnsi="Times New Roman" w:cs="Times New Roman"/>
          <w:sz w:val="40"/>
          <w:szCs w:val="40"/>
          <w:lang w:val="en-GB"/>
        </w:rPr>
        <w:lastRenderedPageBreak/>
        <w:t>Figure</w:t>
      </w:r>
      <w:r w:rsidR="008B3F21">
        <w:rPr>
          <w:rStyle w:val="None"/>
          <w:rFonts w:ascii="Times New Roman" w:hAnsi="Times New Roman" w:cs="Times New Roman"/>
          <w:sz w:val="40"/>
          <w:szCs w:val="40"/>
          <w:lang w:val="en-GB"/>
        </w:rPr>
        <w:t xml:space="preserve"> legends</w:t>
      </w:r>
    </w:p>
    <w:p w14:paraId="4DB5E56A" w14:textId="77777777" w:rsidR="008B3F21" w:rsidRDefault="008B3F21" w:rsidP="001A64D3">
      <w:pPr>
        <w:pStyle w:val="BodyA"/>
        <w:spacing w:line="360" w:lineRule="auto"/>
        <w:outlineLvl w:val="0"/>
        <w:rPr>
          <w:rStyle w:val="None"/>
          <w:rFonts w:ascii="Times New Roman" w:hAnsi="Times New Roman" w:cs="Times New Roman"/>
          <w:sz w:val="40"/>
          <w:szCs w:val="40"/>
          <w:lang w:val="en-GB"/>
        </w:rPr>
      </w:pPr>
    </w:p>
    <w:p w14:paraId="4CD1709F" w14:textId="7372ADDC" w:rsidR="008B3F21" w:rsidRPr="008B3F21" w:rsidRDefault="008B3F21" w:rsidP="008B3F21">
      <w:pPr>
        <w:spacing w:line="360" w:lineRule="auto"/>
        <w:jc w:val="both"/>
        <w:rPr>
          <w:color w:val="000000" w:themeColor="text1"/>
        </w:rPr>
      </w:pPr>
      <w:r w:rsidRPr="008B3F21">
        <w:rPr>
          <w:b/>
          <w:color w:val="000000" w:themeColor="text1"/>
        </w:rPr>
        <w:t>Figure 1. Volcano plots for each cohort of statistical significance against difference in methylation Beta values between intervention and control groups for all CpGs tested.</w:t>
      </w:r>
      <w:r w:rsidRPr="008B3F21">
        <w:rPr>
          <w:color w:val="000000" w:themeColor="text1"/>
        </w:rPr>
        <w:t xml:space="preserve"> </w:t>
      </w:r>
      <w:r w:rsidR="001E3214">
        <w:rPr>
          <w:lang w:val="en-US"/>
        </w:rPr>
        <w:t xml:space="preserve">Multiple linear regression models were used for EWAS in both Indian (n=686) and Gambian (n=289) cohorts. </w:t>
      </w:r>
      <w:r w:rsidRPr="008B3F21">
        <w:rPr>
          <w:color w:val="000000" w:themeColor="text1"/>
        </w:rPr>
        <w:t xml:space="preserve">The dashed vertical and horizontal lines indicate thresholds for delta Beta 2% and nominal p=0.05 respectively. </w:t>
      </w:r>
      <w:r w:rsidR="001E3214">
        <w:rPr>
          <w:color w:val="000000" w:themeColor="text1"/>
        </w:rPr>
        <w:t xml:space="preserve">Orange circles </w:t>
      </w:r>
      <w:r w:rsidRPr="008B3F21">
        <w:rPr>
          <w:color w:val="000000" w:themeColor="text1"/>
        </w:rPr>
        <w:t>show DMPs - significant CpGs with FDR &lt; 5%, a</w:t>
      </w:r>
      <w:r w:rsidR="001E3214">
        <w:rPr>
          <w:color w:val="000000" w:themeColor="text1"/>
        </w:rPr>
        <w:t>n orange</w:t>
      </w:r>
      <w:r w:rsidRPr="008B3F21">
        <w:rPr>
          <w:color w:val="000000" w:themeColor="text1"/>
        </w:rPr>
        <w:t xml:space="preserve"> triangle indicates a point falling outside the plot area. </w:t>
      </w:r>
      <w:r w:rsidR="00A53674">
        <w:rPr>
          <w:color w:val="000000" w:themeColor="text1"/>
        </w:rPr>
        <w:t>EWAS, epigenome-wide association study.</w:t>
      </w:r>
    </w:p>
    <w:p w14:paraId="0E5778A2" w14:textId="77777777" w:rsidR="008B3F21" w:rsidRPr="008B3F21" w:rsidRDefault="008B3F21" w:rsidP="008B3F21">
      <w:pPr>
        <w:spacing w:line="360" w:lineRule="auto"/>
        <w:jc w:val="both"/>
        <w:rPr>
          <w:color w:val="000000" w:themeColor="text1"/>
        </w:rPr>
      </w:pPr>
    </w:p>
    <w:p w14:paraId="4D0A8A4A" w14:textId="39BA3F8E" w:rsidR="008B3F21" w:rsidRPr="008B3F21" w:rsidRDefault="008B3F21" w:rsidP="008B3F21">
      <w:pPr>
        <w:spacing w:line="360" w:lineRule="auto"/>
        <w:jc w:val="both"/>
        <w:rPr>
          <w:color w:val="000000" w:themeColor="text1"/>
        </w:rPr>
      </w:pPr>
      <w:r w:rsidRPr="008B3F21">
        <w:rPr>
          <w:b/>
          <w:color w:val="000000" w:themeColor="text1"/>
        </w:rPr>
        <w:t xml:space="preserve">Figure 2. Boxplots showing the distributions of methylation values for the CpGs within the </w:t>
      </w:r>
      <w:r w:rsidRPr="008B3F21">
        <w:rPr>
          <w:b/>
          <w:i/>
          <w:color w:val="000000" w:themeColor="text1"/>
        </w:rPr>
        <w:t>ESM1</w:t>
      </w:r>
      <w:r w:rsidRPr="008B3F21">
        <w:rPr>
          <w:b/>
          <w:color w:val="000000" w:themeColor="text1"/>
        </w:rPr>
        <w:t xml:space="preserve"> (left) and </w:t>
      </w:r>
      <w:r w:rsidRPr="008B3F21">
        <w:rPr>
          <w:b/>
          <w:i/>
          <w:color w:val="000000" w:themeColor="text1"/>
        </w:rPr>
        <w:t>LZTS1</w:t>
      </w:r>
      <w:r w:rsidRPr="008B3F21">
        <w:rPr>
          <w:b/>
          <w:color w:val="000000" w:themeColor="text1"/>
        </w:rPr>
        <w:t xml:space="preserve"> (right) DMRs identified in the Gambian EWAS regional analysis</w:t>
      </w:r>
      <w:r w:rsidR="00A90426">
        <w:rPr>
          <w:b/>
          <w:color w:val="000000" w:themeColor="text1"/>
        </w:rPr>
        <w:t xml:space="preserve"> (n=289)</w:t>
      </w:r>
      <w:r w:rsidRPr="008B3F21">
        <w:rPr>
          <w:b/>
          <w:color w:val="000000" w:themeColor="text1"/>
        </w:rPr>
        <w:t>.</w:t>
      </w:r>
      <w:r w:rsidRPr="008B3F21">
        <w:rPr>
          <w:color w:val="000000" w:themeColor="text1"/>
        </w:rPr>
        <w:t xml:space="preserve"> </w:t>
      </w:r>
      <w:r w:rsidR="001E3214">
        <w:rPr>
          <w:color w:val="000000" w:themeColor="text1"/>
        </w:rPr>
        <w:t xml:space="preserve">DMRs were identified using </w:t>
      </w:r>
      <w:proofErr w:type="spellStart"/>
      <w:r w:rsidR="001E3214" w:rsidRPr="00A90426">
        <w:rPr>
          <w:i/>
          <w:color w:val="000000" w:themeColor="text1"/>
        </w:rPr>
        <w:t>DMRcate</w:t>
      </w:r>
      <w:proofErr w:type="spellEnd"/>
      <w:r w:rsidR="001E3214">
        <w:rPr>
          <w:color w:val="000000" w:themeColor="text1"/>
        </w:rPr>
        <w:t xml:space="preserve"> and </w:t>
      </w:r>
      <w:r w:rsidR="001E3214" w:rsidRPr="00A90426">
        <w:rPr>
          <w:i/>
          <w:color w:val="000000" w:themeColor="text1"/>
        </w:rPr>
        <w:t>comb-p</w:t>
      </w:r>
      <w:r w:rsidR="001E3214">
        <w:rPr>
          <w:color w:val="000000" w:themeColor="text1"/>
        </w:rPr>
        <w:t xml:space="preserve"> methods. </w:t>
      </w:r>
      <w:r w:rsidRPr="008B3F21">
        <w:rPr>
          <w:color w:val="000000" w:themeColor="text1"/>
        </w:rPr>
        <w:t xml:space="preserve">In </w:t>
      </w:r>
      <w:r w:rsidRPr="008B3F21">
        <w:rPr>
          <w:i/>
          <w:color w:val="000000" w:themeColor="text1"/>
        </w:rPr>
        <w:t>ESM1</w:t>
      </w:r>
      <w:r w:rsidRPr="008B3F21">
        <w:rPr>
          <w:color w:val="000000" w:themeColor="text1"/>
        </w:rPr>
        <w:t xml:space="preserve">, 4 CpGs are also significant DMPs (FDR&lt;5%). </w:t>
      </w:r>
      <w:r w:rsidRPr="008B3F21">
        <w:rPr>
          <w:i/>
          <w:color w:val="000000" w:themeColor="text1"/>
        </w:rPr>
        <w:t>LZTS1</w:t>
      </w:r>
      <w:r w:rsidRPr="008B3F21">
        <w:rPr>
          <w:color w:val="000000" w:themeColor="text1"/>
        </w:rPr>
        <w:t xml:space="preserve"> contains no significant DMPs. In both regions, the intervention is consistently associated with reduced methylation levels. </w:t>
      </w:r>
      <w:r w:rsidR="001E3214">
        <w:rPr>
          <w:color w:val="000000" w:themeColor="text1"/>
        </w:rPr>
        <w:t xml:space="preserve">Blank and filled </w:t>
      </w:r>
      <w:r w:rsidR="00AD2543">
        <w:rPr>
          <w:color w:val="000000" w:themeColor="text1"/>
        </w:rPr>
        <w:t>boxes</w:t>
      </w:r>
      <w:r w:rsidR="001E3214">
        <w:rPr>
          <w:color w:val="000000" w:themeColor="text1"/>
        </w:rPr>
        <w:t xml:space="preserve"> represent control and intervention arms respectively. </w:t>
      </w:r>
      <w:r w:rsidRPr="008B3F21">
        <w:rPr>
          <w:color w:val="000000" w:themeColor="text1"/>
        </w:rPr>
        <w:t xml:space="preserve">CpG site-wise false discovery rates: ***FDR &lt; 1E-3; **FDR &lt; 1E-2; </w:t>
      </w:r>
      <w:r w:rsidRPr="008B3F21">
        <w:rPr>
          <w:color w:val="000000" w:themeColor="text1"/>
          <w:vertAlign w:val="superscript"/>
        </w:rPr>
        <w:t>•</w:t>
      </w:r>
      <w:r w:rsidRPr="008B3F21">
        <w:rPr>
          <w:color w:val="000000" w:themeColor="text1"/>
        </w:rPr>
        <w:t xml:space="preserve">FDR &lt; 0.1; </w:t>
      </w:r>
      <w:r w:rsidR="00A53674" w:rsidRPr="00A53674">
        <w:rPr>
          <w:color w:val="000000" w:themeColor="text1"/>
        </w:rPr>
        <w:t xml:space="preserve">DMP, differentially methylated positions; DMR, differentially methylated regions; FDR, false discovery rate; EWAS, epigenome-wide association study; </w:t>
      </w:r>
      <w:r w:rsidRPr="008B3F21">
        <w:rPr>
          <w:color w:val="000000" w:themeColor="text1"/>
        </w:rPr>
        <w:t>ns - not significant.</w:t>
      </w:r>
    </w:p>
    <w:p w14:paraId="52CF935A" w14:textId="77777777" w:rsidR="008B3F21" w:rsidRPr="008B3F21" w:rsidRDefault="008B3F21" w:rsidP="008B3F21">
      <w:pPr>
        <w:spacing w:line="360" w:lineRule="auto"/>
        <w:jc w:val="both"/>
        <w:rPr>
          <w:color w:val="000000" w:themeColor="text1"/>
        </w:rPr>
      </w:pPr>
    </w:p>
    <w:p w14:paraId="536D4BC8" w14:textId="766294F6" w:rsidR="008B3F21" w:rsidRPr="008B3F21" w:rsidRDefault="008B3F21" w:rsidP="008B3F21">
      <w:pPr>
        <w:spacing w:line="360" w:lineRule="auto"/>
        <w:jc w:val="both"/>
        <w:rPr>
          <w:color w:val="000000" w:themeColor="text1"/>
        </w:rPr>
      </w:pPr>
      <w:r w:rsidRPr="008B3F21">
        <w:rPr>
          <w:b/>
          <w:color w:val="000000" w:themeColor="text1"/>
        </w:rPr>
        <w:t xml:space="preserve">Figure 3. The </w:t>
      </w:r>
      <w:r w:rsidRPr="008B3F21">
        <w:rPr>
          <w:b/>
          <w:i/>
          <w:color w:val="000000" w:themeColor="text1"/>
        </w:rPr>
        <w:t>ESM1</w:t>
      </w:r>
      <w:r w:rsidRPr="008B3F21">
        <w:rPr>
          <w:b/>
          <w:color w:val="000000" w:themeColor="text1"/>
        </w:rPr>
        <w:t xml:space="preserve"> DMR shown within its genomic context and annotated with regulatory features (data tracks from UCSC genome browser).  </w:t>
      </w:r>
      <w:r w:rsidRPr="008B3F21">
        <w:rPr>
          <w:color w:val="000000" w:themeColor="text1"/>
        </w:rPr>
        <w:t>The identified DMR overlaps the TSS, 5’UTR, and first exon of the gene and is in an area of active transcription</w:t>
      </w:r>
      <w:r w:rsidRPr="008B3F21">
        <w:rPr>
          <w:b/>
          <w:color w:val="000000" w:themeColor="text1"/>
        </w:rPr>
        <w:t xml:space="preserve">. </w:t>
      </w:r>
      <w:r w:rsidRPr="008B3F21">
        <w:rPr>
          <w:color w:val="000000" w:themeColor="text1"/>
        </w:rPr>
        <w:t xml:space="preserve">The tracks show (in order): the chromosomal location; the CpGs making up the region with DMPs (FDR&lt;5%) in yellow; the </w:t>
      </w:r>
      <w:r w:rsidR="00E27A4C" w:rsidRPr="00A53674">
        <w:rPr>
          <w:i/>
          <w:iCs/>
          <w:color w:val="000000" w:themeColor="text1"/>
        </w:rPr>
        <w:t>ESM1</w:t>
      </w:r>
      <w:r w:rsidR="00E27A4C">
        <w:rPr>
          <w:color w:val="000000" w:themeColor="text1"/>
        </w:rPr>
        <w:t xml:space="preserve"> </w:t>
      </w:r>
      <w:r w:rsidRPr="008B3F21">
        <w:rPr>
          <w:color w:val="000000" w:themeColor="text1"/>
        </w:rPr>
        <w:t xml:space="preserve">DMR; </w:t>
      </w:r>
      <w:proofErr w:type="spellStart"/>
      <w:r w:rsidRPr="008B3F21">
        <w:rPr>
          <w:color w:val="000000" w:themeColor="text1"/>
        </w:rPr>
        <w:t>Ensembl</w:t>
      </w:r>
      <w:proofErr w:type="spellEnd"/>
      <w:r w:rsidRPr="008B3F21">
        <w:rPr>
          <w:color w:val="000000" w:themeColor="text1"/>
        </w:rPr>
        <w:t xml:space="preserve"> gene predictions</w:t>
      </w:r>
      <w:r w:rsidR="00E27A4C">
        <w:rPr>
          <w:color w:val="000000" w:themeColor="text1"/>
        </w:rPr>
        <w:t xml:space="preserve"> (red)</w:t>
      </w:r>
      <w:r w:rsidRPr="008B3F21">
        <w:rPr>
          <w:color w:val="000000" w:themeColor="text1"/>
        </w:rPr>
        <w:t xml:space="preserve">;  </w:t>
      </w:r>
      <w:r w:rsidR="00E27A4C">
        <w:rPr>
          <w:color w:val="000000" w:themeColor="text1"/>
        </w:rPr>
        <w:t>predicted promoter location (blue – Eukaryotic Promoter Database v006)</w:t>
      </w:r>
      <w:r w:rsidRPr="008B3F21">
        <w:rPr>
          <w:color w:val="000000" w:themeColor="text1"/>
        </w:rPr>
        <w:t xml:space="preserve">; histone tail marks H3K4Me1, H3K4Me3, H3K27Ac indicating active regions of transcription (on 7 cell lines from ENCODE); </w:t>
      </w:r>
      <w:proofErr w:type="spellStart"/>
      <w:r w:rsidRPr="008B3F21">
        <w:rPr>
          <w:color w:val="000000" w:themeColor="text1"/>
        </w:rPr>
        <w:t>DNAse</w:t>
      </w:r>
      <w:proofErr w:type="spellEnd"/>
      <w:r w:rsidRPr="008B3F21">
        <w:rPr>
          <w:color w:val="000000" w:themeColor="text1"/>
        </w:rPr>
        <w:t xml:space="preserve"> hypersensitivity clusters showing open chromatin (125 cell types from ENCODE</w:t>
      </w:r>
      <w:r w:rsidR="00E27A4C">
        <w:rPr>
          <w:color w:val="000000" w:themeColor="text1"/>
        </w:rPr>
        <w:t xml:space="preserve"> v3</w:t>
      </w:r>
      <w:r w:rsidRPr="008B3F21">
        <w:rPr>
          <w:color w:val="000000" w:themeColor="text1"/>
        </w:rPr>
        <w:t xml:space="preserve">); </w:t>
      </w:r>
      <w:r w:rsidR="00E27A4C">
        <w:rPr>
          <w:color w:val="000000" w:themeColor="text1"/>
        </w:rPr>
        <w:t>T</w:t>
      </w:r>
      <w:r w:rsidRPr="008B3F21">
        <w:rPr>
          <w:color w:val="000000" w:themeColor="text1"/>
        </w:rPr>
        <w:t xml:space="preserve">ranscription factor </w:t>
      </w:r>
      <w:proofErr w:type="spellStart"/>
      <w:r w:rsidR="00E27A4C">
        <w:rPr>
          <w:color w:val="000000" w:themeColor="text1"/>
        </w:rPr>
        <w:t>ChIP-seq</w:t>
      </w:r>
      <w:proofErr w:type="spellEnd"/>
      <w:r w:rsidR="00E27A4C">
        <w:rPr>
          <w:color w:val="000000" w:themeColor="text1"/>
        </w:rPr>
        <w:t xml:space="preserve"> clusters </w:t>
      </w:r>
      <w:r w:rsidRPr="008B3F21">
        <w:rPr>
          <w:color w:val="000000" w:themeColor="text1"/>
        </w:rPr>
        <w:t>(ENCODE</w:t>
      </w:r>
      <w:r w:rsidR="00E27A4C">
        <w:rPr>
          <w:color w:val="000000" w:themeColor="text1"/>
        </w:rPr>
        <w:t xml:space="preserve"> v3</w:t>
      </w:r>
      <w:r w:rsidRPr="008B3F21">
        <w:rPr>
          <w:color w:val="000000" w:themeColor="text1"/>
        </w:rPr>
        <w:t xml:space="preserve">). </w:t>
      </w:r>
      <w:r w:rsidR="00ED5830" w:rsidRPr="00ED5830">
        <w:rPr>
          <w:color w:val="000000" w:themeColor="text1"/>
        </w:rPr>
        <w:t>UCSC</w:t>
      </w:r>
      <w:r w:rsidR="00ED5830">
        <w:rPr>
          <w:color w:val="000000" w:themeColor="text1"/>
        </w:rPr>
        <w:t xml:space="preserve"> - </w:t>
      </w:r>
      <w:r w:rsidR="00ED5830" w:rsidRPr="00ED5830">
        <w:rPr>
          <w:color w:val="000000" w:themeColor="text1"/>
        </w:rPr>
        <w:t>University of California, Santa Cruz</w:t>
      </w:r>
      <w:r w:rsidR="00ED5830">
        <w:rPr>
          <w:color w:val="000000" w:themeColor="text1"/>
        </w:rPr>
        <w:t>;</w:t>
      </w:r>
      <w:r w:rsidR="00ED5830" w:rsidRPr="00ED5830">
        <w:rPr>
          <w:color w:val="000000" w:themeColor="text1"/>
        </w:rPr>
        <w:t xml:space="preserve"> </w:t>
      </w:r>
      <w:r w:rsidRPr="008B3F21">
        <w:rPr>
          <w:color w:val="000000" w:themeColor="text1"/>
        </w:rPr>
        <w:t>DMR – differentially methylated region</w:t>
      </w:r>
      <w:r w:rsidR="00ED5830">
        <w:rPr>
          <w:color w:val="000000" w:themeColor="text1"/>
        </w:rPr>
        <w:t>;</w:t>
      </w:r>
      <w:r w:rsidRPr="008B3F21">
        <w:rPr>
          <w:color w:val="000000" w:themeColor="text1"/>
        </w:rPr>
        <w:t xml:space="preserve"> DMP – differentially methylated position</w:t>
      </w:r>
      <w:r w:rsidR="00ED5830">
        <w:rPr>
          <w:color w:val="000000" w:themeColor="text1"/>
        </w:rPr>
        <w:t>;</w:t>
      </w:r>
      <w:r w:rsidRPr="008B3F21">
        <w:rPr>
          <w:color w:val="000000" w:themeColor="text1"/>
        </w:rPr>
        <w:t xml:space="preserve"> </w:t>
      </w:r>
      <w:r w:rsidR="00A53674">
        <w:rPr>
          <w:color w:val="000000" w:themeColor="text1"/>
        </w:rPr>
        <w:t xml:space="preserve">FDR, false discovery rate; </w:t>
      </w:r>
      <w:r w:rsidRPr="008B3F21">
        <w:rPr>
          <w:color w:val="000000" w:themeColor="text1"/>
        </w:rPr>
        <w:t>TSS – transcription start site</w:t>
      </w:r>
      <w:r w:rsidR="00ED5830">
        <w:rPr>
          <w:color w:val="000000" w:themeColor="text1"/>
        </w:rPr>
        <w:t>;</w:t>
      </w:r>
      <w:r w:rsidRPr="008B3F21">
        <w:rPr>
          <w:color w:val="000000" w:themeColor="text1"/>
        </w:rPr>
        <w:t xml:space="preserve"> 5’UTR – 5 prime untranslated region.</w:t>
      </w:r>
    </w:p>
    <w:p w14:paraId="13027877" w14:textId="77777777" w:rsidR="008B3F21" w:rsidRPr="008B3F21" w:rsidRDefault="008B3F21" w:rsidP="008B3F21">
      <w:pPr>
        <w:spacing w:line="360" w:lineRule="auto"/>
        <w:jc w:val="both"/>
        <w:rPr>
          <w:b/>
          <w:color w:val="000000" w:themeColor="text1"/>
        </w:rPr>
      </w:pPr>
    </w:p>
    <w:p w14:paraId="0CB9DCE9" w14:textId="7F4D1219" w:rsidR="00ED5830" w:rsidRDefault="008B3F21" w:rsidP="00ED5830">
      <w:pPr>
        <w:pStyle w:val="Body"/>
        <w:spacing w:line="360" w:lineRule="auto"/>
        <w:jc w:val="both"/>
      </w:pPr>
      <w:r w:rsidRPr="008B3F21">
        <w:rPr>
          <w:b/>
          <w:color w:val="000000" w:themeColor="text1"/>
        </w:rPr>
        <w:t xml:space="preserve">Figure 4. The </w:t>
      </w:r>
      <w:r w:rsidRPr="008B3F21">
        <w:rPr>
          <w:b/>
          <w:i/>
          <w:color w:val="000000" w:themeColor="text1"/>
        </w:rPr>
        <w:t xml:space="preserve">LZTS1 </w:t>
      </w:r>
      <w:r w:rsidRPr="008B3F21">
        <w:rPr>
          <w:b/>
          <w:color w:val="000000" w:themeColor="text1"/>
        </w:rPr>
        <w:t>DMR within its genomic context</w:t>
      </w:r>
      <w:r w:rsidR="00ED5830">
        <w:rPr>
          <w:b/>
          <w:color w:val="000000" w:themeColor="text1"/>
        </w:rPr>
        <w:t xml:space="preserve"> </w:t>
      </w:r>
      <w:r w:rsidR="00ED5830" w:rsidRPr="008B3F21">
        <w:rPr>
          <w:b/>
          <w:color w:val="000000" w:themeColor="text1"/>
        </w:rPr>
        <w:t>and annotated with regulatory features (data tracks from UCSC genome browser)</w:t>
      </w:r>
      <w:r w:rsidRPr="008B3F21">
        <w:rPr>
          <w:b/>
          <w:color w:val="000000" w:themeColor="text1"/>
        </w:rPr>
        <w:t>.</w:t>
      </w:r>
      <w:r w:rsidRPr="008B3F21">
        <w:rPr>
          <w:color w:val="000000" w:themeColor="text1"/>
        </w:rPr>
        <w:t xml:space="preserve"> The identified DMR is intronic and downstream </w:t>
      </w:r>
      <w:r w:rsidR="00ED5830">
        <w:rPr>
          <w:color w:val="000000" w:themeColor="text1"/>
        </w:rPr>
        <w:t xml:space="preserve">of a </w:t>
      </w:r>
      <w:r w:rsidRPr="008B3F21">
        <w:rPr>
          <w:color w:val="000000" w:themeColor="text1"/>
        </w:rPr>
        <w:t xml:space="preserve">CpG island (green). </w:t>
      </w:r>
      <w:r w:rsidR="00E27A4C" w:rsidRPr="008B3F21">
        <w:rPr>
          <w:color w:val="000000" w:themeColor="text1"/>
        </w:rPr>
        <w:t xml:space="preserve">The tracks show (in order): the chromosomal location; the CpGs making up the </w:t>
      </w:r>
      <w:r w:rsidR="00E27A4C" w:rsidRPr="008B3F21">
        <w:rPr>
          <w:color w:val="000000" w:themeColor="text1"/>
        </w:rPr>
        <w:lastRenderedPageBreak/>
        <w:t xml:space="preserve">region; the </w:t>
      </w:r>
      <w:r w:rsidR="00E27A4C" w:rsidRPr="00A53674">
        <w:rPr>
          <w:i/>
          <w:iCs/>
          <w:color w:val="000000" w:themeColor="text1"/>
        </w:rPr>
        <w:t>LZTS1</w:t>
      </w:r>
      <w:r w:rsidR="00E27A4C">
        <w:rPr>
          <w:color w:val="000000" w:themeColor="text1"/>
        </w:rPr>
        <w:t xml:space="preserve"> </w:t>
      </w:r>
      <w:r w:rsidR="00E27A4C" w:rsidRPr="008B3F21">
        <w:rPr>
          <w:color w:val="000000" w:themeColor="text1"/>
        </w:rPr>
        <w:t xml:space="preserve">DMR; </w:t>
      </w:r>
      <w:proofErr w:type="spellStart"/>
      <w:r w:rsidR="00E27A4C" w:rsidRPr="008B3F21">
        <w:rPr>
          <w:color w:val="000000" w:themeColor="text1"/>
        </w:rPr>
        <w:t>Ensembl</w:t>
      </w:r>
      <w:proofErr w:type="spellEnd"/>
      <w:r w:rsidR="00E27A4C" w:rsidRPr="008B3F21">
        <w:rPr>
          <w:color w:val="000000" w:themeColor="text1"/>
        </w:rPr>
        <w:t xml:space="preserve"> gene prediction</w:t>
      </w:r>
      <w:r w:rsidR="00E27A4C">
        <w:rPr>
          <w:color w:val="000000" w:themeColor="text1"/>
        </w:rPr>
        <w:t xml:space="preserve"> (red)</w:t>
      </w:r>
      <w:r w:rsidR="00E27A4C" w:rsidRPr="008B3F21">
        <w:rPr>
          <w:color w:val="000000" w:themeColor="text1"/>
        </w:rPr>
        <w:t xml:space="preserve">; </w:t>
      </w:r>
      <w:r w:rsidR="00E27A4C">
        <w:rPr>
          <w:color w:val="000000" w:themeColor="text1"/>
        </w:rPr>
        <w:t>predicted promoter location (blue - Eukaryotic Promoter Database v 006)</w:t>
      </w:r>
      <w:r w:rsidR="00E27A4C" w:rsidRPr="008B3F21">
        <w:rPr>
          <w:color w:val="000000" w:themeColor="text1"/>
        </w:rPr>
        <w:t xml:space="preserve">; histone tail marks H3K4Me1, H3K4Me3, H3K27Ac indicating active regions of transcription (on 7 cell lines from ENCODE); </w:t>
      </w:r>
      <w:proofErr w:type="spellStart"/>
      <w:r w:rsidR="00E27A4C" w:rsidRPr="008B3F21">
        <w:rPr>
          <w:color w:val="000000" w:themeColor="text1"/>
        </w:rPr>
        <w:t>DNAse</w:t>
      </w:r>
      <w:proofErr w:type="spellEnd"/>
      <w:r w:rsidR="00E27A4C" w:rsidRPr="008B3F21">
        <w:rPr>
          <w:color w:val="000000" w:themeColor="text1"/>
        </w:rPr>
        <w:t xml:space="preserve"> hypersensitivity clusters showing open chromatin (125 cell types from ENCODE</w:t>
      </w:r>
      <w:r w:rsidR="00E27A4C">
        <w:rPr>
          <w:color w:val="000000" w:themeColor="text1"/>
        </w:rPr>
        <w:t xml:space="preserve"> v3</w:t>
      </w:r>
      <w:r w:rsidR="00E27A4C" w:rsidRPr="008B3F21">
        <w:rPr>
          <w:color w:val="000000" w:themeColor="text1"/>
        </w:rPr>
        <w:t xml:space="preserve">); </w:t>
      </w:r>
      <w:r w:rsidR="00E27A4C">
        <w:rPr>
          <w:color w:val="000000" w:themeColor="text1"/>
        </w:rPr>
        <w:t>T</w:t>
      </w:r>
      <w:r w:rsidR="00E27A4C" w:rsidRPr="008B3F21">
        <w:rPr>
          <w:color w:val="000000" w:themeColor="text1"/>
        </w:rPr>
        <w:t xml:space="preserve">ranscription factor </w:t>
      </w:r>
      <w:r w:rsidR="00E27A4C">
        <w:rPr>
          <w:color w:val="000000" w:themeColor="text1"/>
        </w:rPr>
        <w:t xml:space="preserve">ChIP-seq clusters </w:t>
      </w:r>
      <w:r w:rsidR="00E27A4C" w:rsidRPr="008B3F21">
        <w:rPr>
          <w:color w:val="000000" w:themeColor="text1"/>
        </w:rPr>
        <w:t>(ENCODE</w:t>
      </w:r>
      <w:r w:rsidR="00E27A4C">
        <w:rPr>
          <w:color w:val="000000" w:themeColor="text1"/>
        </w:rPr>
        <w:t xml:space="preserve"> v3</w:t>
      </w:r>
      <w:r w:rsidR="00E27A4C" w:rsidRPr="008B3F21">
        <w:rPr>
          <w:color w:val="000000" w:themeColor="text1"/>
        </w:rPr>
        <w:t xml:space="preserve">). </w:t>
      </w:r>
      <w:r w:rsidR="00E27A4C" w:rsidRPr="00ED5830">
        <w:rPr>
          <w:color w:val="000000" w:themeColor="text1"/>
        </w:rPr>
        <w:t>UCSC</w:t>
      </w:r>
      <w:r w:rsidR="00E27A4C">
        <w:rPr>
          <w:color w:val="000000" w:themeColor="text1"/>
        </w:rPr>
        <w:t xml:space="preserve"> - </w:t>
      </w:r>
      <w:r w:rsidR="00E27A4C" w:rsidRPr="00ED5830">
        <w:rPr>
          <w:color w:val="000000" w:themeColor="text1"/>
        </w:rPr>
        <w:t>University of California, Santa Cruz</w:t>
      </w:r>
      <w:r w:rsidR="00E27A4C">
        <w:rPr>
          <w:color w:val="000000" w:themeColor="text1"/>
        </w:rPr>
        <w:t>;</w:t>
      </w:r>
      <w:r w:rsidR="00E27A4C" w:rsidRPr="00ED5830">
        <w:rPr>
          <w:color w:val="000000" w:themeColor="text1"/>
        </w:rPr>
        <w:t xml:space="preserve"> </w:t>
      </w:r>
      <w:r w:rsidR="00E27A4C" w:rsidRPr="008B3F21">
        <w:rPr>
          <w:color w:val="000000" w:themeColor="text1"/>
        </w:rPr>
        <w:t>DMR – differentially methylated region</w:t>
      </w:r>
      <w:r w:rsidR="00E27A4C">
        <w:rPr>
          <w:color w:val="000000" w:themeColor="text1"/>
        </w:rPr>
        <w:t>;</w:t>
      </w:r>
      <w:r w:rsidR="00E27A4C" w:rsidRPr="008B3F21">
        <w:rPr>
          <w:color w:val="000000" w:themeColor="text1"/>
        </w:rPr>
        <w:t xml:space="preserve"> DMP – differentially methylated position</w:t>
      </w:r>
      <w:r w:rsidR="00E27A4C">
        <w:rPr>
          <w:color w:val="000000" w:themeColor="text1"/>
        </w:rPr>
        <w:t>;</w:t>
      </w:r>
      <w:r w:rsidR="00E27A4C" w:rsidRPr="008B3F21">
        <w:rPr>
          <w:color w:val="000000" w:themeColor="text1"/>
        </w:rPr>
        <w:t xml:space="preserve"> TSS – transcription start site</w:t>
      </w:r>
      <w:r w:rsidR="00E27A4C">
        <w:rPr>
          <w:color w:val="000000" w:themeColor="text1"/>
        </w:rPr>
        <w:t>;</w:t>
      </w:r>
      <w:r w:rsidR="00E27A4C" w:rsidRPr="008B3F21">
        <w:rPr>
          <w:color w:val="000000" w:themeColor="text1"/>
        </w:rPr>
        <w:t xml:space="preserve"> 5’UTR – 5 prime untranslated </w:t>
      </w:r>
      <w:proofErr w:type="gramStart"/>
      <w:r w:rsidR="00E27A4C" w:rsidRPr="008B3F21">
        <w:rPr>
          <w:color w:val="000000" w:themeColor="text1"/>
        </w:rPr>
        <w:t>region</w:t>
      </w:r>
      <w:proofErr w:type="gramEnd"/>
      <w:r w:rsidR="00E27A4C" w:rsidRPr="008B3F21">
        <w:rPr>
          <w:color w:val="000000" w:themeColor="text1"/>
        </w:rPr>
        <w:t>.</w:t>
      </w:r>
    </w:p>
    <w:p w14:paraId="279B0FB5" w14:textId="77777777" w:rsidR="008B3F21" w:rsidRDefault="008B3F21" w:rsidP="00ED5830">
      <w:pPr>
        <w:spacing w:line="360" w:lineRule="auto"/>
        <w:jc w:val="both"/>
        <w:rPr>
          <w:rStyle w:val="None"/>
          <w:rFonts w:eastAsia="Arial Unicode MS"/>
          <w:color w:val="000000"/>
          <w:sz w:val="40"/>
          <w:szCs w:val="40"/>
          <w:u w:color="000000"/>
          <w:bdr w:val="nil"/>
          <w:lang w:eastAsia="en-GB"/>
        </w:rPr>
      </w:pPr>
      <w:r>
        <w:rPr>
          <w:rStyle w:val="None"/>
          <w:sz w:val="40"/>
          <w:szCs w:val="40"/>
        </w:rPr>
        <w:br w:type="page"/>
      </w:r>
    </w:p>
    <w:p w14:paraId="5F90CDC6" w14:textId="51332069" w:rsidR="00991AFB" w:rsidRDefault="00991AFB">
      <w:pPr>
        <w:pBdr>
          <w:top w:val="nil"/>
          <w:left w:val="nil"/>
          <w:bottom w:val="nil"/>
          <w:right w:val="nil"/>
          <w:between w:val="nil"/>
          <w:bar w:val="nil"/>
        </w:pBdr>
        <w:rPr>
          <w:b/>
          <w:color w:val="000000" w:themeColor="text1"/>
          <w:sz w:val="22"/>
          <w:szCs w:val="22"/>
        </w:rPr>
      </w:pPr>
    </w:p>
    <w:p w14:paraId="109CD1E3" w14:textId="0357EFA2" w:rsidR="004B7D68" w:rsidRPr="005A28F5" w:rsidRDefault="004B7D68" w:rsidP="00991AFB">
      <w:pPr>
        <w:spacing w:line="360" w:lineRule="auto"/>
        <w:jc w:val="both"/>
        <w:rPr>
          <w:bCs/>
          <w:sz w:val="40"/>
          <w:szCs w:val="40"/>
        </w:rPr>
      </w:pPr>
      <w:r w:rsidRPr="005A28F5">
        <w:rPr>
          <w:bCs/>
          <w:sz w:val="40"/>
          <w:szCs w:val="40"/>
        </w:rPr>
        <w:t>Tables</w:t>
      </w:r>
    </w:p>
    <w:p w14:paraId="39A09A74" w14:textId="615221EA" w:rsidR="00E17D0F" w:rsidRPr="005A28F5" w:rsidRDefault="00E17D0F" w:rsidP="001A64D3">
      <w:pPr>
        <w:pStyle w:val="BodyA"/>
        <w:spacing w:line="360" w:lineRule="auto"/>
        <w:jc w:val="both"/>
        <w:outlineLvl w:val="0"/>
        <w:rPr>
          <w:rFonts w:ascii="Times New Roman" w:hAnsi="Times New Roman" w:cs="Times New Roman"/>
          <w:bCs/>
          <w:sz w:val="40"/>
          <w:szCs w:val="40"/>
        </w:rPr>
      </w:pPr>
    </w:p>
    <w:p w14:paraId="26EBFCAE" w14:textId="46495D8D" w:rsidR="00E17D0F" w:rsidRPr="005A28F5" w:rsidRDefault="00E17D0F" w:rsidP="001A64D3">
      <w:pPr>
        <w:pStyle w:val="BodyA"/>
        <w:spacing w:line="360" w:lineRule="auto"/>
        <w:jc w:val="both"/>
        <w:outlineLvl w:val="0"/>
        <w:rPr>
          <w:rFonts w:ascii="Times New Roman" w:hAnsi="Times New Roman" w:cs="Times New Roman"/>
          <w:bCs/>
          <w:sz w:val="40"/>
          <w:szCs w:val="40"/>
        </w:rPr>
      </w:pPr>
    </w:p>
    <w:p w14:paraId="0796C8DC" w14:textId="3EA46335" w:rsidR="00E17D0F" w:rsidRPr="005A28F5" w:rsidRDefault="00E17D0F" w:rsidP="001A64D3">
      <w:pPr>
        <w:pStyle w:val="BodyA"/>
        <w:spacing w:line="360" w:lineRule="auto"/>
        <w:jc w:val="both"/>
        <w:outlineLvl w:val="0"/>
        <w:rPr>
          <w:rFonts w:ascii="Times New Roman" w:hAnsi="Times New Roman" w:cs="Times New Roman"/>
          <w:bCs/>
          <w:sz w:val="40"/>
          <w:szCs w:val="40"/>
        </w:rPr>
      </w:pPr>
    </w:p>
    <w:p w14:paraId="437EC670" w14:textId="560A0A03" w:rsidR="00E17D0F" w:rsidRPr="007E38A5" w:rsidRDefault="000C43A2" w:rsidP="001A64D3">
      <w:pPr>
        <w:pStyle w:val="BodyA"/>
        <w:spacing w:line="360" w:lineRule="auto"/>
        <w:jc w:val="both"/>
        <w:outlineLvl w:val="0"/>
        <w:rPr>
          <w:rFonts w:ascii="Times New Roman" w:hAnsi="Times New Roman" w:cs="Times New Roman"/>
          <w:bCs/>
          <w:sz w:val="44"/>
          <w:szCs w:val="44"/>
        </w:rPr>
      </w:pPr>
      <w:r w:rsidRPr="007E38A5">
        <w:rPr>
          <w:rFonts w:ascii="Times New Roman" w:hAnsi="Times New Roman" w:cs="Times New Roman"/>
          <w:b/>
          <w:bCs/>
          <w:color w:val="000000" w:themeColor="text1"/>
          <w:sz w:val="24"/>
          <w:szCs w:val="24"/>
        </w:rPr>
        <w:t xml:space="preserve">Table 1. </w:t>
      </w:r>
      <w:r w:rsidRPr="007E38A5">
        <w:rPr>
          <w:rFonts w:ascii="Times New Roman" w:hAnsi="Times New Roman" w:cs="Times New Roman"/>
          <w:b/>
          <w:color w:val="000000" w:themeColor="text1"/>
          <w:sz w:val="24"/>
          <w:szCs w:val="24"/>
        </w:rPr>
        <w:t>Cohort characteristics.</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985"/>
        <w:gridCol w:w="1984"/>
        <w:gridCol w:w="2127"/>
        <w:gridCol w:w="1984"/>
      </w:tblGrid>
      <w:tr w:rsidR="004B7D68" w:rsidRPr="006A2D07" w14:paraId="7A3050B6" w14:textId="77777777" w:rsidTr="000E2989">
        <w:trPr>
          <w:trHeight w:val="320"/>
        </w:trPr>
        <w:tc>
          <w:tcPr>
            <w:tcW w:w="2694" w:type="dxa"/>
            <w:shd w:val="clear" w:color="auto" w:fill="auto"/>
            <w:noWrap/>
            <w:vAlign w:val="bottom"/>
            <w:hideMark/>
          </w:tcPr>
          <w:p w14:paraId="7D86DF8A" w14:textId="77777777" w:rsidR="004B7D68" w:rsidRPr="006A2D07" w:rsidRDefault="004B7D68" w:rsidP="001A64D3">
            <w:pPr>
              <w:spacing w:line="360" w:lineRule="auto"/>
              <w:rPr>
                <w:sz w:val="22"/>
                <w:szCs w:val="22"/>
              </w:rPr>
            </w:pPr>
          </w:p>
        </w:tc>
        <w:tc>
          <w:tcPr>
            <w:tcW w:w="8080" w:type="dxa"/>
            <w:gridSpan w:val="4"/>
            <w:shd w:val="clear" w:color="auto" w:fill="auto"/>
            <w:noWrap/>
            <w:vAlign w:val="bottom"/>
            <w:hideMark/>
          </w:tcPr>
          <w:p w14:paraId="3A3ABB4D" w14:textId="77777777" w:rsidR="004B7D68" w:rsidRPr="006A2D07" w:rsidRDefault="004B7D68" w:rsidP="001A64D3">
            <w:pPr>
              <w:spacing w:line="360" w:lineRule="auto"/>
              <w:jc w:val="center"/>
              <w:rPr>
                <w:b/>
                <w:bCs/>
                <w:color w:val="000000"/>
                <w:sz w:val="22"/>
                <w:szCs w:val="22"/>
              </w:rPr>
            </w:pPr>
            <w:r w:rsidRPr="006A2D07">
              <w:rPr>
                <w:b/>
                <w:bCs/>
                <w:color w:val="000000"/>
                <w:sz w:val="22"/>
                <w:szCs w:val="22"/>
              </w:rPr>
              <w:t>Cohort</w:t>
            </w:r>
          </w:p>
        </w:tc>
      </w:tr>
      <w:tr w:rsidR="004B7D68" w:rsidRPr="006A2D07" w14:paraId="380EDFF6" w14:textId="77777777" w:rsidTr="000E2989">
        <w:trPr>
          <w:trHeight w:val="320"/>
        </w:trPr>
        <w:tc>
          <w:tcPr>
            <w:tcW w:w="2694" w:type="dxa"/>
            <w:shd w:val="clear" w:color="auto" w:fill="auto"/>
            <w:noWrap/>
            <w:vAlign w:val="bottom"/>
            <w:hideMark/>
          </w:tcPr>
          <w:p w14:paraId="2A954ADB" w14:textId="77777777" w:rsidR="004B7D68" w:rsidRPr="006A2D07" w:rsidRDefault="004B7D68" w:rsidP="001A64D3">
            <w:pPr>
              <w:spacing w:line="360" w:lineRule="auto"/>
              <w:jc w:val="center"/>
              <w:rPr>
                <w:b/>
                <w:bCs/>
                <w:color w:val="000000"/>
                <w:sz w:val="22"/>
                <w:szCs w:val="22"/>
              </w:rPr>
            </w:pPr>
          </w:p>
        </w:tc>
        <w:tc>
          <w:tcPr>
            <w:tcW w:w="3969" w:type="dxa"/>
            <w:gridSpan w:val="2"/>
            <w:shd w:val="clear" w:color="auto" w:fill="auto"/>
            <w:noWrap/>
            <w:vAlign w:val="bottom"/>
            <w:hideMark/>
          </w:tcPr>
          <w:p w14:paraId="3C658D66" w14:textId="77777777" w:rsidR="004B7D68" w:rsidRPr="006A2D07" w:rsidRDefault="004B7D68" w:rsidP="001A64D3">
            <w:pPr>
              <w:spacing w:line="360" w:lineRule="auto"/>
              <w:rPr>
                <w:b/>
                <w:bCs/>
                <w:color w:val="000000"/>
                <w:sz w:val="22"/>
                <w:szCs w:val="22"/>
              </w:rPr>
            </w:pPr>
            <w:r w:rsidRPr="006A2D07">
              <w:rPr>
                <w:b/>
                <w:bCs/>
                <w:color w:val="000000"/>
                <w:sz w:val="22"/>
                <w:szCs w:val="22"/>
              </w:rPr>
              <w:t>India – MMNP</w:t>
            </w:r>
          </w:p>
        </w:tc>
        <w:tc>
          <w:tcPr>
            <w:tcW w:w="4111" w:type="dxa"/>
            <w:gridSpan w:val="2"/>
            <w:shd w:val="clear" w:color="auto" w:fill="auto"/>
            <w:noWrap/>
            <w:vAlign w:val="bottom"/>
            <w:hideMark/>
          </w:tcPr>
          <w:p w14:paraId="1EEE53BB" w14:textId="77777777" w:rsidR="004B7D68" w:rsidRPr="006A2D07" w:rsidRDefault="004B7D68" w:rsidP="001A64D3">
            <w:pPr>
              <w:spacing w:line="360" w:lineRule="auto"/>
              <w:rPr>
                <w:b/>
                <w:bCs/>
                <w:color w:val="000000"/>
                <w:sz w:val="22"/>
                <w:szCs w:val="22"/>
              </w:rPr>
            </w:pPr>
            <w:r w:rsidRPr="006A2D07">
              <w:rPr>
                <w:b/>
                <w:bCs/>
                <w:color w:val="000000"/>
                <w:sz w:val="22"/>
                <w:szCs w:val="22"/>
              </w:rPr>
              <w:t>The Gambia - PMMST</w:t>
            </w:r>
          </w:p>
        </w:tc>
      </w:tr>
      <w:tr w:rsidR="00050A6D" w:rsidRPr="006A2D07" w14:paraId="529EB735" w14:textId="77777777" w:rsidTr="000E2989">
        <w:trPr>
          <w:trHeight w:val="320"/>
        </w:trPr>
        <w:tc>
          <w:tcPr>
            <w:tcW w:w="2694" w:type="dxa"/>
            <w:shd w:val="clear" w:color="auto" w:fill="auto"/>
            <w:noWrap/>
            <w:vAlign w:val="bottom"/>
            <w:hideMark/>
          </w:tcPr>
          <w:p w14:paraId="2DB2AE98" w14:textId="77777777" w:rsidR="004B7D68" w:rsidRPr="006A2D07" w:rsidRDefault="004B7D68" w:rsidP="001A64D3">
            <w:pPr>
              <w:spacing w:line="360" w:lineRule="auto"/>
              <w:rPr>
                <w:color w:val="000000" w:themeColor="text1"/>
                <w:sz w:val="22"/>
                <w:szCs w:val="22"/>
              </w:rPr>
            </w:pPr>
            <w:r w:rsidRPr="006A2D07">
              <w:rPr>
                <w:color w:val="000000" w:themeColor="text1"/>
                <w:sz w:val="22"/>
                <w:szCs w:val="22"/>
              </w:rPr>
              <w:t xml:space="preserve">Type of intervention </w:t>
            </w:r>
          </w:p>
        </w:tc>
        <w:tc>
          <w:tcPr>
            <w:tcW w:w="3969" w:type="dxa"/>
            <w:gridSpan w:val="2"/>
            <w:shd w:val="clear" w:color="auto" w:fill="auto"/>
            <w:noWrap/>
            <w:vAlign w:val="bottom"/>
            <w:hideMark/>
          </w:tcPr>
          <w:p w14:paraId="3AE0C8F9" w14:textId="77777777" w:rsidR="004B7D68" w:rsidRPr="006A2D07" w:rsidRDefault="004B7D68" w:rsidP="001A64D3">
            <w:pPr>
              <w:spacing w:line="360" w:lineRule="auto"/>
              <w:rPr>
                <w:color w:val="000000" w:themeColor="text1"/>
                <w:sz w:val="22"/>
                <w:szCs w:val="22"/>
              </w:rPr>
            </w:pPr>
            <w:r w:rsidRPr="006A2D07">
              <w:rPr>
                <w:color w:val="000000" w:themeColor="text1"/>
                <w:sz w:val="22"/>
                <w:szCs w:val="22"/>
              </w:rPr>
              <w:t>Food-based multiple micronutrients</w:t>
            </w:r>
          </w:p>
        </w:tc>
        <w:tc>
          <w:tcPr>
            <w:tcW w:w="4111" w:type="dxa"/>
            <w:gridSpan w:val="2"/>
            <w:shd w:val="clear" w:color="auto" w:fill="auto"/>
            <w:noWrap/>
            <w:vAlign w:val="bottom"/>
            <w:hideMark/>
          </w:tcPr>
          <w:p w14:paraId="5C8AC46F" w14:textId="77777777" w:rsidR="004B7D68" w:rsidRPr="006A2D07" w:rsidRDefault="004B7D68" w:rsidP="001A64D3">
            <w:pPr>
              <w:spacing w:line="360" w:lineRule="auto"/>
              <w:rPr>
                <w:color w:val="000000" w:themeColor="text1"/>
                <w:sz w:val="22"/>
                <w:szCs w:val="22"/>
              </w:rPr>
            </w:pPr>
            <w:r w:rsidRPr="006A2D07">
              <w:rPr>
                <w:color w:val="000000" w:themeColor="text1"/>
                <w:sz w:val="22"/>
                <w:szCs w:val="22"/>
              </w:rPr>
              <w:t>UNIMMAP tablet</w:t>
            </w:r>
          </w:p>
        </w:tc>
      </w:tr>
      <w:tr w:rsidR="00050A6D" w:rsidRPr="006A2D07" w14:paraId="66121BAC" w14:textId="77777777" w:rsidTr="000E2989">
        <w:trPr>
          <w:trHeight w:val="320"/>
        </w:trPr>
        <w:tc>
          <w:tcPr>
            <w:tcW w:w="2694" w:type="dxa"/>
            <w:shd w:val="clear" w:color="auto" w:fill="auto"/>
            <w:noWrap/>
            <w:vAlign w:val="bottom"/>
            <w:hideMark/>
          </w:tcPr>
          <w:p w14:paraId="2DE740C6" w14:textId="17A99035" w:rsidR="004B7D68" w:rsidRPr="006A2D07" w:rsidRDefault="004B7D68" w:rsidP="001A64D3">
            <w:pPr>
              <w:spacing w:line="360" w:lineRule="auto"/>
              <w:rPr>
                <w:color w:val="000000" w:themeColor="text1"/>
                <w:sz w:val="22"/>
                <w:szCs w:val="22"/>
              </w:rPr>
            </w:pPr>
            <w:r w:rsidRPr="006A2D07">
              <w:rPr>
                <w:color w:val="000000" w:themeColor="text1"/>
                <w:sz w:val="22"/>
                <w:szCs w:val="22"/>
              </w:rPr>
              <w:t>Period of intervention</w:t>
            </w:r>
            <w:r w:rsidR="00593EAF" w:rsidRPr="00C24972">
              <w:rPr>
                <w:color w:val="000000" w:themeColor="text1"/>
                <w:sz w:val="22"/>
                <w:szCs w:val="22"/>
                <w:vertAlign w:val="superscript"/>
              </w:rPr>
              <w:t>1</w:t>
            </w:r>
            <w:r w:rsidRPr="006A2D07">
              <w:rPr>
                <w:color w:val="000000" w:themeColor="text1"/>
                <w:sz w:val="22"/>
                <w:szCs w:val="22"/>
              </w:rPr>
              <w:t xml:space="preserve"> </w:t>
            </w:r>
          </w:p>
        </w:tc>
        <w:tc>
          <w:tcPr>
            <w:tcW w:w="3969" w:type="dxa"/>
            <w:gridSpan w:val="2"/>
            <w:shd w:val="clear" w:color="auto" w:fill="auto"/>
            <w:noWrap/>
            <w:vAlign w:val="bottom"/>
            <w:hideMark/>
          </w:tcPr>
          <w:p w14:paraId="1BACC193" w14:textId="77777777" w:rsidR="004B7D68" w:rsidRPr="006A2D07" w:rsidRDefault="004B7D68" w:rsidP="001A64D3">
            <w:pPr>
              <w:spacing w:line="360" w:lineRule="auto"/>
              <w:rPr>
                <w:color w:val="000000" w:themeColor="text1"/>
                <w:sz w:val="22"/>
                <w:szCs w:val="22"/>
              </w:rPr>
            </w:pPr>
            <w:r w:rsidRPr="006A2D07">
              <w:rPr>
                <w:color w:val="000000" w:themeColor="text1"/>
                <w:sz w:val="22"/>
                <w:szCs w:val="22"/>
              </w:rPr>
              <w:t>Preconception &gt; 3 months to birth</w:t>
            </w:r>
          </w:p>
        </w:tc>
        <w:tc>
          <w:tcPr>
            <w:tcW w:w="4111" w:type="dxa"/>
            <w:gridSpan w:val="2"/>
            <w:shd w:val="clear" w:color="auto" w:fill="auto"/>
            <w:noWrap/>
            <w:vAlign w:val="bottom"/>
            <w:hideMark/>
          </w:tcPr>
          <w:p w14:paraId="4D8AEF7B" w14:textId="5293BEA2" w:rsidR="004B7D68" w:rsidRPr="006A2D07" w:rsidRDefault="004B7D68" w:rsidP="001A64D3">
            <w:pPr>
              <w:spacing w:line="360" w:lineRule="auto"/>
              <w:rPr>
                <w:color w:val="000000" w:themeColor="text1"/>
                <w:sz w:val="22"/>
                <w:szCs w:val="22"/>
              </w:rPr>
            </w:pPr>
            <w:r w:rsidRPr="006A2D07">
              <w:rPr>
                <w:color w:val="000000" w:themeColor="text1"/>
                <w:sz w:val="22"/>
                <w:szCs w:val="22"/>
              </w:rPr>
              <w:t>Preconception to +</w:t>
            </w:r>
            <w:proofErr w:type="spellStart"/>
            <w:r w:rsidRPr="006A2D07">
              <w:rPr>
                <w:color w:val="000000" w:themeColor="text1"/>
                <w:sz w:val="22"/>
                <w:szCs w:val="22"/>
              </w:rPr>
              <w:t>ve</w:t>
            </w:r>
            <w:proofErr w:type="spellEnd"/>
            <w:r w:rsidRPr="006A2D07">
              <w:rPr>
                <w:color w:val="000000" w:themeColor="text1"/>
                <w:sz w:val="22"/>
                <w:szCs w:val="22"/>
              </w:rPr>
              <w:t xml:space="preserve"> pregnancy test</w:t>
            </w:r>
          </w:p>
        </w:tc>
      </w:tr>
      <w:tr w:rsidR="00585465" w:rsidRPr="006A2D07" w14:paraId="66433F7E" w14:textId="77777777" w:rsidTr="00585465">
        <w:trPr>
          <w:trHeight w:val="320"/>
        </w:trPr>
        <w:tc>
          <w:tcPr>
            <w:tcW w:w="2694" w:type="dxa"/>
            <w:shd w:val="clear" w:color="auto" w:fill="auto"/>
            <w:noWrap/>
            <w:vAlign w:val="bottom"/>
          </w:tcPr>
          <w:p w14:paraId="74365DF2" w14:textId="2892A47B" w:rsidR="00585465" w:rsidRPr="00585465" w:rsidRDefault="00585465" w:rsidP="00585465">
            <w:pPr>
              <w:spacing w:line="360" w:lineRule="auto"/>
              <w:rPr>
                <w:color w:val="000000" w:themeColor="text1"/>
                <w:sz w:val="22"/>
                <w:szCs w:val="22"/>
              </w:rPr>
            </w:pPr>
            <w:r w:rsidRPr="00585465">
              <w:rPr>
                <w:color w:val="000000" w:themeColor="text1"/>
                <w:sz w:val="22"/>
                <w:szCs w:val="22"/>
              </w:rPr>
              <w:t>EPIC and GSA samples</w:t>
            </w:r>
          </w:p>
        </w:tc>
        <w:tc>
          <w:tcPr>
            <w:tcW w:w="3969" w:type="dxa"/>
            <w:gridSpan w:val="2"/>
            <w:shd w:val="clear" w:color="auto" w:fill="auto"/>
            <w:noWrap/>
            <w:vAlign w:val="bottom"/>
          </w:tcPr>
          <w:p w14:paraId="64BEF882" w14:textId="0F996994" w:rsidR="00585465" w:rsidRPr="00585465" w:rsidRDefault="00585465" w:rsidP="00585465">
            <w:pPr>
              <w:spacing w:line="360" w:lineRule="auto"/>
              <w:rPr>
                <w:color w:val="000000" w:themeColor="text1"/>
                <w:sz w:val="22"/>
                <w:szCs w:val="22"/>
              </w:rPr>
            </w:pPr>
            <w:r w:rsidRPr="00585465">
              <w:rPr>
                <w:color w:val="000000" w:themeColor="text1"/>
                <w:sz w:val="22"/>
                <w:szCs w:val="22"/>
              </w:rPr>
              <w:t>698 (</w:t>
            </w:r>
            <w:r>
              <w:rPr>
                <w:color w:val="000000" w:themeColor="text1"/>
                <w:sz w:val="22"/>
                <w:szCs w:val="22"/>
              </w:rPr>
              <w:t>327/371</w:t>
            </w:r>
            <w:r w:rsidR="008D48B5" w:rsidRPr="00585465">
              <w:rPr>
                <w:color w:val="000000" w:themeColor="text1"/>
                <w:sz w:val="22"/>
                <w:szCs w:val="22"/>
              </w:rPr>
              <w:t>)</w:t>
            </w:r>
            <w:r w:rsidR="00593EAF">
              <w:rPr>
                <w:color w:val="000000" w:themeColor="text1"/>
                <w:sz w:val="22"/>
                <w:szCs w:val="22"/>
                <w:vertAlign w:val="superscript"/>
              </w:rPr>
              <w:t>2</w:t>
            </w:r>
          </w:p>
        </w:tc>
        <w:tc>
          <w:tcPr>
            <w:tcW w:w="4111" w:type="dxa"/>
            <w:gridSpan w:val="2"/>
            <w:shd w:val="clear" w:color="auto" w:fill="auto"/>
            <w:noWrap/>
            <w:vAlign w:val="bottom"/>
          </w:tcPr>
          <w:p w14:paraId="0D508D23" w14:textId="7C4E73A2" w:rsidR="00585465" w:rsidRPr="006A2D07" w:rsidRDefault="00585465" w:rsidP="00585465">
            <w:pPr>
              <w:spacing w:line="360" w:lineRule="auto"/>
              <w:rPr>
                <w:color w:val="000000" w:themeColor="text1"/>
                <w:sz w:val="22"/>
                <w:szCs w:val="22"/>
              </w:rPr>
            </w:pPr>
            <w:r w:rsidRPr="00585465">
              <w:rPr>
                <w:color w:val="000000" w:themeColor="text1"/>
                <w:sz w:val="22"/>
                <w:szCs w:val="22"/>
              </w:rPr>
              <w:t>293 (</w:t>
            </w:r>
            <w:r>
              <w:rPr>
                <w:color w:val="000000" w:themeColor="text1"/>
                <w:sz w:val="22"/>
                <w:szCs w:val="22"/>
              </w:rPr>
              <w:t>140/153</w:t>
            </w:r>
            <w:r w:rsidR="008D48B5" w:rsidRPr="00585465">
              <w:rPr>
                <w:color w:val="000000" w:themeColor="text1"/>
                <w:sz w:val="22"/>
                <w:szCs w:val="22"/>
              </w:rPr>
              <w:t>)</w:t>
            </w:r>
            <w:r w:rsidR="00593EAF">
              <w:rPr>
                <w:color w:val="000000" w:themeColor="text1"/>
                <w:sz w:val="22"/>
                <w:szCs w:val="22"/>
                <w:vertAlign w:val="superscript"/>
              </w:rPr>
              <w:t>2</w:t>
            </w:r>
          </w:p>
        </w:tc>
      </w:tr>
      <w:tr w:rsidR="00050A6D" w:rsidRPr="006A2D07" w14:paraId="3E6F45B3" w14:textId="77777777" w:rsidTr="000E2989">
        <w:trPr>
          <w:trHeight w:val="320"/>
        </w:trPr>
        <w:tc>
          <w:tcPr>
            <w:tcW w:w="2694" w:type="dxa"/>
            <w:shd w:val="clear" w:color="auto" w:fill="auto"/>
            <w:noWrap/>
            <w:vAlign w:val="bottom"/>
            <w:hideMark/>
          </w:tcPr>
          <w:p w14:paraId="3CE7C56D" w14:textId="68B70788" w:rsidR="004B7D68" w:rsidRPr="006A2D07" w:rsidRDefault="004B7D68" w:rsidP="001A64D3">
            <w:pPr>
              <w:spacing w:line="360" w:lineRule="auto"/>
              <w:rPr>
                <w:color w:val="000000" w:themeColor="text1"/>
                <w:sz w:val="22"/>
                <w:szCs w:val="22"/>
              </w:rPr>
            </w:pPr>
            <w:r w:rsidRPr="006A2D07">
              <w:rPr>
                <w:color w:val="000000" w:themeColor="text1"/>
                <w:sz w:val="22"/>
                <w:szCs w:val="22"/>
              </w:rPr>
              <w:t xml:space="preserve">Technical validation source </w:t>
            </w:r>
          </w:p>
        </w:tc>
        <w:tc>
          <w:tcPr>
            <w:tcW w:w="3969" w:type="dxa"/>
            <w:gridSpan w:val="2"/>
            <w:shd w:val="clear" w:color="auto" w:fill="auto"/>
            <w:noWrap/>
            <w:vAlign w:val="bottom"/>
            <w:hideMark/>
          </w:tcPr>
          <w:p w14:paraId="228DBBB8" w14:textId="5ABCE7ED" w:rsidR="004B7D68" w:rsidRPr="006A2D07" w:rsidRDefault="004B7D68" w:rsidP="001A64D3">
            <w:pPr>
              <w:spacing w:line="360" w:lineRule="auto"/>
              <w:rPr>
                <w:color w:val="000000" w:themeColor="text1"/>
                <w:sz w:val="22"/>
                <w:szCs w:val="22"/>
              </w:rPr>
            </w:pPr>
            <w:r w:rsidRPr="006A2D07">
              <w:rPr>
                <w:color w:val="000000" w:themeColor="text1"/>
                <w:sz w:val="22"/>
                <w:szCs w:val="22"/>
              </w:rPr>
              <w:t>Blood (92</w:t>
            </w:r>
            <w:r w:rsidR="00BD3E3F">
              <w:rPr>
                <w:color w:val="000000" w:themeColor="text1"/>
                <w:sz w:val="22"/>
                <w:szCs w:val="22"/>
              </w:rPr>
              <w:t xml:space="preserve"> samples</w:t>
            </w:r>
            <w:r w:rsidRPr="006A2D07">
              <w:rPr>
                <w:color w:val="000000" w:themeColor="text1"/>
                <w:sz w:val="22"/>
                <w:szCs w:val="22"/>
              </w:rPr>
              <w:t>)</w:t>
            </w:r>
          </w:p>
        </w:tc>
        <w:tc>
          <w:tcPr>
            <w:tcW w:w="4111" w:type="dxa"/>
            <w:gridSpan w:val="2"/>
            <w:shd w:val="clear" w:color="auto" w:fill="auto"/>
            <w:noWrap/>
            <w:vAlign w:val="bottom"/>
            <w:hideMark/>
          </w:tcPr>
          <w:p w14:paraId="32674282" w14:textId="7269FEE2" w:rsidR="004B7D68" w:rsidRPr="006A2D07" w:rsidRDefault="004B7D68" w:rsidP="001A64D3">
            <w:pPr>
              <w:spacing w:line="360" w:lineRule="auto"/>
              <w:rPr>
                <w:color w:val="000000" w:themeColor="text1"/>
                <w:sz w:val="22"/>
                <w:szCs w:val="22"/>
              </w:rPr>
            </w:pPr>
            <w:r w:rsidRPr="006A2D07">
              <w:rPr>
                <w:color w:val="000000" w:themeColor="text1"/>
                <w:sz w:val="22"/>
                <w:szCs w:val="22"/>
              </w:rPr>
              <w:t>Blood (92</w:t>
            </w:r>
            <w:r w:rsidR="00BD3E3F">
              <w:rPr>
                <w:color w:val="000000" w:themeColor="text1"/>
                <w:sz w:val="22"/>
                <w:szCs w:val="22"/>
              </w:rPr>
              <w:t xml:space="preserve"> samples</w:t>
            </w:r>
            <w:r w:rsidRPr="006A2D07">
              <w:rPr>
                <w:color w:val="000000" w:themeColor="text1"/>
                <w:sz w:val="22"/>
                <w:szCs w:val="22"/>
              </w:rPr>
              <w:t>)</w:t>
            </w:r>
          </w:p>
        </w:tc>
      </w:tr>
      <w:tr w:rsidR="00050A6D" w:rsidRPr="006A2D07" w14:paraId="281A8975" w14:textId="77777777" w:rsidTr="000E2989">
        <w:trPr>
          <w:trHeight w:val="320"/>
        </w:trPr>
        <w:tc>
          <w:tcPr>
            <w:tcW w:w="2694" w:type="dxa"/>
            <w:tcBorders>
              <w:bottom w:val="single" w:sz="18" w:space="0" w:color="auto"/>
            </w:tcBorders>
            <w:shd w:val="clear" w:color="auto" w:fill="auto"/>
            <w:noWrap/>
            <w:vAlign w:val="bottom"/>
            <w:hideMark/>
          </w:tcPr>
          <w:p w14:paraId="4DD1C103" w14:textId="50A8EC02" w:rsidR="004B7D68" w:rsidRPr="006A2D07" w:rsidRDefault="004B7D68" w:rsidP="001A64D3">
            <w:pPr>
              <w:spacing w:line="360" w:lineRule="auto"/>
              <w:rPr>
                <w:color w:val="000000" w:themeColor="text1"/>
                <w:sz w:val="22"/>
                <w:szCs w:val="22"/>
              </w:rPr>
            </w:pPr>
            <w:r w:rsidRPr="006A2D07">
              <w:rPr>
                <w:color w:val="000000" w:themeColor="text1"/>
                <w:sz w:val="22"/>
                <w:szCs w:val="22"/>
              </w:rPr>
              <w:t>Cross-tissue source</w:t>
            </w:r>
          </w:p>
        </w:tc>
        <w:tc>
          <w:tcPr>
            <w:tcW w:w="3969" w:type="dxa"/>
            <w:gridSpan w:val="2"/>
            <w:tcBorders>
              <w:bottom w:val="single" w:sz="18" w:space="0" w:color="auto"/>
            </w:tcBorders>
            <w:shd w:val="clear" w:color="auto" w:fill="auto"/>
            <w:noWrap/>
            <w:vAlign w:val="bottom"/>
            <w:hideMark/>
          </w:tcPr>
          <w:p w14:paraId="02E679E5" w14:textId="77777777" w:rsidR="004B7D68" w:rsidRPr="006A2D07" w:rsidRDefault="004B7D68" w:rsidP="001A64D3">
            <w:pPr>
              <w:spacing w:line="360" w:lineRule="auto"/>
              <w:rPr>
                <w:color w:val="000000" w:themeColor="text1"/>
                <w:sz w:val="22"/>
                <w:szCs w:val="22"/>
              </w:rPr>
            </w:pPr>
            <w:r w:rsidRPr="006A2D07">
              <w:rPr>
                <w:color w:val="000000" w:themeColor="text1"/>
                <w:sz w:val="22"/>
                <w:szCs w:val="22"/>
              </w:rPr>
              <w:t>NA</w:t>
            </w:r>
          </w:p>
        </w:tc>
        <w:tc>
          <w:tcPr>
            <w:tcW w:w="4111" w:type="dxa"/>
            <w:gridSpan w:val="2"/>
            <w:tcBorders>
              <w:bottom w:val="single" w:sz="18" w:space="0" w:color="auto"/>
            </w:tcBorders>
            <w:shd w:val="clear" w:color="auto" w:fill="auto"/>
            <w:noWrap/>
            <w:vAlign w:val="bottom"/>
            <w:hideMark/>
          </w:tcPr>
          <w:p w14:paraId="5EDEE596" w14:textId="013054B7" w:rsidR="004B7D68" w:rsidRPr="006A2D07" w:rsidRDefault="004B7D68" w:rsidP="001A64D3">
            <w:pPr>
              <w:spacing w:line="360" w:lineRule="auto"/>
              <w:rPr>
                <w:color w:val="000000" w:themeColor="text1"/>
                <w:sz w:val="22"/>
                <w:szCs w:val="22"/>
              </w:rPr>
            </w:pPr>
            <w:r w:rsidRPr="006A2D07">
              <w:rPr>
                <w:color w:val="000000" w:themeColor="text1"/>
                <w:sz w:val="22"/>
                <w:szCs w:val="22"/>
              </w:rPr>
              <w:t>Buccal (94</w:t>
            </w:r>
            <w:r w:rsidR="00BD3E3F">
              <w:rPr>
                <w:color w:val="000000" w:themeColor="text1"/>
                <w:sz w:val="22"/>
                <w:szCs w:val="22"/>
              </w:rPr>
              <w:t xml:space="preserve"> samples</w:t>
            </w:r>
            <w:r w:rsidRPr="006A2D07">
              <w:rPr>
                <w:color w:val="000000" w:themeColor="text1"/>
                <w:sz w:val="22"/>
                <w:szCs w:val="22"/>
              </w:rPr>
              <w:t>)</w:t>
            </w:r>
          </w:p>
        </w:tc>
      </w:tr>
      <w:tr w:rsidR="00050A6D" w:rsidRPr="006A2D07" w14:paraId="39ABBB9E" w14:textId="77777777" w:rsidTr="000E2989">
        <w:trPr>
          <w:trHeight w:val="320"/>
        </w:trPr>
        <w:tc>
          <w:tcPr>
            <w:tcW w:w="2694" w:type="dxa"/>
            <w:tcBorders>
              <w:top w:val="single" w:sz="18" w:space="0" w:color="auto"/>
            </w:tcBorders>
            <w:shd w:val="clear" w:color="auto" w:fill="auto"/>
            <w:noWrap/>
            <w:vAlign w:val="bottom"/>
          </w:tcPr>
          <w:p w14:paraId="6381753E" w14:textId="7B72EF60" w:rsidR="004A7B4D" w:rsidRPr="006A2D07" w:rsidRDefault="004A7B4D" w:rsidP="001A64D3">
            <w:pPr>
              <w:spacing w:line="360" w:lineRule="auto"/>
              <w:rPr>
                <w:b/>
                <w:color w:val="000000" w:themeColor="text1"/>
                <w:sz w:val="22"/>
                <w:szCs w:val="22"/>
              </w:rPr>
            </w:pPr>
            <w:r w:rsidRPr="009672F1">
              <w:rPr>
                <w:b/>
                <w:color w:val="000000" w:themeColor="text1"/>
                <w:sz w:val="22"/>
                <w:szCs w:val="22"/>
              </w:rPr>
              <w:t>Baseline characteristics</w:t>
            </w:r>
            <w:r w:rsidR="00BD3E3F" w:rsidRPr="009672F1">
              <w:rPr>
                <w:color w:val="000000" w:themeColor="text1"/>
                <w:sz w:val="22"/>
                <w:szCs w:val="22"/>
              </w:rPr>
              <w:t xml:space="preserve"> (post-QC)</w:t>
            </w:r>
          </w:p>
        </w:tc>
        <w:tc>
          <w:tcPr>
            <w:tcW w:w="1985" w:type="dxa"/>
            <w:tcBorders>
              <w:top w:val="single" w:sz="18" w:space="0" w:color="auto"/>
            </w:tcBorders>
            <w:shd w:val="clear" w:color="auto" w:fill="auto"/>
            <w:noWrap/>
            <w:vAlign w:val="bottom"/>
          </w:tcPr>
          <w:p w14:paraId="4F3D1542" w14:textId="487E668A" w:rsidR="004A7B4D" w:rsidRPr="006A2D07" w:rsidRDefault="004A7B4D" w:rsidP="001A64D3">
            <w:pPr>
              <w:spacing w:line="360" w:lineRule="auto"/>
              <w:rPr>
                <w:b/>
                <w:color w:val="000000" w:themeColor="text1"/>
                <w:sz w:val="22"/>
                <w:szCs w:val="22"/>
              </w:rPr>
            </w:pPr>
            <w:r w:rsidRPr="006A2D07">
              <w:rPr>
                <w:b/>
                <w:color w:val="000000" w:themeColor="text1"/>
                <w:sz w:val="22"/>
                <w:szCs w:val="22"/>
              </w:rPr>
              <w:t>Intervention</w:t>
            </w:r>
          </w:p>
        </w:tc>
        <w:tc>
          <w:tcPr>
            <w:tcW w:w="1984" w:type="dxa"/>
            <w:tcBorders>
              <w:top w:val="single" w:sz="18" w:space="0" w:color="auto"/>
            </w:tcBorders>
            <w:shd w:val="clear" w:color="auto" w:fill="auto"/>
            <w:vAlign w:val="bottom"/>
          </w:tcPr>
          <w:p w14:paraId="787BB76B" w14:textId="6E391743" w:rsidR="004A7B4D" w:rsidRPr="006A2D07" w:rsidRDefault="004A7B4D" w:rsidP="001A64D3">
            <w:pPr>
              <w:spacing w:line="360" w:lineRule="auto"/>
              <w:rPr>
                <w:b/>
                <w:color w:val="000000" w:themeColor="text1"/>
                <w:sz w:val="22"/>
                <w:szCs w:val="22"/>
              </w:rPr>
            </w:pPr>
            <w:r w:rsidRPr="006A2D07">
              <w:rPr>
                <w:b/>
                <w:color w:val="000000" w:themeColor="text1"/>
                <w:sz w:val="22"/>
                <w:szCs w:val="22"/>
              </w:rPr>
              <w:t>Control</w:t>
            </w:r>
          </w:p>
        </w:tc>
        <w:tc>
          <w:tcPr>
            <w:tcW w:w="2127" w:type="dxa"/>
            <w:tcBorders>
              <w:top w:val="single" w:sz="18" w:space="0" w:color="auto"/>
            </w:tcBorders>
            <w:shd w:val="clear" w:color="auto" w:fill="auto"/>
            <w:noWrap/>
            <w:vAlign w:val="bottom"/>
          </w:tcPr>
          <w:p w14:paraId="0C261D4F" w14:textId="71E49D4E" w:rsidR="004A7B4D" w:rsidRPr="006A2D07" w:rsidRDefault="004A7B4D" w:rsidP="001A64D3">
            <w:pPr>
              <w:spacing w:line="360" w:lineRule="auto"/>
              <w:rPr>
                <w:b/>
                <w:color w:val="000000" w:themeColor="text1"/>
                <w:sz w:val="22"/>
                <w:szCs w:val="22"/>
              </w:rPr>
            </w:pPr>
            <w:r w:rsidRPr="006A2D07">
              <w:rPr>
                <w:b/>
                <w:color w:val="000000" w:themeColor="text1"/>
                <w:sz w:val="22"/>
                <w:szCs w:val="22"/>
              </w:rPr>
              <w:t>Intervention</w:t>
            </w:r>
          </w:p>
        </w:tc>
        <w:tc>
          <w:tcPr>
            <w:tcW w:w="1984" w:type="dxa"/>
            <w:tcBorders>
              <w:top w:val="single" w:sz="18" w:space="0" w:color="auto"/>
            </w:tcBorders>
            <w:shd w:val="clear" w:color="auto" w:fill="auto"/>
            <w:vAlign w:val="bottom"/>
          </w:tcPr>
          <w:p w14:paraId="3D38734A" w14:textId="19B9AFEF" w:rsidR="004A7B4D" w:rsidRPr="006A2D07" w:rsidRDefault="004A7B4D" w:rsidP="001A64D3">
            <w:pPr>
              <w:spacing w:line="360" w:lineRule="auto"/>
              <w:rPr>
                <w:b/>
                <w:color w:val="000000" w:themeColor="text1"/>
                <w:sz w:val="22"/>
                <w:szCs w:val="22"/>
              </w:rPr>
            </w:pPr>
            <w:r w:rsidRPr="006A2D07">
              <w:rPr>
                <w:b/>
                <w:color w:val="000000" w:themeColor="text1"/>
                <w:sz w:val="22"/>
                <w:szCs w:val="22"/>
              </w:rPr>
              <w:t>Control</w:t>
            </w:r>
          </w:p>
        </w:tc>
      </w:tr>
      <w:tr w:rsidR="00050A6D" w:rsidRPr="006A2D07" w14:paraId="407AAEF6" w14:textId="77777777" w:rsidTr="000E2989">
        <w:trPr>
          <w:trHeight w:val="320"/>
        </w:trPr>
        <w:tc>
          <w:tcPr>
            <w:tcW w:w="2694" w:type="dxa"/>
            <w:shd w:val="clear" w:color="auto" w:fill="auto"/>
            <w:noWrap/>
            <w:vAlign w:val="bottom"/>
          </w:tcPr>
          <w:p w14:paraId="2A58987B" w14:textId="1C85391A" w:rsidR="000E2989" w:rsidRPr="006A2D07" w:rsidRDefault="000E2989" w:rsidP="001A64D3">
            <w:pPr>
              <w:spacing w:line="360" w:lineRule="auto"/>
              <w:rPr>
                <w:color w:val="000000" w:themeColor="text1"/>
                <w:sz w:val="22"/>
                <w:szCs w:val="22"/>
              </w:rPr>
            </w:pPr>
            <w:r w:rsidRPr="006A2D07">
              <w:rPr>
                <w:color w:val="000000" w:themeColor="text1"/>
                <w:sz w:val="22"/>
                <w:szCs w:val="22"/>
              </w:rPr>
              <w:t>Child age</w:t>
            </w:r>
            <w:r w:rsidR="00593EAF">
              <w:rPr>
                <w:color w:val="000000" w:themeColor="text1"/>
                <w:sz w:val="22"/>
                <w:szCs w:val="22"/>
                <w:vertAlign w:val="superscript"/>
              </w:rPr>
              <w:t>3</w:t>
            </w:r>
          </w:p>
        </w:tc>
        <w:tc>
          <w:tcPr>
            <w:tcW w:w="1985" w:type="dxa"/>
            <w:shd w:val="clear" w:color="auto" w:fill="auto"/>
            <w:noWrap/>
            <w:vAlign w:val="bottom"/>
          </w:tcPr>
          <w:p w14:paraId="23DE67B9" w14:textId="4F4B446D" w:rsidR="000E2989" w:rsidRPr="006A2D07" w:rsidRDefault="000E2989" w:rsidP="001A64D3">
            <w:pPr>
              <w:spacing w:line="360" w:lineRule="auto"/>
              <w:rPr>
                <w:color w:val="000000" w:themeColor="text1"/>
                <w:sz w:val="22"/>
                <w:szCs w:val="22"/>
              </w:rPr>
            </w:pPr>
            <w:r w:rsidRPr="006A2D07">
              <w:rPr>
                <w:color w:val="000000" w:themeColor="text1"/>
                <w:sz w:val="22"/>
                <w:szCs w:val="22"/>
              </w:rPr>
              <w:t>5.76 (5.64, 5.98)</w:t>
            </w:r>
          </w:p>
        </w:tc>
        <w:tc>
          <w:tcPr>
            <w:tcW w:w="1984" w:type="dxa"/>
            <w:shd w:val="clear" w:color="auto" w:fill="auto"/>
            <w:vAlign w:val="bottom"/>
          </w:tcPr>
          <w:p w14:paraId="263DF129" w14:textId="6FF653A4" w:rsidR="000E2989" w:rsidRPr="006A2D07" w:rsidRDefault="000E2989" w:rsidP="001A64D3">
            <w:pPr>
              <w:spacing w:line="360" w:lineRule="auto"/>
              <w:rPr>
                <w:color w:val="000000" w:themeColor="text1"/>
                <w:sz w:val="22"/>
                <w:szCs w:val="22"/>
              </w:rPr>
            </w:pPr>
            <w:r w:rsidRPr="006A2D07">
              <w:rPr>
                <w:color w:val="000000" w:themeColor="text1"/>
                <w:sz w:val="22"/>
                <w:szCs w:val="22"/>
              </w:rPr>
              <w:t>5.74 (5.61, 5.97)</w:t>
            </w:r>
          </w:p>
        </w:tc>
        <w:tc>
          <w:tcPr>
            <w:tcW w:w="2127" w:type="dxa"/>
            <w:shd w:val="clear" w:color="auto" w:fill="auto"/>
            <w:noWrap/>
            <w:vAlign w:val="bottom"/>
          </w:tcPr>
          <w:p w14:paraId="31597A47" w14:textId="57F3BB61" w:rsidR="000E2989" w:rsidRPr="006A2D07" w:rsidRDefault="000E2989" w:rsidP="001A64D3">
            <w:pPr>
              <w:spacing w:line="360" w:lineRule="auto"/>
              <w:rPr>
                <w:color w:val="000000" w:themeColor="text1"/>
                <w:sz w:val="22"/>
                <w:szCs w:val="22"/>
              </w:rPr>
            </w:pPr>
            <w:r w:rsidRPr="006A2D07">
              <w:rPr>
                <w:color w:val="000000" w:themeColor="text1"/>
                <w:sz w:val="22"/>
                <w:szCs w:val="22"/>
              </w:rPr>
              <w:t>9.01 (8.62, 9.21)</w:t>
            </w:r>
          </w:p>
        </w:tc>
        <w:tc>
          <w:tcPr>
            <w:tcW w:w="1984" w:type="dxa"/>
            <w:shd w:val="clear" w:color="auto" w:fill="auto"/>
            <w:vAlign w:val="bottom"/>
          </w:tcPr>
          <w:p w14:paraId="50B4BB1A" w14:textId="3C685B5E" w:rsidR="000E2989" w:rsidRPr="006A2D07" w:rsidRDefault="000E2989" w:rsidP="001A64D3">
            <w:pPr>
              <w:spacing w:line="360" w:lineRule="auto"/>
              <w:rPr>
                <w:color w:val="000000" w:themeColor="text1"/>
                <w:sz w:val="22"/>
                <w:szCs w:val="22"/>
              </w:rPr>
            </w:pPr>
            <w:r w:rsidRPr="006A2D07">
              <w:rPr>
                <w:color w:val="000000" w:themeColor="text1"/>
                <w:sz w:val="22"/>
                <w:szCs w:val="22"/>
              </w:rPr>
              <w:t>8.98 (8.62, 9.22)</w:t>
            </w:r>
          </w:p>
        </w:tc>
      </w:tr>
      <w:tr w:rsidR="00050A6D" w:rsidRPr="006A2D07" w14:paraId="7E054529" w14:textId="77777777" w:rsidTr="000E2989">
        <w:trPr>
          <w:trHeight w:val="320"/>
        </w:trPr>
        <w:tc>
          <w:tcPr>
            <w:tcW w:w="2694" w:type="dxa"/>
            <w:shd w:val="clear" w:color="auto" w:fill="auto"/>
            <w:noWrap/>
            <w:vAlign w:val="bottom"/>
          </w:tcPr>
          <w:p w14:paraId="49499FF1" w14:textId="77E2DB41" w:rsidR="000E2989" w:rsidRPr="006A2D07" w:rsidRDefault="000E2989" w:rsidP="001A64D3">
            <w:pPr>
              <w:spacing w:line="360" w:lineRule="auto"/>
              <w:rPr>
                <w:color w:val="000000" w:themeColor="text1"/>
                <w:sz w:val="22"/>
                <w:szCs w:val="22"/>
              </w:rPr>
            </w:pPr>
            <w:r w:rsidRPr="006A2D07">
              <w:rPr>
                <w:color w:val="000000" w:themeColor="text1"/>
                <w:sz w:val="22"/>
                <w:szCs w:val="22"/>
              </w:rPr>
              <w:t>Child sex</w:t>
            </w:r>
            <w:r w:rsidR="0087681B" w:rsidRPr="006A2D07">
              <w:rPr>
                <w:color w:val="000000" w:themeColor="text1"/>
                <w:sz w:val="22"/>
                <w:szCs w:val="22"/>
              </w:rPr>
              <w:t xml:space="preserve"> (male/female)</w:t>
            </w:r>
          </w:p>
        </w:tc>
        <w:tc>
          <w:tcPr>
            <w:tcW w:w="1985" w:type="dxa"/>
            <w:shd w:val="clear" w:color="auto" w:fill="auto"/>
            <w:noWrap/>
            <w:vAlign w:val="bottom"/>
          </w:tcPr>
          <w:p w14:paraId="2889C5EE" w14:textId="694456A4" w:rsidR="000E2989" w:rsidRPr="006A2D07" w:rsidRDefault="000E2989" w:rsidP="001A64D3">
            <w:pPr>
              <w:spacing w:line="360" w:lineRule="auto"/>
              <w:rPr>
                <w:color w:val="000000" w:themeColor="text1"/>
                <w:sz w:val="22"/>
                <w:szCs w:val="22"/>
              </w:rPr>
            </w:pPr>
            <w:r w:rsidRPr="006A2D07">
              <w:rPr>
                <w:color w:val="000000" w:themeColor="text1"/>
                <w:sz w:val="22"/>
                <w:szCs w:val="22"/>
              </w:rPr>
              <w:t xml:space="preserve">168/153 </w:t>
            </w:r>
          </w:p>
        </w:tc>
        <w:tc>
          <w:tcPr>
            <w:tcW w:w="1984" w:type="dxa"/>
            <w:shd w:val="clear" w:color="auto" w:fill="auto"/>
            <w:vAlign w:val="bottom"/>
          </w:tcPr>
          <w:p w14:paraId="487B0C15" w14:textId="1443ED8B" w:rsidR="000E2989" w:rsidRPr="006A2D07" w:rsidRDefault="000E2989" w:rsidP="001A64D3">
            <w:pPr>
              <w:spacing w:line="360" w:lineRule="auto"/>
              <w:rPr>
                <w:color w:val="000000" w:themeColor="text1"/>
                <w:sz w:val="22"/>
                <w:szCs w:val="22"/>
              </w:rPr>
            </w:pPr>
            <w:r w:rsidRPr="006A2D07">
              <w:rPr>
                <w:color w:val="000000" w:themeColor="text1"/>
                <w:sz w:val="22"/>
                <w:szCs w:val="22"/>
              </w:rPr>
              <w:t xml:space="preserve">209/156 </w:t>
            </w:r>
          </w:p>
        </w:tc>
        <w:tc>
          <w:tcPr>
            <w:tcW w:w="2127" w:type="dxa"/>
            <w:shd w:val="clear" w:color="auto" w:fill="auto"/>
            <w:noWrap/>
            <w:vAlign w:val="bottom"/>
          </w:tcPr>
          <w:p w14:paraId="338B6C8D" w14:textId="0CFC97D6" w:rsidR="000E2989" w:rsidRPr="006A2D07" w:rsidRDefault="000E2989" w:rsidP="001A64D3">
            <w:pPr>
              <w:spacing w:line="360" w:lineRule="auto"/>
              <w:rPr>
                <w:color w:val="000000" w:themeColor="text1"/>
                <w:sz w:val="22"/>
                <w:szCs w:val="22"/>
              </w:rPr>
            </w:pPr>
            <w:r w:rsidRPr="006A2D07">
              <w:rPr>
                <w:color w:val="000000" w:themeColor="text1"/>
                <w:sz w:val="22"/>
                <w:szCs w:val="22"/>
              </w:rPr>
              <w:t xml:space="preserve">64/74 </w:t>
            </w:r>
          </w:p>
        </w:tc>
        <w:tc>
          <w:tcPr>
            <w:tcW w:w="1984" w:type="dxa"/>
            <w:shd w:val="clear" w:color="auto" w:fill="auto"/>
            <w:vAlign w:val="bottom"/>
          </w:tcPr>
          <w:p w14:paraId="06D03EC8" w14:textId="515991E8" w:rsidR="000E2989" w:rsidRPr="006A2D07" w:rsidRDefault="000E2989" w:rsidP="001A64D3">
            <w:pPr>
              <w:spacing w:line="360" w:lineRule="auto"/>
              <w:rPr>
                <w:color w:val="000000" w:themeColor="text1"/>
                <w:sz w:val="22"/>
                <w:szCs w:val="22"/>
              </w:rPr>
            </w:pPr>
            <w:r w:rsidRPr="006A2D07">
              <w:rPr>
                <w:color w:val="000000" w:themeColor="text1"/>
                <w:sz w:val="22"/>
                <w:szCs w:val="22"/>
              </w:rPr>
              <w:t xml:space="preserve">93/58 </w:t>
            </w:r>
          </w:p>
        </w:tc>
      </w:tr>
      <w:tr w:rsidR="00050A6D" w:rsidRPr="006A2D07" w14:paraId="0AA01492" w14:textId="77777777" w:rsidTr="000E2989">
        <w:trPr>
          <w:trHeight w:val="320"/>
        </w:trPr>
        <w:tc>
          <w:tcPr>
            <w:tcW w:w="2694" w:type="dxa"/>
            <w:shd w:val="clear" w:color="auto" w:fill="auto"/>
            <w:noWrap/>
            <w:vAlign w:val="bottom"/>
          </w:tcPr>
          <w:p w14:paraId="09798AEE" w14:textId="309DE411" w:rsidR="000E2989" w:rsidRPr="006A2D07" w:rsidRDefault="000E2989" w:rsidP="001A64D3">
            <w:pPr>
              <w:spacing w:line="360" w:lineRule="auto"/>
              <w:rPr>
                <w:color w:val="000000" w:themeColor="text1"/>
                <w:sz w:val="22"/>
                <w:szCs w:val="22"/>
              </w:rPr>
            </w:pPr>
            <w:r w:rsidRPr="006A2D07">
              <w:rPr>
                <w:color w:val="000000" w:themeColor="text1"/>
                <w:sz w:val="22"/>
                <w:szCs w:val="22"/>
              </w:rPr>
              <w:t>Maternal age</w:t>
            </w:r>
            <w:r w:rsidR="00593EAF">
              <w:rPr>
                <w:color w:val="000000" w:themeColor="text1"/>
                <w:sz w:val="22"/>
                <w:szCs w:val="22"/>
                <w:vertAlign w:val="superscript"/>
              </w:rPr>
              <w:t>3</w:t>
            </w:r>
          </w:p>
        </w:tc>
        <w:tc>
          <w:tcPr>
            <w:tcW w:w="1985" w:type="dxa"/>
            <w:shd w:val="clear" w:color="auto" w:fill="auto"/>
            <w:noWrap/>
            <w:vAlign w:val="bottom"/>
          </w:tcPr>
          <w:p w14:paraId="16D37DB1" w14:textId="3F56E139" w:rsidR="000E2989" w:rsidRPr="006A2D07" w:rsidRDefault="000E2989" w:rsidP="001A64D3">
            <w:pPr>
              <w:spacing w:line="360" w:lineRule="auto"/>
              <w:rPr>
                <w:color w:val="000000" w:themeColor="text1"/>
                <w:sz w:val="22"/>
                <w:szCs w:val="22"/>
              </w:rPr>
            </w:pPr>
            <w:r w:rsidRPr="006A2D07">
              <w:rPr>
                <w:color w:val="000000" w:themeColor="text1"/>
                <w:sz w:val="22"/>
                <w:szCs w:val="22"/>
              </w:rPr>
              <w:t>24.0 (22.0, 24.6)</w:t>
            </w:r>
          </w:p>
        </w:tc>
        <w:tc>
          <w:tcPr>
            <w:tcW w:w="1984" w:type="dxa"/>
            <w:shd w:val="clear" w:color="auto" w:fill="auto"/>
            <w:vAlign w:val="bottom"/>
          </w:tcPr>
          <w:p w14:paraId="4A89AFBD" w14:textId="70665CF5" w:rsidR="000E2989" w:rsidRPr="006A2D07" w:rsidRDefault="000E2989" w:rsidP="001A64D3">
            <w:pPr>
              <w:spacing w:line="360" w:lineRule="auto"/>
              <w:rPr>
                <w:color w:val="000000" w:themeColor="text1"/>
                <w:sz w:val="22"/>
                <w:szCs w:val="22"/>
              </w:rPr>
            </w:pPr>
            <w:r w:rsidRPr="006A2D07">
              <w:rPr>
                <w:color w:val="000000" w:themeColor="text1"/>
                <w:sz w:val="22"/>
                <w:szCs w:val="22"/>
              </w:rPr>
              <w:t>25.0 (22.0, 28.0)</w:t>
            </w:r>
          </w:p>
        </w:tc>
        <w:tc>
          <w:tcPr>
            <w:tcW w:w="2127" w:type="dxa"/>
            <w:shd w:val="clear" w:color="auto" w:fill="auto"/>
            <w:noWrap/>
            <w:vAlign w:val="bottom"/>
          </w:tcPr>
          <w:p w14:paraId="1F27C798" w14:textId="59131374" w:rsidR="000E2989" w:rsidRPr="006A2D07" w:rsidRDefault="000E2989" w:rsidP="001A64D3">
            <w:pPr>
              <w:spacing w:line="360" w:lineRule="auto"/>
              <w:rPr>
                <w:color w:val="000000" w:themeColor="text1"/>
                <w:sz w:val="22"/>
                <w:szCs w:val="22"/>
              </w:rPr>
            </w:pPr>
            <w:r w:rsidRPr="006A2D07">
              <w:rPr>
                <w:color w:val="000000" w:themeColor="text1"/>
                <w:sz w:val="22"/>
                <w:szCs w:val="22"/>
              </w:rPr>
              <w:t>28.6 (24.9, 34.4)</w:t>
            </w:r>
          </w:p>
        </w:tc>
        <w:tc>
          <w:tcPr>
            <w:tcW w:w="1984" w:type="dxa"/>
            <w:shd w:val="clear" w:color="auto" w:fill="auto"/>
            <w:vAlign w:val="bottom"/>
          </w:tcPr>
          <w:p w14:paraId="5420D534" w14:textId="01F7BA37" w:rsidR="000E2989" w:rsidRPr="006A2D07" w:rsidRDefault="000E2989" w:rsidP="001A64D3">
            <w:pPr>
              <w:spacing w:line="360" w:lineRule="auto"/>
              <w:rPr>
                <w:color w:val="000000" w:themeColor="text1"/>
                <w:sz w:val="22"/>
                <w:szCs w:val="22"/>
              </w:rPr>
            </w:pPr>
            <w:r w:rsidRPr="006A2D07">
              <w:rPr>
                <w:color w:val="000000" w:themeColor="text1"/>
                <w:sz w:val="22"/>
                <w:szCs w:val="22"/>
              </w:rPr>
              <w:t>30.0 (25.5, 33.3)</w:t>
            </w:r>
          </w:p>
        </w:tc>
      </w:tr>
      <w:tr w:rsidR="00050A6D" w:rsidRPr="006A2D07" w14:paraId="1BE7F97C" w14:textId="77777777" w:rsidTr="000E2989">
        <w:trPr>
          <w:trHeight w:val="320"/>
        </w:trPr>
        <w:tc>
          <w:tcPr>
            <w:tcW w:w="2694" w:type="dxa"/>
            <w:shd w:val="clear" w:color="auto" w:fill="auto"/>
            <w:noWrap/>
            <w:vAlign w:val="bottom"/>
          </w:tcPr>
          <w:p w14:paraId="6F8BE345" w14:textId="10F32A31" w:rsidR="000E2989" w:rsidRPr="006A2D07" w:rsidRDefault="000E2989" w:rsidP="001A64D3">
            <w:pPr>
              <w:spacing w:line="360" w:lineRule="auto"/>
              <w:rPr>
                <w:color w:val="000000" w:themeColor="text1"/>
                <w:sz w:val="22"/>
                <w:szCs w:val="22"/>
              </w:rPr>
            </w:pPr>
            <w:r w:rsidRPr="006A2D07">
              <w:rPr>
                <w:color w:val="000000" w:themeColor="text1"/>
                <w:sz w:val="22"/>
                <w:szCs w:val="22"/>
              </w:rPr>
              <w:t>Maternal height (cm)</w:t>
            </w:r>
            <w:r w:rsidR="00593EAF">
              <w:rPr>
                <w:color w:val="000000" w:themeColor="text1"/>
                <w:sz w:val="22"/>
                <w:szCs w:val="22"/>
                <w:vertAlign w:val="superscript"/>
              </w:rPr>
              <w:t>3</w:t>
            </w:r>
          </w:p>
        </w:tc>
        <w:tc>
          <w:tcPr>
            <w:tcW w:w="1985" w:type="dxa"/>
            <w:shd w:val="clear" w:color="auto" w:fill="auto"/>
            <w:noWrap/>
            <w:vAlign w:val="bottom"/>
          </w:tcPr>
          <w:p w14:paraId="649AC1C1" w14:textId="700C27FF" w:rsidR="000E2989" w:rsidRPr="006A2D07" w:rsidRDefault="000E2989" w:rsidP="001A64D3">
            <w:pPr>
              <w:spacing w:line="360" w:lineRule="auto"/>
              <w:rPr>
                <w:color w:val="000000" w:themeColor="text1"/>
                <w:sz w:val="22"/>
                <w:szCs w:val="22"/>
              </w:rPr>
            </w:pPr>
            <w:r w:rsidRPr="006A2D07">
              <w:rPr>
                <w:color w:val="000000" w:themeColor="text1"/>
                <w:sz w:val="22"/>
                <w:szCs w:val="22"/>
              </w:rPr>
              <w:t>151.4 (147.5, 155.0)</w:t>
            </w:r>
          </w:p>
        </w:tc>
        <w:tc>
          <w:tcPr>
            <w:tcW w:w="1984" w:type="dxa"/>
            <w:shd w:val="clear" w:color="auto" w:fill="auto"/>
            <w:vAlign w:val="bottom"/>
          </w:tcPr>
          <w:p w14:paraId="2007F457" w14:textId="77B71D31" w:rsidR="000E2989" w:rsidRPr="006A2D07" w:rsidRDefault="000E2989" w:rsidP="001A64D3">
            <w:pPr>
              <w:spacing w:line="360" w:lineRule="auto"/>
              <w:rPr>
                <w:color w:val="000000" w:themeColor="text1"/>
                <w:sz w:val="22"/>
                <w:szCs w:val="22"/>
              </w:rPr>
            </w:pPr>
            <w:r w:rsidRPr="006A2D07">
              <w:rPr>
                <w:color w:val="000000" w:themeColor="text1"/>
                <w:sz w:val="22"/>
                <w:szCs w:val="22"/>
              </w:rPr>
              <w:t>151.0 (147.5, 155.0)</w:t>
            </w:r>
          </w:p>
        </w:tc>
        <w:tc>
          <w:tcPr>
            <w:tcW w:w="2127" w:type="dxa"/>
            <w:shd w:val="clear" w:color="auto" w:fill="auto"/>
            <w:noWrap/>
            <w:vAlign w:val="bottom"/>
          </w:tcPr>
          <w:p w14:paraId="6C355E4E" w14:textId="7E4F900E" w:rsidR="000E2989" w:rsidRPr="006A2D07" w:rsidRDefault="000E2989" w:rsidP="001A64D3">
            <w:pPr>
              <w:spacing w:line="360" w:lineRule="auto"/>
              <w:rPr>
                <w:color w:val="000000" w:themeColor="text1"/>
                <w:sz w:val="22"/>
                <w:szCs w:val="22"/>
              </w:rPr>
            </w:pPr>
            <w:r w:rsidRPr="006A2D07">
              <w:rPr>
                <w:color w:val="000000" w:themeColor="text1"/>
                <w:sz w:val="22"/>
                <w:szCs w:val="22"/>
              </w:rPr>
              <w:t>161.6 (157.6, 165.0)</w:t>
            </w:r>
          </w:p>
        </w:tc>
        <w:tc>
          <w:tcPr>
            <w:tcW w:w="1984" w:type="dxa"/>
            <w:shd w:val="clear" w:color="auto" w:fill="auto"/>
            <w:vAlign w:val="bottom"/>
          </w:tcPr>
          <w:p w14:paraId="566FD916" w14:textId="726D5377" w:rsidR="000E2989" w:rsidRPr="006A2D07" w:rsidRDefault="000E2989" w:rsidP="001A64D3">
            <w:pPr>
              <w:spacing w:line="360" w:lineRule="auto"/>
              <w:rPr>
                <w:color w:val="000000" w:themeColor="text1"/>
                <w:sz w:val="22"/>
                <w:szCs w:val="22"/>
              </w:rPr>
            </w:pPr>
            <w:r w:rsidRPr="006A2D07">
              <w:rPr>
                <w:color w:val="000000" w:themeColor="text1"/>
                <w:sz w:val="22"/>
                <w:szCs w:val="22"/>
              </w:rPr>
              <w:t>160.4 (156.7, 163.9)</w:t>
            </w:r>
          </w:p>
        </w:tc>
      </w:tr>
      <w:tr w:rsidR="00050A6D" w:rsidRPr="006A2D07" w14:paraId="0AAF5837" w14:textId="77777777" w:rsidTr="000E2989">
        <w:trPr>
          <w:trHeight w:val="320"/>
        </w:trPr>
        <w:tc>
          <w:tcPr>
            <w:tcW w:w="2694" w:type="dxa"/>
            <w:shd w:val="clear" w:color="auto" w:fill="auto"/>
            <w:noWrap/>
            <w:vAlign w:val="bottom"/>
          </w:tcPr>
          <w:p w14:paraId="04D7D1B4" w14:textId="1500D934" w:rsidR="000E2989" w:rsidRPr="006A2D07" w:rsidRDefault="000E2989" w:rsidP="001A64D3">
            <w:pPr>
              <w:spacing w:line="360" w:lineRule="auto"/>
              <w:rPr>
                <w:b/>
                <w:color w:val="000000" w:themeColor="text1"/>
                <w:sz w:val="22"/>
                <w:szCs w:val="22"/>
              </w:rPr>
            </w:pPr>
            <w:r w:rsidRPr="006A2D07">
              <w:rPr>
                <w:color w:val="000000" w:themeColor="text1"/>
                <w:sz w:val="22"/>
                <w:szCs w:val="22"/>
              </w:rPr>
              <w:t>Maternal BMI</w:t>
            </w:r>
            <w:r w:rsidR="00593EAF">
              <w:rPr>
                <w:color w:val="000000" w:themeColor="text1"/>
                <w:sz w:val="22"/>
                <w:szCs w:val="22"/>
                <w:vertAlign w:val="superscript"/>
              </w:rPr>
              <w:t>3</w:t>
            </w:r>
          </w:p>
        </w:tc>
        <w:tc>
          <w:tcPr>
            <w:tcW w:w="1985" w:type="dxa"/>
            <w:shd w:val="clear" w:color="auto" w:fill="auto"/>
            <w:noWrap/>
            <w:vAlign w:val="bottom"/>
          </w:tcPr>
          <w:p w14:paraId="6694A242" w14:textId="0C825C9B" w:rsidR="000E2989" w:rsidRPr="006A2D07" w:rsidRDefault="000E2989" w:rsidP="001A64D3">
            <w:pPr>
              <w:spacing w:line="360" w:lineRule="auto"/>
              <w:rPr>
                <w:color w:val="000000" w:themeColor="text1"/>
                <w:sz w:val="22"/>
                <w:szCs w:val="22"/>
              </w:rPr>
            </w:pPr>
            <w:r w:rsidRPr="006A2D07">
              <w:rPr>
                <w:color w:val="000000" w:themeColor="text1"/>
                <w:sz w:val="22"/>
                <w:szCs w:val="22"/>
              </w:rPr>
              <w:t>19.1 (17.5, 21.8)</w:t>
            </w:r>
          </w:p>
        </w:tc>
        <w:tc>
          <w:tcPr>
            <w:tcW w:w="1984" w:type="dxa"/>
            <w:shd w:val="clear" w:color="auto" w:fill="auto"/>
            <w:vAlign w:val="bottom"/>
          </w:tcPr>
          <w:p w14:paraId="6F219CD5" w14:textId="2235F6D8" w:rsidR="000E2989" w:rsidRPr="006A2D07" w:rsidRDefault="000E2989" w:rsidP="001A64D3">
            <w:pPr>
              <w:spacing w:line="360" w:lineRule="auto"/>
              <w:rPr>
                <w:color w:val="000000" w:themeColor="text1"/>
                <w:sz w:val="22"/>
                <w:szCs w:val="22"/>
              </w:rPr>
            </w:pPr>
            <w:r w:rsidRPr="006A2D07">
              <w:rPr>
                <w:color w:val="000000" w:themeColor="text1"/>
                <w:sz w:val="22"/>
                <w:szCs w:val="22"/>
              </w:rPr>
              <w:t>19.9 (17.9, 22.8)</w:t>
            </w:r>
          </w:p>
        </w:tc>
        <w:tc>
          <w:tcPr>
            <w:tcW w:w="2127" w:type="dxa"/>
            <w:shd w:val="clear" w:color="auto" w:fill="auto"/>
            <w:noWrap/>
            <w:vAlign w:val="bottom"/>
          </w:tcPr>
          <w:p w14:paraId="778A95EE" w14:textId="72840306" w:rsidR="000E2989" w:rsidRPr="006A2D07" w:rsidRDefault="000E2989" w:rsidP="001A64D3">
            <w:pPr>
              <w:spacing w:line="360" w:lineRule="auto"/>
              <w:rPr>
                <w:color w:val="000000" w:themeColor="text1"/>
                <w:sz w:val="22"/>
                <w:szCs w:val="22"/>
              </w:rPr>
            </w:pPr>
            <w:r w:rsidRPr="006A2D07">
              <w:rPr>
                <w:color w:val="000000" w:themeColor="text1"/>
                <w:sz w:val="22"/>
                <w:szCs w:val="22"/>
              </w:rPr>
              <w:t>20.6 (19.3, 22.5)</w:t>
            </w:r>
          </w:p>
        </w:tc>
        <w:tc>
          <w:tcPr>
            <w:tcW w:w="1984" w:type="dxa"/>
            <w:shd w:val="clear" w:color="auto" w:fill="auto"/>
            <w:vAlign w:val="bottom"/>
          </w:tcPr>
          <w:p w14:paraId="1AA6C3B9" w14:textId="4CC21F52" w:rsidR="000E2989" w:rsidRPr="006A2D07" w:rsidRDefault="000E2989" w:rsidP="001A64D3">
            <w:pPr>
              <w:spacing w:line="360" w:lineRule="auto"/>
              <w:rPr>
                <w:color w:val="000000" w:themeColor="text1"/>
                <w:sz w:val="22"/>
                <w:szCs w:val="22"/>
              </w:rPr>
            </w:pPr>
            <w:r w:rsidRPr="006A2D07">
              <w:rPr>
                <w:color w:val="000000" w:themeColor="text1"/>
                <w:sz w:val="22"/>
                <w:szCs w:val="22"/>
              </w:rPr>
              <w:t>20.9 (19.5, 23.4)</w:t>
            </w:r>
          </w:p>
        </w:tc>
      </w:tr>
    </w:tbl>
    <w:p w14:paraId="1D180F71" w14:textId="77777777" w:rsidR="004B7D68" w:rsidRPr="005A28F5" w:rsidRDefault="004B7D68" w:rsidP="001A64D3">
      <w:pPr>
        <w:spacing w:line="360" w:lineRule="auto"/>
        <w:jc w:val="both"/>
        <w:rPr>
          <w:b/>
          <w:bCs/>
          <w:color w:val="000000" w:themeColor="text1"/>
          <w:u w:color="000000"/>
        </w:rPr>
      </w:pPr>
    </w:p>
    <w:p w14:paraId="3F1535E5" w14:textId="77CCD1B0" w:rsidR="004B7D68" w:rsidRPr="006A2D07" w:rsidRDefault="004B7D68" w:rsidP="001A64D3">
      <w:pPr>
        <w:spacing w:line="360" w:lineRule="auto"/>
        <w:jc w:val="both"/>
        <w:rPr>
          <w:color w:val="000000" w:themeColor="text1"/>
          <w:sz w:val="22"/>
          <w:szCs w:val="22"/>
          <w:lang w:val="en-US"/>
        </w:rPr>
      </w:pPr>
      <w:r w:rsidRPr="006A2D07">
        <w:rPr>
          <w:color w:val="000000" w:themeColor="text1"/>
          <w:sz w:val="22"/>
          <w:szCs w:val="22"/>
        </w:rPr>
        <w:t xml:space="preserve">MMNP – </w:t>
      </w:r>
      <w:r w:rsidRPr="006A2D07">
        <w:rPr>
          <w:color w:val="000000" w:themeColor="text1"/>
          <w:sz w:val="22"/>
          <w:szCs w:val="22"/>
          <w:lang w:val="en-US"/>
        </w:rPr>
        <w:t>Mumbai Maternal Nutrition Project</w:t>
      </w:r>
      <w:r w:rsidRPr="006A2D07">
        <w:rPr>
          <w:color w:val="000000" w:themeColor="text1"/>
          <w:sz w:val="22"/>
          <w:szCs w:val="22"/>
        </w:rPr>
        <w:t xml:space="preserve">, India; PMMST – </w:t>
      </w:r>
      <w:r w:rsidR="00525CC1" w:rsidRPr="006A2D07">
        <w:rPr>
          <w:color w:val="000000" w:themeColor="text1"/>
          <w:sz w:val="22"/>
          <w:szCs w:val="22"/>
          <w:lang w:val="en-US"/>
        </w:rPr>
        <w:t>Peri</w:t>
      </w:r>
      <w:r w:rsidRPr="006A2D07">
        <w:rPr>
          <w:color w:val="000000" w:themeColor="text1"/>
          <w:sz w:val="22"/>
          <w:szCs w:val="22"/>
          <w:lang w:val="en-US"/>
        </w:rPr>
        <w:t>conceptional Multiple Micronutrient Supplementation Trial</w:t>
      </w:r>
      <w:r w:rsidRPr="006A2D07">
        <w:rPr>
          <w:color w:val="000000" w:themeColor="text1"/>
          <w:sz w:val="22"/>
          <w:szCs w:val="22"/>
        </w:rPr>
        <w:t xml:space="preserve">, The Gambia; UNIMMAP - United Nations Multiple Micronutrient Preparation (UNIMMAP) tablet; n - sample size, EPIC - </w:t>
      </w:r>
      <w:r w:rsidRPr="006A2D07">
        <w:rPr>
          <w:color w:val="000000" w:themeColor="text1"/>
          <w:sz w:val="22"/>
          <w:szCs w:val="22"/>
          <w:lang w:val="en-US"/>
        </w:rPr>
        <w:t>Illumina MethylationEPIC BeadChip;</w:t>
      </w:r>
      <w:r w:rsidRPr="006A2D07">
        <w:rPr>
          <w:color w:val="000000" w:themeColor="text1"/>
          <w:sz w:val="22"/>
          <w:szCs w:val="22"/>
        </w:rPr>
        <w:t xml:space="preserve"> GSA – </w:t>
      </w:r>
      <w:r w:rsidRPr="006A2D07">
        <w:rPr>
          <w:color w:val="000000" w:themeColor="text1"/>
          <w:sz w:val="22"/>
          <w:szCs w:val="22"/>
          <w:lang w:val="en-US"/>
        </w:rPr>
        <w:t xml:space="preserve">Global Screening Array-24 v1.0 </w:t>
      </w:r>
      <w:proofErr w:type="spellStart"/>
      <w:r w:rsidRPr="006A2D07">
        <w:rPr>
          <w:color w:val="000000" w:themeColor="text1"/>
          <w:sz w:val="22"/>
          <w:szCs w:val="22"/>
          <w:lang w:val="en-US"/>
        </w:rPr>
        <w:t>Beadchip</w:t>
      </w:r>
      <w:proofErr w:type="spellEnd"/>
      <w:r w:rsidRPr="006A2D07">
        <w:rPr>
          <w:color w:val="000000" w:themeColor="text1"/>
          <w:sz w:val="22"/>
          <w:szCs w:val="22"/>
          <w:lang w:val="en-US"/>
        </w:rPr>
        <w:t xml:space="preserve"> (genotyping)</w:t>
      </w:r>
      <w:r w:rsidR="00D70FA7">
        <w:rPr>
          <w:color w:val="000000" w:themeColor="text1"/>
          <w:sz w:val="22"/>
          <w:szCs w:val="22"/>
          <w:lang w:val="en-US"/>
        </w:rPr>
        <w:t>, BMI, Body mass index</w:t>
      </w:r>
      <w:r w:rsidRPr="006A2D07">
        <w:rPr>
          <w:color w:val="000000" w:themeColor="text1"/>
          <w:sz w:val="22"/>
          <w:szCs w:val="22"/>
          <w:lang w:val="en-US"/>
        </w:rPr>
        <w:t xml:space="preserve">. NA – non applicable. </w:t>
      </w:r>
      <w:r w:rsidR="00593EAF" w:rsidRPr="00C24972">
        <w:rPr>
          <w:color w:val="000000" w:themeColor="text1"/>
          <w:sz w:val="22"/>
          <w:szCs w:val="22"/>
          <w:vertAlign w:val="superscript"/>
          <w:lang w:val="en-US"/>
        </w:rPr>
        <w:t>1</w:t>
      </w:r>
      <w:r w:rsidR="00595BE8">
        <w:rPr>
          <w:color w:val="000000" w:themeColor="text1"/>
          <w:sz w:val="22"/>
          <w:szCs w:val="22"/>
          <w:lang w:val="en-US"/>
        </w:rPr>
        <w:t>Duration of</w:t>
      </w:r>
      <w:r w:rsidRPr="006A2D07">
        <w:rPr>
          <w:color w:val="000000" w:themeColor="text1"/>
          <w:sz w:val="22"/>
          <w:szCs w:val="22"/>
          <w:lang w:val="en-US"/>
        </w:rPr>
        <w:t xml:space="preserve"> supplementation </w:t>
      </w:r>
      <w:r w:rsidR="00595BE8">
        <w:rPr>
          <w:color w:val="000000" w:themeColor="text1"/>
          <w:sz w:val="22"/>
          <w:szCs w:val="22"/>
          <w:lang w:val="en-US"/>
        </w:rPr>
        <w:t xml:space="preserve">[median (IQR)]: India </w:t>
      </w:r>
      <w:r w:rsidR="00595BE8" w:rsidRPr="00595BE8">
        <w:rPr>
          <w:color w:val="000000" w:themeColor="text1"/>
          <w:sz w:val="22"/>
          <w:szCs w:val="22"/>
          <w:lang w:val="en-US"/>
        </w:rPr>
        <w:t>46.1</w:t>
      </w:r>
      <w:r w:rsidR="00595BE8">
        <w:rPr>
          <w:color w:val="000000" w:themeColor="text1"/>
          <w:sz w:val="22"/>
          <w:szCs w:val="22"/>
          <w:lang w:val="en-US"/>
        </w:rPr>
        <w:t xml:space="preserve"> weeks</w:t>
      </w:r>
      <w:r w:rsidR="00595BE8" w:rsidRPr="00595BE8">
        <w:rPr>
          <w:color w:val="000000" w:themeColor="text1"/>
          <w:sz w:val="22"/>
          <w:szCs w:val="22"/>
          <w:lang w:val="en-US"/>
        </w:rPr>
        <w:t xml:space="preserve"> (25.9, 85.0)</w:t>
      </w:r>
      <w:r w:rsidR="00595BE8">
        <w:rPr>
          <w:color w:val="000000" w:themeColor="text1"/>
          <w:sz w:val="22"/>
          <w:szCs w:val="22"/>
          <w:lang w:val="en-US"/>
        </w:rPr>
        <w:t xml:space="preserve"> supplementation start to conception; Gambia:</w:t>
      </w:r>
      <w:r w:rsidR="00595BE8" w:rsidRPr="00595BE8">
        <w:rPr>
          <w:color w:val="000000" w:themeColor="text1"/>
          <w:sz w:val="22"/>
          <w:szCs w:val="22"/>
          <w:lang w:val="en-US"/>
        </w:rPr>
        <w:t xml:space="preserve"> </w:t>
      </w:r>
      <w:r w:rsidR="00E50B2F" w:rsidRPr="008E79CE">
        <w:rPr>
          <w:color w:val="000000" w:themeColor="text1"/>
          <w:sz w:val="22"/>
          <w:szCs w:val="22"/>
          <w:lang w:val="en-US"/>
        </w:rPr>
        <w:t>24.1 w</w:t>
      </w:r>
      <w:r w:rsidR="00E50B2F">
        <w:rPr>
          <w:color w:val="000000" w:themeColor="text1"/>
          <w:sz w:val="22"/>
          <w:szCs w:val="22"/>
          <w:lang w:val="en-US"/>
        </w:rPr>
        <w:t>ee</w:t>
      </w:r>
      <w:r w:rsidR="00E50B2F" w:rsidRPr="008E79CE">
        <w:rPr>
          <w:color w:val="000000" w:themeColor="text1"/>
          <w:sz w:val="22"/>
          <w:szCs w:val="22"/>
          <w:lang w:val="en-US"/>
        </w:rPr>
        <w:t>k</w:t>
      </w:r>
      <w:r w:rsidR="00E50B2F">
        <w:rPr>
          <w:color w:val="000000" w:themeColor="text1"/>
          <w:sz w:val="22"/>
          <w:szCs w:val="22"/>
          <w:lang w:val="en-US"/>
        </w:rPr>
        <w:t>s</w:t>
      </w:r>
      <w:r w:rsidR="00E50B2F" w:rsidRPr="008E79CE">
        <w:rPr>
          <w:color w:val="000000" w:themeColor="text1"/>
          <w:sz w:val="22"/>
          <w:szCs w:val="22"/>
          <w:lang w:val="en-US"/>
        </w:rPr>
        <w:t xml:space="preserve"> (IQR: 13.1</w:t>
      </w:r>
      <w:r w:rsidR="00E50B2F">
        <w:rPr>
          <w:color w:val="000000" w:themeColor="text1"/>
          <w:sz w:val="22"/>
          <w:szCs w:val="22"/>
          <w:lang w:val="en-US"/>
        </w:rPr>
        <w:t xml:space="preserve">, </w:t>
      </w:r>
      <w:r w:rsidR="00E50B2F" w:rsidRPr="008E79CE">
        <w:rPr>
          <w:color w:val="000000" w:themeColor="text1"/>
          <w:sz w:val="22"/>
          <w:szCs w:val="22"/>
          <w:lang w:val="en-US"/>
        </w:rPr>
        <w:t>43.1)</w:t>
      </w:r>
      <w:r w:rsidR="00595BE8">
        <w:rPr>
          <w:color w:val="000000" w:themeColor="text1"/>
          <w:sz w:val="22"/>
          <w:szCs w:val="22"/>
          <w:lang w:val="en-US"/>
        </w:rPr>
        <w:t xml:space="preserve"> supplementation start to date of </w:t>
      </w:r>
      <w:r w:rsidR="00D70FA7">
        <w:rPr>
          <w:color w:val="000000" w:themeColor="text1"/>
          <w:sz w:val="22"/>
          <w:szCs w:val="22"/>
          <w:lang w:val="en-US"/>
        </w:rPr>
        <w:t>last menstrual period</w:t>
      </w:r>
      <w:r w:rsidRPr="006A2D07">
        <w:rPr>
          <w:color w:val="000000" w:themeColor="text1"/>
          <w:sz w:val="22"/>
          <w:szCs w:val="22"/>
          <w:lang w:val="en-US"/>
        </w:rPr>
        <w:t>.</w:t>
      </w:r>
      <w:r w:rsidR="002E025F" w:rsidRPr="006A2D07">
        <w:rPr>
          <w:color w:val="000000" w:themeColor="text1"/>
          <w:sz w:val="22"/>
          <w:szCs w:val="22"/>
          <w:lang w:val="en-US"/>
        </w:rPr>
        <w:t xml:space="preserve"> </w:t>
      </w:r>
      <w:r w:rsidR="00593EAF">
        <w:rPr>
          <w:color w:val="000000" w:themeColor="text1"/>
          <w:sz w:val="22"/>
          <w:szCs w:val="22"/>
          <w:vertAlign w:val="superscript"/>
          <w:lang w:val="en-US"/>
        </w:rPr>
        <w:t>2</w:t>
      </w:r>
      <w:r w:rsidR="00585465">
        <w:rPr>
          <w:color w:val="000000" w:themeColor="text1"/>
          <w:sz w:val="22"/>
          <w:szCs w:val="22"/>
          <w:lang w:val="en-US"/>
        </w:rPr>
        <w:t xml:space="preserve">numbers </w:t>
      </w:r>
      <w:r w:rsidR="006A6FC0" w:rsidRPr="009672F1">
        <w:rPr>
          <w:color w:val="000000" w:themeColor="text1"/>
          <w:sz w:val="22"/>
          <w:szCs w:val="22"/>
          <w:lang w:val="en-US"/>
        </w:rPr>
        <w:t>pre-QC</w:t>
      </w:r>
      <w:r w:rsidR="00E563CE" w:rsidRPr="009672F1">
        <w:rPr>
          <w:color w:val="000000" w:themeColor="text1"/>
          <w:sz w:val="22"/>
          <w:szCs w:val="22"/>
          <w:lang w:val="en-US"/>
        </w:rPr>
        <w:t xml:space="preserve"> </w:t>
      </w:r>
      <w:r w:rsidR="006A6FC0" w:rsidRPr="009672F1">
        <w:rPr>
          <w:color w:val="000000" w:themeColor="text1"/>
          <w:sz w:val="22"/>
          <w:szCs w:val="22"/>
          <w:lang w:val="en-US"/>
        </w:rPr>
        <w:t>(</w:t>
      </w:r>
      <w:r w:rsidR="002E025F" w:rsidRPr="009672F1">
        <w:rPr>
          <w:color w:val="000000" w:themeColor="text1"/>
          <w:sz w:val="22"/>
          <w:szCs w:val="22"/>
          <w:lang w:val="en-US"/>
        </w:rPr>
        <w:t>intervention/control</w:t>
      </w:r>
      <w:r w:rsidR="006A6FC0" w:rsidRPr="009672F1">
        <w:rPr>
          <w:color w:val="000000" w:themeColor="text1"/>
          <w:sz w:val="22"/>
          <w:szCs w:val="22"/>
          <w:lang w:val="en-US"/>
        </w:rPr>
        <w:t>)</w:t>
      </w:r>
      <w:r w:rsidR="000E2989" w:rsidRPr="009672F1">
        <w:rPr>
          <w:color w:val="000000" w:themeColor="text1"/>
          <w:sz w:val="22"/>
          <w:szCs w:val="22"/>
          <w:lang w:val="en-US"/>
        </w:rPr>
        <w:t>;</w:t>
      </w:r>
      <w:r w:rsidR="000E2989" w:rsidRPr="006A2D07">
        <w:rPr>
          <w:color w:val="000000" w:themeColor="text1"/>
          <w:sz w:val="22"/>
          <w:szCs w:val="22"/>
          <w:lang w:val="en-US"/>
        </w:rPr>
        <w:t xml:space="preserve"> </w:t>
      </w:r>
      <w:r w:rsidR="00593EAF">
        <w:rPr>
          <w:color w:val="000000" w:themeColor="text1"/>
          <w:sz w:val="22"/>
          <w:szCs w:val="22"/>
          <w:vertAlign w:val="superscript"/>
        </w:rPr>
        <w:t>3</w:t>
      </w:r>
      <w:r w:rsidR="00593EAF" w:rsidRPr="006A2D07">
        <w:rPr>
          <w:color w:val="000000" w:themeColor="text1"/>
          <w:sz w:val="22"/>
          <w:szCs w:val="22"/>
        </w:rPr>
        <w:t xml:space="preserve"> </w:t>
      </w:r>
      <w:r w:rsidR="00737694" w:rsidRPr="006A2D07">
        <w:rPr>
          <w:color w:val="000000" w:themeColor="text1"/>
          <w:sz w:val="22"/>
          <w:szCs w:val="22"/>
        </w:rPr>
        <w:t>median (IQR).</w:t>
      </w:r>
      <w:r w:rsidR="00D70FA7">
        <w:rPr>
          <w:color w:val="000000" w:themeColor="text1"/>
          <w:sz w:val="22"/>
          <w:szCs w:val="22"/>
        </w:rPr>
        <w:t xml:space="preserve"> IQR, interquartile range</w:t>
      </w:r>
      <w:r w:rsidR="006B0346">
        <w:rPr>
          <w:color w:val="000000" w:themeColor="text1"/>
          <w:sz w:val="22"/>
          <w:szCs w:val="22"/>
        </w:rPr>
        <w:t>; QC, quality control.</w:t>
      </w:r>
    </w:p>
    <w:p w14:paraId="32F918F1" w14:textId="6B2CBBB7" w:rsidR="004B7D68" w:rsidRPr="005A28F5" w:rsidRDefault="004B7D68" w:rsidP="001A64D3">
      <w:pPr>
        <w:spacing w:line="360" w:lineRule="auto"/>
        <w:jc w:val="both"/>
        <w:rPr>
          <w:color w:val="000000" w:themeColor="text1"/>
          <w:sz w:val="20"/>
          <w:szCs w:val="20"/>
          <w:lang w:val="en-US"/>
        </w:rPr>
      </w:pPr>
    </w:p>
    <w:p w14:paraId="2E2A5BE9" w14:textId="77777777" w:rsidR="004B7D68" w:rsidRPr="005A28F5" w:rsidRDefault="004B7D68" w:rsidP="001A64D3">
      <w:pPr>
        <w:spacing w:line="360" w:lineRule="auto"/>
        <w:jc w:val="both"/>
        <w:rPr>
          <w:color w:val="000000" w:themeColor="text1"/>
          <w:sz w:val="20"/>
          <w:szCs w:val="20"/>
          <w:lang w:val="en-US"/>
        </w:rPr>
      </w:pPr>
    </w:p>
    <w:p w14:paraId="2F40A65C" w14:textId="77777777" w:rsidR="00570519" w:rsidRDefault="00570519" w:rsidP="001A64D3">
      <w:pPr>
        <w:spacing w:line="360" w:lineRule="auto"/>
        <w:jc w:val="both"/>
        <w:rPr>
          <w:color w:val="000000" w:themeColor="text1"/>
          <w:sz w:val="20"/>
          <w:szCs w:val="20"/>
          <w:lang w:val="en-US"/>
        </w:rPr>
        <w:sectPr w:rsidR="00570519" w:rsidSect="0061301D">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1134" w:left="1134" w:header="709" w:footer="851" w:gutter="0"/>
          <w:cols w:space="720"/>
        </w:sectPr>
      </w:pPr>
    </w:p>
    <w:p w14:paraId="1BE0B164" w14:textId="77777777" w:rsidR="00EE355D" w:rsidRDefault="00EE355D" w:rsidP="001A64D3">
      <w:pPr>
        <w:spacing w:line="360" w:lineRule="auto"/>
        <w:jc w:val="both"/>
        <w:rPr>
          <w:b/>
          <w:bCs/>
          <w:color w:val="000000"/>
          <w:u w:color="000000"/>
        </w:rPr>
      </w:pPr>
    </w:p>
    <w:p w14:paraId="78A1D339" w14:textId="0795401B" w:rsidR="000C43A2" w:rsidRDefault="000C43A2" w:rsidP="000C43A2">
      <w:pPr>
        <w:spacing w:line="360" w:lineRule="auto"/>
        <w:jc w:val="both"/>
        <w:rPr>
          <w:color w:val="000000" w:themeColor="text1"/>
        </w:rPr>
      </w:pPr>
      <w:r w:rsidRPr="006A2D07">
        <w:rPr>
          <w:b/>
          <w:bCs/>
          <w:color w:val="000000"/>
          <w:u w:color="000000"/>
        </w:rPr>
        <w:t xml:space="preserve">Table 2. </w:t>
      </w:r>
      <w:r w:rsidRPr="006A2D07">
        <w:rPr>
          <w:b/>
          <w:color w:val="000000" w:themeColor="text1"/>
        </w:rPr>
        <w:t>Differentially methylated positions identified in the Gambian intervention EWAS.</w:t>
      </w:r>
      <w:r w:rsidRPr="006A2D07">
        <w:rPr>
          <w:color w:val="000000" w:themeColor="text1"/>
        </w:rPr>
        <w:t xml:space="preserve"> </w:t>
      </w:r>
    </w:p>
    <w:p w14:paraId="441E5CC0" w14:textId="5BD910FC" w:rsidR="007E38A5" w:rsidRDefault="007E38A5" w:rsidP="000C43A2">
      <w:pPr>
        <w:spacing w:line="360" w:lineRule="auto"/>
        <w:jc w:val="both"/>
        <w:rPr>
          <w:color w:val="000000" w:themeColor="text1"/>
        </w:rPr>
      </w:pPr>
    </w:p>
    <w:p w14:paraId="316D6838" w14:textId="4D43E98F" w:rsidR="007E38A5" w:rsidRDefault="007E38A5" w:rsidP="000C43A2">
      <w:pPr>
        <w:spacing w:line="360" w:lineRule="auto"/>
        <w:jc w:val="both"/>
        <w:rPr>
          <w:color w:val="000000" w:themeColor="text1"/>
        </w:rPr>
      </w:pPr>
    </w:p>
    <w:p w14:paraId="4163FC26" w14:textId="33CD188B" w:rsidR="007E38A5" w:rsidRDefault="007E38A5" w:rsidP="000C43A2">
      <w:pPr>
        <w:spacing w:line="360" w:lineRule="auto"/>
        <w:jc w:val="both"/>
        <w:rPr>
          <w:color w:val="000000" w:themeColor="text1"/>
        </w:rPr>
      </w:pPr>
    </w:p>
    <w:tbl>
      <w:tblPr>
        <w:tblpPr w:leftFromText="180" w:rightFromText="180" w:vertAnchor="page" w:horzAnchor="margin" w:tblpY="2028"/>
        <w:tblW w:w="12703" w:type="dxa"/>
        <w:tblLook w:val="04A0" w:firstRow="1" w:lastRow="0" w:firstColumn="1" w:lastColumn="0" w:noHBand="0" w:noVBand="1"/>
      </w:tblPr>
      <w:tblGrid>
        <w:gridCol w:w="1320"/>
        <w:gridCol w:w="1280"/>
        <w:gridCol w:w="1540"/>
        <w:gridCol w:w="1247"/>
        <w:gridCol w:w="1093"/>
        <w:gridCol w:w="1100"/>
        <w:gridCol w:w="1140"/>
        <w:gridCol w:w="1650"/>
        <w:gridCol w:w="1650"/>
        <w:gridCol w:w="683"/>
      </w:tblGrid>
      <w:tr w:rsidR="00DE359F" w14:paraId="5DCBA1E6" w14:textId="77777777" w:rsidTr="008D706C">
        <w:trPr>
          <w:trHeight w:val="300"/>
        </w:trPr>
        <w:tc>
          <w:tcPr>
            <w:tcW w:w="1320" w:type="dxa"/>
            <w:tcBorders>
              <w:top w:val="nil"/>
              <w:left w:val="nil"/>
              <w:bottom w:val="nil"/>
              <w:right w:val="nil"/>
            </w:tcBorders>
            <w:shd w:val="clear" w:color="auto" w:fill="auto"/>
            <w:noWrap/>
            <w:vAlign w:val="bottom"/>
            <w:hideMark/>
          </w:tcPr>
          <w:p w14:paraId="55DE68C2" w14:textId="77777777" w:rsidR="00DE359F" w:rsidRDefault="00DE359F" w:rsidP="008D706C">
            <w:pPr>
              <w:rPr>
                <w:sz w:val="20"/>
                <w:szCs w:val="20"/>
                <w:lang w:eastAsia="en-GB"/>
              </w:rPr>
            </w:pPr>
          </w:p>
        </w:tc>
        <w:tc>
          <w:tcPr>
            <w:tcW w:w="1280" w:type="dxa"/>
            <w:tcBorders>
              <w:top w:val="nil"/>
              <w:left w:val="nil"/>
              <w:bottom w:val="nil"/>
              <w:right w:val="nil"/>
            </w:tcBorders>
            <w:shd w:val="clear" w:color="auto" w:fill="auto"/>
            <w:noWrap/>
            <w:vAlign w:val="bottom"/>
            <w:hideMark/>
          </w:tcPr>
          <w:p w14:paraId="5065C2A0" w14:textId="77777777" w:rsidR="00DE359F" w:rsidRDefault="00DE359F" w:rsidP="008D706C">
            <w:pPr>
              <w:rPr>
                <w:sz w:val="20"/>
                <w:szCs w:val="20"/>
              </w:rPr>
            </w:pPr>
          </w:p>
        </w:tc>
        <w:tc>
          <w:tcPr>
            <w:tcW w:w="1540" w:type="dxa"/>
            <w:tcBorders>
              <w:top w:val="nil"/>
              <w:left w:val="nil"/>
              <w:bottom w:val="nil"/>
              <w:right w:val="nil"/>
            </w:tcBorders>
            <w:shd w:val="clear" w:color="auto" w:fill="auto"/>
            <w:noWrap/>
            <w:vAlign w:val="bottom"/>
            <w:hideMark/>
          </w:tcPr>
          <w:p w14:paraId="6AE86065" w14:textId="77777777" w:rsidR="00DE359F" w:rsidRDefault="00DE359F" w:rsidP="008D706C">
            <w:pPr>
              <w:rPr>
                <w:sz w:val="20"/>
                <w:szCs w:val="20"/>
              </w:rPr>
            </w:pPr>
          </w:p>
        </w:tc>
        <w:tc>
          <w:tcPr>
            <w:tcW w:w="1247" w:type="dxa"/>
            <w:tcBorders>
              <w:top w:val="nil"/>
              <w:left w:val="nil"/>
              <w:bottom w:val="nil"/>
              <w:right w:val="nil"/>
            </w:tcBorders>
            <w:shd w:val="clear" w:color="auto" w:fill="auto"/>
            <w:noWrap/>
            <w:vAlign w:val="bottom"/>
            <w:hideMark/>
          </w:tcPr>
          <w:p w14:paraId="6FC6EE96" w14:textId="77777777" w:rsidR="00DE359F" w:rsidRDefault="00DE359F" w:rsidP="008D706C">
            <w:pPr>
              <w:rPr>
                <w:sz w:val="20"/>
                <w:szCs w:val="20"/>
              </w:rPr>
            </w:pPr>
          </w:p>
        </w:tc>
        <w:tc>
          <w:tcPr>
            <w:tcW w:w="1093" w:type="dxa"/>
            <w:tcBorders>
              <w:top w:val="nil"/>
              <w:left w:val="nil"/>
              <w:bottom w:val="nil"/>
              <w:right w:val="nil"/>
            </w:tcBorders>
            <w:shd w:val="clear" w:color="auto" w:fill="auto"/>
            <w:noWrap/>
            <w:vAlign w:val="bottom"/>
            <w:hideMark/>
          </w:tcPr>
          <w:p w14:paraId="3DBBDFE9" w14:textId="77777777" w:rsidR="00DE359F" w:rsidRDefault="00DE359F" w:rsidP="008D706C">
            <w:pPr>
              <w:rPr>
                <w:sz w:val="20"/>
                <w:szCs w:val="20"/>
              </w:rPr>
            </w:pPr>
          </w:p>
        </w:tc>
        <w:tc>
          <w:tcPr>
            <w:tcW w:w="1100" w:type="dxa"/>
            <w:tcBorders>
              <w:top w:val="nil"/>
              <w:left w:val="nil"/>
              <w:bottom w:val="nil"/>
              <w:right w:val="nil"/>
            </w:tcBorders>
            <w:shd w:val="clear" w:color="auto" w:fill="auto"/>
            <w:noWrap/>
            <w:vAlign w:val="bottom"/>
            <w:hideMark/>
          </w:tcPr>
          <w:p w14:paraId="6B89CB61" w14:textId="77777777" w:rsidR="00DE359F" w:rsidRDefault="00DE359F" w:rsidP="008D706C">
            <w:pPr>
              <w:rPr>
                <w:sz w:val="20"/>
                <w:szCs w:val="20"/>
              </w:rPr>
            </w:pPr>
          </w:p>
        </w:tc>
        <w:tc>
          <w:tcPr>
            <w:tcW w:w="1140" w:type="dxa"/>
            <w:tcBorders>
              <w:top w:val="nil"/>
              <w:left w:val="nil"/>
              <w:bottom w:val="nil"/>
              <w:right w:val="nil"/>
            </w:tcBorders>
            <w:shd w:val="clear" w:color="auto" w:fill="auto"/>
            <w:noWrap/>
            <w:vAlign w:val="bottom"/>
            <w:hideMark/>
          </w:tcPr>
          <w:p w14:paraId="204C2AFF" w14:textId="77777777" w:rsidR="00DE359F" w:rsidRDefault="00DE359F" w:rsidP="008D706C">
            <w:pPr>
              <w:rPr>
                <w:sz w:val="20"/>
                <w:szCs w:val="20"/>
              </w:rPr>
            </w:pPr>
          </w:p>
        </w:tc>
        <w:tc>
          <w:tcPr>
            <w:tcW w:w="3300" w:type="dxa"/>
            <w:gridSpan w:val="2"/>
            <w:tcBorders>
              <w:top w:val="nil"/>
              <w:left w:val="nil"/>
              <w:bottom w:val="single" w:sz="4" w:space="0" w:color="auto"/>
              <w:right w:val="nil"/>
            </w:tcBorders>
            <w:shd w:val="clear" w:color="000000" w:fill="FFFFFF"/>
            <w:vAlign w:val="center"/>
            <w:hideMark/>
          </w:tcPr>
          <w:p w14:paraId="251A3BB3" w14:textId="77777777" w:rsidR="00DE359F" w:rsidRDefault="00DE359F" w:rsidP="008D706C">
            <w:pPr>
              <w:jc w:val="center"/>
              <w:rPr>
                <w:b/>
                <w:bCs/>
                <w:color w:val="000000"/>
                <w:sz w:val="20"/>
                <w:szCs w:val="20"/>
              </w:rPr>
            </w:pPr>
            <w:r>
              <w:rPr>
                <w:b/>
                <w:bCs/>
                <w:color w:val="000000"/>
                <w:sz w:val="20"/>
                <w:szCs w:val="20"/>
              </w:rPr>
              <w:t>Beta variability – median (IQR)</w:t>
            </w:r>
          </w:p>
        </w:tc>
        <w:tc>
          <w:tcPr>
            <w:tcW w:w="683" w:type="dxa"/>
            <w:tcBorders>
              <w:top w:val="nil"/>
              <w:left w:val="nil"/>
              <w:bottom w:val="nil"/>
              <w:right w:val="nil"/>
            </w:tcBorders>
            <w:shd w:val="clear" w:color="auto" w:fill="auto"/>
            <w:noWrap/>
            <w:vAlign w:val="bottom"/>
            <w:hideMark/>
          </w:tcPr>
          <w:p w14:paraId="7A710B4E" w14:textId="77777777" w:rsidR="00DE359F" w:rsidRDefault="00DE359F" w:rsidP="008D706C">
            <w:pPr>
              <w:jc w:val="center"/>
              <w:rPr>
                <w:b/>
                <w:bCs/>
                <w:color w:val="000000"/>
                <w:sz w:val="20"/>
                <w:szCs w:val="20"/>
              </w:rPr>
            </w:pPr>
          </w:p>
        </w:tc>
      </w:tr>
      <w:tr w:rsidR="00DE359F" w14:paraId="1C9EB982" w14:textId="77777777" w:rsidTr="008D706C">
        <w:trPr>
          <w:trHeight w:val="300"/>
        </w:trPr>
        <w:tc>
          <w:tcPr>
            <w:tcW w:w="1320" w:type="dxa"/>
            <w:tcBorders>
              <w:top w:val="nil"/>
              <w:left w:val="nil"/>
              <w:bottom w:val="single" w:sz="4" w:space="0" w:color="auto"/>
              <w:right w:val="nil"/>
            </w:tcBorders>
            <w:shd w:val="clear" w:color="000000" w:fill="FFFFFF"/>
            <w:noWrap/>
            <w:vAlign w:val="center"/>
            <w:hideMark/>
          </w:tcPr>
          <w:p w14:paraId="680EEA6A" w14:textId="77777777" w:rsidR="00DE359F" w:rsidRDefault="00DE359F" w:rsidP="008D706C">
            <w:pPr>
              <w:jc w:val="center"/>
              <w:rPr>
                <w:b/>
                <w:bCs/>
                <w:color w:val="000000"/>
                <w:sz w:val="20"/>
                <w:szCs w:val="20"/>
              </w:rPr>
            </w:pPr>
            <w:r>
              <w:rPr>
                <w:b/>
                <w:bCs/>
                <w:color w:val="000000"/>
                <w:sz w:val="20"/>
                <w:szCs w:val="20"/>
              </w:rPr>
              <w:t> </w:t>
            </w:r>
          </w:p>
        </w:tc>
        <w:tc>
          <w:tcPr>
            <w:tcW w:w="1280" w:type="dxa"/>
            <w:tcBorders>
              <w:top w:val="nil"/>
              <w:left w:val="nil"/>
              <w:bottom w:val="single" w:sz="4" w:space="0" w:color="auto"/>
              <w:right w:val="nil"/>
            </w:tcBorders>
            <w:shd w:val="clear" w:color="000000" w:fill="FFFFFF"/>
            <w:noWrap/>
            <w:vAlign w:val="center"/>
            <w:hideMark/>
          </w:tcPr>
          <w:p w14:paraId="1F43D9FF" w14:textId="77777777" w:rsidR="00DE359F" w:rsidRDefault="00DE359F" w:rsidP="008D706C">
            <w:pPr>
              <w:jc w:val="center"/>
              <w:rPr>
                <w:b/>
                <w:bCs/>
                <w:color w:val="000000"/>
                <w:sz w:val="20"/>
                <w:szCs w:val="20"/>
              </w:rPr>
            </w:pPr>
            <w:r>
              <w:rPr>
                <w:b/>
                <w:bCs/>
                <w:color w:val="000000"/>
                <w:sz w:val="20"/>
                <w:szCs w:val="20"/>
              </w:rPr>
              <w:t> Probe</w:t>
            </w:r>
          </w:p>
        </w:tc>
        <w:tc>
          <w:tcPr>
            <w:tcW w:w="1540" w:type="dxa"/>
            <w:tcBorders>
              <w:top w:val="nil"/>
              <w:left w:val="nil"/>
              <w:bottom w:val="single" w:sz="4" w:space="0" w:color="auto"/>
              <w:right w:val="nil"/>
            </w:tcBorders>
            <w:shd w:val="clear" w:color="000000" w:fill="FFFFFF"/>
            <w:noWrap/>
            <w:vAlign w:val="center"/>
            <w:hideMark/>
          </w:tcPr>
          <w:p w14:paraId="090EDE49" w14:textId="77777777" w:rsidR="00DE359F" w:rsidRDefault="00DE359F" w:rsidP="008D706C">
            <w:pPr>
              <w:jc w:val="center"/>
              <w:rPr>
                <w:b/>
                <w:bCs/>
                <w:color w:val="000000"/>
                <w:sz w:val="20"/>
                <w:szCs w:val="20"/>
              </w:rPr>
            </w:pPr>
            <w:r>
              <w:rPr>
                <w:b/>
                <w:bCs/>
                <w:color w:val="000000"/>
                <w:sz w:val="20"/>
                <w:szCs w:val="20"/>
              </w:rPr>
              <w:t>Location</w:t>
            </w:r>
          </w:p>
        </w:tc>
        <w:tc>
          <w:tcPr>
            <w:tcW w:w="1247" w:type="dxa"/>
            <w:tcBorders>
              <w:top w:val="nil"/>
              <w:left w:val="nil"/>
              <w:bottom w:val="single" w:sz="4" w:space="0" w:color="auto"/>
              <w:right w:val="nil"/>
            </w:tcBorders>
            <w:shd w:val="clear" w:color="000000" w:fill="FFFFFF"/>
            <w:noWrap/>
            <w:vAlign w:val="center"/>
            <w:hideMark/>
          </w:tcPr>
          <w:p w14:paraId="1A725769" w14:textId="77777777" w:rsidR="00DE359F" w:rsidRDefault="00DE359F" w:rsidP="008D706C">
            <w:pPr>
              <w:jc w:val="center"/>
              <w:rPr>
                <w:b/>
                <w:bCs/>
                <w:color w:val="000000"/>
                <w:sz w:val="20"/>
                <w:szCs w:val="20"/>
              </w:rPr>
            </w:pPr>
            <w:r>
              <w:rPr>
                <w:b/>
                <w:bCs/>
                <w:color w:val="000000"/>
                <w:sz w:val="20"/>
                <w:szCs w:val="20"/>
              </w:rPr>
              <w:t>Gene</w:t>
            </w:r>
          </w:p>
        </w:tc>
        <w:tc>
          <w:tcPr>
            <w:tcW w:w="1093" w:type="dxa"/>
            <w:tcBorders>
              <w:top w:val="nil"/>
              <w:left w:val="nil"/>
              <w:bottom w:val="single" w:sz="4" w:space="0" w:color="auto"/>
              <w:right w:val="nil"/>
            </w:tcBorders>
            <w:shd w:val="clear" w:color="000000" w:fill="FFFFFF"/>
            <w:noWrap/>
            <w:vAlign w:val="center"/>
            <w:hideMark/>
          </w:tcPr>
          <w:p w14:paraId="2F901629" w14:textId="77777777" w:rsidR="00DE359F" w:rsidRDefault="00DE359F" w:rsidP="008D706C">
            <w:pPr>
              <w:jc w:val="center"/>
              <w:rPr>
                <w:b/>
                <w:bCs/>
                <w:color w:val="000000"/>
                <w:sz w:val="20"/>
                <w:szCs w:val="20"/>
              </w:rPr>
            </w:pPr>
            <w:r>
              <w:rPr>
                <w:b/>
                <w:bCs/>
                <w:color w:val="000000"/>
                <w:sz w:val="20"/>
                <w:szCs w:val="20"/>
              </w:rPr>
              <w:t>p value</w:t>
            </w:r>
          </w:p>
        </w:tc>
        <w:tc>
          <w:tcPr>
            <w:tcW w:w="1100" w:type="dxa"/>
            <w:tcBorders>
              <w:top w:val="nil"/>
              <w:left w:val="nil"/>
              <w:bottom w:val="single" w:sz="4" w:space="0" w:color="auto"/>
              <w:right w:val="nil"/>
            </w:tcBorders>
            <w:shd w:val="clear" w:color="000000" w:fill="FFFFFF"/>
            <w:noWrap/>
            <w:vAlign w:val="center"/>
            <w:hideMark/>
          </w:tcPr>
          <w:p w14:paraId="45AEF384" w14:textId="77777777" w:rsidR="00DE359F" w:rsidRDefault="00DE359F" w:rsidP="008D706C">
            <w:pPr>
              <w:jc w:val="center"/>
              <w:rPr>
                <w:b/>
                <w:bCs/>
                <w:color w:val="000000"/>
                <w:sz w:val="20"/>
                <w:szCs w:val="20"/>
              </w:rPr>
            </w:pPr>
            <w:r>
              <w:rPr>
                <w:b/>
                <w:bCs/>
                <w:color w:val="000000"/>
                <w:sz w:val="20"/>
                <w:szCs w:val="20"/>
              </w:rPr>
              <w:t>FDR</w:t>
            </w:r>
          </w:p>
        </w:tc>
        <w:tc>
          <w:tcPr>
            <w:tcW w:w="1140" w:type="dxa"/>
            <w:tcBorders>
              <w:top w:val="nil"/>
              <w:left w:val="nil"/>
              <w:bottom w:val="single" w:sz="4" w:space="0" w:color="auto"/>
              <w:right w:val="nil"/>
            </w:tcBorders>
            <w:shd w:val="clear" w:color="000000" w:fill="FFFFFF"/>
            <w:noWrap/>
            <w:vAlign w:val="center"/>
            <w:hideMark/>
          </w:tcPr>
          <w:p w14:paraId="63C0F9E0" w14:textId="77777777" w:rsidR="00DE359F" w:rsidRDefault="00DE359F" w:rsidP="008D706C">
            <w:pPr>
              <w:jc w:val="center"/>
              <w:rPr>
                <w:b/>
                <w:bCs/>
                <w:color w:val="000000"/>
                <w:sz w:val="20"/>
                <w:szCs w:val="20"/>
              </w:rPr>
            </w:pPr>
            <w:r>
              <w:rPr>
                <w:b/>
                <w:bCs/>
                <w:color w:val="000000"/>
                <w:sz w:val="20"/>
                <w:szCs w:val="20"/>
              </w:rPr>
              <w:t>Delta Beta</w:t>
            </w:r>
          </w:p>
        </w:tc>
        <w:tc>
          <w:tcPr>
            <w:tcW w:w="1650" w:type="dxa"/>
            <w:tcBorders>
              <w:top w:val="nil"/>
              <w:left w:val="nil"/>
              <w:bottom w:val="single" w:sz="4" w:space="0" w:color="auto"/>
              <w:right w:val="nil"/>
            </w:tcBorders>
            <w:shd w:val="clear" w:color="000000" w:fill="FFFFFF"/>
            <w:noWrap/>
            <w:vAlign w:val="center"/>
            <w:hideMark/>
          </w:tcPr>
          <w:p w14:paraId="7D3EE7EE" w14:textId="77777777" w:rsidR="00DE359F" w:rsidRDefault="00DE359F" w:rsidP="008D706C">
            <w:pPr>
              <w:jc w:val="center"/>
              <w:rPr>
                <w:b/>
                <w:bCs/>
                <w:color w:val="000000"/>
                <w:sz w:val="20"/>
                <w:szCs w:val="20"/>
              </w:rPr>
            </w:pPr>
            <w:r>
              <w:rPr>
                <w:b/>
                <w:bCs/>
                <w:color w:val="000000"/>
                <w:sz w:val="20"/>
                <w:szCs w:val="20"/>
              </w:rPr>
              <w:t>Intervention</w:t>
            </w:r>
          </w:p>
        </w:tc>
        <w:tc>
          <w:tcPr>
            <w:tcW w:w="1650" w:type="dxa"/>
            <w:tcBorders>
              <w:top w:val="nil"/>
              <w:left w:val="nil"/>
              <w:bottom w:val="single" w:sz="4" w:space="0" w:color="auto"/>
              <w:right w:val="nil"/>
            </w:tcBorders>
            <w:shd w:val="clear" w:color="000000" w:fill="FFFFFF"/>
            <w:noWrap/>
            <w:vAlign w:val="center"/>
            <w:hideMark/>
          </w:tcPr>
          <w:p w14:paraId="71548254" w14:textId="77777777" w:rsidR="00DE359F" w:rsidRDefault="00DE359F" w:rsidP="008D706C">
            <w:pPr>
              <w:jc w:val="center"/>
              <w:rPr>
                <w:b/>
                <w:bCs/>
                <w:color w:val="000000"/>
                <w:sz w:val="20"/>
                <w:szCs w:val="20"/>
              </w:rPr>
            </w:pPr>
            <w:r>
              <w:rPr>
                <w:b/>
                <w:bCs/>
                <w:color w:val="000000"/>
                <w:sz w:val="20"/>
                <w:szCs w:val="20"/>
              </w:rPr>
              <w:t>Controls</w:t>
            </w:r>
          </w:p>
        </w:tc>
        <w:tc>
          <w:tcPr>
            <w:tcW w:w="683" w:type="dxa"/>
            <w:tcBorders>
              <w:top w:val="nil"/>
              <w:left w:val="nil"/>
              <w:bottom w:val="single" w:sz="4" w:space="0" w:color="auto"/>
              <w:right w:val="nil"/>
            </w:tcBorders>
            <w:shd w:val="clear" w:color="000000" w:fill="FFFFFF"/>
            <w:noWrap/>
            <w:vAlign w:val="center"/>
            <w:hideMark/>
          </w:tcPr>
          <w:p w14:paraId="5218CDDF" w14:textId="77777777" w:rsidR="00DE359F" w:rsidRDefault="00DE359F" w:rsidP="008D706C">
            <w:pPr>
              <w:jc w:val="center"/>
              <w:rPr>
                <w:b/>
                <w:bCs/>
                <w:color w:val="000000"/>
                <w:sz w:val="20"/>
                <w:szCs w:val="20"/>
              </w:rPr>
            </w:pPr>
            <w:r>
              <w:rPr>
                <w:b/>
                <w:bCs/>
                <w:color w:val="000000"/>
                <w:sz w:val="20"/>
                <w:szCs w:val="20"/>
              </w:rPr>
              <w:t>Rank</w:t>
            </w:r>
          </w:p>
        </w:tc>
      </w:tr>
      <w:tr w:rsidR="00DE359F" w14:paraId="7F939C7B" w14:textId="77777777" w:rsidTr="008D706C">
        <w:trPr>
          <w:trHeight w:val="300"/>
        </w:trPr>
        <w:tc>
          <w:tcPr>
            <w:tcW w:w="1320" w:type="dxa"/>
            <w:tcBorders>
              <w:top w:val="nil"/>
              <w:left w:val="nil"/>
              <w:bottom w:val="nil"/>
              <w:right w:val="nil"/>
            </w:tcBorders>
            <w:shd w:val="clear" w:color="000000" w:fill="FFFFFF"/>
            <w:noWrap/>
            <w:vAlign w:val="center"/>
            <w:hideMark/>
          </w:tcPr>
          <w:p w14:paraId="103F6D5F"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nil"/>
              <w:right w:val="nil"/>
            </w:tcBorders>
            <w:shd w:val="clear" w:color="000000" w:fill="FFFFFF"/>
            <w:noWrap/>
            <w:vAlign w:val="center"/>
            <w:hideMark/>
          </w:tcPr>
          <w:p w14:paraId="6C539161" w14:textId="77777777" w:rsidR="00DE359F" w:rsidRDefault="00DE359F" w:rsidP="008D706C">
            <w:pPr>
              <w:rPr>
                <w:color w:val="000000"/>
                <w:sz w:val="20"/>
                <w:szCs w:val="20"/>
              </w:rPr>
            </w:pPr>
            <w:r>
              <w:rPr>
                <w:color w:val="000000"/>
                <w:sz w:val="20"/>
                <w:szCs w:val="20"/>
              </w:rPr>
              <w:t>cg20451680</w:t>
            </w:r>
          </w:p>
        </w:tc>
        <w:tc>
          <w:tcPr>
            <w:tcW w:w="1540" w:type="dxa"/>
            <w:tcBorders>
              <w:top w:val="nil"/>
              <w:left w:val="nil"/>
              <w:bottom w:val="nil"/>
              <w:right w:val="nil"/>
            </w:tcBorders>
            <w:shd w:val="clear" w:color="000000" w:fill="FFFFFF"/>
            <w:noWrap/>
            <w:vAlign w:val="center"/>
            <w:hideMark/>
          </w:tcPr>
          <w:p w14:paraId="5CFD1519" w14:textId="77777777" w:rsidR="00DE359F" w:rsidRDefault="00DE359F" w:rsidP="008D706C">
            <w:pPr>
              <w:rPr>
                <w:color w:val="000000"/>
                <w:sz w:val="20"/>
                <w:szCs w:val="20"/>
              </w:rPr>
            </w:pPr>
            <w:r>
              <w:rPr>
                <w:color w:val="000000"/>
                <w:sz w:val="20"/>
                <w:szCs w:val="20"/>
              </w:rPr>
              <w:t>chr5:54281336</w:t>
            </w:r>
          </w:p>
        </w:tc>
        <w:tc>
          <w:tcPr>
            <w:tcW w:w="1247" w:type="dxa"/>
            <w:tcBorders>
              <w:top w:val="nil"/>
              <w:left w:val="nil"/>
              <w:bottom w:val="nil"/>
              <w:right w:val="nil"/>
            </w:tcBorders>
            <w:shd w:val="clear" w:color="000000" w:fill="FFFFFF"/>
            <w:noWrap/>
            <w:vAlign w:val="center"/>
            <w:hideMark/>
          </w:tcPr>
          <w:p w14:paraId="741F386B"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6CC466FE" w14:textId="77777777" w:rsidR="00DE359F" w:rsidRDefault="00DE359F" w:rsidP="008D706C">
            <w:pPr>
              <w:jc w:val="center"/>
              <w:rPr>
                <w:color w:val="000000"/>
                <w:sz w:val="20"/>
                <w:szCs w:val="20"/>
              </w:rPr>
            </w:pPr>
            <w:r>
              <w:rPr>
                <w:color w:val="000000"/>
                <w:sz w:val="20"/>
                <w:szCs w:val="20"/>
              </w:rPr>
              <w:t>6.36E-10</w:t>
            </w:r>
          </w:p>
        </w:tc>
        <w:tc>
          <w:tcPr>
            <w:tcW w:w="1100" w:type="dxa"/>
            <w:tcBorders>
              <w:top w:val="nil"/>
              <w:left w:val="nil"/>
              <w:bottom w:val="nil"/>
              <w:right w:val="nil"/>
            </w:tcBorders>
            <w:shd w:val="clear" w:color="000000" w:fill="FFFFFF"/>
            <w:noWrap/>
            <w:vAlign w:val="center"/>
            <w:hideMark/>
          </w:tcPr>
          <w:p w14:paraId="45AFFD82" w14:textId="77777777" w:rsidR="00DE359F" w:rsidRDefault="00DE359F" w:rsidP="008D706C">
            <w:pPr>
              <w:jc w:val="center"/>
              <w:rPr>
                <w:color w:val="000000"/>
                <w:sz w:val="20"/>
                <w:szCs w:val="20"/>
              </w:rPr>
            </w:pPr>
            <w:r>
              <w:rPr>
                <w:color w:val="000000"/>
                <w:sz w:val="20"/>
                <w:szCs w:val="20"/>
              </w:rPr>
              <w:t>5.10E-04</w:t>
            </w:r>
          </w:p>
        </w:tc>
        <w:tc>
          <w:tcPr>
            <w:tcW w:w="1140" w:type="dxa"/>
            <w:tcBorders>
              <w:top w:val="nil"/>
              <w:left w:val="nil"/>
              <w:bottom w:val="nil"/>
              <w:right w:val="nil"/>
            </w:tcBorders>
            <w:shd w:val="clear" w:color="000000" w:fill="FFFFFF"/>
            <w:noWrap/>
            <w:vAlign w:val="center"/>
            <w:hideMark/>
          </w:tcPr>
          <w:p w14:paraId="0B9D38F9" w14:textId="77777777" w:rsidR="00DE359F" w:rsidRDefault="00DE359F" w:rsidP="008D706C">
            <w:pPr>
              <w:jc w:val="right"/>
              <w:rPr>
                <w:color w:val="000000"/>
                <w:sz w:val="20"/>
                <w:szCs w:val="20"/>
              </w:rPr>
            </w:pPr>
            <w:r>
              <w:rPr>
                <w:color w:val="000000"/>
                <w:sz w:val="20"/>
                <w:szCs w:val="20"/>
              </w:rPr>
              <w:t>-0.0331</w:t>
            </w:r>
          </w:p>
        </w:tc>
        <w:tc>
          <w:tcPr>
            <w:tcW w:w="1650" w:type="dxa"/>
            <w:tcBorders>
              <w:top w:val="nil"/>
              <w:left w:val="nil"/>
              <w:bottom w:val="nil"/>
              <w:right w:val="nil"/>
            </w:tcBorders>
            <w:shd w:val="clear" w:color="000000" w:fill="FFFFFF"/>
            <w:noWrap/>
            <w:vAlign w:val="center"/>
            <w:hideMark/>
          </w:tcPr>
          <w:p w14:paraId="299F6CA5" w14:textId="77777777" w:rsidR="00DE359F" w:rsidRDefault="00DE359F" w:rsidP="008D706C">
            <w:pPr>
              <w:jc w:val="center"/>
              <w:rPr>
                <w:color w:val="000000"/>
                <w:sz w:val="20"/>
                <w:szCs w:val="20"/>
              </w:rPr>
            </w:pPr>
            <w:r>
              <w:rPr>
                <w:color w:val="000000"/>
                <w:sz w:val="20"/>
                <w:szCs w:val="20"/>
              </w:rPr>
              <w:t>0.53 (0.51,0.57)</w:t>
            </w:r>
          </w:p>
        </w:tc>
        <w:tc>
          <w:tcPr>
            <w:tcW w:w="1650" w:type="dxa"/>
            <w:tcBorders>
              <w:top w:val="nil"/>
              <w:left w:val="nil"/>
              <w:bottom w:val="nil"/>
              <w:right w:val="nil"/>
            </w:tcBorders>
            <w:shd w:val="clear" w:color="000000" w:fill="FFFFFF"/>
            <w:noWrap/>
            <w:vAlign w:val="center"/>
            <w:hideMark/>
          </w:tcPr>
          <w:p w14:paraId="6417B4A8" w14:textId="77777777" w:rsidR="00DE359F" w:rsidRDefault="00DE359F" w:rsidP="008D706C">
            <w:pPr>
              <w:jc w:val="center"/>
              <w:rPr>
                <w:color w:val="000000"/>
                <w:sz w:val="20"/>
                <w:szCs w:val="20"/>
              </w:rPr>
            </w:pPr>
            <w:r>
              <w:rPr>
                <w:color w:val="000000"/>
                <w:sz w:val="20"/>
                <w:szCs w:val="20"/>
              </w:rPr>
              <w:t>0.56 (0.54,0.6)</w:t>
            </w:r>
          </w:p>
        </w:tc>
        <w:tc>
          <w:tcPr>
            <w:tcW w:w="683" w:type="dxa"/>
            <w:tcBorders>
              <w:top w:val="nil"/>
              <w:left w:val="nil"/>
              <w:bottom w:val="nil"/>
              <w:right w:val="nil"/>
            </w:tcBorders>
            <w:shd w:val="clear" w:color="000000" w:fill="FFFFFF"/>
            <w:noWrap/>
            <w:vAlign w:val="center"/>
            <w:hideMark/>
          </w:tcPr>
          <w:p w14:paraId="7C7A6C24" w14:textId="77777777" w:rsidR="00DE359F" w:rsidRDefault="00DE359F" w:rsidP="008D706C">
            <w:pPr>
              <w:jc w:val="center"/>
              <w:rPr>
                <w:color w:val="000000"/>
                <w:sz w:val="20"/>
                <w:szCs w:val="20"/>
              </w:rPr>
            </w:pPr>
            <w:r>
              <w:rPr>
                <w:color w:val="000000"/>
                <w:sz w:val="20"/>
                <w:szCs w:val="20"/>
              </w:rPr>
              <w:t>1</w:t>
            </w:r>
          </w:p>
        </w:tc>
      </w:tr>
      <w:tr w:rsidR="00DE359F" w14:paraId="126FCC03" w14:textId="77777777" w:rsidTr="008D706C">
        <w:trPr>
          <w:trHeight w:val="300"/>
        </w:trPr>
        <w:tc>
          <w:tcPr>
            <w:tcW w:w="1320" w:type="dxa"/>
            <w:tcBorders>
              <w:top w:val="nil"/>
              <w:left w:val="nil"/>
              <w:bottom w:val="nil"/>
              <w:right w:val="nil"/>
            </w:tcBorders>
            <w:shd w:val="clear" w:color="000000" w:fill="FFFFFF"/>
            <w:noWrap/>
            <w:vAlign w:val="center"/>
            <w:hideMark/>
          </w:tcPr>
          <w:p w14:paraId="5CE7212E"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nil"/>
              <w:right w:val="nil"/>
            </w:tcBorders>
            <w:shd w:val="clear" w:color="000000" w:fill="FFFFFF"/>
            <w:noWrap/>
            <w:vAlign w:val="center"/>
            <w:hideMark/>
          </w:tcPr>
          <w:p w14:paraId="29F0BD5A" w14:textId="77777777" w:rsidR="00DE359F" w:rsidRDefault="00DE359F" w:rsidP="008D706C">
            <w:pPr>
              <w:rPr>
                <w:color w:val="000000"/>
                <w:sz w:val="20"/>
                <w:szCs w:val="20"/>
              </w:rPr>
            </w:pPr>
            <w:r>
              <w:rPr>
                <w:color w:val="000000"/>
                <w:sz w:val="20"/>
                <w:szCs w:val="20"/>
              </w:rPr>
              <w:t>cg14972155</w:t>
            </w:r>
          </w:p>
        </w:tc>
        <w:tc>
          <w:tcPr>
            <w:tcW w:w="1540" w:type="dxa"/>
            <w:tcBorders>
              <w:top w:val="nil"/>
              <w:left w:val="nil"/>
              <w:bottom w:val="nil"/>
              <w:right w:val="nil"/>
            </w:tcBorders>
            <w:shd w:val="clear" w:color="000000" w:fill="FFFFFF"/>
            <w:noWrap/>
            <w:vAlign w:val="center"/>
            <w:hideMark/>
          </w:tcPr>
          <w:p w14:paraId="139CDECB" w14:textId="77777777" w:rsidR="00DE359F" w:rsidRDefault="00DE359F" w:rsidP="008D706C">
            <w:pPr>
              <w:rPr>
                <w:color w:val="000000"/>
                <w:sz w:val="20"/>
                <w:szCs w:val="20"/>
              </w:rPr>
            </w:pPr>
            <w:r>
              <w:rPr>
                <w:color w:val="000000"/>
                <w:sz w:val="20"/>
                <w:szCs w:val="20"/>
              </w:rPr>
              <w:t>chr5:54281198</w:t>
            </w:r>
          </w:p>
        </w:tc>
        <w:tc>
          <w:tcPr>
            <w:tcW w:w="1247" w:type="dxa"/>
            <w:tcBorders>
              <w:top w:val="nil"/>
              <w:left w:val="nil"/>
              <w:bottom w:val="nil"/>
              <w:right w:val="nil"/>
            </w:tcBorders>
            <w:shd w:val="clear" w:color="000000" w:fill="FFFFFF"/>
            <w:noWrap/>
            <w:vAlign w:val="center"/>
            <w:hideMark/>
          </w:tcPr>
          <w:p w14:paraId="041BD4F6"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3AC59239" w14:textId="77777777" w:rsidR="00DE359F" w:rsidRDefault="00DE359F" w:rsidP="008D706C">
            <w:pPr>
              <w:jc w:val="center"/>
              <w:rPr>
                <w:color w:val="000000"/>
                <w:sz w:val="20"/>
                <w:szCs w:val="20"/>
              </w:rPr>
            </w:pPr>
            <w:r>
              <w:rPr>
                <w:color w:val="000000"/>
                <w:sz w:val="20"/>
                <w:szCs w:val="20"/>
              </w:rPr>
              <w:t>5.10E-09</w:t>
            </w:r>
          </w:p>
        </w:tc>
        <w:tc>
          <w:tcPr>
            <w:tcW w:w="1100" w:type="dxa"/>
            <w:tcBorders>
              <w:top w:val="nil"/>
              <w:left w:val="nil"/>
              <w:bottom w:val="nil"/>
              <w:right w:val="nil"/>
            </w:tcBorders>
            <w:shd w:val="clear" w:color="000000" w:fill="FFFFFF"/>
            <w:noWrap/>
            <w:vAlign w:val="center"/>
            <w:hideMark/>
          </w:tcPr>
          <w:p w14:paraId="488758AB" w14:textId="77777777" w:rsidR="00DE359F" w:rsidRDefault="00DE359F" w:rsidP="008D706C">
            <w:pPr>
              <w:jc w:val="center"/>
              <w:rPr>
                <w:color w:val="000000"/>
                <w:sz w:val="20"/>
                <w:szCs w:val="20"/>
              </w:rPr>
            </w:pPr>
            <w:r>
              <w:rPr>
                <w:color w:val="000000"/>
                <w:sz w:val="20"/>
                <w:szCs w:val="20"/>
              </w:rPr>
              <w:t>1.44E-03</w:t>
            </w:r>
          </w:p>
        </w:tc>
        <w:tc>
          <w:tcPr>
            <w:tcW w:w="1140" w:type="dxa"/>
            <w:tcBorders>
              <w:top w:val="nil"/>
              <w:left w:val="nil"/>
              <w:bottom w:val="nil"/>
              <w:right w:val="nil"/>
            </w:tcBorders>
            <w:shd w:val="clear" w:color="000000" w:fill="FFFFFF"/>
            <w:noWrap/>
            <w:vAlign w:val="center"/>
            <w:hideMark/>
          </w:tcPr>
          <w:p w14:paraId="0B61684C" w14:textId="77777777" w:rsidR="00DE359F" w:rsidRDefault="00DE359F" w:rsidP="008D706C">
            <w:pPr>
              <w:jc w:val="right"/>
              <w:rPr>
                <w:color w:val="000000"/>
                <w:sz w:val="20"/>
                <w:szCs w:val="20"/>
              </w:rPr>
            </w:pPr>
            <w:r>
              <w:rPr>
                <w:color w:val="000000"/>
                <w:sz w:val="20"/>
                <w:szCs w:val="20"/>
              </w:rPr>
              <w:t>-0.0498</w:t>
            </w:r>
          </w:p>
        </w:tc>
        <w:tc>
          <w:tcPr>
            <w:tcW w:w="1650" w:type="dxa"/>
            <w:tcBorders>
              <w:top w:val="nil"/>
              <w:left w:val="nil"/>
              <w:bottom w:val="nil"/>
              <w:right w:val="nil"/>
            </w:tcBorders>
            <w:shd w:val="clear" w:color="000000" w:fill="FFFFFF"/>
            <w:noWrap/>
            <w:vAlign w:val="center"/>
            <w:hideMark/>
          </w:tcPr>
          <w:p w14:paraId="32EAECB9" w14:textId="77777777" w:rsidR="00DE359F" w:rsidRDefault="00DE359F" w:rsidP="008D706C">
            <w:pPr>
              <w:jc w:val="center"/>
              <w:rPr>
                <w:color w:val="000000"/>
                <w:sz w:val="20"/>
                <w:szCs w:val="20"/>
              </w:rPr>
            </w:pPr>
            <w:r>
              <w:rPr>
                <w:color w:val="000000"/>
                <w:sz w:val="20"/>
                <w:szCs w:val="20"/>
              </w:rPr>
              <w:t>0.66 (0.61,0.71)</w:t>
            </w:r>
          </w:p>
        </w:tc>
        <w:tc>
          <w:tcPr>
            <w:tcW w:w="1650" w:type="dxa"/>
            <w:tcBorders>
              <w:top w:val="nil"/>
              <w:left w:val="nil"/>
              <w:bottom w:val="nil"/>
              <w:right w:val="nil"/>
            </w:tcBorders>
            <w:shd w:val="clear" w:color="000000" w:fill="FFFFFF"/>
            <w:noWrap/>
            <w:vAlign w:val="center"/>
            <w:hideMark/>
          </w:tcPr>
          <w:p w14:paraId="79884920" w14:textId="77777777" w:rsidR="00DE359F" w:rsidRDefault="00DE359F" w:rsidP="008D706C">
            <w:pPr>
              <w:jc w:val="center"/>
              <w:rPr>
                <w:color w:val="000000"/>
                <w:sz w:val="20"/>
                <w:szCs w:val="20"/>
              </w:rPr>
            </w:pPr>
            <w:r>
              <w:rPr>
                <w:color w:val="000000"/>
                <w:sz w:val="20"/>
                <w:szCs w:val="20"/>
              </w:rPr>
              <w:t>0.7 (0.66,0.76)</w:t>
            </w:r>
          </w:p>
        </w:tc>
        <w:tc>
          <w:tcPr>
            <w:tcW w:w="683" w:type="dxa"/>
            <w:tcBorders>
              <w:top w:val="nil"/>
              <w:left w:val="nil"/>
              <w:bottom w:val="nil"/>
              <w:right w:val="nil"/>
            </w:tcBorders>
            <w:shd w:val="clear" w:color="000000" w:fill="FFFFFF"/>
            <w:noWrap/>
            <w:vAlign w:val="center"/>
            <w:hideMark/>
          </w:tcPr>
          <w:p w14:paraId="7C6A3B3F" w14:textId="77777777" w:rsidR="00DE359F" w:rsidRDefault="00DE359F" w:rsidP="008D706C">
            <w:pPr>
              <w:jc w:val="center"/>
              <w:rPr>
                <w:color w:val="000000"/>
                <w:sz w:val="20"/>
                <w:szCs w:val="20"/>
              </w:rPr>
            </w:pPr>
            <w:r>
              <w:rPr>
                <w:color w:val="000000"/>
                <w:sz w:val="20"/>
                <w:szCs w:val="20"/>
              </w:rPr>
              <w:t>2</w:t>
            </w:r>
          </w:p>
        </w:tc>
      </w:tr>
      <w:tr w:rsidR="00DE359F" w14:paraId="318ACDEE" w14:textId="77777777" w:rsidTr="008D706C">
        <w:trPr>
          <w:trHeight w:val="300"/>
        </w:trPr>
        <w:tc>
          <w:tcPr>
            <w:tcW w:w="1320" w:type="dxa"/>
            <w:tcBorders>
              <w:top w:val="nil"/>
              <w:left w:val="nil"/>
              <w:bottom w:val="nil"/>
              <w:right w:val="nil"/>
            </w:tcBorders>
            <w:shd w:val="clear" w:color="000000" w:fill="FFFFFF"/>
            <w:noWrap/>
            <w:vAlign w:val="center"/>
            <w:hideMark/>
          </w:tcPr>
          <w:p w14:paraId="65F246C2" w14:textId="77777777" w:rsidR="00DE359F" w:rsidRDefault="00DE359F" w:rsidP="008D706C">
            <w:pPr>
              <w:jc w:val="center"/>
              <w:rPr>
                <w:i/>
                <w:iCs/>
                <w:color w:val="000000"/>
                <w:sz w:val="20"/>
                <w:szCs w:val="20"/>
              </w:rPr>
            </w:pPr>
            <w:r>
              <w:rPr>
                <w:i/>
                <w:iCs/>
                <w:color w:val="000000"/>
                <w:sz w:val="20"/>
                <w:szCs w:val="20"/>
              </w:rPr>
              <w:t>DMPs</w:t>
            </w:r>
          </w:p>
        </w:tc>
        <w:tc>
          <w:tcPr>
            <w:tcW w:w="1280" w:type="dxa"/>
            <w:tcBorders>
              <w:top w:val="nil"/>
              <w:left w:val="nil"/>
              <w:bottom w:val="nil"/>
              <w:right w:val="nil"/>
            </w:tcBorders>
            <w:shd w:val="clear" w:color="000000" w:fill="FFFFFF"/>
            <w:noWrap/>
            <w:vAlign w:val="center"/>
            <w:hideMark/>
          </w:tcPr>
          <w:p w14:paraId="1A917F1C" w14:textId="77777777" w:rsidR="00DE359F" w:rsidRDefault="00DE359F" w:rsidP="008D706C">
            <w:pPr>
              <w:rPr>
                <w:color w:val="000000"/>
                <w:sz w:val="20"/>
                <w:szCs w:val="20"/>
              </w:rPr>
            </w:pPr>
            <w:r>
              <w:rPr>
                <w:color w:val="000000"/>
                <w:sz w:val="20"/>
                <w:szCs w:val="20"/>
              </w:rPr>
              <w:t>cg20673840</w:t>
            </w:r>
          </w:p>
        </w:tc>
        <w:tc>
          <w:tcPr>
            <w:tcW w:w="1540" w:type="dxa"/>
            <w:tcBorders>
              <w:top w:val="nil"/>
              <w:left w:val="nil"/>
              <w:bottom w:val="nil"/>
              <w:right w:val="nil"/>
            </w:tcBorders>
            <w:shd w:val="clear" w:color="000000" w:fill="FFFFFF"/>
            <w:noWrap/>
            <w:vAlign w:val="center"/>
            <w:hideMark/>
          </w:tcPr>
          <w:p w14:paraId="5AC60799" w14:textId="77777777" w:rsidR="00DE359F" w:rsidRDefault="00DE359F" w:rsidP="008D706C">
            <w:pPr>
              <w:rPr>
                <w:color w:val="000000"/>
                <w:sz w:val="20"/>
                <w:szCs w:val="20"/>
              </w:rPr>
            </w:pPr>
            <w:r>
              <w:rPr>
                <w:color w:val="000000"/>
                <w:sz w:val="20"/>
                <w:szCs w:val="20"/>
              </w:rPr>
              <w:t>chr5:54281362</w:t>
            </w:r>
          </w:p>
        </w:tc>
        <w:tc>
          <w:tcPr>
            <w:tcW w:w="1247" w:type="dxa"/>
            <w:tcBorders>
              <w:top w:val="nil"/>
              <w:left w:val="nil"/>
              <w:bottom w:val="nil"/>
              <w:right w:val="nil"/>
            </w:tcBorders>
            <w:shd w:val="clear" w:color="000000" w:fill="FFFFFF"/>
            <w:noWrap/>
            <w:vAlign w:val="center"/>
            <w:hideMark/>
          </w:tcPr>
          <w:p w14:paraId="7A1E5BC9"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79B41ABD" w14:textId="77777777" w:rsidR="00DE359F" w:rsidRDefault="00DE359F" w:rsidP="008D706C">
            <w:pPr>
              <w:jc w:val="center"/>
              <w:rPr>
                <w:color w:val="000000"/>
                <w:sz w:val="20"/>
                <w:szCs w:val="20"/>
              </w:rPr>
            </w:pPr>
            <w:r>
              <w:rPr>
                <w:color w:val="000000"/>
                <w:sz w:val="20"/>
                <w:szCs w:val="20"/>
              </w:rPr>
              <w:t>5.39E-09</w:t>
            </w:r>
          </w:p>
        </w:tc>
        <w:tc>
          <w:tcPr>
            <w:tcW w:w="1100" w:type="dxa"/>
            <w:tcBorders>
              <w:top w:val="nil"/>
              <w:left w:val="nil"/>
              <w:bottom w:val="nil"/>
              <w:right w:val="nil"/>
            </w:tcBorders>
            <w:shd w:val="clear" w:color="000000" w:fill="FFFFFF"/>
            <w:noWrap/>
            <w:vAlign w:val="center"/>
            <w:hideMark/>
          </w:tcPr>
          <w:p w14:paraId="0D72B415" w14:textId="77777777" w:rsidR="00DE359F" w:rsidRDefault="00DE359F" w:rsidP="008D706C">
            <w:pPr>
              <w:jc w:val="center"/>
              <w:rPr>
                <w:color w:val="000000"/>
                <w:sz w:val="20"/>
                <w:szCs w:val="20"/>
              </w:rPr>
            </w:pPr>
            <w:r>
              <w:rPr>
                <w:color w:val="000000"/>
                <w:sz w:val="20"/>
                <w:szCs w:val="20"/>
              </w:rPr>
              <w:t>1.44E-03</w:t>
            </w:r>
          </w:p>
        </w:tc>
        <w:tc>
          <w:tcPr>
            <w:tcW w:w="1140" w:type="dxa"/>
            <w:tcBorders>
              <w:top w:val="nil"/>
              <w:left w:val="nil"/>
              <w:bottom w:val="nil"/>
              <w:right w:val="nil"/>
            </w:tcBorders>
            <w:shd w:val="clear" w:color="000000" w:fill="FFFFFF"/>
            <w:noWrap/>
            <w:vAlign w:val="center"/>
            <w:hideMark/>
          </w:tcPr>
          <w:p w14:paraId="04734101" w14:textId="77777777" w:rsidR="00DE359F" w:rsidRDefault="00DE359F" w:rsidP="008D706C">
            <w:pPr>
              <w:jc w:val="right"/>
              <w:rPr>
                <w:color w:val="000000"/>
                <w:sz w:val="20"/>
                <w:szCs w:val="20"/>
              </w:rPr>
            </w:pPr>
            <w:r>
              <w:rPr>
                <w:color w:val="000000"/>
                <w:sz w:val="20"/>
                <w:szCs w:val="20"/>
              </w:rPr>
              <w:t>-0.0246</w:t>
            </w:r>
          </w:p>
        </w:tc>
        <w:tc>
          <w:tcPr>
            <w:tcW w:w="1650" w:type="dxa"/>
            <w:tcBorders>
              <w:top w:val="nil"/>
              <w:left w:val="nil"/>
              <w:bottom w:val="nil"/>
              <w:right w:val="nil"/>
            </w:tcBorders>
            <w:shd w:val="clear" w:color="000000" w:fill="FFFFFF"/>
            <w:noWrap/>
            <w:vAlign w:val="center"/>
            <w:hideMark/>
          </w:tcPr>
          <w:p w14:paraId="54917FC1" w14:textId="77777777" w:rsidR="00DE359F" w:rsidRDefault="00DE359F" w:rsidP="008D706C">
            <w:pPr>
              <w:jc w:val="center"/>
              <w:rPr>
                <w:color w:val="000000"/>
                <w:sz w:val="20"/>
                <w:szCs w:val="20"/>
              </w:rPr>
            </w:pPr>
            <w:r>
              <w:rPr>
                <w:color w:val="000000"/>
                <w:sz w:val="20"/>
                <w:szCs w:val="20"/>
              </w:rPr>
              <w:t>0.59 (0.57,0.62)</w:t>
            </w:r>
          </w:p>
        </w:tc>
        <w:tc>
          <w:tcPr>
            <w:tcW w:w="1650" w:type="dxa"/>
            <w:tcBorders>
              <w:top w:val="nil"/>
              <w:left w:val="nil"/>
              <w:bottom w:val="nil"/>
              <w:right w:val="nil"/>
            </w:tcBorders>
            <w:shd w:val="clear" w:color="000000" w:fill="FFFFFF"/>
            <w:noWrap/>
            <w:vAlign w:val="center"/>
            <w:hideMark/>
          </w:tcPr>
          <w:p w14:paraId="6CDEF863" w14:textId="77777777" w:rsidR="00DE359F" w:rsidRDefault="00DE359F" w:rsidP="008D706C">
            <w:pPr>
              <w:jc w:val="center"/>
              <w:rPr>
                <w:color w:val="000000"/>
                <w:sz w:val="20"/>
                <w:szCs w:val="20"/>
              </w:rPr>
            </w:pPr>
            <w:r>
              <w:rPr>
                <w:color w:val="000000"/>
                <w:sz w:val="20"/>
                <w:szCs w:val="20"/>
              </w:rPr>
              <w:t>0.61 (0.59,0.64)</w:t>
            </w:r>
          </w:p>
        </w:tc>
        <w:tc>
          <w:tcPr>
            <w:tcW w:w="683" w:type="dxa"/>
            <w:tcBorders>
              <w:top w:val="nil"/>
              <w:left w:val="nil"/>
              <w:bottom w:val="nil"/>
              <w:right w:val="nil"/>
            </w:tcBorders>
            <w:shd w:val="clear" w:color="000000" w:fill="FFFFFF"/>
            <w:noWrap/>
            <w:vAlign w:val="center"/>
            <w:hideMark/>
          </w:tcPr>
          <w:p w14:paraId="40EBCFAC" w14:textId="77777777" w:rsidR="00DE359F" w:rsidRDefault="00DE359F" w:rsidP="008D706C">
            <w:pPr>
              <w:jc w:val="center"/>
              <w:rPr>
                <w:color w:val="000000"/>
                <w:sz w:val="20"/>
                <w:szCs w:val="20"/>
              </w:rPr>
            </w:pPr>
            <w:r>
              <w:rPr>
                <w:color w:val="000000"/>
                <w:sz w:val="20"/>
                <w:szCs w:val="20"/>
              </w:rPr>
              <w:t>3</w:t>
            </w:r>
          </w:p>
        </w:tc>
      </w:tr>
      <w:tr w:rsidR="00DE359F" w14:paraId="3D36FE51" w14:textId="77777777" w:rsidTr="008D706C">
        <w:trPr>
          <w:trHeight w:val="300"/>
        </w:trPr>
        <w:tc>
          <w:tcPr>
            <w:tcW w:w="1320" w:type="dxa"/>
            <w:tcBorders>
              <w:top w:val="nil"/>
              <w:left w:val="nil"/>
              <w:bottom w:val="nil"/>
              <w:right w:val="nil"/>
            </w:tcBorders>
            <w:shd w:val="clear" w:color="000000" w:fill="FFFFFF"/>
            <w:noWrap/>
            <w:vAlign w:val="center"/>
            <w:hideMark/>
          </w:tcPr>
          <w:p w14:paraId="350AF223" w14:textId="77777777" w:rsidR="00DE359F" w:rsidRDefault="00DE359F" w:rsidP="008D706C">
            <w:pPr>
              <w:jc w:val="center"/>
              <w:rPr>
                <w:i/>
                <w:iCs/>
                <w:color w:val="000000"/>
                <w:sz w:val="20"/>
                <w:szCs w:val="20"/>
              </w:rPr>
            </w:pPr>
            <w:r>
              <w:rPr>
                <w:i/>
                <w:iCs/>
                <w:color w:val="000000"/>
                <w:sz w:val="20"/>
                <w:szCs w:val="20"/>
              </w:rPr>
              <w:t>FDR &lt; 5%</w:t>
            </w:r>
          </w:p>
        </w:tc>
        <w:tc>
          <w:tcPr>
            <w:tcW w:w="1280" w:type="dxa"/>
            <w:tcBorders>
              <w:top w:val="nil"/>
              <w:left w:val="nil"/>
              <w:bottom w:val="nil"/>
              <w:right w:val="nil"/>
            </w:tcBorders>
            <w:shd w:val="clear" w:color="000000" w:fill="FFFFFF"/>
            <w:noWrap/>
            <w:vAlign w:val="center"/>
            <w:hideMark/>
          </w:tcPr>
          <w:p w14:paraId="7FF7F7E9" w14:textId="77777777" w:rsidR="00DE359F" w:rsidRDefault="00DE359F" w:rsidP="008D706C">
            <w:pPr>
              <w:rPr>
                <w:color w:val="000000"/>
                <w:sz w:val="20"/>
                <w:szCs w:val="20"/>
              </w:rPr>
            </w:pPr>
            <w:r>
              <w:rPr>
                <w:color w:val="000000"/>
                <w:sz w:val="20"/>
                <w:szCs w:val="20"/>
              </w:rPr>
              <w:t>cg06837426</w:t>
            </w:r>
          </w:p>
        </w:tc>
        <w:tc>
          <w:tcPr>
            <w:tcW w:w="1540" w:type="dxa"/>
            <w:tcBorders>
              <w:top w:val="nil"/>
              <w:left w:val="nil"/>
              <w:bottom w:val="nil"/>
              <w:right w:val="nil"/>
            </w:tcBorders>
            <w:shd w:val="clear" w:color="000000" w:fill="FFFFFF"/>
            <w:noWrap/>
            <w:vAlign w:val="center"/>
            <w:hideMark/>
          </w:tcPr>
          <w:p w14:paraId="66EEA59F" w14:textId="77777777" w:rsidR="00DE359F" w:rsidRDefault="00DE359F" w:rsidP="008D706C">
            <w:pPr>
              <w:rPr>
                <w:color w:val="000000"/>
                <w:sz w:val="20"/>
                <w:szCs w:val="20"/>
              </w:rPr>
            </w:pPr>
            <w:r>
              <w:rPr>
                <w:color w:val="000000"/>
                <w:sz w:val="20"/>
                <w:szCs w:val="20"/>
              </w:rPr>
              <w:t>chr5:54281271</w:t>
            </w:r>
          </w:p>
        </w:tc>
        <w:tc>
          <w:tcPr>
            <w:tcW w:w="1247" w:type="dxa"/>
            <w:tcBorders>
              <w:top w:val="nil"/>
              <w:left w:val="nil"/>
              <w:bottom w:val="nil"/>
              <w:right w:val="nil"/>
            </w:tcBorders>
            <w:shd w:val="clear" w:color="000000" w:fill="FFFFFF"/>
            <w:noWrap/>
            <w:vAlign w:val="center"/>
            <w:hideMark/>
          </w:tcPr>
          <w:p w14:paraId="6C54A7E4"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06B9BB96" w14:textId="77777777" w:rsidR="00DE359F" w:rsidRDefault="00DE359F" w:rsidP="008D706C">
            <w:pPr>
              <w:jc w:val="center"/>
              <w:rPr>
                <w:color w:val="000000"/>
                <w:sz w:val="20"/>
                <w:szCs w:val="20"/>
              </w:rPr>
            </w:pPr>
            <w:r>
              <w:rPr>
                <w:color w:val="000000"/>
                <w:sz w:val="20"/>
                <w:szCs w:val="20"/>
              </w:rPr>
              <w:t>1.15E-08</w:t>
            </w:r>
          </w:p>
        </w:tc>
        <w:tc>
          <w:tcPr>
            <w:tcW w:w="1100" w:type="dxa"/>
            <w:tcBorders>
              <w:top w:val="nil"/>
              <w:left w:val="nil"/>
              <w:bottom w:val="nil"/>
              <w:right w:val="nil"/>
            </w:tcBorders>
            <w:shd w:val="clear" w:color="000000" w:fill="FFFFFF"/>
            <w:noWrap/>
            <w:vAlign w:val="center"/>
            <w:hideMark/>
          </w:tcPr>
          <w:p w14:paraId="1E5E1062" w14:textId="77777777" w:rsidR="00DE359F" w:rsidRDefault="00DE359F" w:rsidP="008D706C">
            <w:pPr>
              <w:jc w:val="center"/>
              <w:rPr>
                <w:color w:val="000000"/>
                <w:sz w:val="20"/>
                <w:szCs w:val="20"/>
              </w:rPr>
            </w:pPr>
            <w:r>
              <w:rPr>
                <w:color w:val="000000"/>
                <w:sz w:val="20"/>
                <w:szCs w:val="20"/>
              </w:rPr>
              <w:t>2.30E-03</w:t>
            </w:r>
          </w:p>
        </w:tc>
        <w:tc>
          <w:tcPr>
            <w:tcW w:w="1140" w:type="dxa"/>
            <w:tcBorders>
              <w:top w:val="nil"/>
              <w:left w:val="nil"/>
              <w:bottom w:val="nil"/>
              <w:right w:val="nil"/>
            </w:tcBorders>
            <w:shd w:val="clear" w:color="000000" w:fill="FFFFFF"/>
            <w:noWrap/>
            <w:vAlign w:val="center"/>
            <w:hideMark/>
          </w:tcPr>
          <w:p w14:paraId="19A73D7F" w14:textId="77777777" w:rsidR="00DE359F" w:rsidRDefault="00DE359F" w:rsidP="008D706C">
            <w:pPr>
              <w:jc w:val="right"/>
              <w:rPr>
                <w:color w:val="000000"/>
                <w:sz w:val="20"/>
                <w:szCs w:val="20"/>
              </w:rPr>
            </w:pPr>
            <w:r>
              <w:rPr>
                <w:color w:val="000000"/>
                <w:sz w:val="20"/>
                <w:szCs w:val="20"/>
              </w:rPr>
              <w:t>-0.0303</w:t>
            </w:r>
          </w:p>
        </w:tc>
        <w:tc>
          <w:tcPr>
            <w:tcW w:w="1650" w:type="dxa"/>
            <w:tcBorders>
              <w:top w:val="nil"/>
              <w:left w:val="nil"/>
              <w:bottom w:val="nil"/>
              <w:right w:val="nil"/>
            </w:tcBorders>
            <w:shd w:val="clear" w:color="000000" w:fill="FFFFFF"/>
            <w:noWrap/>
            <w:vAlign w:val="center"/>
            <w:hideMark/>
          </w:tcPr>
          <w:p w14:paraId="3FEEE5F6" w14:textId="77777777" w:rsidR="00DE359F" w:rsidRDefault="00DE359F" w:rsidP="008D706C">
            <w:pPr>
              <w:jc w:val="center"/>
              <w:rPr>
                <w:color w:val="000000"/>
                <w:sz w:val="20"/>
                <w:szCs w:val="20"/>
              </w:rPr>
            </w:pPr>
            <w:r>
              <w:rPr>
                <w:color w:val="000000"/>
                <w:sz w:val="20"/>
                <w:szCs w:val="20"/>
              </w:rPr>
              <w:t>0.47 (0.44,0.5)</w:t>
            </w:r>
          </w:p>
        </w:tc>
        <w:tc>
          <w:tcPr>
            <w:tcW w:w="1650" w:type="dxa"/>
            <w:tcBorders>
              <w:top w:val="nil"/>
              <w:left w:val="nil"/>
              <w:bottom w:val="nil"/>
              <w:right w:val="nil"/>
            </w:tcBorders>
            <w:shd w:val="clear" w:color="000000" w:fill="FFFFFF"/>
            <w:noWrap/>
            <w:vAlign w:val="center"/>
            <w:hideMark/>
          </w:tcPr>
          <w:p w14:paraId="4AF8EA61" w14:textId="77777777" w:rsidR="00DE359F" w:rsidRDefault="00DE359F" w:rsidP="008D706C">
            <w:pPr>
              <w:jc w:val="center"/>
              <w:rPr>
                <w:color w:val="000000"/>
                <w:sz w:val="20"/>
                <w:szCs w:val="20"/>
              </w:rPr>
            </w:pPr>
            <w:r>
              <w:rPr>
                <w:color w:val="000000"/>
                <w:sz w:val="20"/>
                <w:szCs w:val="20"/>
              </w:rPr>
              <w:t>0.5 (0.47,0.53)</w:t>
            </w:r>
          </w:p>
        </w:tc>
        <w:tc>
          <w:tcPr>
            <w:tcW w:w="683" w:type="dxa"/>
            <w:tcBorders>
              <w:top w:val="nil"/>
              <w:left w:val="nil"/>
              <w:bottom w:val="nil"/>
              <w:right w:val="nil"/>
            </w:tcBorders>
            <w:shd w:val="clear" w:color="000000" w:fill="FFFFFF"/>
            <w:noWrap/>
            <w:vAlign w:val="center"/>
            <w:hideMark/>
          </w:tcPr>
          <w:p w14:paraId="4A44672D" w14:textId="77777777" w:rsidR="00DE359F" w:rsidRDefault="00DE359F" w:rsidP="008D706C">
            <w:pPr>
              <w:jc w:val="center"/>
              <w:rPr>
                <w:color w:val="000000"/>
                <w:sz w:val="20"/>
                <w:szCs w:val="20"/>
              </w:rPr>
            </w:pPr>
            <w:r>
              <w:rPr>
                <w:color w:val="000000"/>
                <w:sz w:val="20"/>
                <w:szCs w:val="20"/>
              </w:rPr>
              <w:t>4</w:t>
            </w:r>
          </w:p>
        </w:tc>
      </w:tr>
      <w:tr w:rsidR="00DE359F" w14:paraId="4B032A6D" w14:textId="77777777" w:rsidTr="008D706C">
        <w:trPr>
          <w:trHeight w:val="300"/>
        </w:trPr>
        <w:tc>
          <w:tcPr>
            <w:tcW w:w="1320" w:type="dxa"/>
            <w:tcBorders>
              <w:top w:val="nil"/>
              <w:left w:val="nil"/>
              <w:bottom w:val="nil"/>
              <w:right w:val="nil"/>
            </w:tcBorders>
            <w:shd w:val="clear" w:color="000000" w:fill="FFFFFF"/>
            <w:noWrap/>
            <w:vAlign w:val="center"/>
            <w:hideMark/>
          </w:tcPr>
          <w:p w14:paraId="01C74285"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nil"/>
              <w:right w:val="nil"/>
            </w:tcBorders>
            <w:shd w:val="clear" w:color="000000" w:fill="FFFFFF"/>
            <w:noWrap/>
            <w:vAlign w:val="center"/>
            <w:hideMark/>
          </w:tcPr>
          <w:p w14:paraId="544F9AAB" w14:textId="77777777" w:rsidR="00DE359F" w:rsidRDefault="00DE359F" w:rsidP="008D706C">
            <w:pPr>
              <w:rPr>
                <w:color w:val="000000"/>
                <w:sz w:val="20"/>
                <w:szCs w:val="20"/>
              </w:rPr>
            </w:pPr>
            <w:r>
              <w:rPr>
                <w:color w:val="000000"/>
                <w:sz w:val="20"/>
                <w:szCs w:val="20"/>
              </w:rPr>
              <w:t>cg09612591</w:t>
            </w:r>
          </w:p>
        </w:tc>
        <w:tc>
          <w:tcPr>
            <w:tcW w:w="1540" w:type="dxa"/>
            <w:tcBorders>
              <w:top w:val="nil"/>
              <w:left w:val="nil"/>
              <w:bottom w:val="nil"/>
              <w:right w:val="nil"/>
            </w:tcBorders>
            <w:shd w:val="clear" w:color="000000" w:fill="FFFFFF"/>
            <w:noWrap/>
            <w:vAlign w:val="center"/>
            <w:hideMark/>
          </w:tcPr>
          <w:p w14:paraId="0CED6E5D" w14:textId="77777777" w:rsidR="00DE359F" w:rsidRDefault="00DE359F" w:rsidP="008D706C">
            <w:pPr>
              <w:rPr>
                <w:color w:val="000000"/>
                <w:sz w:val="20"/>
                <w:szCs w:val="20"/>
              </w:rPr>
            </w:pPr>
            <w:r>
              <w:rPr>
                <w:color w:val="000000"/>
                <w:sz w:val="20"/>
                <w:szCs w:val="20"/>
              </w:rPr>
              <w:t>chr2:79519823</w:t>
            </w:r>
          </w:p>
        </w:tc>
        <w:tc>
          <w:tcPr>
            <w:tcW w:w="1247" w:type="dxa"/>
            <w:tcBorders>
              <w:top w:val="nil"/>
              <w:left w:val="nil"/>
              <w:bottom w:val="nil"/>
              <w:right w:val="nil"/>
            </w:tcBorders>
            <w:shd w:val="clear" w:color="000000" w:fill="FFFFFF"/>
            <w:noWrap/>
            <w:vAlign w:val="center"/>
            <w:hideMark/>
          </w:tcPr>
          <w:p w14:paraId="0BAFA0E8" w14:textId="77777777" w:rsidR="00DE359F" w:rsidRDefault="00DE359F" w:rsidP="008D706C">
            <w:pPr>
              <w:rPr>
                <w:i/>
                <w:iCs/>
                <w:color w:val="000000"/>
                <w:sz w:val="20"/>
                <w:szCs w:val="20"/>
              </w:rPr>
            </w:pPr>
            <w:r>
              <w:rPr>
                <w:i/>
                <w:iCs/>
                <w:color w:val="000000"/>
                <w:sz w:val="20"/>
                <w:szCs w:val="20"/>
              </w:rPr>
              <w:t>CTNNA2</w:t>
            </w:r>
          </w:p>
        </w:tc>
        <w:tc>
          <w:tcPr>
            <w:tcW w:w="1093" w:type="dxa"/>
            <w:tcBorders>
              <w:top w:val="nil"/>
              <w:left w:val="nil"/>
              <w:bottom w:val="nil"/>
              <w:right w:val="nil"/>
            </w:tcBorders>
            <w:shd w:val="clear" w:color="000000" w:fill="FFFFFF"/>
            <w:noWrap/>
            <w:vAlign w:val="center"/>
            <w:hideMark/>
          </w:tcPr>
          <w:p w14:paraId="6BBCA3D1" w14:textId="77777777" w:rsidR="00DE359F" w:rsidRDefault="00DE359F" w:rsidP="008D706C">
            <w:pPr>
              <w:jc w:val="center"/>
              <w:rPr>
                <w:color w:val="000000"/>
                <w:sz w:val="20"/>
                <w:szCs w:val="20"/>
              </w:rPr>
            </w:pPr>
            <w:r>
              <w:rPr>
                <w:color w:val="000000"/>
                <w:sz w:val="20"/>
                <w:szCs w:val="20"/>
              </w:rPr>
              <w:t>7.13E-08</w:t>
            </w:r>
          </w:p>
        </w:tc>
        <w:tc>
          <w:tcPr>
            <w:tcW w:w="1100" w:type="dxa"/>
            <w:tcBorders>
              <w:top w:val="nil"/>
              <w:left w:val="nil"/>
              <w:bottom w:val="nil"/>
              <w:right w:val="nil"/>
            </w:tcBorders>
            <w:shd w:val="clear" w:color="000000" w:fill="FFFFFF"/>
            <w:noWrap/>
            <w:vAlign w:val="center"/>
            <w:hideMark/>
          </w:tcPr>
          <w:p w14:paraId="3EE58A54" w14:textId="77777777" w:rsidR="00DE359F" w:rsidRDefault="00DE359F" w:rsidP="008D706C">
            <w:pPr>
              <w:jc w:val="center"/>
              <w:rPr>
                <w:color w:val="000000"/>
                <w:sz w:val="20"/>
                <w:szCs w:val="20"/>
              </w:rPr>
            </w:pPr>
            <w:r>
              <w:rPr>
                <w:color w:val="000000"/>
                <w:sz w:val="20"/>
                <w:szCs w:val="20"/>
              </w:rPr>
              <w:t>1.14E-02</w:t>
            </w:r>
          </w:p>
        </w:tc>
        <w:tc>
          <w:tcPr>
            <w:tcW w:w="1140" w:type="dxa"/>
            <w:tcBorders>
              <w:top w:val="nil"/>
              <w:left w:val="nil"/>
              <w:bottom w:val="nil"/>
              <w:right w:val="nil"/>
            </w:tcBorders>
            <w:shd w:val="clear" w:color="000000" w:fill="FFFFFF"/>
            <w:noWrap/>
            <w:vAlign w:val="center"/>
            <w:hideMark/>
          </w:tcPr>
          <w:p w14:paraId="06F886AB" w14:textId="77777777" w:rsidR="00DE359F" w:rsidRDefault="00DE359F" w:rsidP="008D706C">
            <w:pPr>
              <w:jc w:val="right"/>
              <w:rPr>
                <w:color w:val="000000"/>
                <w:sz w:val="20"/>
                <w:szCs w:val="20"/>
              </w:rPr>
            </w:pPr>
            <w:r>
              <w:rPr>
                <w:color w:val="000000"/>
                <w:sz w:val="20"/>
                <w:szCs w:val="20"/>
              </w:rPr>
              <w:t>-0.0299</w:t>
            </w:r>
          </w:p>
        </w:tc>
        <w:tc>
          <w:tcPr>
            <w:tcW w:w="1650" w:type="dxa"/>
            <w:tcBorders>
              <w:top w:val="nil"/>
              <w:left w:val="nil"/>
              <w:bottom w:val="nil"/>
              <w:right w:val="nil"/>
            </w:tcBorders>
            <w:shd w:val="clear" w:color="000000" w:fill="FFFFFF"/>
            <w:noWrap/>
            <w:vAlign w:val="center"/>
            <w:hideMark/>
          </w:tcPr>
          <w:p w14:paraId="075312E9" w14:textId="77777777" w:rsidR="00DE359F" w:rsidRDefault="00DE359F" w:rsidP="008D706C">
            <w:pPr>
              <w:jc w:val="center"/>
              <w:rPr>
                <w:color w:val="000000"/>
                <w:sz w:val="20"/>
                <w:szCs w:val="20"/>
              </w:rPr>
            </w:pPr>
            <w:r>
              <w:rPr>
                <w:color w:val="000000"/>
                <w:sz w:val="20"/>
                <w:szCs w:val="20"/>
              </w:rPr>
              <w:t>0.63 (0.6,0.66)</w:t>
            </w:r>
          </w:p>
        </w:tc>
        <w:tc>
          <w:tcPr>
            <w:tcW w:w="1650" w:type="dxa"/>
            <w:tcBorders>
              <w:top w:val="nil"/>
              <w:left w:val="nil"/>
              <w:bottom w:val="nil"/>
              <w:right w:val="nil"/>
            </w:tcBorders>
            <w:shd w:val="clear" w:color="000000" w:fill="FFFFFF"/>
            <w:noWrap/>
            <w:vAlign w:val="center"/>
            <w:hideMark/>
          </w:tcPr>
          <w:p w14:paraId="19091E62" w14:textId="77777777" w:rsidR="00DE359F" w:rsidRDefault="00DE359F" w:rsidP="008D706C">
            <w:pPr>
              <w:jc w:val="center"/>
              <w:rPr>
                <w:color w:val="000000"/>
                <w:sz w:val="20"/>
                <w:szCs w:val="20"/>
              </w:rPr>
            </w:pPr>
            <w:r>
              <w:rPr>
                <w:color w:val="000000"/>
                <w:sz w:val="20"/>
                <w:szCs w:val="20"/>
              </w:rPr>
              <w:t>0.66 (0.63,0.7)</w:t>
            </w:r>
          </w:p>
        </w:tc>
        <w:tc>
          <w:tcPr>
            <w:tcW w:w="683" w:type="dxa"/>
            <w:tcBorders>
              <w:top w:val="nil"/>
              <w:left w:val="nil"/>
              <w:bottom w:val="nil"/>
              <w:right w:val="nil"/>
            </w:tcBorders>
            <w:shd w:val="clear" w:color="000000" w:fill="FFFFFF"/>
            <w:noWrap/>
            <w:vAlign w:val="center"/>
            <w:hideMark/>
          </w:tcPr>
          <w:p w14:paraId="0DDF4FC0" w14:textId="77777777" w:rsidR="00DE359F" w:rsidRDefault="00DE359F" w:rsidP="008D706C">
            <w:pPr>
              <w:jc w:val="center"/>
              <w:rPr>
                <w:color w:val="000000"/>
                <w:sz w:val="20"/>
                <w:szCs w:val="20"/>
              </w:rPr>
            </w:pPr>
            <w:r>
              <w:rPr>
                <w:color w:val="000000"/>
                <w:sz w:val="20"/>
                <w:szCs w:val="20"/>
              </w:rPr>
              <w:t>5</w:t>
            </w:r>
          </w:p>
        </w:tc>
      </w:tr>
      <w:tr w:rsidR="00DE359F" w14:paraId="0803461F" w14:textId="77777777" w:rsidTr="008D706C">
        <w:trPr>
          <w:trHeight w:val="320"/>
        </w:trPr>
        <w:tc>
          <w:tcPr>
            <w:tcW w:w="1320" w:type="dxa"/>
            <w:tcBorders>
              <w:top w:val="nil"/>
              <w:left w:val="nil"/>
              <w:bottom w:val="dashed" w:sz="8" w:space="0" w:color="0D0D0D"/>
              <w:right w:val="nil"/>
            </w:tcBorders>
            <w:shd w:val="clear" w:color="000000" w:fill="FFFFFF"/>
            <w:noWrap/>
            <w:vAlign w:val="center"/>
            <w:hideMark/>
          </w:tcPr>
          <w:p w14:paraId="537F81D8"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dashed" w:sz="8" w:space="0" w:color="0D0D0D"/>
              <w:right w:val="nil"/>
            </w:tcBorders>
            <w:shd w:val="clear" w:color="000000" w:fill="FFFFFF"/>
            <w:noWrap/>
            <w:vAlign w:val="center"/>
            <w:hideMark/>
          </w:tcPr>
          <w:p w14:paraId="5DA52B09" w14:textId="77777777" w:rsidR="00DE359F" w:rsidRDefault="00DE359F" w:rsidP="008D706C">
            <w:pPr>
              <w:rPr>
                <w:color w:val="000000"/>
                <w:sz w:val="20"/>
                <w:szCs w:val="20"/>
              </w:rPr>
            </w:pPr>
            <w:r>
              <w:rPr>
                <w:color w:val="000000"/>
                <w:sz w:val="20"/>
                <w:szCs w:val="20"/>
              </w:rPr>
              <w:t>cg05676441</w:t>
            </w:r>
          </w:p>
        </w:tc>
        <w:tc>
          <w:tcPr>
            <w:tcW w:w="1540" w:type="dxa"/>
            <w:tcBorders>
              <w:top w:val="nil"/>
              <w:left w:val="nil"/>
              <w:bottom w:val="dashed" w:sz="8" w:space="0" w:color="0D0D0D"/>
              <w:right w:val="nil"/>
            </w:tcBorders>
            <w:shd w:val="clear" w:color="000000" w:fill="FFFFFF"/>
            <w:noWrap/>
            <w:vAlign w:val="center"/>
            <w:hideMark/>
          </w:tcPr>
          <w:p w14:paraId="2470E3DE" w14:textId="77777777" w:rsidR="00DE359F" w:rsidRDefault="00DE359F" w:rsidP="008D706C">
            <w:pPr>
              <w:rPr>
                <w:color w:val="000000"/>
                <w:sz w:val="20"/>
                <w:szCs w:val="20"/>
              </w:rPr>
            </w:pPr>
            <w:r>
              <w:rPr>
                <w:color w:val="000000"/>
                <w:sz w:val="20"/>
                <w:szCs w:val="20"/>
              </w:rPr>
              <w:t>chr5:19988800</w:t>
            </w:r>
          </w:p>
        </w:tc>
        <w:tc>
          <w:tcPr>
            <w:tcW w:w="1247" w:type="dxa"/>
            <w:tcBorders>
              <w:top w:val="nil"/>
              <w:left w:val="nil"/>
              <w:bottom w:val="dashed" w:sz="8" w:space="0" w:color="0D0D0D"/>
              <w:right w:val="nil"/>
            </w:tcBorders>
            <w:shd w:val="clear" w:color="000000" w:fill="FFFFFF"/>
            <w:noWrap/>
            <w:vAlign w:val="center"/>
            <w:hideMark/>
          </w:tcPr>
          <w:p w14:paraId="19E28F32" w14:textId="77777777" w:rsidR="00DE359F" w:rsidRDefault="00DE359F" w:rsidP="008D706C">
            <w:pPr>
              <w:rPr>
                <w:i/>
                <w:iCs/>
                <w:color w:val="000000"/>
                <w:sz w:val="20"/>
                <w:szCs w:val="20"/>
              </w:rPr>
            </w:pPr>
            <w:r>
              <w:rPr>
                <w:i/>
                <w:iCs/>
                <w:color w:val="000000"/>
                <w:sz w:val="20"/>
                <w:szCs w:val="20"/>
              </w:rPr>
              <w:t>CDH18</w:t>
            </w:r>
          </w:p>
        </w:tc>
        <w:tc>
          <w:tcPr>
            <w:tcW w:w="1093" w:type="dxa"/>
            <w:tcBorders>
              <w:top w:val="nil"/>
              <w:left w:val="nil"/>
              <w:bottom w:val="dashed" w:sz="8" w:space="0" w:color="0D0D0D"/>
              <w:right w:val="nil"/>
            </w:tcBorders>
            <w:shd w:val="clear" w:color="000000" w:fill="FFFFFF"/>
            <w:noWrap/>
            <w:vAlign w:val="center"/>
            <w:hideMark/>
          </w:tcPr>
          <w:p w14:paraId="239C38F3" w14:textId="77777777" w:rsidR="00DE359F" w:rsidRDefault="00DE359F" w:rsidP="008D706C">
            <w:pPr>
              <w:jc w:val="center"/>
              <w:rPr>
                <w:color w:val="000000"/>
                <w:sz w:val="20"/>
                <w:szCs w:val="20"/>
              </w:rPr>
            </w:pPr>
            <w:r>
              <w:rPr>
                <w:color w:val="000000"/>
                <w:sz w:val="20"/>
                <w:szCs w:val="20"/>
              </w:rPr>
              <w:t>2.34E-07</w:t>
            </w:r>
          </w:p>
        </w:tc>
        <w:tc>
          <w:tcPr>
            <w:tcW w:w="1100" w:type="dxa"/>
            <w:tcBorders>
              <w:top w:val="nil"/>
              <w:left w:val="nil"/>
              <w:bottom w:val="dashed" w:sz="8" w:space="0" w:color="0D0D0D"/>
              <w:right w:val="nil"/>
            </w:tcBorders>
            <w:shd w:val="clear" w:color="000000" w:fill="FFFFFF"/>
            <w:noWrap/>
            <w:vAlign w:val="center"/>
            <w:hideMark/>
          </w:tcPr>
          <w:p w14:paraId="3B417634" w14:textId="77777777" w:rsidR="00DE359F" w:rsidRDefault="00DE359F" w:rsidP="008D706C">
            <w:pPr>
              <w:jc w:val="center"/>
              <w:rPr>
                <w:color w:val="000000"/>
                <w:sz w:val="20"/>
                <w:szCs w:val="20"/>
              </w:rPr>
            </w:pPr>
            <w:r>
              <w:rPr>
                <w:color w:val="000000"/>
                <w:sz w:val="20"/>
                <w:szCs w:val="20"/>
              </w:rPr>
              <w:t>3.13E-02</w:t>
            </w:r>
          </w:p>
        </w:tc>
        <w:tc>
          <w:tcPr>
            <w:tcW w:w="1140" w:type="dxa"/>
            <w:tcBorders>
              <w:top w:val="nil"/>
              <w:left w:val="nil"/>
              <w:bottom w:val="dashed" w:sz="8" w:space="0" w:color="0D0D0D"/>
              <w:right w:val="nil"/>
            </w:tcBorders>
            <w:shd w:val="clear" w:color="000000" w:fill="FFFFFF"/>
            <w:noWrap/>
            <w:vAlign w:val="center"/>
            <w:hideMark/>
          </w:tcPr>
          <w:p w14:paraId="59607E02" w14:textId="77777777" w:rsidR="00DE359F" w:rsidRDefault="00DE359F" w:rsidP="008D706C">
            <w:pPr>
              <w:jc w:val="right"/>
              <w:rPr>
                <w:color w:val="000000"/>
                <w:sz w:val="20"/>
                <w:szCs w:val="20"/>
              </w:rPr>
            </w:pPr>
            <w:r>
              <w:rPr>
                <w:color w:val="000000"/>
                <w:sz w:val="20"/>
                <w:szCs w:val="20"/>
              </w:rPr>
              <w:t>-0.0286</w:t>
            </w:r>
          </w:p>
        </w:tc>
        <w:tc>
          <w:tcPr>
            <w:tcW w:w="1650" w:type="dxa"/>
            <w:tcBorders>
              <w:top w:val="nil"/>
              <w:left w:val="nil"/>
              <w:bottom w:val="dashed" w:sz="8" w:space="0" w:color="auto"/>
              <w:right w:val="nil"/>
            </w:tcBorders>
            <w:shd w:val="clear" w:color="000000" w:fill="FFFFFF"/>
            <w:noWrap/>
            <w:vAlign w:val="center"/>
            <w:hideMark/>
          </w:tcPr>
          <w:p w14:paraId="65CEF9C0" w14:textId="77777777" w:rsidR="00DE359F" w:rsidRDefault="00DE359F" w:rsidP="008D706C">
            <w:pPr>
              <w:jc w:val="center"/>
              <w:rPr>
                <w:color w:val="000000"/>
                <w:sz w:val="20"/>
                <w:szCs w:val="20"/>
              </w:rPr>
            </w:pPr>
            <w:r>
              <w:rPr>
                <w:color w:val="000000"/>
                <w:sz w:val="20"/>
                <w:szCs w:val="20"/>
              </w:rPr>
              <w:t>0.46 (0.43,0.49)</w:t>
            </w:r>
          </w:p>
        </w:tc>
        <w:tc>
          <w:tcPr>
            <w:tcW w:w="1650" w:type="dxa"/>
            <w:tcBorders>
              <w:top w:val="nil"/>
              <w:left w:val="nil"/>
              <w:bottom w:val="dashed" w:sz="8" w:space="0" w:color="auto"/>
              <w:right w:val="nil"/>
            </w:tcBorders>
            <w:shd w:val="clear" w:color="000000" w:fill="FFFFFF"/>
            <w:noWrap/>
            <w:vAlign w:val="center"/>
            <w:hideMark/>
          </w:tcPr>
          <w:p w14:paraId="50503196" w14:textId="77777777" w:rsidR="00DE359F" w:rsidRDefault="00DE359F" w:rsidP="008D706C">
            <w:pPr>
              <w:jc w:val="center"/>
              <w:rPr>
                <w:color w:val="000000"/>
                <w:sz w:val="20"/>
                <w:szCs w:val="20"/>
              </w:rPr>
            </w:pPr>
            <w:r>
              <w:rPr>
                <w:color w:val="000000"/>
                <w:sz w:val="20"/>
                <w:szCs w:val="20"/>
              </w:rPr>
              <w:t>0.49 (0.46,0.52)</w:t>
            </w:r>
          </w:p>
        </w:tc>
        <w:tc>
          <w:tcPr>
            <w:tcW w:w="683" w:type="dxa"/>
            <w:tcBorders>
              <w:top w:val="nil"/>
              <w:left w:val="nil"/>
              <w:bottom w:val="dashed" w:sz="8" w:space="0" w:color="auto"/>
              <w:right w:val="nil"/>
            </w:tcBorders>
            <w:shd w:val="clear" w:color="000000" w:fill="FFFFFF"/>
            <w:noWrap/>
            <w:vAlign w:val="center"/>
            <w:hideMark/>
          </w:tcPr>
          <w:p w14:paraId="2F8B247B" w14:textId="77777777" w:rsidR="00DE359F" w:rsidRDefault="00DE359F" w:rsidP="008D706C">
            <w:pPr>
              <w:jc w:val="center"/>
              <w:rPr>
                <w:color w:val="000000"/>
                <w:sz w:val="20"/>
                <w:szCs w:val="20"/>
              </w:rPr>
            </w:pPr>
            <w:r>
              <w:rPr>
                <w:color w:val="000000"/>
                <w:sz w:val="20"/>
                <w:szCs w:val="20"/>
              </w:rPr>
              <w:t>6</w:t>
            </w:r>
          </w:p>
        </w:tc>
      </w:tr>
      <w:tr w:rsidR="00DE359F" w14:paraId="66EDBDEF" w14:textId="77777777" w:rsidTr="008D706C">
        <w:trPr>
          <w:trHeight w:val="300"/>
        </w:trPr>
        <w:tc>
          <w:tcPr>
            <w:tcW w:w="1320" w:type="dxa"/>
            <w:tcBorders>
              <w:top w:val="nil"/>
              <w:left w:val="nil"/>
              <w:bottom w:val="nil"/>
              <w:right w:val="nil"/>
            </w:tcBorders>
            <w:shd w:val="clear" w:color="000000" w:fill="FFFFFF"/>
            <w:noWrap/>
            <w:vAlign w:val="center"/>
            <w:hideMark/>
          </w:tcPr>
          <w:p w14:paraId="00A5D906"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nil"/>
              <w:right w:val="nil"/>
            </w:tcBorders>
            <w:shd w:val="clear" w:color="000000" w:fill="FFFFFF"/>
            <w:noWrap/>
            <w:vAlign w:val="center"/>
            <w:hideMark/>
          </w:tcPr>
          <w:p w14:paraId="758372C6" w14:textId="77777777" w:rsidR="00DE359F" w:rsidRDefault="00DE359F" w:rsidP="008D706C">
            <w:pPr>
              <w:rPr>
                <w:color w:val="000000"/>
                <w:sz w:val="20"/>
                <w:szCs w:val="20"/>
              </w:rPr>
            </w:pPr>
            <w:r>
              <w:rPr>
                <w:color w:val="000000"/>
                <w:sz w:val="20"/>
                <w:szCs w:val="20"/>
              </w:rPr>
              <w:t>cg27655507</w:t>
            </w:r>
          </w:p>
        </w:tc>
        <w:tc>
          <w:tcPr>
            <w:tcW w:w="1540" w:type="dxa"/>
            <w:tcBorders>
              <w:top w:val="nil"/>
              <w:left w:val="nil"/>
              <w:bottom w:val="nil"/>
              <w:right w:val="nil"/>
            </w:tcBorders>
            <w:shd w:val="clear" w:color="000000" w:fill="FFFFFF"/>
            <w:noWrap/>
            <w:vAlign w:val="center"/>
            <w:hideMark/>
          </w:tcPr>
          <w:p w14:paraId="4ED70D97" w14:textId="77777777" w:rsidR="00DE359F" w:rsidRDefault="00DE359F" w:rsidP="008D706C">
            <w:pPr>
              <w:rPr>
                <w:color w:val="000000"/>
                <w:sz w:val="20"/>
                <w:szCs w:val="20"/>
              </w:rPr>
            </w:pPr>
            <w:r>
              <w:rPr>
                <w:color w:val="000000"/>
                <w:sz w:val="20"/>
                <w:szCs w:val="20"/>
              </w:rPr>
              <w:t>chr8:20159789</w:t>
            </w:r>
          </w:p>
        </w:tc>
        <w:tc>
          <w:tcPr>
            <w:tcW w:w="1247" w:type="dxa"/>
            <w:tcBorders>
              <w:top w:val="nil"/>
              <w:left w:val="nil"/>
              <w:bottom w:val="nil"/>
              <w:right w:val="nil"/>
            </w:tcBorders>
            <w:shd w:val="clear" w:color="000000" w:fill="FFFFFF"/>
            <w:noWrap/>
            <w:vAlign w:val="center"/>
            <w:hideMark/>
          </w:tcPr>
          <w:p w14:paraId="2B314262" w14:textId="77777777" w:rsidR="00DE359F" w:rsidRDefault="00DE359F" w:rsidP="008D706C">
            <w:pPr>
              <w:rPr>
                <w:i/>
                <w:iCs/>
                <w:color w:val="000000"/>
                <w:sz w:val="20"/>
                <w:szCs w:val="20"/>
              </w:rPr>
            </w:pPr>
            <w:r>
              <w:rPr>
                <w:i/>
                <w:iCs/>
                <w:color w:val="000000"/>
                <w:sz w:val="20"/>
                <w:szCs w:val="20"/>
              </w:rPr>
              <w:t>LZTS1</w:t>
            </w:r>
          </w:p>
        </w:tc>
        <w:tc>
          <w:tcPr>
            <w:tcW w:w="1093" w:type="dxa"/>
            <w:tcBorders>
              <w:top w:val="nil"/>
              <w:left w:val="nil"/>
              <w:bottom w:val="nil"/>
              <w:right w:val="nil"/>
            </w:tcBorders>
            <w:shd w:val="clear" w:color="000000" w:fill="FFFFFF"/>
            <w:noWrap/>
            <w:vAlign w:val="center"/>
            <w:hideMark/>
          </w:tcPr>
          <w:p w14:paraId="1BCC6BFE" w14:textId="77777777" w:rsidR="00DE359F" w:rsidRDefault="00DE359F" w:rsidP="008D706C">
            <w:pPr>
              <w:jc w:val="center"/>
              <w:rPr>
                <w:color w:val="000000"/>
                <w:sz w:val="20"/>
                <w:szCs w:val="20"/>
              </w:rPr>
            </w:pPr>
            <w:r>
              <w:rPr>
                <w:color w:val="000000"/>
                <w:sz w:val="20"/>
                <w:szCs w:val="20"/>
              </w:rPr>
              <w:t>5.28E-07</w:t>
            </w:r>
          </w:p>
        </w:tc>
        <w:tc>
          <w:tcPr>
            <w:tcW w:w="1100" w:type="dxa"/>
            <w:tcBorders>
              <w:top w:val="nil"/>
              <w:left w:val="nil"/>
              <w:bottom w:val="nil"/>
              <w:right w:val="nil"/>
            </w:tcBorders>
            <w:shd w:val="clear" w:color="000000" w:fill="FFFFFF"/>
            <w:noWrap/>
            <w:vAlign w:val="center"/>
            <w:hideMark/>
          </w:tcPr>
          <w:p w14:paraId="0C57A035" w14:textId="77777777" w:rsidR="00DE359F" w:rsidRDefault="00DE359F" w:rsidP="008D706C">
            <w:pPr>
              <w:jc w:val="center"/>
              <w:rPr>
                <w:color w:val="000000"/>
                <w:sz w:val="20"/>
                <w:szCs w:val="20"/>
              </w:rPr>
            </w:pPr>
            <w:r>
              <w:rPr>
                <w:color w:val="000000"/>
                <w:sz w:val="20"/>
                <w:szCs w:val="20"/>
              </w:rPr>
              <w:t>6.05E-02</w:t>
            </w:r>
          </w:p>
        </w:tc>
        <w:tc>
          <w:tcPr>
            <w:tcW w:w="1140" w:type="dxa"/>
            <w:tcBorders>
              <w:top w:val="nil"/>
              <w:left w:val="nil"/>
              <w:bottom w:val="nil"/>
              <w:right w:val="nil"/>
            </w:tcBorders>
            <w:shd w:val="clear" w:color="000000" w:fill="FFFFFF"/>
            <w:noWrap/>
            <w:vAlign w:val="center"/>
            <w:hideMark/>
          </w:tcPr>
          <w:p w14:paraId="18A9B5D2" w14:textId="77777777" w:rsidR="00DE359F" w:rsidRDefault="00DE359F" w:rsidP="008D706C">
            <w:pPr>
              <w:jc w:val="right"/>
              <w:rPr>
                <w:color w:val="000000"/>
                <w:sz w:val="20"/>
                <w:szCs w:val="20"/>
              </w:rPr>
            </w:pPr>
            <w:r>
              <w:rPr>
                <w:color w:val="000000"/>
                <w:sz w:val="20"/>
                <w:szCs w:val="20"/>
              </w:rPr>
              <w:t>-0.0283</w:t>
            </w:r>
          </w:p>
        </w:tc>
        <w:tc>
          <w:tcPr>
            <w:tcW w:w="1650" w:type="dxa"/>
            <w:tcBorders>
              <w:top w:val="nil"/>
              <w:left w:val="nil"/>
              <w:bottom w:val="nil"/>
              <w:right w:val="nil"/>
            </w:tcBorders>
            <w:shd w:val="clear" w:color="000000" w:fill="FFFFFF"/>
            <w:noWrap/>
            <w:vAlign w:val="center"/>
            <w:hideMark/>
          </w:tcPr>
          <w:p w14:paraId="41B10557" w14:textId="77777777" w:rsidR="00DE359F" w:rsidRDefault="00DE359F" w:rsidP="008D706C">
            <w:pPr>
              <w:jc w:val="center"/>
              <w:rPr>
                <w:color w:val="000000"/>
                <w:sz w:val="20"/>
                <w:szCs w:val="20"/>
              </w:rPr>
            </w:pPr>
            <w:r>
              <w:rPr>
                <w:color w:val="000000"/>
                <w:sz w:val="20"/>
                <w:szCs w:val="20"/>
              </w:rPr>
              <w:t>0.48 (0.45,0.51)</w:t>
            </w:r>
          </w:p>
        </w:tc>
        <w:tc>
          <w:tcPr>
            <w:tcW w:w="1650" w:type="dxa"/>
            <w:tcBorders>
              <w:top w:val="nil"/>
              <w:left w:val="nil"/>
              <w:bottom w:val="nil"/>
              <w:right w:val="nil"/>
            </w:tcBorders>
            <w:shd w:val="clear" w:color="000000" w:fill="FFFFFF"/>
            <w:noWrap/>
            <w:vAlign w:val="center"/>
            <w:hideMark/>
          </w:tcPr>
          <w:p w14:paraId="3F26C275" w14:textId="77777777" w:rsidR="00DE359F" w:rsidRDefault="00DE359F" w:rsidP="008D706C">
            <w:pPr>
              <w:jc w:val="center"/>
              <w:rPr>
                <w:color w:val="000000"/>
                <w:sz w:val="20"/>
                <w:szCs w:val="20"/>
              </w:rPr>
            </w:pPr>
            <w:r>
              <w:rPr>
                <w:color w:val="000000"/>
                <w:sz w:val="20"/>
                <w:szCs w:val="20"/>
              </w:rPr>
              <w:t>0.51 (0.47,0.54)</w:t>
            </w:r>
          </w:p>
        </w:tc>
        <w:tc>
          <w:tcPr>
            <w:tcW w:w="683" w:type="dxa"/>
            <w:tcBorders>
              <w:top w:val="nil"/>
              <w:left w:val="nil"/>
              <w:bottom w:val="nil"/>
              <w:right w:val="nil"/>
            </w:tcBorders>
            <w:shd w:val="clear" w:color="000000" w:fill="FFFFFF"/>
            <w:noWrap/>
            <w:vAlign w:val="center"/>
            <w:hideMark/>
          </w:tcPr>
          <w:p w14:paraId="4CFED2E7" w14:textId="77777777" w:rsidR="00DE359F" w:rsidRDefault="00DE359F" w:rsidP="008D706C">
            <w:pPr>
              <w:jc w:val="center"/>
              <w:rPr>
                <w:color w:val="000000"/>
                <w:sz w:val="20"/>
                <w:szCs w:val="20"/>
              </w:rPr>
            </w:pPr>
            <w:r>
              <w:rPr>
                <w:color w:val="000000"/>
                <w:sz w:val="20"/>
                <w:szCs w:val="20"/>
              </w:rPr>
              <w:t>7</w:t>
            </w:r>
          </w:p>
        </w:tc>
      </w:tr>
      <w:tr w:rsidR="00DE359F" w14:paraId="2DDD2736" w14:textId="77777777" w:rsidTr="008D706C">
        <w:trPr>
          <w:trHeight w:val="300"/>
        </w:trPr>
        <w:tc>
          <w:tcPr>
            <w:tcW w:w="1320" w:type="dxa"/>
            <w:tcBorders>
              <w:top w:val="nil"/>
              <w:left w:val="nil"/>
              <w:bottom w:val="nil"/>
              <w:right w:val="nil"/>
            </w:tcBorders>
            <w:shd w:val="clear" w:color="000000" w:fill="FFFFFF"/>
            <w:noWrap/>
            <w:vAlign w:val="center"/>
            <w:hideMark/>
          </w:tcPr>
          <w:p w14:paraId="499C67BE" w14:textId="77777777" w:rsidR="00DE359F" w:rsidRDefault="00DE359F" w:rsidP="008D706C">
            <w:pPr>
              <w:jc w:val="center"/>
              <w:rPr>
                <w:color w:val="000000"/>
                <w:sz w:val="20"/>
                <w:szCs w:val="20"/>
              </w:rPr>
            </w:pPr>
            <w:r>
              <w:rPr>
                <w:color w:val="000000"/>
                <w:sz w:val="20"/>
                <w:szCs w:val="20"/>
              </w:rPr>
              <w:t> </w:t>
            </w:r>
          </w:p>
        </w:tc>
        <w:tc>
          <w:tcPr>
            <w:tcW w:w="1280" w:type="dxa"/>
            <w:tcBorders>
              <w:top w:val="nil"/>
              <w:left w:val="nil"/>
              <w:bottom w:val="nil"/>
              <w:right w:val="nil"/>
            </w:tcBorders>
            <w:shd w:val="clear" w:color="000000" w:fill="FFFFFF"/>
            <w:noWrap/>
            <w:vAlign w:val="center"/>
            <w:hideMark/>
          </w:tcPr>
          <w:p w14:paraId="1044CFC6" w14:textId="77777777" w:rsidR="00DE359F" w:rsidRDefault="00DE359F" w:rsidP="008D706C">
            <w:pPr>
              <w:rPr>
                <w:color w:val="000000"/>
                <w:sz w:val="20"/>
                <w:szCs w:val="20"/>
              </w:rPr>
            </w:pPr>
            <w:r>
              <w:rPr>
                <w:color w:val="000000"/>
                <w:sz w:val="20"/>
                <w:szCs w:val="20"/>
              </w:rPr>
              <w:t>cg21180956</w:t>
            </w:r>
          </w:p>
        </w:tc>
        <w:tc>
          <w:tcPr>
            <w:tcW w:w="1540" w:type="dxa"/>
            <w:tcBorders>
              <w:top w:val="nil"/>
              <w:left w:val="nil"/>
              <w:bottom w:val="nil"/>
              <w:right w:val="nil"/>
            </w:tcBorders>
            <w:shd w:val="clear" w:color="000000" w:fill="FFFFFF"/>
            <w:noWrap/>
            <w:vAlign w:val="center"/>
            <w:hideMark/>
          </w:tcPr>
          <w:p w14:paraId="3AE39A0C" w14:textId="77777777" w:rsidR="00DE359F" w:rsidRDefault="00DE359F" w:rsidP="008D706C">
            <w:pPr>
              <w:rPr>
                <w:color w:val="000000"/>
                <w:sz w:val="20"/>
                <w:szCs w:val="20"/>
              </w:rPr>
            </w:pPr>
            <w:r>
              <w:rPr>
                <w:color w:val="000000"/>
                <w:sz w:val="20"/>
                <w:szCs w:val="20"/>
              </w:rPr>
              <w:t>chr5:54281478</w:t>
            </w:r>
          </w:p>
        </w:tc>
        <w:tc>
          <w:tcPr>
            <w:tcW w:w="1247" w:type="dxa"/>
            <w:tcBorders>
              <w:top w:val="nil"/>
              <w:left w:val="nil"/>
              <w:bottom w:val="nil"/>
              <w:right w:val="nil"/>
            </w:tcBorders>
            <w:shd w:val="clear" w:color="000000" w:fill="FFFFFF"/>
            <w:noWrap/>
            <w:vAlign w:val="center"/>
            <w:hideMark/>
          </w:tcPr>
          <w:p w14:paraId="4899A443"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493F7961" w14:textId="77777777" w:rsidR="00DE359F" w:rsidRDefault="00DE359F" w:rsidP="008D706C">
            <w:pPr>
              <w:jc w:val="center"/>
              <w:rPr>
                <w:color w:val="000000"/>
                <w:sz w:val="20"/>
                <w:szCs w:val="20"/>
              </w:rPr>
            </w:pPr>
            <w:r>
              <w:rPr>
                <w:color w:val="000000"/>
                <w:sz w:val="20"/>
                <w:szCs w:val="20"/>
              </w:rPr>
              <w:t>7.47E-07</w:t>
            </w:r>
          </w:p>
        </w:tc>
        <w:tc>
          <w:tcPr>
            <w:tcW w:w="1100" w:type="dxa"/>
            <w:tcBorders>
              <w:top w:val="nil"/>
              <w:left w:val="nil"/>
              <w:bottom w:val="nil"/>
              <w:right w:val="nil"/>
            </w:tcBorders>
            <w:shd w:val="clear" w:color="000000" w:fill="FFFFFF"/>
            <w:noWrap/>
            <w:vAlign w:val="center"/>
            <w:hideMark/>
          </w:tcPr>
          <w:p w14:paraId="23204C51" w14:textId="77777777" w:rsidR="00DE359F" w:rsidRDefault="00DE359F" w:rsidP="008D706C">
            <w:pPr>
              <w:jc w:val="center"/>
              <w:rPr>
                <w:color w:val="000000"/>
                <w:sz w:val="20"/>
                <w:szCs w:val="20"/>
              </w:rPr>
            </w:pPr>
            <w:r>
              <w:rPr>
                <w:color w:val="000000"/>
                <w:sz w:val="20"/>
                <w:szCs w:val="20"/>
              </w:rPr>
              <w:t>7.17E-02</w:t>
            </w:r>
          </w:p>
        </w:tc>
        <w:tc>
          <w:tcPr>
            <w:tcW w:w="1140" w:type="dxa"/>
            <w:tcBorders>
              <w:top w:val="nil"/>
              <w:left w:val="nil"/>
              <w:bottom w:val="nil"/>
              <w:right w:val="nil"/>
            </w:tcBorders>
            <w:shd w:val="clear" w:color="000000" w:fill="FFFFFF"/>
            <w:noWrap/>
            <w:vAlign w:val="center"/>
            <w:hideMark/>
          </w:tcPr>
          <w:p w14:paraId="291C7D3E" w14:textId="77777777" w:rsidR="00DE359F" w:rsidRDefault="00DE359F" w:rsidP="008D706C">
            <w:pPr>
              <w:jc w:val="right"/>
              <w:rPr>
                <w:color w:val="000000"/>
                <w:sz w:val="20"/>
                <w:szCs w:val="20"/>
              </w:rPr>
            </w:pPr>
            <w:r>
              <w:rPr>
                <w:color w:val="000000"/>
                <w:sz w:val="20"/>
                <w:szCs w:val="20"/>
              </w:rPr>
              <w:t>-0.032</w:t>
            </w:r>
          </w:p>
        </w:tc>
        <w:tc>
          <w:tcPr>
            <w:tcW w:w="1650" w:type="dxa"/>
            <w:tcBorders>
              <w:top w:val="nil"/>
              <w:left w:val="nil"/>
              <w:bottom w:val="nil"/>
              <w:right w:val="nil"/>
            </w:tcBorders>
            <w:shd w:val="clear" w:color="000000" w:fill="FFFFFF"/>
            <w:noWrap/>
            <w:vAlign w:val="center"/>
            <w:hideMark/>
          </w:tcPr>
          <w:p w14:paraId="44FD87BE" w14:textId="77777777" w:rsidR="00DE359F" w:rsidRDefault="00DE359F" w:rsidP="008D706C">
            <w:pPr>
              <w:jc w:val="center"/>
              <w:rPr>
                <w:color w:val="000000"/>
                <w:sz w:val="20"/>
                <w:szCs w:val="20"/>
              </w:rPr>
            </w:pPr>
            <w:r>
              <w:rPr>
                <w:color w:val="000000"/>
                <w:sz w:val="20"/>
                <w:szCs w:val="20"/>
              </w:rPr>
              <w:t>0.59 (0.56,0.63)</w:t>
            </w:r>
          </w:p>
        </w:tc>
        <w:tc>
          <w:tcPr>
            <w:tcW w:w="1650" w:type="dxa"/>
            <w:tcBorders>
              <w:top w:val="nil"/>
              <w:left w:val="nil"/>
              <w:bottom w:val="nil"/>
              <w:right w:val="nil"/>
            </w:tcBorders>
            <w:shd w:val="clear" w:color="000000" w:fill="FFFFFF"/>
            <w:noWrap/>
            <w:vAlign w:val="center"/>
            <w:hideMark/>
          </w:tcPr>
          <w:p w14:paraId="4D4D6428" w14:textId="77777777" w:rsidR="00DE359F" w:rsidRDefault="00DE359F" w:rsidP="008D706C">
            <w:pPr>
              <w:jc w:val="center"/>
              <w:rPr>
                <w:color w:val="000000"/>
                <w:sz w:val="20"/>
                <w:szCs w:val="20"/>
              </w:rPr>
            </w:pPr>
            <w:r>
              <w:rPr>
                <w:color w:val="000000"/>
                <w:sz w:val="20"/>
                <w:szCs w:val="20"/>
              </w:rPr>
              <w:t>0.62 (0.58,0.67)</w:t>
            </w:r>
          </w:p>
        </w:tc>
        <w:tc>
          <w:tcPr>
            <w:tcW w:w="683" w:type="dxa"/>
            <w:tcBorders>
              <w:top w:val="nil"/>
              <w:left w:val="nil"/>
              <w:bottom w:val="nil"/>
              <w:right w:val="nil"/>
            </w:tcBorders>
            <w:shd w:val="clear" w:color="000000" w:fill="FFFFFF"/>
            <w:noWrap/>
            <w:vAlign w:val="center"/>
            <w:hideMark/>
          </w:tcPr>
          <w:p w14:paraId="2D082E18" w14:textId="77777777" w:rsidR="00DE359F" w:rsidRDefault="00DE359F" w:rsidP="008D706C">
            <w:pPr>
              <w:jc w:val="center"/>
              <w:rPr>
                <w:color w:val="000000"/>
                <w:sz w:val="20"/>
                <w:szCs w:val="20"/>
              </w:rPr>
            </w:pPr>
            <w:r>
              <w:rPr>
                <w:color w:val="000000"/>
                <w:sz w:val="20"/>
                <w:szCs w:val="20"/>
              </w:rPr>
              <w:t>8</w:t>
            </w:r>
          </w:p>
        </w:tc>
      </w:tr>
      <w:tr w:rsidR="00DE359F" w14:paraId="73E47F3A" w14:textId="77777777" w:rsidTr="008D706C">
        <w:trPr>
          <w:trHeight w:val="300"/>
        </w:trPr>
        <w:tc>
          <w:tcPr>
            <w:tcW w:w="1320" w:type="dxa"/>
            <w:tcBorders>
              <w:top w:val="nil"/>
              <w:left w:val="nil"/>
              <w:bottom w:val="nil"/>
              <w:right w:val="nil"/>
            </w:tcBorders>
            <w:shd w:val="clear" w:color="000000" w:fill="FFFFFF"/>
            <w:noWrap/>
            <w:vAlign w:val="center"/>
            <w:hideMark/>
          </w:tcPr>
          <w:p w14:paraId="183609F4" w14:textId="77777777" w:rsidR="00DE359F" w:rsidRDefault="00DE359F" w:rsidP="008D706C">
            <w:pPr>
              <w:jc w:val="center"/>
              <w:rPr>
                <w:i/>
                <w:iCs/>
                <w:color w:val="000000"/>
                <w:sz w:val="20"/>
                <w:szCs w:val="20"/>
              </w:rPr>
            </w:pPr>
            <w:r>
              <w:rPr>
                <w:i/>
                <w:iCs/>
                <w:color w:val="000000"/>
                <w:sz w:val="20"/>
                <w:szCs w:val="20"/>
              </w:rPr>
              <w:t> </w:t>
            </w:r>
          </w:p>
        </w:tc>
        <w:tc>
          <w:tcPr>
            <w:tcW w:w="1280" w:type="dxa"/>
            <w:tcBorders>
              <w:top w:val="nil"/>
              <w:left w:val="nil"/>
              <w:bottom w:val="nil"/>
              <w:right w:val="nil"/>
            </w:tcBorders>
            <w:shd w:val="clear" w:color="000000" w:fill="FFFFFF"/>
            <w:noWrap/>
            <w:vAlign w:val="center"/>
            <w:hideMark/>
          </w:tcPr>
          <w:p w14:paraId="6C28861E" w14:textId="77777777" w:rsidR="00DE359F" w:rsidRDefault="00DE359F" w:rsidP="008D706C">
            <w:pPr>
              <w:rPr>
                <w:color w:val="000000"/>
                <w:sz w:val="20"/>
                <w:szCs w:val="20"/>
              </w:rPr>
            </w:pPr>
            <w:r>
              <w:rPr>
                <w:color w:val="000000"/>
                <w:sz w:val="20"/>
                <w:szCs w:val="20"/>
              </w:rPr>
              <w:t>cg10631947</w:t>
            </w:r>
          </w:p>
        </w:tc>
        <w:tc>
          <w:tcPr>
            <w:tcW w:w="1540" w:type="dxa"/>
            <w:tcBorders>
              <w:top w:val="nil"/>
              <w:left w:val="nil"/>
              <w:bottom w:val="nil"/>
              <w:right w:val="nil"/>
            </w:tcBorders>
            <w:shd w:val="clear" w:color="000000" w:fill="FFFFFF"/>
            <w:noWrap/>
            <w:vAlign w:val="center"/>
            <w:hideMark/>
          </w:tcPr>
          <w:p w14:paraId="69AE1ABE" w14:textId="77777777" w:rsidR="00DE359F" w:rsidRDefault="00DE359F" w:rsidP="008D706C">
            <w:pPr>
              <w:rPr>
                <w:color w:val="000000"/>
                <w:sz w:val="20"/>
                <w:szCs w:val="20"/>
              </w:rPr>
            </w:pPr>
            <w:r>
              <w:rPr>
                <w:color w:val="000000"/>
                <w:sz w:val="20"/>
                <w:szCs w:val="20"/>
              </w:rPr>
              <w:t>chr5:54281668</w:t>
            </w:r>
          </w:p>
        </w:tc>
        <w:tc>
          <w:tcPr>
            <w:tcW w:w="1247" w:type="dxa"/>
            <w:tcBorders>
              <w:top w:val="nil"/>
              <w:left w:val="nil"/>
              <w:bottom w:val="nil"/>
              <w:right w:val="nil"/>
            </w:tcBorders>
            <w:shd w:val="clear" w:color="000000" w:fill="FFFFFF"/>
            <w:noWrap/>
            <w:vAlign w:val="center"/>
            <w:hideMark/>
          </w:tcPr>
          <w:p w14:paraId="5744CFF3"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05EA90D2" w14:textId="77777777" w:rsidR="00DE359F" w:rsidRDefault="00DE359F" w:rsidP="008D706C">
            <w:pPr>
              <w:jc w:val="center"/>
              <w:rPr>
                <w:color w:val="000000"/>
                <w:sz w:val="20"/>
                <w:szCs w:val="20"/>
              </w:rPr>
            </w:pPr>
            <w:r>
              <w:rPr>
                <w:color w:val="000000"/>
                <w:sz w:val="20"/>
                <w:szCs w:val="20"/>
              </w:rPr>
              <w:t>9.31E-07</w:t>
            </w:r>
          </w:p>
        </w:tc>
        <w:tc>
          <w:tcPr>
            <w:tcW w:w="1100" w:type="dxa"/>
            <w:tcBorders>
              <w:top w:val="nil"/>
              <w:left w:val="nil"/>
              <w:bottom w:val="nil"/>
              <w:right w:val="nil"/>
            </w:tcBorders>
            <w:shd w:val="clear" w:color="000000" w:fill="FFFFFF"/>
            <w:noWrap/>
            <w:vAlign w:val="center"/>
            <w:hideMark/>
          </w:tcPr>
          <w:p w14:paraId="12C27F37" w14:textId="77777777" w:rsidR="00DE359F" w:rsidRDefault="00DE359F" w:rsidP="008D706C">
            <w:pPr>
              <w:jc w:val="center"/>
              <w:rPr>
                <w:color w:val="000000"/>
                <w:sz w:val="20"/>
                <w:szCs w:val="20"/>
              </w:rPr>
            </w:pPr>
            <w:r>
              <w:rPr>
                <w:color w:val="000000"/>
                <w:sz w:val="20"/>
                <w:szCs w:val="20"/>
              </w:rPr>
              <w:t>7.17E-02</w:t>
            </w:r>
          </w:p>
        </w:tc>
        <w:tc>
          <w:tcPr>
            <w:tcW w:w="1140" w:type="dxa"/>
            <w:tcBorders>
              <w:top w:val="nil"/>
              <w:left w:val="nil"/>
              <w:bottom w:val="nil"/>
              <w:right w:val="nil"/>
            </w:tcBorders>
            <w:shd w:val="clear" w:color="000000" w:fill="FFFFFF"/>
            <w:noWrap/>
            <w:vAlign w:val="center"/>
            <w:hideMark/>
          </w:tcPr>
          <w:p w14:paraId="4A9719ED" w14:textId="77777777" w:rsidR="00DE359F" w:rsidRDefault="00DE359F" w:rsidP="008D706C">
            <w:pPr>
              <w:jc w:val="right"/>
              <w:rPr>
                <w:color w:val="000000"/>
                <w:sz w:val="20"/>
                <w:szCs w:val="20"/>
              </w:rPr>
            </w:pPr>
            <w:r>
              <w:rPr>
                <w:color w:val="000000"/>
                <w:sz w:val="20"/>
                <w:szCs w:val="20"/>
              </w:rPr>
              <w:t>-0.0176</w:t>
            </w:r>
          </w:p>
        </w:tc>
        <w:tc>
          <w:tcPr>
            <w:tcW w:w="1650" w:type="dxa"/>
            <w:tcBorders>
              <w:top w:val="nil"/>
              <w:left w:val="nil"/>
              <w:bottom w:val="nil"/>
              <w:right w:val="nil"/>
            </w:tcBorders>
            <w:shd w:val="clear" w:color="000000" w:fill="FFFFFF"/>
            <w:noWrap/>
            <w:vAlign w:val="center"/>
            <w:hideMark/>
          </w:tcPr>
          <w:p w14:paraId="21CA74BD" w14:textId="77777777" w:rsidR="00DE359F" w:rsidRDefault="00DE359F" w:rsidP="008D706C">
            <w:pPr>
              <w:jc w:val="center"/>
              <w:rPr>
                <w:color w:val="000000"/>
                <w:sz w:val="20"/>
                <w:szCs w:val="20"/>
              </w:rPr>
            </w:pPr>
            <w:r>
              <w:rPr>
                <w:color w:val="000000"/>
                <w:sz w:val="20"/>
                <w:szCs w:val="20"/>
              </w:rPr>
              <w:t>0.84 (0.8,0.85)</w:t>
            </w:r>
          </w:p>
        </w:tc>
        <w:tc>
          <w:tcPr>
            <w:tcW w:w="1650" w:type="dxa"/>
            <w:tcBorders>
              <w:top w:val="nil"/>
              <w:left w:val="nil"/>
              <w:bottom w:val="nil"/>
              <w:right w:val="nil"/>
            </w:tcBorders>
            <w:shd w:val="clear" w:color="000000" w:fill="FFFFFF"/>
            <w:noWrap/>
            <w:vAlign w:val="center"/>
            <w:hideMark/>
          </w:tcPr>
          <w:p w14:paraId="6EED2FC1" w14:textId="77777777" w:rsidR="00DE359F" w:rsidRDefault="00DE359F" w:rsidP="008D706C">
            <w:pPr>
              <w:jc w:val="center"/>
              <w:rPr>
                <w:color w:val="000000"/>
                <w:sz w:val="20"/>
                <w:szCs w:val="20"/>
              </w:rPr>
            </w:pPr>
            <w:r>
              <w:rPr>
                <w:color w:val="000000"/>
                <w:sz w:val="20"/>
                <w:szCs w:val="20"/>
              </w:rPr>
              <w:t>0.85 (0.83,0.87)</w:t>
            </w:r>
          </w:p>
        </w:tc>
        <w:tc>
          <w:tcPr>
            <w:tcW w:w="683" w:type="dxa"/>
            <w:tcBorders>
              <w:top w:val="nil"/>
              <w:left w:val="nil"/>
              <w:bottom w:val="nil"/>
              <w:right w:val="nil"/>
            </w:tcBorders>
            <w:shd w:val="clear" w:color="000000" w:fill="FFFFFF"/>
            <w:noWrap/>
            <w:vAlign w:val="center"/>
            <w:hideMark/>
          </w:tcPr>
          <w:p w14:paraId="1C4DE8B1" w14:textId="77777777" w:rsidR="00DE359F" w:rsidRDefault="00DE359F" w:rsidP="008D706C">
            <w:pPr>
              <w:jc w:val="center"/>
              <w:rPr>
                <w:color w:val="000000"/>
                <w:sz w:val="20"/>
                <w:szCs w:val="20"/>
              </w:rPr>
            </w:pPr>
            <w:r>
              <w:rPr>
                <w:color w:val="000000"/>
                <w:sz w:val="20"/>
                <w:szCs w:val="20"/>
              </w:rPr>
              <w:t>10</w:t>
            </w:r>
          </w:p>
        </w:tc>
      </w:tr>
      <w:tr w:rsidR="00DE359F" w14:paraId="190C5D7C" w14:textId="77777777" w:rsidTr="008D706C">
        <w:trPr>
          <w:trHeight w:val="300"/>
        </w:trPr>
        <w:tc>
          <w:tcPr>
            <w:tcW w:w="1320" w:type="dxa"/>
            <w:tcBorders>
              <w:top w:val="nil"/>
              <w:left w:val="nil"/>
              <w:bottom w:val="nil"/>
              <w:right w:val="nil"/>
            </w:tcBorders>
            <w:shd w:val="clear" w:color="000000" w:fill="FFFFFF"/>
            <w:noWrap/>
            <w:vAlign w:val="center"/>
            <w:hideMark/>
          </w:tcPr>
          <w:p w14:paraId="1FF1C55D"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nil"/>
              <w:right w:val="nil"/>
            </w:tcBorders>
            <w:shd w:val="clear" w:color="000000" w:fill="FFFFFF"/>
            <w:noWrap/>
            <w:vAlign w:val="center"/>
            <w:hideMark/>
          </w:tcPr>
          <w:p w14:paraId="192D4CD7" w14:textId="77777777" w:rsidR="00DE359F" w:rsidRDefault="00DE359F" w:rsidP="008D706C">
            <w:pPr>
              <w:rPr>
                <w:color w:val="000000"/>
                <w:sz w:val="20"/>
                <w:szCs w:val="20"/>
              </w:rPr>
            </w:pPr>
            <w:r>
              <w:rPr>
                <w:color w:val="000000"/>
                <w:sz w:val="20"/>
                <w:szCs w:val="20"/>
              </w:rPr>
              <w:t>cg24403549</w:t>
            </w:r>
          </w:p>
        </w:tc>
        <w:tc>
          <w:tcPr>
            <w:tcW w:w="1540" w:type="dxa"/>
            <w:tcBorders>
              <w:top w:val="nil"/>
              <w:left w:val="nil"/>
              <w:bottom w:val="nil"/>
              <w:right w:val="nil"/>
            </w:tcBorders>
            <w:shd w:val="clear" w:color="000000" w:fill="FFFFFF"/>
            <w:noWrap/>
            <w:vAlign w:val="center"/>
            <w:hideMark/>
          </w:tcPr>
          <w:p w14:paraId="79E99597" w14:textId="77777777" w:rsidR="00DE359F" w:rsidRDefault="00DE359F" w:rsidP="008D706C">
            <w:pPr>
              <w:rPr>
                <w:color w:val="000000"/>
                <w:sz w:val="20"/>
                <w:szCs w:val="20"/>
              </w:rPr>
            </w:pPr>
            <w:r>
              <w:rPr>
                <w:color w:val="000000"/>
                <w:sz w:val="20"/>
                <w:szCs w:val="20"/>
              </w:rPr>
              <w:t>chr5:54281572</w:t>
            </w:r>
          </w:p>
        </w:tc>
        <w:tc>
          <w:tcPr>
            <w:tcW w:w="1247" w:type="dxa"/>
            <w:tcBorders>
              <w:top w:val="nil"/>
              <w:left w:val="nil"/>
              <w:bottom w:val="nil"/>
              <w:right w:val="nil"/>
            </w:tcBorders>
            <w:shd w:val="clear" w:color="000000" w:fill="FFFFFF"/>
            <w:noWrap/>
            <w:vAlign w:val="center"/>
            <w:hideMark/>
          </w:tcPr>
          <w:p w14:paraId="111CB89F"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15E35B7E" w14:textId="77777777" w:rsidR="00DE359F" w:rsidRDefault="00DE359F" w:rsidP="008D706C">
            <w:pPr>
              <w:jc w:val="center"/>
              <w:rPr>
                <w:color w:val="000000"/>
                <w:sz w:val="20"/>
                <w:szCs w:val="20"/>
              </w:rPr>
            </w:pPr>
            <w:r>
              <w:rPr>
                <w:color w:val="000000"/>
                <w:sz w:val="20"/>
                <w:szCs w:val="20"/>
              </w:rPr>
              <w:t>3.85E-06</w:t>
            </w:r>
          </w:p>
        </w:tc>
        <w:tc>
          <w:tcPr>
            <w:tcW w:w="1100" w:type="dxa"/>
            <w:tcBorders>
              <w:top w:val="nil"/>
              <w:left w:val="nil"/>
              <w:bottom w:val="nil"/>
              <w:right w:val="nil"/>
            </w:tcBorders>
            <w:shd w:val="clear" w:color="000000" w:fill="FFFFFF"/>
            <w:noWrap/>
            <w:vAlign w:val="center"/>
            <w:hideMark/>
          </w:tcPr>
          <w:p w14:paraId="4E39BF4C" w14:textId="77777777" w:rsidR="00DE359F" w:rsidRDefault="00DE359F" w:rsidP="008D706C">
            <w:pPr>
              <w:jc w:val="center"/>
              <w:rPr>
                <w:color w:val="000000"/>
                <w:sz w:val="20"/>
                <w:szCs w:val="20"/>
              </w:rPr>
            </w:pPr>
            <w:r>
              <w:rPr>
                <w:color w:val="000000"/>
                <w:sz w:val="20"/>
                <w:szCs w:val="20"/>
              </w:rPr>
              <w:t>1.46E-01</w:t>
            </w:r>
          </w:p>
        </w:tc>
        <w:tc>
          <w:tcPr>
            <w:tcW w:w="1140" w:type="dxa"/>
            <w:tcBorders>
              <w:top w:val="nil"/>
              <w:left w:val="nil"/>
              <w:bottom w:val="nil"/>
              <w:right w:val="nil"/>
            </w:tcBorders>
            <w:shd w:val="clear" w:color="000000" w:fill="FFFFFF"/>
            <w:noWrap/>
            <w:vAlign w:val="center"/>
            <w:hideMark/>
          </w:tcPr>
          <w:p w14:paraId="186CAE3D" w14:textId="77777777" w:rsidR="00DE359F" w:rsidRDefault="00DE359F" w:rsidP="008D706C">
            <w:pPr>
              <w:jc w:val="right"/>
              <w:rPr>
                <w:color w:val="000000"/>
                <w:sz w:val="20"/>
                <w:szCs w:val="20"/>
              </w:rPr>
            </w:pPr>
            <w:r>
              <w:rPr>
                <w:color w:val="000000"/>
                <w:sz w:val="20"/>
                <w:szCs w:val="20"/>
              </w:rPr>
              <w:t>-0.0281</w:t>
            </w:r>
          </w:p>
        </w:tc>
        <w:tc>
          <w:tcPr>
            <w:tcW w:w="1650" w:type="dxa"/>
            <w:tcBorders>
              <w:top w:val="nil"/>
              <w:left w:val="nil"/>
              <w:bottom w:val="nil"/>
              <w:right w:val="nil"/>
            </w:tcBorders>
            <w:shd w:val="clear" w:color="000000" w:fill="FFFFFF"/>
            <w:noWrap/>
            <w:vAlign w:val="center"/>
            <w:hideMark/>
          </w:tcPr>
          <w:p w14:paraId="1C6515A8" w14:textId="77777777" w:rsidR="00DE359F" w:rsidRDefault="00DE359F" w:rsidP="008D706C">
            <w:pPr>
              <w:jc w:val="center"/>
              <w:rPr>
                <w:color w:val="000000"/>
                <w:sz w:val="20"/>
                <w:szCs w:val="20"/>
              </w:rPr>
            </w:pPr>
            <w:r>
              <w:rPr>
                <w:color w:val="000000"/>
                <w:sz w:val="20"/>
                <w:szCs w:val="20"/>
              </w:rPr>
              <w:t>0.5 (0.46,0.53)</w:t>
            </w:r>
          </w:p>
        </w:tc>
        <w:tc>
          <w:tcPr>
            <w:tcW w:w="1650" w:type="dxa"/>
            <w:tcBorders>
              <w:top w:val="nil"/>
              <w:left w:val="nil"/>
              <w:bottom w:val="nil"/>
              <w:right w:val="nil"/>
            </w:tcBorders>
            <w:shd w:val="clear" w:color="000000" w:fill="FFFFFF"/>
            <w:noWrap/>
            <w:vAlign w:val="center"/>
            <w:hideMark/>
          </w:tcPr>
          <w:p w14:paraId="6CFC8A0C" w14:textId="77777777" w:rsidR="00DE359F" w:rsidRDefault="00DE359F" w:rsidP="008D706C">
            <w:pPr>
              <w:jc w:val="center"/>
              <w:rPr>
                <w:color w:val="000000"/>
                <w:sz w:val="20"/>
                <w:szCs w:val="20"/>
              </w:rPr>
            </w:pPr>
            <w:r>
              <w:rPr>
                <w:color w:val="000000"/>
                <w:sz w:val="20"/>
                <w:szCs w:val="20"/>
              </w:rPr>
              <w:t>0.52 (0.48,0.57)</w:t>
            </w:r>
          </w:p>
        </w:tc>
        <w:tc>
          <w:tcPr>
            <w:tcW w:w="683" w:type="dxa"/>
            <w:tcBorders>
              <w:top w:val="nil"/>
              <w:left w:val="nil"/>
              <w:bottom w:val="nil"/>
              <w:right w:val="nil"/>
            </w:tcBorders>
            <w:shd w:val="clear" w:color="000000" w:fill="FFFFFF"/>
            <w:noWrap/>
            <w:vAlign w:val="center"/>
            <w:hideMark/>
          </w:tcPr>
          <w:p w14:paraId="2F48DB28" w14:textId="77777777" w:rsidR="00DE359F" w:rsidRDefault="00DE359F" w:rsidP="008D706C">
            <w:pPr>
              <w:jc w:val="center"/>
              <w:rPr>
                <w:color w:val="000000"/>
                <w:sz w:val="20"/>
                <w:szCs w:val="20"/>
              </w:rPr>
            </w:pPr>
            <w:r>
              <w:rPr>
                <w:color w:val="000000"/>
                <w:sz w:val="20"/>
                <w:szCs w:val="20"/>
              </w:rPr>
              <w:t>21</w:t>
            </w:r>
          </w:p>
        </w:tc>
      </w:tr>
      <w:tr w:rsidR="00DE359F" w14:paraId="165FB382" w14:textId="77777777" w:rsidTr="008D706C">
        <w:trPr>
          <w:trHeight w:val="300"/>
        </w:trPr>
        <w:tc>
          <w:tcPr>
            <w:tcW w:w="1320" w:type="dxa"/>
            <w:tcBorders>
              <w:top w:val="nil"/>
              <w:left w:val="nil"/>
              <w:bottom w:val="nil"/>
              <w:right w:val="nil"/>
            </w:tcBorders>
            <w:shd w:val="clear" w:color="000000" w:fill="FFFFFF"/>
            <w:noWrap/>
            <w:vAlign w:val="center"/>
            <w:hideMark/>
          </w:tcPr>
          <w:p w14:paraId="0A6B0A42" w14:textId="77777777" w:rsidR="00DE359F" w:rsidRDefault="00DE359F" w:rsidP="008D706C">
            <w:pPr>
              <w:jc w:val="center"/>
              <w:rPr>
                <w:i/>
                <w:iCs/>
                <w:color w:val="000000"/>
                <w:sz w:val="20"/>
                <w:szCs w:val="20"/>
              </w:rPr>
            </w:pPr>
            <w:r>
              <w:rPr>
                <w:i/>
                <w:iCs/>
                <w:color w:val="000000"/>
                <w:sz w:val="20"/>
                <w:szCs w:val="20"/>
              </w:rPr>
              <w:t>CpGs</w:t>
            </w:r>
          </w:p>
        </w:tc>
        <w:tc>
          <w:tcPr>
            <w:tcW w:w="1280" w:type="dxa"/>
            <w:tcBorders>
              <w:top w:val="nil"/>
              <w:left w:val="nil"/>
              <w:bottom w:val="nil"/>
              <w:right w:val="nil"/>
            </w:tcBorders>
            <w:shd w:val="clear" w:color="000000" w:fill="FFFFFF"/>
            <w:noWrap/>
            <w:vAlign w:val="center"/>
            <w:hideMark/>
          </w:tcPr>
          <w:p w14:paraId="47753FE5" w14:textId="77777777" w:rsidR="00DE359F" w:rsidRDefault="00DE359F" w:rsidP="008D706C">
            <w:pPr>
              <w:rPr>
                <w:color w:val="000000"/>
                <w:sz w:val="20"/>
                <w:szCs w:val="20"/>
              </w:rPr>
            </w:pPr>
            <w:r>
              <w:rPr>
                <w:color w:val="000000"/>
                <w:sz w:val="20"/>
                <w:szCs w:val="20"/>
              </w:rPr>
              <w:t>cg15631458</w:t>
            </w:r>
          </w:p>
        </w:tc>
        <w:tc>
          <w:tcPr>
            <w:tcW w:w="1540" w:type="dxa"/>
            <w:tcBorders>
              <w:top w:val="nil"/>
              <w:left w:val="nil"/>
              <w:bottom w:val="nil"/>
              <w:right w:val="nil"/>
            </w:tcBorders>
            <w:shd w:val="clear" w:color="000000" w:fill="FFFFFF"/>
            <w:noWrap/>
            <w:vAlign w:val="center"/>
            <w:hideMark/>
          </w:tcPr>
          <w:p w14:paraId="78211DB0" w14:textId="77777777" w:rsidR="00DE359F" w:rsidRDefault="00DE359F" w:rsidP="008D706C">
            <w:pPr>
              <w:rPr>
                <w:color w:val="000000"/>
                <w:sz w:val="20"/>
                <w:szCs w:val="20"/>
              </w:rPr>
            </w:pPr>
            <w:r>
              <w:rPr>
                <w:color w:val="000000"/>
                <w:sz w:val="20"/>
                <w:szCs w:val="20"/>
              </w:rPr>
              <w:t>chr8:20160009</w:t>
            </w:r>
          </w:p>
        </w:tc>
        <w:tc>
          <w:tcPr>
            <w:tcW w:w="1247" w:type="dxa"/>
            <w:tcBorders>
              <w:top w:val="nil"/>
              <w:left w:val="nil"/>
              <w:bottom w:val="nil"/>
              <w:right w:val="nil"/>
            </w:tcBorders>
            <w:shd w:val="clear" w:color="000000" w:fill="FFFFFF"/>
            <w:noWrap/>
            <w:vAlign w:val="center"/>
            <w:hideMark/>
          </w:tcPr>
          <w:p w14:paraId="297CDF8D" w14:textId="77777777" w:rsidR="00DE359F" w:rsidRDefault="00DE359F" w:rsidP="008D706C">
            <w:pPr>
              <w:rPr>
                <w:i/>
                <w:iCs/>
                <w:color w:val="000000"/>
                <w:sz w:val="20"/>
                <w:szCs w:val="20"/>
              </w:rPr>
            </w:pPr>
            <w:r>
              <w:rPr>
                <w:i/>
                <w:iCs/>
                <w:color w:val="000000"/>
                <w:sz w:val="20"/>
                <w:szCs w:val="20"/>
              </w:rPr>
              <w:t>LZTS1</w:t>
            </w:r>
          </w:p>
        </w:tc>
        <w:tc>
          <w:tcPr>
            <w:tcW w:w="1093" w:type="dxa"/>
            <w:tcBorders>
              <w:top w:val="nil"/>
              <w:left w:val="nil"/>
              <w:bottom w:val="nil"/>
              <w:right w:val="nil"/>
            </w:tcBorders>
            <w:shd w:val="clear" w:color="000000" w:fill="FFFFFF"/>
            <w:noWrap/>
            <w:vAlign w:val="center"/>
            <w:hideMark/>
          </w:tcPr>
          <w:p w14:paraId="3698EC61" w14:textId="77777777" w:rsidR="00DE359F" w:rsidRDefault="00DE359F" w:rsidP="008D706C">
            <w:pPr>
              <w:jc w:val="center"/>
              <w:rPr>
                <w:color w:val="000000"/>
                <w:sz w:val="20"/>
                <w:szCs w:val="20"/>
              </w:rPr>
            </w:pPr>
            <w:r>
              <w:rPr>
                <w:color w:val="000000"/>
                <w:sz w:val="20"/>
                <w:szCs w:val="20"/>
              </w:rPr>
              <w:t>4.19E-06</w:t>
            </w:r>
          </w:p>
        </w:tc>
        <w:tc>
          <w:tcPr>
            <w:tcW w:w="1100" w:type="dxa"/>
            <w:tcBorders>
              <w:top w:val="nil"/>
              <w:left w:val="nil"/>
              <w:bottom w:val="nil"/>
              <w:right w:val="nil"/>
            </w:tcBorders>
            <w:shd w:val="clear" w:color="000000" w:fill="FFFFFF"/>
            <w:noWrap/>
            <w:vAlign w:val="center"/>
            <w:hideMark/>
          </w:tcPr>
          <w:p w14:paraId="23B11C02" w14:textId="77777777" w:rsidR="00DE359F" w:rsidRDefault="00DE359F" w:rsidP="008D706C">
            <w:pPr>
              <w:jc w:val="center"/>
              <w:rPr>
                <w:color w:val="000000"/>
                <w:sz w:val="20"/>
                <w:szCs w:val="20"/>
              </w:rPr>
            </w:pPr>
            <w:r>
              <w:rPr>
                <w:color w:val="000000"/>
                <w:sz w:val="20"/>
                <w:szCs w:val="20"/>
              </w:rPr>
              <w:t>1.46E-01</w:t>
            </w:r>
          </w:p>
        </w:tc>
        <w:tc>
          <w:tcPr>
            <w:tcW w:w="1140" w:type="dxa"/>
            <w:tcBorders>
              <w:top w:val="nil"/>
              <w:left w:val="nil"/>
              <w:bottom w:val="nil"/>
              <w:right w:val="nil"/>
            </w:tcBorders>
            <w:shd w:val="clear" w:color="000000" w:fill="FFFFFF"/>
            <w:noWrap/>
            <w:vAlign w:val="center"/>
            <w:hideMark/>
          </w:tcPr>
          <w:p w14:paraId="5C8C393D" w14:textId="77777777" w:rsidR="00DE359F" w:rsidRDefault="00DE359F" w:rsidP="008D706C">
            <w:pPr>
              <w:jc w:val="right"/>
              <w:rPr>
                <w:color w:val="000000"/>
                <w:sz w:val="20"/>
                <w:szCs w:val="20"/>
              </w:rPr>
            </w:pPr>
            <w:r>
              <w:rPr>
                <w:color w:val="000000"/>
                <w:sz w:val="20"/>
                <w:szCs w:val="20"/>
              </w:rPr>
              <w:t>-0.0242</w:t>
            </w:r>
          </w:p>
        </w:tc>
        <w:tc>
          <w:tcPr>
            <w:tcW w:w="1650" w:type="dxa"/>
            <w:tcBorders>
              <w:top w:val="nil"/>
              <w:left w:val="nil"/>
              <w:bottom w:val="nil"/>
              <w:right w:val="nil"/>
            </w:tcBorders>
            <w:shd w:val="clear" w:color="000000" w:fill="FFFFFF"/>
            <w:noWrap/>
            <w:vAlign w:val="center"/>
            <w:hideMark/>
          </w:tcPr>
          <w:p w14:paraId="0A7CC210" w14:textId="77777777" w:rsidR="00DE359F" w:rsidRDefault="00DE359F" w:rsidP="008D706C">
            <w:pPr>
              <w:jc w:val="center"/>
              <w:rPr>
                <w:color w:val="000000"/>
                <w:sz w:val="20"/>
                <w:szCs w:val="20"/>
              </w:rPr>
            </w:pPr>
            <w:r>
              <w:rPr>
                <w:color w:val="000000"/>
                <w:sz w:val="20"/>
                <w:szCs w:val="20"/>
              </w:rPr>
              <w:t>0.27 (0.23,0.3)</w:t>
            </w:r>
          </w:p>
        </w:tc>
        <w:tc>
          <w:tcPr>
            <w:tcW w:w="1650" w:type="dxa"/>
            <w:tcBorders>
              <w:top w:val="nil"/>
              <w:left w:val="nil"/>
              <w:bottom w:val="nil"/>
              <w:right w:val="nil"/>
            </w:tcBorders>
            <w:shd w:val="clear" w:color="000000" w:fill="FFFFFF"/>
            <w:noWrap/>
            <w:vAlign w:val="center"/>
            <w:hideMark/>
          </w:tcPr>
          <w:p w14:paraId="6F2D9EAD" w14:textId="77777777" w:rsidR="00DE359F" w:rsidRDefault="00DE359F" w:rsidP="008D706C">
            <w:pPr>
              <w:jc w:val="center"/>
              <w:rPr>
                <w:color w:val="000000"/>
                <w:sz w:val="20"/>
                <w:szCs w:val="20"/>
              </w:rPr>
            </w:pPr>
            <w:r>
              <w:rPr>
                <w:color w:val="000000"/>
                <w:sz w:val="20"/>
                <w:szCs w:val="20"/>
              </w:rPr>
              <w:t>0.29 (0.26,0.32)</w:t>
            </w:r>
          </w:p>
        </w:tc>
        <w:tc>
          <w:tcPr>
            <w:tcW w:w="683" w:type="dxa"/>
            <w:tcBorders>
              <w:top w:val="nil"/>
              <w:left w:val="nil"/>
              <w:bottom w:val="nil"/>
              <w:right w:val="nil"/>
            </w:tcBorders>
            <w:shd w:val="clear" w:color="000000" w:fill="FFFFFF"/>
            <w:noWrap/>
            <w:vAlign w:val="center"/>
            <w:hideMark/>
          </w:tcPr>
          <w:p w14:paraId="442D3BE6" w14:textId="77777777" w:rsidR="00DE359F" w:rsidRDefault="00DE359F" w:rsidP="008D706C">
            <w:pPr>
              <w:jc w:val="center"/>
              <w:rPr>
                <w:color w:val="000000"/>
                <w:sz w:val="20"/>
                <w:szCs w:val="20"/>
              </w:rPr>
            </w:pPr>
            <w:r>
              <w:rPr>
                <w:color w:val="000000"/>
                <w:sz w:val="20"/>
                <w:szCs w:val="20"/>
              </w:rPr>
              <w:t>22</w:t>
            </w:r>
          </w:p>
        </w:tc>
      </w:tr>
      <w:tr w:rsidR="00DE359F" w14:paraId="124C142E" w14:textId="77777777" w:rsidTr="008D706C">
        <w:trPr>
          <w:trHeight w:val="300"/>
        </w:trPr>
        <w:tc>
          <w:tcPr>
            <w:tcW w:w="1320" w:type="dxa"/>
            <w:tcBorders>
              <w:top w:val="nil"/>
              <w:left w:val="nil"/>
              <w:bottom w:val="nil"/>
              <w:right w:val="nil"/>
            </w:tcBorders>
            <w:shd w:val="clear" w:color="000000" w:fill="FFFFFF"/>
            <w:noWrap/>
            <w:vAlign w:val="center"/>
            <w:hideMark/>
          </w:tcPr>
          <w:p w14:paraId="70764A9B" w14:textId="77777777" w:rsidR="00DE359F" w:rsidRDefault="00DE359F" w:rsidP="008D706C">
            <w:pPr>
              <w:jc w:val="center"/>
              <w:rPr>
                <w:i/>
                <w:iCs/>
                <w:color w:val="000000"/>
                <w:sz w:val="20"/>
                <w:szCs w:val="20"/>
              </w:rPr>
            </w:pPr>
            <w:r>
              <w:rPr>
                <w:i/>
                <w:iCs/>
                <w:color w:val="000000"/>
                <w:sz w:val="20"/>
                <w:szCs w:val="20"/>
              </w:rPr>
              <w:t>in DMRs</w:t>
            </w:r>
          </w:p>
        </w:tc>
        <w:tc>
          <w:tcPr>
            <w:tcW w:w="1280" w:type="dxa"/>
            <w:tcBorders>
              <w:top w:val="nil"/>
              <w:left w:val="nil"/>
              <w:bottom w:val="nil"/>
              <w:right w:val="nil"/>
            </w:tcBorders>
            <w:shd w:val="clear" w:color="000000" w:fill="FFFFFF"/>
            <w:noWrap/>
            <w:vAlign w:val="center"/>
            <w:hideMark/>
          </w:tcPr>
          <w:p w14:paraId="051907FC" w14:textId="77777777" w:rsidR="00DE359F" w:rsidRDefault="00DE359F" w:rsidP="008D706C">
            <w:pPr>
              <w:rPr>
                <w:color w:val="000000"/>
                <w:sz w:val="20"/>
                <w:szCs w:val="20"/>
              </w:rPr>
            </w:pPr>
            <w:r>
              <w:rPr>
                <w:color w:val="000000"/>
                <w:sz w:val="20"/>
                <w:szCs w:val="20"/>
              </w:rPr>
              <w:t>cg13106512</w:t>
            </w:r>
          </w:p>
        </w:tc>
        <w:tc>
          <w:tcPr>
            <w:tcW w:w="1540" w:type="dxa"/>
            <w:tcBorders>
              <w:top w:val="nil"/>
              <w:left w:val="nil"/>
              <w:bottom w:val="nil"/>
              <w:right w:val="nil"/>
            </w:tcBorders>
            <w:shd w:val="clear" w:color="000000" w:fill="FFFFFF"/>
            <w:noWrap/>
            <w:vAlign w:val="center"/>
            <w:hideMark/>
          </w:tcPr>
          <w:p w14:paraId="2C5402C6" w14:textId="77777777" w:rsidR="00DE359F" w:rsidRDefault="00DE359F" w:rsidP="008D706C">
            <w:pPr>
              <w:rPr>
                <w:color w:val="000000"/>
                <w:sz w:val="20"/>
                <w:szCs w:val="20"/>
              </w:rPr>
            </w:pPr>
            <w:r>
              <w:rPr>
                <w:color w:val="000000"/>
                <w:sz w:val="20"/>
                <w:szCs w:val="20"/>
              </w:rPr>
              <w:t>chr5:54281507</w:t>
            </w:r>
          </w:p>
        </w:tc>
        <w:tc>
          <w:tcPr>
            <w:tcW w:w="1247" w:type="dxa"/>
            <w:tcBorders>
              <w:top w:val="nil"/>
              <w:left w:val="nil"/>
              <w:bottom w:val="nil"/>
              <w:right w:val="nil"/>
            </w:tcBorders>
            <w:shd w:val="clear" w:color="000000" w:fill="FFFFFF"/>
            <w:noWrap/>
            <w:vAlign w:val="center"/>
            <w:hideMark/>
          </w:tcPr>
          <w:p w14:paraId="2DFB308F"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1882B47E" w14:textId="77777777" w:rsidR="00DE359F" w:rsidRDefault="00DE359F" w:rsidP="008D706C">
            <w:pPr>
              <w:jc w:val="center"/>
              <w:rPr>
                <w:color w:val="000000"/>
                <w:sz w:val="20"/>
                <w:szCs w:val="20"/>
              </w:rPr>
            </w:pPr>
            <w:r>
              <w:rPr>
                <w:color w:val="000000"/>
                <w:sz w:val="20"/>
                <w:szCs w:val="20"/>
              </w:rPr>
              <w:t>4.80E-06</w:t>
            </w:r>
          </w:p>
        </w:tc>
        <w:tc>
          <w:tcPr>
            <w:tcW w:w="1100" w:type="dxa"/>
            <w:tcBorders>
              <w:top w:val="nil"/>
              <w:left w:val="nil"/>
              <w:bottom w:val="nil"/>
              <w:right w:val="nil"/>
            </w:tcBorders>
            <w:shd w:val="clear" w:color="000000" w:fill="FFFFFF"/>
            <w:noWrap/>
            <w:vAlign w:val="center"/>
            <w:hideMark/>
          </w:tcPr>
          <w:p w14:paraId="695317BE" w14:textId="77777777" w:rsidR="00DE359F" w:rsidRDefault="00DE359F" w:rsidP="008D706C">
            <w:pPr>
              <w:jc w:val="center"/>
              <w:rPr>
                <w:color w:val="000000"/>
                <w:sz w:val="20"/>
                <w:szCs w:val="20"/>
              </w:rPr>
            </w:pPr>
            <w:r>
              <w:rPr>
                <w:color w:val="000000"/>
                <w:sz w:val="20"/>
                <w:szCs w:val="20"/>
              </w:rPr>
              <w:t>1.50E-01</w:t>
            </w:r>
          </w:p>
        </w:tc>
        <w:tc>
          <w:tcPr>
            <w:tcW w:w="1140" w:type="dxa"/>
            <w:tcBorders>
              <w:top w:val="nil"/>
              <w:left w:val="nil"/>
              <w:bottom w:val="nil"/>
              <w:right w:val="nil"/>
            </w:tcBorders>
            <w:shd w:val="clear" w:color="000000" w:fill="FFFFFF"/>
            <w:noWrap/>
            <w:vAlign w:val="center"/>
            <w:hideMark/>
          </w:tcPr>
          <w:p w14:paraId="33C2C94A" w14:textId="77777777" w:rsidR="00DE359F" w:rsidRDefault="00DE359F" w:rsidP="008D706C">
            <w:pPr>
              <w:jc w:val="right"/>
              <w:rPr>
                <w:color w:val="000000"/>
                <w:sz w:val="20"/>
                <w:szCs w:val="20"/>
              </w:rPr>
            </w:pPr>
            <w:r>
              <w:rPr>
                <w:color w:val="000000"/>
                <w:sz w:val="20"/>
                <w:szCs w:val="20"/>
              </w:rPr>
              <w:t>-0.0234</w:t>
            </w:r>
          </w:p>
        </w:tc>
        <w:tc>
          <w:tcPr>
            <w:tcW w:w="1650" w:type="dxa"/>
            <w:tcBorders>
              <w:top w:val="nil"/>
              <w:left w:val="nil"/>
              <w:bottom w:val="nil"/>
              <w:right w:val="nil"/>
            </w:tcBorders>
            <w:shd w:val="clear" w:color="000000" w:fill="FFFFFF"/>
            <w:noWrap/>
            <w:vAlign w:val="center"/>
            <w:hideMark/>
          </w:tcPr>
          <w:p w14:paraId="52B0D99F" w14:textId="77777777" w:rsidR="00DE359F" w:rsidRDefault="00DE359F" w:rsidP="008D706C">
            <w:pPr>
              <w:jc w:val="center"/>
              <w:rPr>
                <w:color w:val="000000"/>
                <w:sz w:val="20"/>
                <w:szCs w:val="20"/>
              </w:rPr>
            </w:pPr>
            <w:r>
              <w:rPr>
                <w:color w:val="000000"/>
                <w:sz w:val="20"/>
                <w:szCs w:val="20"/>
              </w:rPr>
              <w:t>0.46 (0.43,0.49)</w:t>
            </w:r>
          </w:p>
        </w:tc>
        <w:tc>
          <w:tcPr>
            <w:tcW w:w="1650" w:type="dxa"/>
            <w:tcBorders>
              <w:top w:val="nil"/>
              <w:left w:val="nil"/>
              <w:bottom w:val="nil"/>
              <w:right w:val="nil"/>
            </w:tcBorders>
            <w:shd w:val="clear" w:color="000000" w:fill="FFFFFF"/>
            <w:noWrap/>
            <w:vAlign w:val="center"/>
            <w:hideMark/>
          </w:tcPr>
          <w:p w14:paraId="65999C60" w14:textId="77777777" w:rsidR="00DE359F" w:rsidRDefault="00DE359F" w:rsidP="008D706C">
            <w:pPr>
              <w:jc w:val="center"/>
              <w:rPr>
                <w:color w:val="000000"/>
                <w:sz w:val="20"/>
                <w:szCs w:val="20"/>
              </w:rPr>
            </w:pPr>
            <w:r>
              <w:rPr>
                <w:color w:val="000000"/>
                <w:sz w:val="20"/>
                <w:szCs w:val="20"/>
              </w:rPr>
              <w:t>0.49 (0.45,0.52)</w:t>
            </w:r>
          </w:p>
        </w:tc>
        <w:tc>
          <w:tcPr>
            <w:tcW w:w="683" w:type="dxa"/>
            <w:tcBorders>
              <w:top w:val="nil"/>
              <w:left w:val="nil"/>
              <w:bottom w:val="nil"/>
              <w:right w:val="nil"/>
            </w:tcBorders>
            <w:shd w:val="clear" w:color="000000" w:fill="FFFFFF"/>
            <w:noWrap/>
            <w:vAlign w:val="center"/>
            <w:hideMark/>
          </w:tcPr>
          <w:p w14:paraId="5110F321" w14:textId="77777777" w:rsidR="00DE359F" w:rsidRDefault="00DE359F" w:rsidP="008D706C">
            <w:pPr>
              <w:jc w:val="center"/>
              <w:rPr>
                <w:color w:val="000000"/>
                <w:sz w:val="20"/>
                <w:szCs w:val="20"/>
              </w:rPr>
            </w:pPr>
            <w:r>
              <w:rPr>
                <w:color w:val="000000"/>
                <w:sz w:val="20"/>
                <w:szCs w:val="20"/>
              </w:rPr>
              <w:t>24</w:t>
            </w:r>
          </w:p>
        </w:tc>
      </w:tr>
      <w:tr w:rsidR="00DE359F" w14:paraId="0DF4A999" w14:textId="77777777" w:rsidTr="008D706C">
        <w:trPr>
          <w:trHeight w:val="300"/>
        </w:trPr>
        <w:tc>
          <w:tcPr>
            <w:tcW w:w="1320" w:type="dxa"/>
            <w:tcBorders>
              <w:top w:val="nil"/>
              <w:left w:val="nil"/>
              <w:bottom w:val="nil"/>
              <w:right w:val="nil"/>
            </w:tcBorders>
            <w:shd w:val="clear" w:color="000000" w:fill="FFFFFF"/>
            <w:noWrap/>
            <w:vAlign w:val="center"/>
            <w:hideMark/>
          </w:tcPr>
          <w:p w14:paraId="0BAEDE5D" w14:textId="77777777" w:rsidR="00DE359F" w:rsidRDefault="00DE359F" w:rsidP="008D706C">
            <w:pPr>
              <w:jc w:val="center"/>
              <w:rPr>
                <w:i/>
                <w:iCs/>
                <w:color w:val="000000"/>
                <w:sz w:val="20"/>
                <w:szCs w:val="20"/>
              </w:rPr>
            </w:pPr>
            <w:r>
              <w:rPr>
                <w:i/>
                <w:iCs/>
                <w:color w:val="000000"/>
                <w:sz w:val="20"/>
                <w:szCs w:val="20"/>
              </w:rPr>
              <w:t> </w:t>
            </w:r>
          </w:p>
        </w:tc>
        <w:tc>
          <w:tcPr>
            <w:tcW w:w="1280" w:type="dxa"/>
            <w:tcBorders>
              <w:top w:val="nil"/>
              <w:left w:val="nil"/>
              <w:bottom w:val="nil"/>
              <w:right w:val="nil"/>
            </w:tcBorders>
            <w:shd w:val="clear" w:color="000000" w:fill="FFFFFF"/>
            <w:noWrap/>
            <w:vAlign w:val="center"/>
            <w:hideMark/>
          </w:tcPr>
          <w:p w14:paraId="4E954B5C" w14:textId="77777777" w:rsidR="00DE359F" w:rsidRDefault="00DE359F" w:rsidP="008D706C">
            <w:pPr>
              <w:rPr>
                <w:color w:val="000000"/>
                <w:sz w:val="20"/>
                <w:szCs w:val="20"/>
              </w:rPr>
            </w:pPr>
            <w:r>
              <w:rPr>
                <w:color w:val="000000"/>
                <w:sz w:val="20"/>
                <w:szCs w:val="20"/>
              </w:rPr>
              <w:t>cg20059697</w:t>
            </w:r>
          </w:p>
        </w:tc>
        <w:tc>
          <w:tcPr>
            <w:tcW w:w="1540" w:type="dxa"/>
            <w:tcBorders>
              <w:top w:val="nil"/>
              <w:left w:val="nil"/>
              <w:bottom w:val="nil"/>
              <w:right w:val="nil"/>
            </w:tcBorders>
            <w:shd w:val="clear" w:color="000000" w:fill="FFFFFF"/>
            <w:noWrap/>
            <w:vAlign w:val="center"/>
            <w:hideMark/>
          </w:tcPr>
          <w:p w14:paraId="5078DD64" w14:textId="77777777" w:rsidR="00DE359F" w:rsidRDefault="00DE359F" w:rsidP="008D706C">
            <w:pPr>
              <w:rPr>
                <w:color w:val="000000"/>
                <w:sz w:val="20"/>
                <w:szCs w:val="20"/>
              </w:rPr>
            </w:pPr>
            <w:r>
              <w:rPr>
                <w:color w:val="000000"/>
                <w:sz w:val="20"/>
                <w:szCs w:val="20"/>
              </w:rPr>
              <w:t>chr5:54281687</w:t>
            </w:r>
          </w:p>
        </w:tc>
        <w:tc>
          <w:tcPr>
            <w:tcW w:w="1247" w:type="dxa"/>
            <w:tcBorders>
              <w:top w:val="nil"/>
              <w:left w:val="nil"/>
              <w:bottom w:val="nil"/>
              <w:right w:val="nil"/>
            </w:tcBorders>
            <w:shd w:val="clear" w:color="000000" w:fill="FFFFFF"/>
            <w:noWrap/>
            <w:vAlign w:val="center"/>
            <w:hideMark/>
          </w:tcPr>
          <w:p w14:paraId="47D21E6B"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62E5C796" w14:textId="77777777" w:rsidR="00DE359F" w:rsidRDefault="00DE359F" w:rsidP="008D706C">
            <w:pPr>
              <w:jc w:val="center"/>
              <w:rPr>
                <w:color w:val="000000"/>
                <w:sz w:val="20"/>
                <w:szCs w:val="20"/>
              </w:rPr>
            </w:pPr>
            <w:r>
              <w:rPr>
                <w:color w:val="000000"/>
                <w:sz w:val="20"/>
                <w:szCs w:val="20"/>
              </w:rPr>
              <w:t>2.10E-05</w:t>
            </w:r>
          </w:p>
        </w:tc>
        <w:tc>
          <w:tcPr>
            <w:tcW w:w="1100" w:type="dxa"/>
            <w:tcBorders>
              <w:top w:val="nil"/>
              <w:left w:val="nil"/>
              <w:bottom w:val="nil"/>
              <w:right w:val="nil"/>
            </w:tcBorders>
            <w:shd w:val="clear" w:color="000000" w:fill="FFFFFF"/>
            <w:noWrap/>
            <w:vAlign w:val="center"/>
            <w:hideMark/>
          </w:tcPr>
          <w:p w14:paraId="2426A1BB" w14:textId="77777777" w:rsidR="00DE359F" w:rsidRDefault="00DE359F" w:rsidP="008D706C">
            <w:pPr>
              <w:jc w:val="center"/>
              <w:rPr>
                <w:color w:val="000000"/>
                <w:sz w:val="20"/>
                <w:szCs w:val="20"/>
              </w:rPr>
            </w:pPr>
            <w:r>
              <w:rPr>
                <w:color w:val="000000"/>
                <w:sz w:val="20"/>
                <w:szCs w:val="20"/>
              </w:rPr>
              <w:t>3.01E-01</w:t>
            </w:r>
          </w:p>
        </w:tc>
        <w:tc>
          <w:tcPr>
            <w:tcW w:w="1140" w:type="dxa"/>
            <w:tcBorders>
              <w:top w:val="nil"/>
              <w:left w:val="nil"/>
              <w:bottom w:val="nil"/>
              <w:right w:val="nil"/>
            </w:tcBorders>
            <w:shd w:val="clear" w:color="000000" w:fill="FFFFFF"/>
            <w:noWrap/>
            <w:vAlign w:val="center"/>
            <w:hideMark/>
          </w:tcPr>
          <w:p w14:paraId="79174D69" w14:textId="77777777" w:rsidR="00DE359F" w:rsidRDefault="00DE359F" w:rsidP="008D706C">
            <w:pPr>
              <w:jc w:val="right"/>
              <w:rPr>
                <w:color w:val="000000"/>
                <w:sz w:val="20"/>
                <w:szCs w:val="20"/>
              </w:rPr>
            </w:pPr>
            <w:r>
              <w:rPr>
                <w:color w:val="000000"/>
                <w:sz w:val="20"/>
                <w:szCs w:val="20"/>
              </w:rPr>
              <w:t>-0.0236</w:t>
            </w:r>
          </w:p>
        </w:tc>
        <w:tc>
          <w:tcPr>
            <w:tcW w:w="1650" w:type="dxa"/>
            <w:tcBorders>
              <w:top w:val="nil"/>
              <w:left w:val="nil"/>
              <w:bottom w:val="nil"/>
              <w:right w:val="nil"/>
            </w:tcBorders>
            <w:shd w:val="clear" w:color="000000" w:fill="FFFFFF"/>
            <w:noWrap/>
            <w:vAlign w:val="center"/>
            <w:hideMark/>
          </w:tcPr>
          <w:p w14:paraId="0E01A41E" w14:textId="77777777" w:rsidR="00DE359F" w:rsidRDefault="00DE359F" w:rsidP="008D706C">
            <w:pPr>
              <w:jc w:val="center"/>
              <w:rPr>
                <w:color w:val="000000"/>
                <w:sz w:val="20"/>
                <w:szCs w:val="20"/>
              </w:rPr>
            </w:pPr>
            <w:r>
              <w:rPr>
                <w:color w:val="000000"/>
                <w:sz w:val="20"/>
                <w:szCs w:val="20"/>
              </w:rPr>
              <w:t>0.62 (0.58,0.65)</w:t>
            </w:r>
          </w:p>
        </w:tc>
        <w:tc>
          <w:tcPr>
            <w:tcW w:w="1650" w:type="dxa"/>
            <w:tcBorders>
              <w:top w:val="nil"/>
              <w:left w:val="nil"/>
              <w:bottom w:val="nil"/>
              <w:right w:val="nil"/>
            </w:tcBorders>
            <w:shd w:val="clear" w:color="000000" w:fill="FFFFFF"/>
            <w:noWrap/>
            <w:vAlign w:val="center"/>
            <w:hideMark/>
          </w:tcPr>
          <w:p w14:paraId="7001C6D2" w14:textId="77777777" w:rsidR="00DE359F" w:rsidRDefault="00DE359F" w:rsidP="008D706C">
            <w:pPr>
              <w:jc w:val="center"/>
              <w:rPr>
                <w:color w:val="000000"/>
                <w:sz w:val="20"/>
                <w:szCs w:val="20"/>
              </w:rPr>
            </w:pPr>
            <w:r>
              <w:rPr>
                <w:color w:val="000000"/>
                <w:sz w:val="20"/>
                <w:szCs w:val="20"/>
              </w:rPr>
              <w:t>0.64 (0.61,0.68)</w:t>
            </w:r>
          </w:p>
        </w:tc>
        <w:tc>
          <w:tcPr>
            <w:tcW w:w="683" w:type="dxa"/>
            <w:tcBorders>
              <w:top w:val="nil"/>
              <w:left w:val="nil"/>
              <w:bottom w:val="nil"/>
              <w:right w:val="nil"/>
            </w:tcBorders>
            <w:shd w:val="clear" w:color="000000" w:fill="FFFFFF"/>
            <w:noWrap/>
            <w:vAlign w:val="center"/>
            <w:hideMark/>
          </w:tcPr>
          <w:p w14:paraId="0F3561C6" w14:textId="77777777" w:rsidR="00DE359F" w:rsidRDefault="00DE359F" w:rsidP="008D706C">
            <w:pPr>
              <w:jc w:val="center"/>
              <w:rPr>
                <w:color w:val="000000"/>
                <w:sz w:val="20"/>
                <w:szCs w:val="20"/>
              </w:rPr>
            </w:pPr>
            <w:r>
              <w:rPr>
                <w:color w:val="000000"/>
                <w:sz w:val="20"/>
                <w:szCs w:val="20"/>
              </w:rPr>
              <w:t>56</w:t>
            </w:r>
          </w:p>
        </w:tc>
      </w:tr>
      <w:tr w:rsidR="00DE359F" w14:paraId="429A2B3D" w14:textId="77777777" w:rsidTr="008D706C">
        <w:trPr>
          <w:trHeight w:val="300"/>
        </w:trPr>
        <w:tc>
          <w:tcPr>
            <w:tcW w:w="1320" w:type="dxa"/>
            <w:tcBorders>
              <w:top w:val="nil"/>
              <w:left w:val="nil"/>
              <w:bottom w:val="nil"/>
              <w:right w:val="nil"/>
            </w:tcBorders>
            <w:shd w:val="clear" w:color="000000" w:fill="FFFFFF"/>
            <w:noWrap/>
            <w:vAlign w:val="center"/>
            <w:hideMark/>
          </w:tcPr>
          <w:p w14:paraId="7E1AFCB0" w14:textId="77777777" w:rsidR="00DE359F" w:rsidRDefault="00DE359F" w:rsidP="008D706C">
            <w:pPr>
              <w:jc w:val="center"/>
              <w:rPr>
                <w:i/>
                <w:iCs/>
                <w:color w:val="000000"/>
                <w:sz w:val="20"/>
                <w:szCs w:val="20"/>
              </w:rPr>
            </w:pPr>
            <w:r>
              <w:rPr>
                <w:i/>
                <w:iCs/>
                <w:color w:val="000000"/>
                <w:sz w:val="20"/>
                <w:szCs w:val="20"/>
              </w:rPr>
              <w:t> </w:t>
            </w:r>
          </w:p>
        </w:tc>
        <w:tc>
          <w:tcPr>
            <w:tcW w:w="1280" w:type="dxa"/>
            <w:tcBorders>
              <w:top w:val="nil"/>
              <w:left w:val="nil"/>
              <w:bottom w:val="nil"/>
              <w:right w:val="nil"/>
            </w:tcBorders>
            <w:shd w:val="clear" w:color="000000" w:fill="FFFFFF"/>
            <w:noWrap/>
            <w:vAlign w:val="center"/>
            <w:hideMark/>
          </w:tcPr>
          <w:p w14:paraId="6C5CEF49" w14:textId="77777777" w:rsidR="00DE359F" w:rsidRDefault="00DE359F" w:rsidP="008D706C">
            <w:pPr>
              <w:rPr>
                <w:color w:val="000000"/>
                <w:sz w:val="20"/>
                <w:szCs w:val="20"/>
              </w:rPr>
            </w:pPr>
            <w:r>
              <w:rPr>
                <w:color w:val="000000"/>
                <w:sz w:val="20"/>
                <w:szCs w:val="20"/>
              </w:rPr>
              <w:t>cg09772075</w:t>
            </w:r>
          </w:p>
        </w:tc>
        <w:tc>
          <w:tcPr>
            <w:tcW w:w="1540" w:type="dxa"/>
            <w:tcBorders>
              <w:top w:val="nil"/>
              <w:left w:val="nil"/>
              <w:bottom w:val="nil"/>
              <w:right w:val="nil"/>
            </w:tcBorders>
            <w:shd w:val="clear" w:color="000000" w:fill="FFFFFF"/>
            <w:noWrap/>
            <w:vAlign w:val="center"/>
            <w:hideMark/>
          </w:tcPr>
          <w:p w14:paraId="4454AD65" w14:textId="77777777" w:rsidR="00DE359F" w:rsidRDefault="00DE359F" w:rsidP="008D706C">
            <w:pPr>
              <w:rPr>
                <w:color w:val="000000"/>
                <w:sz w:val="20"/>
                <w:szCs w:val="20"/>
              </w:rPr>
            </w:pPr>
            <w:r>
              <w:rPr>
                <w:color w:val="000000"/>
                <w:sz w:val="20"/>
                <w:szCs w:val="20"/>
              </w:rPr>
              <w:t>chr8:20159446</w:t>
            </w:r>
          </w:p>
        </w:tc>
        <w:tc>
          <w:tcPr>
            <w:tcW w:w="1247" w:type="dxa"/>
            <w:tcBorders>
              <w:top w:val="nil"/>
              <w:left w:val="nil"/>
              <w:bottom w:val="nil"/>
              <w:right w:val="nil"/>
            </w:tcBorders>
            <w:shd w:val="clear" w:color="000000" w:fill="FFFFFF"/>
            <w:noWrap/>
            <w:vAlign w:val="center"/>
            <w:hideMark/>
          </w:tcPr>
          <w:p w14:paraId="7F8CC87D" w14:textId="77777777" w:rsidR="00DE359F" w:rsidRDefault="00DE359F" w:rsidP="008D706C">
            <w:pPr>
              <w:rPr>
                <w:i/>
                <w:iCs/>
                <w:color w:val="000000"/>
                <w:sz w:val="20"/>
                <w:szCs w:val="20"/>
              </w:rPr>
            </w:pPr>
            <w:r>
              <w:rPr>
                <w:i/>
                <w:iCs/>
                <w:color w:val="000000"/>
                <w:sz w:val="20"/>
                <w:szCs w:val="20"/>
              </w:rPr>
              <w:t>LZTS1</w:t>
            </w:r>
          </w:p>
        </w:tc>
        <w:tc>
          <w:tcPr>
            <w:tcW w:w="1093" w:type="dxa"/>
            <w:tcBorders>
              <w:top w:val="nil"/>
              <w:left w:val="nil"/>
              <w:bottom w:val="nil"/>
              <w:right w:val="nil"/>
            </w:tcBorders>
            <w:shd w:val="clear" w:color="000000" w:fill="FFFFFF"/>
            <w:noWrap/>
            <w:vAlign w:val="center"/>
            <w:hideMark/>
          </w:tcPr>
          <w:p w14:paraId="56F46A94" w14:textId="77777777" w:rsidR="00DE359F" w:rsidRDefault="00DE359F" w:rsidP="008D706C">
            <w:pPr>
              <w:jc w:val="center"/>
              <w:rPr>
                <w:color w:val="000000"/>
                <w:sz w:val="20"/>
                <w:szCs w:val="20"/>
              </w:rPr>
            </w:pPr>
            <w:r>
              <w:rPr>
                <w:color w:val="000000"/>
                <w:sz w:val="20"/>
                <w:szCs w:val="20"/>
              </w:rPr>
              <w:t>6.95E-05</w:t>
            </w:r>
          </w:p>
        </w:tc>
        <w:tc>
          <w:tcPr>
            <w:tcW w:w="1100" w:type="dxa"/>
            <w:tcBorders>
              <w:top w:val="nil"/>
              <w:left w:val="nil"/>
              <w:bottom w:val="nil"/>
              <w:right w:val="nil"/>
            </w:tcBorders>
            <w:shd w:val="clear" w:color="000000" w:fill="FFFFFF"/>
            <w:noWrap/>
            <w:vAlign w:val="center"/>
            <w:hideMark/>
          </w:tcPr>
          <w:p w14:paraId="79A9A3AD" w14:textId="77777777" w:rsidR="00DE359F" w:rsidRDefault="00DE359F" w:rsidP="008D706C">
            <w:pPr>
              <w:jc w:val="center"/>
              <w:rPr>
                <w:color w:val="000000"/>
                <w:sz w:val="20"/>
                <w:szCs w:val="20"/>
              </w:rPr>
            </w:pPr>
            <w:r>
              <w:rPr>
                <w:color w:val="000000"/>
                <w:sz w:val="20"/>
                <w:szCs w:val="20"/>
              </w:rPr>
              <w:t>4.16E-01</w:t>
            </w:r>
          </w:p>
        </w:tc>
        <w:tc>
          <w:tcPr>
            <w:tcW w:w="1140" w:type="dxa"/>
            <w:tcBorders>
              <w:top w:val="nil"/>
              <w:left w:val="nil"/>
              <w:bottom w:val="nil"/>
              <w:right w:val="nil"/>
            </w:tcBorders>
            <w:shd w:val="clear" w:color="000000" w:fill="FFFFFF"/>
            <w:noWrap/>
            <w:vAlign w:val="center"/>
            <w:hideMark/>
          </w:tcPr>
          <w:p w14:paraId="7BF923F9" w14:textId="77777777" w:rsidR="00DE359F" w:rsidRDefault="00DE359F" w:rsidP="008D706C">
            <w:pPr>
              <w:jc w:val="right"/>
              <w:rPr>
                <w:color w:val="000000"/>
                <w:sz w:val="20"/>
                <w:szCs w:val="20"/>
              </w:rPr>
            </w:pPr>
            <w:r>
              <w:rPr>
                <w:color w:val="000000"/>
                <w:sz w:val="20"/>
                <w:szCs w:val="20"/>
              </w:rPr>
              <w:t>-0.0192</w:t>
            </w:r>
          </w:p>
        </w:tc>
        <w:tc>
          <w:tcPr>
            <w:tcW w:w="1650" w:type="dxa"/>
            <w:tcBorders>
              <w:top w:val="nil"/>
              <w:left w:val="nil"/>
              <w:bottom w:val="nil"/>
              <w:right w:val="nil"/>
            </w:tcBorders>
            <w:shd w:val="clear" w:color="000000" w:fill="FFFFFF"/>
            <w:noWrap/>
            <w:vAlign w:val="center"/>
            <w:hideMark/>
          </w:tcPr>
          <w:p w14:paraId="1FE5F8AD" w14:textId="77777777" w:rsidR="00DE359F" w:rsidRDefault="00DE359F" w:rsidP="008D706C">
            <w:pPr>
              <w:jc w:val="center"/>
              <w:rPr>
                <w:color w:val="000000"/>
                <w:sz w:val="20"/>
                <w:szCs w:val="20"/>
              </w:rPr>
            </w:pPr>
            <w:r>
              <w:rPr>
                <w:color w:val="000000"/>
                <w:sz w:val="20"/>
                <w:szCs w:val="20"/>
              </w:rPr>
              <w:t>0.4 (0.37,0.43)</w:t>
            </w:r>
          </w:p>
        </w:tc>
        <w:tc>
          <w:tcPr>
            <w:tcW w:w="1650" w:type="dxa"/>
            <w:tcBorders>
              <w:top w:val="nil"/>
              <w:left w:val="nil"/>
              <w:bottom w:val="nil"/>
              <w:right w:val="nil"/>
            </w:tcBorders>
            <w:shd w:val="clear" w:color="000000" w:fill="FFFFFF"/>
            <w:noWrap/>
            <w:vAlign w:val="center"/>
            <w:hideMark/>
          </w:tcPr>
          <w:p w14:paraId="5481CA01" w14:textId="77777777" w:rsidR="00DE359F" w:rsidRDefault="00DE359F" w:rsidP="008D706C">
            <w:pPr>
              <w:jc w:val="center"/>
              <w:rPr>
                <w:color w:val="000000"/>
                <w:sz w:val="20"/>
                <w:szCs w:val="20"/>
              </w:rPr>
            </w:pPr>
            <w:r>
              <w:rPr>
                <w:color w:val="000000"/>
                <w:sz w:val="20"/>
                <w:szCs w:val="20"/>
              </w:rPr>
              <w:t>0.42 (0.39,0.44)</w:t>
            </w:r>
          </w:p>
        </w:tc>
        <w:tc>
          <w:tcPr>
            <w:tcW w:w="683" w:type="dxa"/>
            <w:tcBorders>
              <w:top w:val="nil"/>
              <w:left w:val="nil"/>
              <w:bottom w:val="nil"/>
              <w:right w:val="nil"/>
            </w:tcBorders>
            <w:shd w:val="clear" w:color="000000" w:fill="FFFFFF"/>
            <w:noWrap/>
            <w:vAlign w:val="center"/>
            <w:hideMark/>
          </w:tcPr>
          <w:p w14:paraId="122F7B4E" w14:textId="77777777" w:rsidR="00DE359F" w:rsidRDefault="00DE359F" w:rsidP="008D706C">
            <w:pPr>
              <w:jc w:val="center"/>
              <w:rPr>
                <w:color w:val="000000"/>
                <w:sz w:val="20"/>
                <w:szCs w:val="20"/>
              </w:rPr>
            </w:pPr>
            <w:r>
              <w:rPr>
                <w:color w:val="000000"/>
                <w:sz w:val="20"/>
                <w:szCs w:val="20"/>
              </w:rPr>
              <w:t>134</w:t>
            </w:r>
          </w:p>
        </w:tc>
      </w:tr>
      <w:tr w:rsidR="00DE359F" w14:paraId="1FD3C900" w14:textId="77777777" w:rsidTr="008D706C">
        <w:trPr>
          <w:trHeight w:val="300"/>
        </w:trPr>
        <w:tc>
          <w:tcPr>
            <w:tcW w:w="1320" w:type="dxa"/>
            <w:tcBorders>
              <w:top w:val="nil"/>
              <w:left w:val="nil"/>
              <w:bottom w:val="nil"/>
              <w:right w:val="nil"/>
            </w:tcBorders>
            <w:shd w:val="clear" w:color="000000" w:fill="FFFFFF"/>
            <w:noWrap/>
            <w:vAlign w:val="center"/>
            <w:hideMark/>
          </w:tcPr>
          <w:p w14:paraId="2F799D13"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nil"/>
              <w:right w:val="nil"/>
            </w:tcBorders>
            <w:shd w:val="clear" w:color="000000" w:fill="FFFFFF"/>
            <w:noWrap/>
            <w:vAlign w:val="center"/>
            <w:hideMark/>
          </w:tcPr>
          <w:p w14:paraId="678BBA8A" w14:textId="77777777" w:rsidR="00DE359F" w:rsidRDefault="00DE359F" w:rsidP="008D706C">
            <w:pPr>
              <w:rPr>
                <w:color w:val="000000"/>
                <w:sz w:val="20"/>
                <w:szCs w:val="20"/>
              </w:rPr>
            </w:pPr>
            <w:r>
              <w:rPr>
                <w:color w:val="000000"/>
                <w:sz w:val="20"/>
                <w:szCs w:val="20"/>
              </w:rPr>
              <w:t>cg16462183</w:t>
            </w:r>
          </w:p>
        </w:tc>
        <w:tc>
          <w:tcPr>
            <w:tcW w:w="1540" w:type="dxa"/>
            <w:tcBorders>
              <w:top w:val="nil"/>
              <w:left w:val="nil"/>
              <w:bottom w:val="nil"/>
              <w:right w:val="nil"/>
            </w:tcBorders>
            <w:shd w:val="clear" w:color="000000" w:fill="FFFFFF"/>
            <w:noWrap/>
            <w:vAlign w:val="center"/>
            <w:hideMark/>
          </w:tcPr>
          <w:p w14:paraId="76803BC3" w14:textId="77777777" w:rsidR="00DE359F" w:rsidRDefault="00DE359F" w:rsidP="008D706C">
            <w:pPr>
              <w:rPr>
                <w:color w:val="000000"/>
                <w:sz w:val="20"/>
                <w:szCs w:val="20"/>
              </w:rPr>
            </w:pPr>
            <w:r>
              <w:rPr>
                <w:color w:val="000000"/>
                <w:sz w:val="20"/>
                <w:szCs w:val="20"/>
              </w:rPr>
              <w:t>chr5:54281733</w:t>
            </w:r>
          </w:p>
        </w:tc>
        <w:tc>
          <w:tcPr>
            <w:tcW w:w="1247" w:type="dxa"/>
            <w:tcBorders>
              <w:top w:val="nil"/>
              <w:left w:val="nil"/>
              <w:bottom w:val="nil"/>
              <w:right w:val="nil"/>
            </w:tcBorders>
            <w:shd w:val="clear" w:color="000000" w:fill="FFFFFF"/>
            <w:noWrap/>
            <w:vAlign w:val="center"/>
            <w:hideMark/>
          </w:tcPr>
          <w:p w14:paraId="30819CCE" w14:textId="77777777" w:rsidR="00DE359F" w:rsidRDefault="00DE359F" w:rsidP="008D706C">
            <w:pPr>
              <w:rPr>
                <w:i/>
                <w:iCs/>
                <w:color w:val="000000"/>
                <w:sz w:val="20"/>
                <w:szCs w:val="20"/>
              </w:rPr>
            </w:pPr>
            <w:r>
              <w:rPr>
                <w:i/>
                <w:iCs/>
                <w:color w:val="000000"/>
                <w:sz w:val="20"/>
                <w:szCs w:val="20"/>
              </w:rPr>
              <w:t>ESM1</w:t>
            </w:r>
          </w:p>
        </w:tc>
        <w:tc>
          <w:tcPr>
            <w:tcW w:w="1093" w:type="dxa"/>
            <w:tcBorders>
              <w:top w:val="nil"/>
              <w:left w:val="nil"/>
              <w:bottom w:val="nil"/>
              <w:right w:val="nil"/>
            </w:tcBorders>
            <w:shd w:val="clear" w:color="000000" w:fill="FFFFFF"/>
            <w:noWrap/>
            <w:vAlign w:val="center"/>
            <w:hideMark/>
          </w:tcPr>
          <w:p w14:paraId="77695324" w14:textId="77777777" w:rsidR="00DE359F" w:rsidRDefault="00DE359F" w:rsidP="008D706C">
            <w:pPr>
              <w:jc w:val="center"/>
              <w:rPr>
                <w:color w:val="000000"/>
                <w:sz w:val="20"/>
                <w:szCs w:val="20"/>
              </w:rPr>
            </w:pPr>
            <w:r>
              <w:rPr>
                <w:color w:val="000000"/>
                <w:sz w:val="20"/>
                <w:szCs w:val="20"/>
              </w:rPr>
              <w:t>1.25E-03</w:t>
            </w:r>
          </w:p>
        </w:tc>
        <w:tc>
          <w:tcPr>
            <w:tcW w:w="1100" w:type="dxa"/>
            <w:tcBorders>
              <w:top w:val="nil"/>
              <w:left w:val="nil"/>
              <w:bottom w:val="nil"/>
              <w:right w:val="nil"/>
            </w:tcBorders>
            <w:shd w:val="clear" w:color="000000" w:fill="FFFFFF"/>
            <w:noWrap/>
            <w:vAlign w:val="center"/>
            <w:hideMark/>
          </w:tcPr>
          <w:p w14:paraId="1EA770C9" w14:textId="77777777" w:rsidR="00DE359F" w:rsidRDefault="00DE359F" w:rsidP="008D706C">
            <w:pPr>
              <w:jc w:val="center"/>
              <w:rPr>
                <w:color w:val="000000"/>
                <w:sz w:val="20"/>
                <w:szCs w:val="20"/>
              </w:rPr>
            </w:pPr>
            <w:r>
              <w:rPr>
                <w:color w:val="000000"/>
                <w:sz w:val="20"/>
                <w:szCs w:val="20"/>
              </w:rPr>
              <w:t>7.22E-01</w:t>
            </w:r>
          </w:p>
        </w:tc>
        <w:tc>
          <w:tcPr>
            <w:tcW w:w="1140" w:type="dxa"/>
            <w:tcBorders>
              <w:top w:val="nil"/>
              <w:left w:val="nil"/>
              <w:bottom w:val="nil"/>
              <w:right w:val="nil"/>
            </w:tcBorders>
            <w:shd w:val="clear" w:color="000000" w:fill="FFFFFF"/>
            <w:noWrap/>
            <w:vAlign w:val="center"/>
            <w:hideMark/>
          </w:tcPr>
          <w:p w14:paraId="189E874B" w14:textId="77777777" w:rsidR="00DE359F" w:rsidRDefault="00DE359F" w:rsidP="008D706C">
            <w:pPr>
              <w:jc w:val="right"/>
              <w:rPr>
                <w:color w:val="000000"/>
                <w:sz w:val="20"/>
                <w:szCs w:val="20"/>
              </w:rPr>
            </w:pPr>
            <w:r>
              <w:rPr>
                <w:color w:val="000000"/>
                <w:sz w:val="20"/>
                <w:szCs w:val="20"/>
              </w:rPr>
              <w:t>-0.0191</w:t>
            </w:r>
          </w:p>
        </w:tc>
        <w:tc>
          <w:tcPr>
            <w:tcW w:w="1650" w:type="dxa"/>
            <w:tcBorders>
              <w:top w:val="nil"/>
              <w:left w:val="nil"/>
              <w:bottom w:val="nil"/>
              <w:right w:val="nil"/>
            </w:tcBorders>
            <w:shd w:val="clear" w:color="000000" w:fill="FFFFFF"/>
            <w:noWrap/>
            <w:vAlign w:val="center"/>
            <w:hideMark/>
          </w:tcPr>
          <w:p w14:paraId="14B90B89" w14:textId="77777777" w:rsidR="00DE359F" w:rsidRDefault="00DE359F" w:rsidP="008D706C">
            <w:pPr>
              <w:jc w:val="center"/>
              <w:rPr>
                <w:color w:val="000000"/>
                <w:sz w:val="20"/>
                <w:szCs w:val="20"/>
              </w:rPr>
            </w:pPr>
            <w:r>
              <w:rPr>
                <w:color w:val="000000"/>
                <w:sz w:val="20"/>
                <w:szCs w:val="20"/>
              </w:rPr>
              <w:t>0.55 (0.52,0.6)</w:t>
            </w:r>
          </w:p>
        </w:tc>
        <w:tc>
          <w:tcPr>
            <w:tcW w:w="1650" w:type="dxa"/>
            <w:tcBorders>
              <w:top w:val="nil"/>
              <w:left w:val="nil"/>
              <w:bottom w:val="nil"/>
              <w:right w:val="nil"/>
            </w:tcBorders>
            <w:shd w:val="clear" w:color="000000" w:fill="FFFFFF"/>
            <w:noWrap/>
            <w:vAlign w:val="center"/>
            <w:hideMark/>
          </w:tcPr>
          <w:p w14:paraId="19FC3E98" w14:textId="77777777" w:rsidR="00DE359F" w:rsidRDefault="00DE359F" w:rsidP="008D706C">
            <w:pPr>
              <w:jc w:val="center"/>
              <w:rPr>
                <w:color w:val="000000"/>
                <w:sz w:val="20"/>
                <w:szCs w:val="20"/>
              </w:rPr>
            </w:pPr>
            <w:r>
              <w:rPr>
                <w:color w:val="000000"/>
                <w:sz w:val="20"/>
                <w:szCs w:val="20"/>
              </w:rPr>
              <w:t>0.57 (0.53,0.62)</w:t>
            </w:r>
          </w:p>
        </w:tc>
        <w:tc>
          <w:tcPr>
            <w:tcW w:w="683" w:type="dxa"/>
            <w:tcBorders>
              <w:top w:val="nil"/>
              <w:left w:val="nil"/>
              <w:bottom w:val="nil"/>
              <w:right w:val="nil"/>
            </w:tcBorders>
            <w:shd w:val="clear" w:color="000000" w:fill="FFFFFF"/>
            <w:noWrap/>
            <w:vAlign w:val="center"/>
            <w:hideMark/>
          </w:tcPr>
          <w:p w14:paraId="7CFA0D0E" w14:textId="77777777" w:rsidR="00DE359F" w:rsidRDefault="00DE359F" w:rsidP="008D706C">
            <w:pPr>
              <w:jc w:val="center"/>
              <w:rPr>
                <w:color w:val="000000"/>
                <w:sz w:val="20"/>
                <w:szCs w:val="20"/>
              </w:rPr>
            </w:pPr>
            <w:r>
              <w:rPr>
                <w:color w:val="000000"/>
                <w:sz w:val="20"/>
                <w:szCs w:val="20"/>
              </w:rPr>
              <w:t>1375</w:t>
            </w:r>
          </w:p>
        </w:tc>
      </w:tr>
      <w:tr w:rsidR="00DE359F" w14:paraId="2EFB56F4" w14:textId="77777777" w:rsidTr="008D706C">
        <w:trPr>
          <w:trHeight w:val="300"/>
        </w:trPr>
        <w:tc>
          <w:tcPr>
            <w:tcW w:w="1320" w:type="dxa"/>
            <w:tcBorders>
              <w:top w:val="nil"/>
              <w:left w:val="nil"/>
              <w:bottom w:val="single" w:sz="4" w:space="0" w:color="auto"/>
              <w:right w:val="nil"/>
            </w:tcBorders>
            <w:shd w:val="clear" w:color="000000" w:fill="FFFFFF"/>
            <w:noWrap/>
            <w:vAlign w:val="center"/>
            <w:hideMark/>
          </w:tcPr>
          <w:p w14:paraId="1AD2C2AB" w14:textId="77777777" w:rsidR="00DE359F" w:rsidRDefault="00DE359F" w:rsidP="008D706C">
            <w:pPr>
              <w:rPr>
                <w:color w:val="000000"/>
                <w:sz w:val="20"/>
                <w:szCs w:val="20"/>
              </w:rPr>
            </w:pPr>
            <w:r>
              <w:rPr>
                <w:color w:val="000000"/>
                <w:sz w:val="20"/>
                <w:szCs w:val="20"/>
              </w:rPr>
              <w:t> </w:t>
            </w:r>
          </w:p>
        </w:tc>
        <w:tc>
          <w:tcPr>
            <w:tcW w:w="1280" w:type="dxa"/>
            <w:tcBorders>
              <w:top w:val="nil"/>
              <w:left w:val="nil"/>
              <w:bottom w:val="single" w:sz="4" w:space="0" w:color="auto"/>
              <w:right w:val="nil"/>
            </w:tcBorders>
            <w:shd w:val="clear" w:color="000000" w:fill="FFFFFF"/>
            <w:noWrap/>
            <w:vAlign w:val="center"/>
            <w:hideMark/>
          </w:tcPr>
          <w:p w14:paraId="2282E068" w14:textId="77777777" w:rsidR="00DE359F" w:rsidRDefault="00DE359F" w:rsidP="008D706C">
            <w:pPr>
              <w:rPr>
                <w:color w:val="000000"/>
                <w:sz w:val="20"/>
                <w:szCs w:val="20"/>
              </w:rPr>
            </w:pPr>
            <w:r>
              <w:rPr>
                <w:color w:val="000000"/>
                <w:sz w:val="20"/>
                <w:szCs w:val="20"/>
              </w:rPr>
              <w:t>cg11809339</w:t>
            </w:r>
          </w:p>
        </w:tc>
        <w:tc>
          <w:tcPr>
            <w:tcW w:w="1540" w:type="dxa"/>
            <w:tcBorders>
              <w:top w:val="nil"/>
              <w:left w:val="nil"/>
              <w:bottom w:val="single" w:sz="4" w:space="0" w:color="auto"/>
              <w:right w:val="nil"/>
            </w:tcBorders>
            <w:shd w:val="clear" w:color="000000" w:fill="FFFFFF"/>
            <w:noWrap/>
            <w:vAlign w:val="center"/>
            <w:hideMark/>
          </w:tcPr>
          <w:p w14:paraId="11E7B7CC" w14:textId="77777777" w:rsidR="00DE359F" w:rsidRDefault="00DE359F" w:rsidP="008D706C">
            <w:pPr>
              <w:rPr>
                <w:color w:val="000000"/>
                <w:sz w:val="20"/>
                <w:szCs w:val="20"/>
              </w:rPr>
            </w:pPr>
            <w:r>
              <w:rPr>
                <w:color w:val="000000"/>
                <w:sz w:val="20"/>
                <w:szCs w:val="20"/>
              </w:rPr>
              <w:t>chr8:20159382</w:t>
            </w:r>
          </w:p>
        </w:tc>
        <w:tc>
          <w:tcPr>
            <w:tcW w:w="1247" w:type="dxa"/>
            <w:tcBorders>
              <w:top w:val="nil"/>
              <w:left w:val="nil"/>
              <w:bottom w:val="single" w:sz="4" w:space="0" w:color="auto"/>
              <w:right w:val="nil"/>
            </w:tcBorders>
            <w:shd w:val="clear" w:color="000000" w:fill="FFFFFF"/>
            <w:noWrap/>
            <w:vAlign w:val="center"/>
            <w:hideMark/>
          </w:tcPr>
          <w:p w14:paraId="0182C190" w14:textId="77777777" w:rsidR="00DE359F" w:rsidRDefault="00DE359F" w:rsidP="008D706C">
            <w:pPr>
              <w:rPr>
                <w:i/>
                <w:iCs/>
                <w:color w:val="000000"/>
                <w:sz w:val="20"/>
                <w:szCs w:val="20"/>
              </w:rPr>
            </w:pPr>
            <w:r>
              <w:rPr>
                <w:i/>
                <w:iCs/>
                <w:color w:val="000000"/>
                <w:sz w:val="20"/>
                <w:szCs w:val="20"/>
              </w:rPr>
              <w:t>LZTS1</w:t>
            </w:r>
          </w:p>
        </w:tc>
        <w:tc>
          <w:tcPr>
            <w:tcW w:w="1093" w:type="dxa"/>
            <w:tcBorders>
              <w:top w:val="nil"/>
              <w:left w:val="nil"/>
              <w:bottom w:val="single" w:sz="4" w:space="0" w:color="auto"/>
              <w:right w:val="nil"/>
            </w:tcBorders>
            <w:shd w:val="clear" w:color="000000" w:fill="FFFFFF"/>
            <w:noWrap/>
            <w:vAlign w:val="center"/>
            <w:hideMark/>
          </w:tcPr>
          <w:p w14:paraId="10486A7C" w14:textId="77777777" w:rsidR="00DE359F" w:rsidRDefault="00DE359F" w:rsidP="008D706C">
            <w:pPr>
              <w:jc w:val="center"/>
              <w:rPr>
                <w:color w:val="000000"/>
                <w:sz w:val="20"/>
                <w:szCs w:val="20"/>
              </w:rPr>
            </w:pPr>
            <w:r>
              <w:rPr>
                <w:color w:val="000000"/>
                <w:sz w:val="20"/>
                <w:szCs w:val="20"/>
              </w:rPr>
              <w:t>6.02E-03</w:t>
            </w:r>
          </w:p>
        </w:tc>
        <w:tc>
          <w:tcPr>
            <w:tcW w:w="1100" w:type="dxa"/>
            <w:tcBorders>
              <w:top w:val="nil"/>
              <w:left w:val="nil"/>
              <w:bottom w:val="single" w:sz="4" w:space="0" w:color="auto"/>
              <w:right w:val="nil"/>
            </w:tcBorders>
            <w:shd w:val="clear" w:color="000000" w:fill="FFFFFF"/>
            <w:noWrap/>
            <w:vAlign w:val="center"/>
            <w:hideMark/>
          </w:tcPr>
          <w:p w14:paraId="4529E13A" w14:textId="77777777" w:rsidR="00DE359F" w:rsidRDefault="00DE359F" w:rsidP="008D706C">
            <w:pPr>
              <w:jc w:val="center"/>
              <w:rPr>
                <w:color w:val="000000"/>
                <w:sz w:val="20"/>
                <w:szCs w:val="20"/>
              </w:rPr>
            </w:pPr>
            <w:r>
              <w:rPr>
                <w:color w:val="000000"/>
                <w:sz w:val="20"/>
                <w:szCs w:val="20"/>
              </w:rPr>
              <w:t>8.40E-01</w:t>
            </w:r>
          </w:p>
        </w:tc>
        <w:tc>
          <w:tcPr>
            <w:tcW w:w="1140" w:type="dxa"/>
            <w:tcBorders>
              <w:top w:val="nil"/>
              <w:left w:val="nil"/>
              <w:bottom w:val="single" w:sz="4" w:space="0" w:color="auto"/>
              <w:right w:val="nil"/>
            </w:tcBorders>
            <w:shd w:val="clear" w:color="000000" w:fill="FFFFFF"/>
            <w:noWrap/>
            <w:vAlign w:val="center"/>
            <w:hideMark/>
          </w:tcPr>
          <w:p w14:paraId="72B24CAA" w14:textId="77777777" w:rsidR="00DE359F" w:rsidRDefault="00DE359F" w:rsidP="008D706C">
            <w:pPr>
              <w:jc w:val="right"/>
              <w:rPr>
                <w:color w:val="000000"/>
                <w:sz w:val="20"/>
                <w:szCs w:val="20"/>
              </w:rPr>
            </w:pPr>
            <w:r>
              <w:rPr>
                <w:color w:val="000000"/>
                <w:sz w:val="20"/>
                <w:szCs w:val="20"/>
              </w:rPr>
              <w:t>-0.0074</w:t>
            </w:r>
          </w:p>
        </w:tc>
        <w:tc>
          <w:tcPr>
            <w:tcW w:w="1650" w:type="dxa"/>
            <w:tcBorders>
              <w:top w:val="nil"/>
              <w:left w:val="nil"/>
              <w:bottom w:val="single" w:sz="4" w:space="0" w:color="auto"/>
              <w:right w:val="nil"/>
            </w:tcBorders>
            <w:shd w:val="clear" w:color="000000" w:fill="FFFFFF"/>
            <w:noWrap/>
            <w:vAlign w:val="center"/>
            <w:hideMark/>
          </w:tcPr>
          <w:p w14:paraId="3D340F24" w14:textId="77777777" w:rsidR="00DE359F" w:rsidRDefault="00DE359F" w:rsidP="008D706C">
            <w:pPr>
              <w:jc w:val="center"/>
              <w:rPr>
                <w:color w:val="000000"/>
                <w:sz w:val="20"/>
                <w:szCs w:val="20"/>
              </w:rPr>
            </w:pPr>
            <w:r>
              <w:rPr>
                <w:color w:val="000000"/>
                <w:sz w:val="20"/>
                <w:szCs w:val="20"/>
              </w:rPr>
              <w:t>0.16 (0.15,0.18)</w:t>
            </w:r>
          </w:p>
        </w:tc>
        <w:tc>
          <w:tcPr>
            <w:tcW w:w="1650" w:type="dxa"/>
            <w:tcBorders>
              <w:top w:val="nil"/>
              <w:left w:val="nil"/>
              <w:bottom w:val="single" w:sz="4" w:space="0" w:color="auto"/>
              <w:right w:val="nil"/>
            </w:tcBorders>
            <w:shd w:val="clear" w:color="000000" w:fill="FFFFFF"/>
            <w:noWrap/>
            <w:vAlign w:val="center"/>
            <w:hideMark/>
          </w:tcPr>
          <w:p w14:paraId="1135BBD0" w14:textId="77777777" w:rsidR="00DE359F" w:rsidRDefault="00DE359F" w:rsidP="008D706C">
            <w:pPr>
              <w:jc w:val="center"/>
              <w:rPr>
                <w:color w:val="000000"/>
                <w:sz w:val="20"/>
                <w:szCs w:val="20"/>
              </w:rPr>
            </w:pPr>
            <w:r>
              <w:rPr>
                <w:color w:val="000000"/>
                <w:sz w:val="20"/>
                <w:szCs w:val="20"/>
              </w:rPr>
              <w:t>0.17 (0.15,0.19)</w:t>
            </w:r>
          </w:p>
        </w:tc>
        <w:tc>
          <w:tcPr>
            <w:tcW w:w="683" w:type="dxa"/>
            <w:tcBorders>
              <w:top w:val="nil"/>
              <w:left w:val="nil"/>
              <w:bottom w:val="single" w:sz="4" w:space="0" w:color="auto"/>
              <w:right w:val="nil"/>
            </w:tcBorders>
            <w:shd w:val="clear" w:color="000000" w:fill="FFFFFF"/>
            <w:noWrap/>
            <w:vAlign w:val="center"/>
            <w:hideMark/>
          </w:tcPr>
          <w:p w14:paraId="5572C4F9" w14:textId="77777777" w:rsidR="00DE359F" w:rsidRDefault="00DE359F" w:rsidP="008D706C">
            <w:pPr>
              <w:jc w:val="center"/>
              <w:rPr>
                <w:color w:val="000000"/>
                <w:sz w:val="20"/>
                <w:szCs w:val="20"/>
              </w:rPr>
            </w:pPr>
            <w:r>
              <w:rPr>
                <w:color w:val="000000"/>
                <w:sz w:val="20"/>
                <w:szCs w:val="20"/>
              </w:rPr>
              <w:t>5730</w:t>
            </w:r>
          </w:p>
        </w:tc>
      </w:tr>
    </w:tbl>
    <w:p w14:paraId="5E33650F" w14:textId="74B8E51C" w:rsidR="007E38A5" w:rsidRDefault="007E38A5" w:rsidP="000C43A2">
      <w:pPr>
        <w:spacing w:line="360" w:lineRule="auto"/>
        <w:jc w:val="both"/>
        <w:rPr>
          <w:color w:val="000000" w:themeColor="text1"/>
        </w:rPr>
      </w:pPr>
    </w:p>
    <w:p w14:paraId="743A5C41" w14:textId="7DF217D4" w:rsidR="007E38A5" w:rsidRDefault="007E38A5" w:rsidP="000C43A2">
      <w:pPr>
        <w:spacing w:line="360" w:lineRule="auto"/>
        <w:jc w:val="both"/>
        <w:rPr>
          <w:color w:val="000000" w:themeColor="text1"/>
        </w:rPr>
      </w:pPr>
    </w:p>
    <w:p w14:paraId="4B8927B6" w14:textId="67C54928" w:rsidR="007E38A5" w:rsidRDefault="007E38A5" w:rsidP="000C43A2">
      <w:pPr>
        <w:spacing w:line="360" w:lineRule="auto"/>
        <w:jc w:val="both"/>
        <w:rPr>
          <w:color w:val="000000" w:themeColor="text1"/>
        </w:rPr>
      </w:pPr>
    </w:p>
    <w:p w14:paraId="16946DC8" w14:textId="57445ADC" w:rsidR="007E38A5" w:rsidRDefault="007E38A5" w:rsidP="000C43A2">
      <w:pPr>
        <w:spacing w:line="360" w:lineRule="auto"/>
        <w:jc w:val="both"/>
        <w:rPr>
          <w:color w:val="000000" w:themeColor="text1"/>
        </w:rPr>
      </w:pPr>
    </w:p>
    <w:p w14:paraId="745E9584" w14:textId="6B9AE2DC" w:rsidR="007E38A5" w:rsidRDefault="007E38A5" w:rsidP="000C43A2">
      <w:pPr>
        <w:spacing w:line="360" w:lineRule="auto"/>
        <w:jc w:val="both"/>
        <w:rPr>
          <w:color w:val="000000" w:themeColor="text1"/>
        </w:rPr>
      </w:pPr>
    </w:p>
    <w:p w14:paraId="2FFE0025" w14:textId="3E584669" w:rsidR="007E38A5" w:rsidRDefault="007E38A5" w:rsidP="000C43A2">
      <w:pPr>
        <w:spacing w:line="360" w:lineRule="auto"/>
        <w:jc w:val="both"/>
        <w:rPr>
          <w:color w:val="000000" w:themeColor="text1"/>
        </w:rPr>
      </w:pPr>
    </w:p>
    <w:p w14:paraId="5B92021C" w14:textId="0B67CF75" w:rsidR="007E38A5" w:rsidRDefault="007E38A5" w:rsidP="000C43A2">
      <w:pPr>
        <w:spacing w:line="360" w:lineRule="auto"/>
        <w:jc w:val="both"/>
        <w:rPr>
          <w:color w:val="000000" w:themeColor="text1"/>
        </w:rPr>
      </w:pPr>
    </w:p>
    <w:p w14:paraId="246D4C88" w14:textId="77777777" w:rsidR="00DE359F" w:rsidRDefault="00DE359F" w:rsidP="000C43A2">
      <w:pPr>
        <w:spacing w:line="360" w:lineRule="auto"/>
        <w:jc w:val="both"/>
        <w:rPr>
          <w:color w:val="000000" w:themeColor="text1"/>
        </w:rPr>
      </w:pPr>
    </w:p>
    <w:p w14:paraId="601A289F" w14:textId="77777777" w:rsidR="00DE359F" w:rsidRDefault="00DE359F" w:rsidP="000C43A2">
      <w:pPr>
        <w:spacing w:line="360" w:lineRule="auto"/>
        <w:jc w:val="both"/>
        <w:rPr>
          <w:color w:val="000000" w:themeColor="text1"/>
        </w:rPr>
      </w:pPr>
    </w:p>
    <w:p w14:paraId="09945450" w14:textId="77777777" w:rsidR="00DE359F" w:rsidRDefault="00DE359F" w:rsidP="000C43A2">
      <w:pPr>
        <w:spacing w:line="360" w:lineRule="auto"/>
        <w:jc w:val="both"/>
        <w:rPr>
          <w:color w:val="000000" w:themeColor="text1"/>
        </w:rPr>
      </w:pPr>
    </w:p>
    <w:p w14:paraId="51DB767C" w14:textId="77777777" w:rsidR="00DE359F" w:rsidRDefault="00DE359F" w:rsidP="000C43A2">
      <w:pPr>
        <w:spacing w:line="360" w:lineRule="auto"/>
        <w:jc w:val="both"/>
        <w:rPr>
          <w:color w:val="000000" w:themeColor="text1"/>
        </w:rPr>
      </w:pPr>
    </w:p>
    <w:p w14:paraId="74EB572D" w14:textId="77777777" w:rsidR="00DE359F" w:rsidRDefault="00DE359F" w:rsidP="000C43A2">
      <w:pPr>
        <w:spacing w:line="360" w:lineRule="auto"/>
        <w:jc w:val="both"/>
        <w:rPr>
          <w:color w:val="000000" w:themeColor="text1"/>
        </w:rPr>
      </w:pPr>
    </w:p>
    <w:p w14:paraId="288E6278" w14:textId="52049909" w:rsidR="007E38A5" w:rsidRPr="00DE359F" w:rsidRDefault="007E38A5" w:rsidP="000C43A2">
      <w:pPr>
        <w:spacing w:line="360" w:lineRule="auto"/>
        <w:jc w:val="both"/>
        <w:rPr>
          <w:color w:val="000000" w:themeColor="text1"/>
          <w:sz w:val="22"/>
          <w:szCs w:val="22"/>
        </w:rPr>
      </w:pPr>
      <w:r w:rsidRPr="00DE359F">
        <w:rPr>
          <w:color w:val="000000" w:themeColor="text1"/>
          <w:sz w:val="22"/>
          <w:szCs w:val="22"/>
        </w:rPr>
        <w:t>DMPs passing FDR 5% (above dotted line) and CpGs in DMRs (regional FDR &lt; 5%) that did not pass FDR threshold as single probes. Given for each probe are the Illumina probe ID, genomic position (hg19</w:t>
      </w:r>
      <w:r w:rsidRPr="00DC457F">
        <w:rPr>
          <w:color w:val="000000" w:themeColor="text1"/>
          <w:sz w:val="22"/>
          <w:szCs w:val="22"/>
        </w:rPr>
        <w:t xml:space="preserve">), annotated gene (EPIC manifest), regression p value for the effect of intervention group, the FDR adjusted p </w:t>
      </w:r>
      <w:proofErr w:type="spellStart"/>
      <w:r w:rsidRPr="00DC457F">
        <w:rPr>
          <w:color w:val="000000" w:themeColor="text1"/>
          <w:sz w:val="22"/>
          <w:szCs w:val="22"/>
        </w:rPr>
        <w:t>vaiue</w:t>
      </w:r>
      <w:proofErr w:type="spellEnd"/>
      <w:r w:rsidRPr="00DC457F">
        <w:rPr>
          <w:color w:val="000000" w:themeColor="text1"/>
          <w:sz w:val="22"/>
          <w:szCs w:val="22"/>
        </w:rPr>
        <w:t>, change in mean Beta between intervention and control groups, the Beta value variability [median (IQR)], and finally the rank at which the CpG appears in the list of all tested probes (sorted by p value).</w:t>
      </w:r>
      <w:r w:rsidR="00D70FA7" w:rsidRPr="00DC457F">
        <w:rPr>
          <w:color w:val="000000" w:themeColor="text1"/>
          <w:sz w:val="22"/>
          <w:szCs w:val="22"/>
        </w:rPr>
        <w:t xml:space="preserve"> </w:t>
      </w:r>
      <w:r w:rsidR="000E70A5" w:rsidRPr="00DC457F">
        <w:rPr>
          <w:color w:val="000000" w:themeColor="text1"/>
          <w:sz w:val="22"/>
          <w:szCs w:val="22"/>
        </w:rPr>
        <w:t xml:space="preserve">EWAS, epigenome-wide association study; </w:t>
      </w:r>
      <w:r w:rsidR="00D70FA7" w:rsidRPr="00DC457F">
        <w:rPr>
          <w:color w:val="000000" w:themeColor="text1"/>
          <w:sz w:val="22"/>
          <w:szCs w:val="22"/>
        </w:rPr>
        <w:t>DMP, Differentially methylated position; DMR, Differentially methylated region</w:t>
      </w:r>
      <w:r w:rsidR="000E70A5" w:rsidRPr="00DC457F">
        <w:rPr>
          <w:color w:val="000000" w:themeColor="text1"/>
          <w:sz w:val="22"/>
          <w:szCs w:val="22"/>
        </w:rPr>
        <w:t>; FDR, false discovery rate</w:t>
      </w:r>
      <w:r w:rsidR="0044252C" w:rsidRPr="00DC457F">
        <w:rPr>
          <w:color w:val="000000" w:themeColor="text1"/>
          <w:sz w:val="22"/>
          <w:szCs w:val="22"/>
        </w:rPr>
        <w:t>; IQR, interquartile range</w:t>
      </w:r>
      <w:r w:rsidR="000E70A5" w:rsidRPr="00DC457F">
        <w:rPr>
          <w:color w:val="000000" w:themeColor="text1"/>
          <w:sz w:val="22"/>
          <w:szCs w:val="22"/>
        </w:rPr>
        <w:t>.</w:t>
      </w:r>
    </w:p>
    <w:p w14:paraId="7F7F993E" w14:textId="77777777" w:rsidR="00E17D0F" w:rsidRPr="005A28F5" w:rsidRDefault="00E17D0F" w:rsidP="001A64D3">
      <w:pPr>
        <w:pBdr>
          <w:top w:val="nil"/>
          <w:left w:val="nil"/>
          <w:bottom w:val="nil"/>
          <w:right w:val="nil"/>
          <w:between w:val="nil"/>
          <w:bar w:val="nil"/>
        </w:pBdr>
        <w:spacing w:line="360" w:lineRule="auto"/>
        <w:rPr>
          <w:color w:val="000000" w:themeColor="text1"/>
          <w:sz w:val="20"/>
          <w:szCs w:val="20"/>
        </w:rPr>
      </w:pPr>
      <w:r w:rsidRPr="005A28F5">
        <w:rPr>
          <w:color w:val="000000" w:themeColor="text1"/>
          <w:sz w:val="20"/>
          <w:szCs w:val="20"/>
        </w:rPr>
        <w:br w:type="page"/>
      </w:r>
    </w:p>
    <w:p w14:paraId="4DF397DD" w14:textId="77777777" w:rsidR="004B7D68" w:rsidRPr="005A28F5" w:rsidRDefault="004B7D68" w:rsidP="001A64D3">
      <w:pPr>
        <w:spacing w:line="360" w:lineRule="auto"/>
        <w:jc w:val="both"/>
        <w:rPr>
          <w:color w:val="000000" w:themeColor="text1"/>
          <w:sz w:val="20"/>
          <w:szCs w:val="20"/>
        </w:rPr>
      </w:pPr>
    </w:p>
    <w:p w14:paraId="5557F72C" w14:textId="2AB23C2F" w:rsidR="0061301D" w:rsidRPr="005A28F5" w:rsidRDefault="0061301D" w:rsidP="001A64D3">
      <w:pPr>
        <w:spacing w:line="360" w:lineRule="auto"/>
        <w:jc w:val="both"/>
        <w:rPr>
          <w:color w:val="000000" w:themeColor="text1"/>
          <w:sz w:val="20"/>
          <w:szCs w:val="20"/>
        </w:rPr>
      </w:pPr>
    </w:p>
    <w:p w14:paraId="12BBB1D1" w14:textId="77777777" w:rsidR="0061301D" w:rsidRPr="005A28F5" w:rsidRDefault="0061301D" w:rsidP="001A64D3">
      <w:pPr>
        <w:spacing w:line="360" w:lineRule="auto"/>
        <w:jc w:val="both"/>
        <w:rPr>
          <w:color w:val="000000" w:themeColor="text1"/>
          <w:sz w:val="20"/>
          <w:szCs w:val="20"/>
        </w:rPr>
      </w:pPr>
    </w:p>
    <w:p w14:paraId="26021CE5" w14:textId="77777777" w:rsidR="004B7D68" w:rsidRPr="005A28F5" w:rsidRDefault="004B7D68" w:rsidP="001A64D3">
      <w:pPr>
        <w:spacing w:line="360" w:lineRule="auto"/>
        <w:jc w:val="both"/>
        <w:rPr>
          <w:color w:val="000000" w:themeColor="text1"/>
          <w:sz w:val="20"/>
          <w:szCs w:val="20"/>
        </w:rPr>
      </w:pPr>
    </w:p>
    <w:p w14:paraId="4DAB69BE" w14:textId="156FC3EA" w:rsidR="004B7D68" w:rsidRPr="005A28F5" w:rsidRDefault="000C43A2" w:rsidP="000B1F81">
      <w:pPr>
        <w:spacing w:line="360" w:lineRule="auto"/>
        <w:jc w:val="both"/>
      </w:pPr>
      <w:r w:rsidRPr="006A2D07">
        <w:rPr>
          <w:b/>
          <w:color w:val="000000" w:themeColor="text1"/>
        </w:rPr>
        <w:t>Table 3.</w:t>
      </w:r>
      <w:r w:rsidRPr="006A2D07">
        <w:rPr>
          <w:color w:val="000000" w:themeColor="text1"/>
        </w:rPr>
        <w:t xml:space="preserve"> </w:t>
      </w:r>
      <w:r w:rsidRPr="006A2D07">
        <w:rPr>
          <w:b/>
          <w:color w:val="000000" w:themeColor="text1"/>
        </w:rPr>
        <w:t>Differentially methylated regions identified in the Gambian intervention EWAS.</w:t>
      </w:r>
      <w:r w:rsidRPr="006A2D07">
        <w:rPr>
          <w:color w:val="000000" w:themeColor="text1"/>
        </w:rPr>
        <w:t xml:space="preserve"> </w:t>
      </w:r>
    </w:p>
    <w:tbl>
      <w:tblPr>
        <w:tblpPr w:leftFromText="180" w:rightFromText="180" w:vertAnchor="page" w:horzAnchor="margin" w:tblpY="3494"/>
        <w:tblW w:w="9397" w:type="dxa"/>
        <w:tblLayout w:type="fixed"/>
        <w:tblLook w:val="04A0" w:firstRow="1" w:lastRow="0" w:firstColumn="1" w:lastColumn="0" w:noHBand="0" w:noVBand="1"/>
      </w:tblPr>
      <w:tblGrid>
        <w:gridCol w:w="917"/>
        <w:gridCol w:w="1020"/>
        <w:gridCol w:w="710"/>
        <w:gridCol w:w="2740"/>
        <w:gridCol w:w="800"/>
        <w:gridCol w:w="1300"/>
        <w:gridCol w:w="1910"/>
      </w:tblGrid>
      <w:tr w:rsidR="000B1F81" w:rsidRPr="005A28F5" w14:paraId="172A249B" w14:textId="77777777" w:rsidTr="00AA1A8A">
        <w:trPr>
          <w:trHeight w:val="320"/>
        </w:trPr>
        <w:tc>
          <w:tcPr>
            <w:tcW w:w="917" w:type="dxa"/>
            <w:tcBorders>
              <w:top w:val="nil"/>
              <w:left w:val="nil"/>
              <w:bottom w:val="single" w:sz="4" w:space="0" w:color="000000"/>
              <w:right w:val="nil"/>
            </w:tcBorders>
            <w:shd w:val="clear" w:color="000000" w:fill="FFFFFF"/>
            <w:noWrap/>
            <w:vAlign w:val="bottom"/>
            <w:hideMark/>
          </w:tcPr>
          <w:p w14:paraId="717E9E9A" w14:textId="77777777" w:rsidR="000B1F81" w:rsidRPr="005A28F5" w:rsidRDefault="000B1F81" w:rsidP="000B1F81">
            <w:pPr>
              <w:spacing w:line="360" w:lineRule="auto"/>
              <w:rPr>
                <w:b/>
                <w:bCs/>
                <w:color w:val="000000"/>
                <w:sz w:val="20"/>
                <w:szCs w:val="20"/>
              </w:rPr>
            </w:pPr>
            <w:r w:rsidRPr="005A28F5">
              <w:rPr>
                <w:b/>
                <w:bCs/>
                <w:color w:val="000000"/>
                <w:sz w:val="20"/>
                <w:szCs w:val="20"/>
              </w:rPr>
              <w:t>DMR</w:t>
            </w:r>
          </w:p>
        </w:tc>
        <w:tc>
          <w:tcPr>
            <w:tcW w:w="1020" w:type="dxa"/>
            <w:tcBorders>
              <w:top w:val="nil"/>
              <w:left w:val="nil"/>
              <w:bottom w:val="single" w:sz="4" w:space="0" w:color="000000"/>
              <w:right w:val="nil"/>
            </w:tcBorders>
            <w:shd w:val="clear" w:color="000000" w:fill="FFFFFF"/>
            <w:noWrap/>
            <w:vAlign w:val="bottom"/>
            <w:hideMark/>
          </w:tcPr>
          <w:p w14:paraId="21977FD8" w14:textId="77777777" w:rsidR="000B1F81" w:rsidRPr="005A28F5" w:rsidRDefault="000B1F81" w:rsidP="000B1F81">
            <w:pPr>
              <w:spacing w:line="360" w:lineRule="auto"/>
              <w:rPr>
                <w:b/>
                <w:bCs/>
                <w:color w:val="000000"/>
                <w:sz w:val="20"/>
                <w:szCs w:val="20"/>
              </w:rPr>
            </w:pPr>
            <w:r w:rsidRPr="005A28F5">
              <w:rPr>
                <w:b/>
                <w:bCs/>
                <w:color w:val="000000"/>
                <w:sz w:val="20"/>
                <w:szCs w:val="20"/>
              </w:rPr>
              <w:t>Method</w:t>
            </w:r>
          </w:p>
        </w:tc>
        <w:tc>
          <w:tcPr>
            <w:tcW w:w="710" w:type="dxa"/>
            <w:tcBorders>
              <w:top w:val="nil"/>
              <w:left w:val="nil"/>
              <w:bottom w:val="single" w:sz="4" w:space="0" w:color="000000"/>
              <w:right w:val="nil"/>
            </w:tcBorders>
            <w:shd w:val="clear" w:color="000000" w:fill="FFFFFF"/>
            <w:noWrap/>
            <w:vAlign w:val="bottom"/>
            <w:hideMark/>
          </w:tcPr>
          <w:p w14:paraId="4C104BB9"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Rank</w:t>
            </w:r>
          </w:p>
        </w:tc>
        <w:tc>
          <w:tcPr>
            <w:tcW w:w="2740" w:type="dxa"/>
            <w:tcBorders>
              <w:top w:val="nil"/>
              <w:left w:val="nil"/>
              <w:bottom w:val="single" w:sz="4" w:space="0" w:color="000000"/>
              <w:right w:val="nil"/>
            </w:tcBorders>
            <w:shd w:val="clear" w:color="000000" w:fill="FFFFFF"/>
            <w:noWrap/>
            <w:vAlign w:val="bottom"/>
            <w:hideMark/>
          </w:tcPr>
          <w:p w14:paraId="2835D246" w14:textId="77777777" w:rsidR="000B1F81" w:rsidRPr="005A28F5" w:rsidRDefault="000B1F81" w:rsidP="000B1F81">
            <w:pPr>
              <w:spacing w:line="360" w:lineRule="auto"/>
              <w:rPr>
                <w:b/>
                <w:bCs/>
                <w:color w:val="000000"/>
                <w:sz w:val="20"/>
                <w:szCs w:val="20"/>
              </w:rPr>
            </w:pPr>
            <w:r w:rsidRPr="005A28F5">
              <w:rPr>
                <w:b/>
                <w:bCs/>
                <w:color w:val="000000"/>
                <w:sz w:val="20"/>
                <w:szCs w:val="20"/>
              </w:rPr>
              <w:t>Genomic location</w:t>
            </w:r>
          </w:p>
        </w:tc>
        <w:tc>
          <w:tcPr>
            <w:tcW w:w="800" w:type="dxa"/>
            <w:tcBorders>
              <w:top w:val="nil"/>
              <w:left w:val="nil"/>
              <w:bottom w:val="single" w:sz="4" w:space="0" w:color="000000"/>
              <w:right w:val="nil"/>
            </w:tcBorders>
            <w:shd w:val="clear" w:color="000000" w:fill="FFFFFF"/>
            <w:noWrap/>
            <w:vAlign w:val="bottom"/>
            <w:hideMark/>
          </w:tcPr>
          <w:p w14:paraId="33D087A5"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CpGs</w:t>
            </w:r>
          </w:p>
        </w:tc>
        <w:tc>
          <w:tcPr>
            <w:tcW w:w="1300" w:type="dxa"/>
            <w:tcBorders>
              <w:top w:val="nil"/>
              <w:left w:val="nil"/>
              <w:bottom w:val="single" w:sz="4" w:space="0" w:color="000000"/>
              <w:right w:val="nil"/>
            </w:tcBorders>
            <w:shd w:val="clear" w:color="000000" w:fill="FFFFFF"/>
            <w:noWrap/>
            <w:vAlign w:val="bottom"/>
            <w:hideMark/>
          </w:tcPr>
          <w:p w14:paraId="61F091F7"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Minimum p</w:t>
            </w:r>
          </w:p>
        </w:tc>
        <w:tc>
          <w:tcPr>
            <w:tcW w:w="1910" w:type="dxa"/>
            <w:tcBorders>
              <w:top w:val="nil"/>
              <w:left w:val="nil"/>
              <w:bottom w:val="single" w:sz="4" w:space="0" w:color="000000"/>
              <w:right w:val="nil"/>
            </w:tcBorders>
            <w:shd w:val="clear" w:color="000000" w:fill="FFFFFF"/>
            <w:noWrap/>
            <w:vAlign w:val="bottom"/>
            <w:hideMark/>
          </w:tcPr>
          <w:p w14:paraId="651CA671"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Region p (adj.)</w:t>
            </w:r>
          </w:p>
        </w:tc>
      </w:tr>
      <w:tr w:rsidR="000B1F81" w:rsidRPr="005A28F5" w14:paraId="05238610" w14:textId="77777777" w:rsidTr="00AA1A8A">
        <w:trPr>
          <w:trHeight w:val="320"/>
        </w:trPr>
        <w:tc>
          <w:tcPr>
            <w:tcW w:w="917" w:type="dxa"/>
            <w:tcBorders>
              <w:top w:val="nil"/>
              <w:left w:val="nil"/>
              <w:bottom w:val="nil"/>
              <w:right w:val="nil"/>
            </w:tcBorders>
            <w:shd w:val="clear" w:color="000000" w:fill="FFFFFF"/>
            <w:noWrap/>
            <w:vAlign w:val="bottom"/>
            <w:hideMark/>
          </w:tcPr>
          <w:p w14:paraId="46CB02D5" w14:textId="77777777" w:rsidR="000B1F81" w:rsidRPr="005A28F5" w:rsidRDefault="000B1F81" w:rsidP="000B1F81">
            <w:pPr>
              <w:spacing w:line="360" w:lineRule="auto"/>
              <w:rPr>
                <w:i/>
                <w:color w:val="000000"/>
                <w:sz w:val="20"/>
                <w:szCs w:val="20"/>
              </w:rPr>
            </w:pPr>
            <w:r w:rsidRPr="005A28F5">
              <w:rPr>
                <w:i/>
                <w:color w:val="000000"/>
                <w:sz w:val="20"/>
                <w:szCs w:val="20"/>
              </w:rPr>
              <w:t>ESM1</w:t>
            </w:r>
          </w:p>
        </w:tc>
        <w:tc>
          <w:tcPr>
            <w:tcW w:w="1020" w:type="dxa"/>
            <w:tcBorders>
              <w:top w:val="nil"/>
              <w:left w:val="nil"/>
              <w:bottom w:val="nil"/>
              <w:right w:val="nil"/>
            </w:tcBorders>
            <w:shd w:val="clear" w:color="000000" w:fill="FFFFFF"/>
            <w:noWrap/>
            <w:vAlign w:val="bottom"/>
            <w:hideMark/>
          </w:tcPr>
          <w:p w14:paraId="75388BE1" w14:textId="77777777" w:rsidR="000B1F81" w:rsidRPr="005A28F5" w:rsidRDefault="000B1F81" w:rsidP="000B1F81">
            <w:pPr>
              <w:spacing w:line="360" w:lineRule="auto"/>
              <w:rPr>
                <w:i/>
                <w:iCs/>
                <w:color w:val="000000"/>
                <w:sz w:val="20"/>
                <w:szCs w:val="20"/>
              </w:rPr>
            </w:pPr>
            <w:proofErr w:type="spellStart"/>
            <w:r w:rsidRPr="005A28F5">
              <w:rPr>
                <w:i/>
                <w:iCs/>
                <w:color w:val="000000"/>
                <w:sz w:val="20"/>
                <w:szCs w:val="20"/>
              </w:rPr>
              <w:t>DMRcate</w:t>
            </w:r>
            <w:proofErr w:type="spellEnd"/>
          </w:p>
        </w:tc>
        <w:tc>
          <w:tcPr>
            <w:tcW w:w="710" w:type="dxa"/>
            <w:tcBorders>
              <w:top w:val="nil"/>
              <w:left w:val="nil"/>
              <w:bottom w:val="nil"/>
              <w:right w:val="nil"/>
            </w:tcBorders>
            <w:shd w:val="clear" w:color="000000" w:fill="FFFFFF"/>
            <w:noWrap/>
            <w:vAlign w:val="bottom"/>
            <w:hideMark/>
          </w:tcPr>
          <w:p w14:paraId="155B232A" w14:textId="77777777" w:rsidR="000B1F81" w:rsidRPr="005A28F5" w:rsidRDefault="000B1F81" w:rsidP="000B1F81">
            <w:pPr>
              <w:spacing w:line="360" w:lineRule="auto"/>
              <w:jc w:val="center"/>
              <w:rPr>
                <w:color w:val="000000"/>
                <w:sz w:val="20"/>
                <w:szCs w:val="20"/>
              </w:rPr>
            </w:pPr>
            <w:r w:rsidRPr="005A28F5">
              <w:rPr>
                <w:color w:val="000000"/>
                <w:sz w:val="20"/>
                <w:szCs w:val="20"/>
              </w:rPr>
              <w:t>1</w:t>
            </w:r>
          </w:p>
        </w:tc>
        <w:tc>
          <w:tcPr>
            <w:tcW w:w="2740" w:type="dxa"/>
            <w:tcBorders>
              <w:top w:val="nil"/>
              <w:left w:val="nil"/>
              <w:bottom w:val="nil"/>
              <w:right w:val="nil"/>
            </w:tcBorders>
            <w:shd w:val="clear" w:color="000000" w:fill="FFFFFF"/>
            <w:noWrap/>
            <w:vAlign w:val="bottom"/>
            <w:hideMark/>
          </w:tcPr>
          <w:p w14:paraId="6460AF70" w14:textId="77777777" w:rsidR="000B1F81" w:rsidRPr="005A28F5" w:rsidRDefault="000B1F81" w:rsidP="000B1F81">
            <w:pPr>
              <w:spacing w:line="360" w:lineRule="auto"/>
              <w:rPr>
                <w:color w:val="000000"/>
                <w:sz w:val="20"/>
                <w:szCs w:val="20"/>
              </w:rPr>
            </w:pPr>
            <w:r w:rsidRPr="005A28F5">
              <w:rPr>
                <w:color w:val="000000"/>
                <w:sz w:val="20"/>
                <w:szCs w:val="20"/>
              </w:rPr>
              <w:t>chr5: 54281198 - 54281733</w:t>
            </w:r>
          </w:p>
        </w:tc>
        <w:tc>
          <w:tcPr>
            <w:tcW w:w="800" w:type="dxa"/>
            <w:tcBorders>
              <w:top w:val="nil"/>
              <w:left w:val="nil"/>
              <w:bottom w:val="nil"/>
              <w:right w:val="nil"/>
            </w:tcBorders>
            <w:shd w:val="clear" w:color="000000" w:fill="FFFFFF"/>
            <w:noWrap/>
            <w:vAlign w:val="bottom"/>
            <w:hideMark/>
          </w:tcPr>
          <w:p w14:paraId="6C3749D4" w14:textId="77777777" w:rsidR="000B1F81" w:rsidRPr="005A28F5" w:rsidRDefault="000B1F81" w:rsidP="000B1F81">
            <w:pPr>
              <w:spacing w:line="360" w:lineRule="auto"/>
              <w:jc w:val="center"/>
              <w:rPr>
                <w:color w:val="000000"/>
                <w:sz w:val="20"/>
                <w:szCs w:val="20"/>
              </w:rPr>
            </w:pPr>
            <w:r w:rsidRPr="005A28F5">
              <w:rPr>
                <w:color w:val="000000"/>
                <w:sz w:val="20"/>
                <w:szCs w:val="20"/>
              </w:rPr>
              <w:t>10</w:t>
            </w:r>
          </w:p>
        </w:tc>
        <w:tc>
          <w:tcPr>
            <w:tcW w:w="1300" w:type="dxa"/>
            <w:tcBorders>
              <w:top w:val="nil"/>
              <w:left w:val="nil"/>
              <w:bottom w:val="nil"/>
              <w:right w:val="nil"/>
            </w:tcBorders>
            <w:shd w:val="clear" w:color="000000" w:fill="FFFFFF"/>
            <w:noWrap/>
            <w:vAlign w:val="bottom"/>
            <w:hideMark/>
          </w:tcPr>
          <w:p w14:paraId="20184AAB" w14:textId="77777777" w:rsidR="000B1F81" w:rsidRPr="005A28F5" w:rsidRDefault="000B1F81" w:rsidP="000B1F81">
            <w:pPr>
              <w:spacing w:line="360" w:lineRule="auto"/>
              <w:jc w:val="center"/>
              <w:rPr>
                <w:color w:val="000000"/>
                <w:sz w:val="20"/>
                <w:szCs w:val="20"/>
              </w:rPr>
            </w:pPr>
            <w:r w:rsidRPr="005A28F5">
              <w:rPr>
                <w:color w:val="000000"/>
                <w:sz w:val="20"/>
                <w:szCs w:val="20"/>
              </w:rPr>
              <w:t>7.95E-47</w:t>
            </w:r>
          </w:p>
        </w:tc>
        <w:tc>
          <w:tcPr>
            <w:tcW w:w="1910" w:type="dxa"/>
            <w:tcBorders>
              <w:top w:val="nil"/>
              <w:left w:val="nil"/>
              <w:bottom w:val="nil"/>
              <w:right w:val="nil"/>
            </w:tcBorders>
            <w:shd w:val="clear" w:color="000000" w:fill="FFFFFF"/>
            <w:noWrap/>
            <w:vAlign w:val="bottom"/>
            <w:hideMark/>
          </w:tcPr>
          <w:p w14:paraId="5EF55750" w14:textId="77777777" w:rsidR="000B1F81" w:rsidRPr="005A28F5" w:rsidRDefault="000B1F81" w:rsidP="000B1F81">
            <w:pPr>
              <w:spacing w:line="360" w:lineRule="auto"/>
              <w:jc w:val="center"/>
              <w:rPr>
                <w:color w:val="000000"/>
                <w:sz w:val="20"/>
                <w:szCs w:val="20"/>
              </w:rPr>
            </w:pPr>
            <w:r w:rsidRPr="005A28F5">
              <w:rPr>
                <w:color w:val="000000"/>
                <w:sz w:val="20"/>
                <w:szCs w:val="20"/>
              </w:rPr>
              <w:t>3.63E-08</w:t>
            </w:r>
          </w:p>
        </w:tc>
      </w:tr>
      <w:tr w:rsidR="000B1F81" w:rsidRPr="005A28F5" w14:paraId="3D5CC651" w14:textId="77777777" w:rsidTr="00AA1A8A">
        <w:trPr>
          <w:trHeight w:val="320"/>
        </w:trPr>
        <w:tc>
          <w:tcPr>
            <w:tcW w:w="917" w:type="dxa"/>
            <w:tcBorders>
              <w:top w:val="nil"/>
              <w:left w:val="nil"/>
              <w:bottom w:val="single" w:sz="4" w:space="0" w:color="A6A6A6"/>
              <w:right w:val="nil"/>
            </w:tcBorders>
            <w:shd w:val="clear" w:color="000000" w:fill="FFFFFF"/>
            <w:noWrap/>
            <w:vAlign w:val="bottom"/>
            <w:hideMark/>
          </w:tcPr>
          <w:p w14:paraId="3EDAB9CD" w14:textId="77777777" w:rsidR="000B1F81" w:rsidRPr="005A28F5" w:rsidRDefault="000B1F81" w:rsidP="000B1F81">
            <w:pPr>
              <w:spacing w:line="360" w:lineRule="auto"/>
              <w:rPr>
                <w:color w:val="000000"/>
                <w:sz w:val="20"/>
                <w:szCs w:val="20"/>
              </w:rPr>
            </w:pPr>
            <w:r w:rsidRPr="005A28F5">
              <w:rPr>
                <w:color w:val="000000"/>
                <w:sz w:val="20"/>
                <w:szCs w:val="20"/>
              </w:rPr>
              <w:t> </w:t>
            </w:r>
          </w:p>
        </w:tc>
        <w:tc>
          <w:tcPr>
            <w:tcW w:w="1020" w:type="dxa"/>
            <w:tcBorders>
              <w:top w:val="nil"/>
              <w:left w:val="nil"/>
              <w:bottom w:val="single" w:sz="4" w:space="0" w:color="A6A6A6"/>
              <w:right w:val="nil"/>
            </w:tcBorders>
            <w:shd w:val="clear" w:color="000000" w:fill="FFFFFF"/>
            <w:noWrap/>
            <w:vAlign w:val="bottom"/>
            <w:hideMark/>
          </w:tcPr>
          <w:p w14:paraId="6816CAD5" w14:textId="77777777" w:rsidR="000B1F81" w:rsidRPr="005A28F5" w:rsidRDefault="000B1F81" w:rsidP="000B1F81">
            <w:pPr>
              <w:spacing w:line="360" w:lineRule="auto"/>
              <w:rPr>
                <w:i/>
                <w:iCs/>
                <w:color w:val="000000"/>
                <w:sz w:val="20"/>
                <w:szCs w:val="20"/>
              </w:rPr>
            </w:pPr>
            <w:r w:rsidRPr="005A28F5">
              <w:rPr>
                <w:i/>
                <w:iCs/>
                <w:color w:val="000000"/>
                <w:sz w:val="20"/>
                <w:szCs w:val="20"/>
              </w:rPr>
              <w:t>comb-p</w:t>
            </w:r>
          </w:p>
        </w:tc>
        <w:tc>
          <w:tcPr>
            <w:tcW w:w="710" w:type="dxa"/>
            <w:tcBorders>
              <w:top w:val="nil"/>
              <w:left w:val="nil"/>
              <w:bottom w:val="single" w:sz="4" w:space="0" w:color="A6A6A6"/>
              <w:right w:val="nil"/>
            </w:tcBorders>
            <w:shd w:val="clear" w:color="000000" w:fill="FFFFFF"/>
            <w:noWrap/>
            <w:vAlign w:val="bottom"/>
            <w:hideMark/>
          </w:tcPr>
          <w:p w14:paraId="4D7033A8" w14:textId="77777777" w:rsidR="000B1F81" w:rsidRPr="005A28F5" w:rsidRDefault="000B1F81" w:rsidP="000B1F81">
            <w:pPr>
              <w:spacing w:line="360" w:lineRule="auto"/>
              <w:jc w:val="center"/>
              <w:rPr>
                <w:color w:val="000000"/>
                <w:sz w:val="20"/>
                <w:szCs w:val="20"/>
              </w:rPr>
            </w:pPr>
            <w:r w:rsidRPr="005A28F5">
              <w:rPr>
                <w:color w:val="000000"/>
                <w:sz w:val="20"/>
                <w:szCs w:val="20"/>
              </w:rPr>
              <w:t>1</w:t>
            </w:r>
          </w:p>
        </w:tc>
        <w:tc>
          <w:tcPr>
            <w:tcW w:w="2740" w:type="dxa"/>
            <w:tcBorders>
              <w:top w:val="nil"/>
              <w:left w:val="nil"/>
              <w:bottom w:val="single" w:sz="4" w:space="0" w:color="A6A6A6"/>
              <w:right w:val="nil"/>
            </w:tcBorders>
            <w:shd w:val="clear" w:color="000000" w:fill="FFFFFF"/>
            <w:noWrap/>
            <w:vAlign w:val="bottom"/>
            <w:hideMark/>
          </w:tcPr>
          <w:p w14:paraId="647A8B8C" w14:textId="77777777" w:rsidR="000B1F81" w:rsidRPr="005A28F5" w:rsidRDefault="000B1F81" w:rsidP="000B1F81">
            <w:pPr>
              <w:spacing w:line="360" w:lineRule="auto"/>
              <w:rPr>
                <w:color w:val="000000"/>
                <w:sz w:val="20"/>
                <w:szCs w:val="20"/>
              </w:rPr>
            </w:pPr>
            <w:r w:rsidRPr="005A28F5">
              <w:rPr>
                <w:color w:val="000000"/>
                <w:sz w:val="20"/>
                <w:szCs w:val="20"/>
              </w:rPr>
              <w:t>chr5: 54281198 - 54281733</w:t>
            </w:r>
          </w:p>
        </w:tc>
        <w:tc>
          <w:tcPr>
            <w:tcW w:w="800" w:type="dxa"/>
            <w:tcBorders>
              <w:top w:val="nil"/>
              <w:left w:val="nil"/>
              <w:bottom w:val="single" w:sz="4" w:space="0" w:color="A6A6A6"/>
              <w:right w:val="nil"/>
            </w:tcBorders>
            <w:shd w:val="clear" w:color="000000" w:fill="FFFFFF"/>
            <w:noWrap/>
            <w:vAlign w:val="bottom"/>
            <w:hideMark/>
          </w:tcPr>
          <w:p w14:paraId="4C4859B1" w14:textId="77777777" w:rsidR="000B1F81" w:rsidRPr="005A28F5" w:rsidRDefault="000B1F81" w:rsidP="000B1F81">
            <w:pPr>
              <w:spacing w:line="360" w:lineRule="auto"/>
              <w:jc w:val="center"/>
              <w:rPr>
                <w:color w:val="000000"/>
                <w:sz w:val="20"/>
                <w:szCs w:val="20"/>
              </w:rPr>
            </w:pPr>
            <w:r w:rsidRPr="005A28F5">
              <w:rPr>
                <w:color w:val="000000"/>
                <w:sz w:val="20"/>
                <w:szCs w:val="20"/>
              </w:rPr>
              <w:t>10</w:t>
            </w:r>
          </w:p>
        </w:tc>
        <w:tc>
          <w:tcPr>
            <w:tcW w:w="1300" w:type="dxa"/>
            <w:tcBorders>
              <w:top w:val="nil"/>
              <w:left w:val="nil"/>
              <w:bottom w:val="single" w:sz="4" w:space="0" w:color="A6A6A6"/>
              <w:right w:val="nil"/>
            </w:tcBorders>
            <w:shd w:val="clear" w:color="000000" w:fill="FFFFFF"/>
            <w:noWrap/>
            <w:vAlign w:val="bottom"/>
            <w:hideMark/>
          </w:tcPr>
          <w:p w14:paraId="0EA5C15B" w14:textId="77777777" w:rsidR="000B1F81" w:rsidRPr="005A28F5" w:rsidRDefault="000B1F81" w:rsidP="000B1F81">
            <w:pPr>
              <w:spacing w:line="360" w:lineRule="auto"/>
              <w:jc w:val="center"/>
              <w:rPr>
                <w:color w:val="000000"/>
                <w:sz w:val="20"/>
                <w:szCs w:val="20"/>
              </w:rPr>
            </w:pPr>
            <w:r w:rsidRPr="005A28F5">
              <w:rPr>
                <w:color w:val="000000"/>
                <w:sz w:val="20"/>
                <w:szCs w:val="20"/>
              </w:rPr>
              <w:t>1.80E-35</w:t>
            </w:r>
          </w:p>
        </w:tc>
        <w:tc>
          <w:tcPr>
            <w:tcW w:w="1910" w:type="dxa"/>
            <w:tcBorders>
              <w:top w:val="nil"/>
              <w:left w:val="nil"/>
              <w:bottom w:val="single" w:sz="4" w:space="0" w:color="A6A6A6"/>
              <w:right w:val="nil"/>
            </w:tcBorders>
            <w:shd w:val="clear" w:color="000000" w:fill="FFFFFF"/>
            <w:noWrap/>
            <w:vAlign w:val="bottom"/>
            <w:hideMark/>
          </w:tcPr>
          <w:p w14:paraId="07F782AC" w14:textId="77777777" w:rsidR="000B1F81" w:rsidRPr="005A28F5" w:rsidRDefault="000B1F81" w:rsidP="000B1F81">
            <w:pPr>
              <w:spacing w:line="360" w:lineRule="auto"/>
              <w:jc w:val="center"/>
              <w:rPr>
                <w:color w:val="000000"/>
                <w:sz w:val="20"/>
                <w:szCs w:val="20"/>
              </w:rPr>
            </w:pPr>
            <w:r w:rsidRPr="005A28F5">
              <w:rPr>
                <w:color w:val="000000"/>
                <w:sz w:val="20"/>
                <w:szCs w:val="20"/>
              </w:rPr>
              <w:t>6.06E-37</w:t>
            </w:r>
          </w:p>
        </w:tc>
      </w:tr>
      <w:tr w:rsidR="000B1F81" w:rsidRPr="005A28F5" w14:paraId="689D6E9A" w14:textId="77777777" w:rsidTr="00AA1A8A">
        <w:trPr>
          <w:trHeight w:val="320"/>
        </w:trPr>
        <w:tc>
          <w:tcPr>
            <w:tcW w:w="917" w:type="dxa"/>
            <w:tcBorders>
              <w:top w:val="nil"/>
              <w:left w:val="nil"/>
              <w:bottom w:val="nil"/>
              <w:right w:val="nil"/>
            </w:tcBorders>
            <w:shd w:val="clear" w:color="000000" w:fill="FFFFFF"/>
            <w:noWrap/>
            <w:vAlign w:val="bottom"/>
            <w:hideMark/>
          </w:tcPr>
          <w:p w14:paraId="2B30F65B" w14:textId="4C5EA79E" w:rsidR="000B1F81" w:rsidRPr="005A28F5" w:rsidRDefault="000B1F81" w:rsidP="000B1F81">
            <w:pPr>
              <w:spacing w:line="360" w:lineRule="auto"/>
              <w:rPr>
                <w:i/>
                <w:color w:val="000000"/>
                <w:sz w:val="20"/>
                <w:szCs w:val="20"/>
              </w:rPr>
            </w:pPr>
            <w:r w:rsidRPr="005A28F5">
              <w:rPr>
                <w:i/>
                <w:color w:val="000000"/>
                <w:sz w:val="20"/>
                <w:szCs w:val="20"/>
              </w:rPr>
              <w:t>LZTS1</w:t>
            </w:r>
          </w:p>
        </w:tc>
        <w:tc>
          <w:tcPr>
            <w:tcW w:w="1020" w:type="dxa"/>
            <w:tcBorders>
              <w:top w:val="nil"/>
              <w:left w:val="nil"/>
              <w:bottom w:val="nil"/>
              <w:right w:val="nil"/>
            </w:tcBorders>
            <w:shd w:val="clear" w:color="000000" w:fill="FFFFFF"/>
            <w:noWrap/>
            <w:vAlign w:val="bottom"/>
            <w:hideMark/>
          </w:tcPr>
          <w:p w14:paraId="1067CE3D" w14:textId="77777777" w:rsidR="000B1F81" w:rsidRPr="005A28F5" w:rsidRDefault="000B1F81" w:rsidP="000B1F81">
            <w:pPr>
              <w:spacing w:line="360" w:lineRule="auto"/>
              <w:rPr>
                <w:i/>
                <w:iCs/>
                <w:color w:val="000000"/>
                <w:sz w:val="20"/>
                <w:szCs w:val="20"/>
              </w:rPr>
            </w:pPr>
            <w:proofErr w:type="spellStart"/>
            <w:r w:rsidRPr="005A28F5">
              <w:rPr>
                <w:i/>
                <w:iCs/>
                <w:color w:val="000000"/>
                <w:sz w:val="20"/>
                <w:szCs w:val="20"/>
              </w:rPr>
              <w:t>DMRcate</w:t>
            </w:r>
            <w:proofErr w:type="spellEnd"/>
          </w:p>
        </w:tc>
        <w:tc>
          <w:tcPr>
            <w:tcW w:w="710" w:type="dxa"/>
            <w:tcBorders>
              <w:top w:val="nil"/>
              <w:left w:val="nil"/>
              <w:bottom w:val="nil"/>
              <w:right w:val="nil"/>
            </w:tcBorders>
            <w:shd w:val="clear" w:color="000000" w:fill="FFFFFF"/>
            <w:noWrap/>
            <w:vAlign w:val="bottom"/>
            <w:hideMark/>
          </w:tcPr>
          <w:p w14:paraId="795FB114" w14:textId="77777777" w:rsidR="000B1F81" w:rsidRPr="005A28F5" w:rsidRDefault="000B1F81" w:rsidP="000B1F81">
            <w:pPr>
              <w:spacing w:line="360" w:lineRule="auto"/>
              <w:jc w:val="center"/>
              <w:rPr>
                <w:color w:val="000000"/>
                <w:sz w:val="20"/>
                <w:szCs w:val="20"/>
              </w:rPr>
            </w:pPr>
            <w:r w:rsidRPr="005A28F5">
              <w:rPr>
                <w:color w:val="000000"/>
                <w:sz w:val="20"/>
                <w:szCs w:val="20"/>
              </w:rPr>
              <w:t>2</w:t>
            </w:r>
          </w:p>
        </w:tc>
        <w:tc>
          <w:tcPr>
            <w:tcW w:w="2740" w:type="dxa"/>
            <w:tcBorders>
              <w:top w:val="nil"/>
              <w:left w:val="nil"/>
              <w:bottom w:val="nil"/>
              <w:right w:val="nil"/>
            </w:tcBorders>
            <w:shd w:val="clear" w:color="000000" w:fill="FFFFFF"/>
            <w:noWrap/>
            <w:vAlign w:val="bottom"/>
            <w:hideMark/>
          </w:tcPr>
          <w:p w14:paraId="671951F0" w14:textId="77777777" w:rsidR="000B1F81" w:rsidRPr="005A28F5" w:rsidRDefault="000B1F81" w:rsidP="000B1F81">
            <w:pPr>
              <w:spacing w:line="360" w:lineRule="auto"/>
              <w:rPr>
                <w:color w:val="000000"/>
                <w:sz w:val="20"/>
                <w:szCs w:val="20"/>
              </w:rPr>
            </w:pPr>
            <w:r w:rsidRPr="005A28F5">
              <w:rPr>
                <w:color w:val="000000"/>
                <w:sz w:val="20"/>
                <w:szCs w:val="20"/>
              </w:rPr>
              <w:t>chr8: 20159382 - 20160009</w:t>
            </w:r>
          </w:p>
        </w:tc>
        <w:tc>
          <w:tcPr>
            <w:tcW w:w="800" w:type="dxa"/>
            <w:tcBorders>
              <w:top w:val="nil"/>
              <w:left w:val="nil"/>
              <w:bottom w:val="nil"/>
              <w:right w:val="nil"/>
            </w:tcBorders>
            <w:shd w:val="clear" w:color="000000" w:fill="FFFFFF"/>
            <w:noWrap/>
            <w:vAlign w:val="bottom"/>
            <w:hideMark/>
          </w:tcPr>
          <w:p w14:paraId="51693FD3" w14:textId="77777777" w:rsidR="000B1F81" w:rsidRPr="005A28F5" w:rsidRDefault="000B1F81" w:rsidP="000B1F81">
            <w:pPr>
              <w:spacing w:line="360" w:lineRule="auto"/>
              <w:jc w:val="center"/>
              <w:rPr>
                <w:color w:val="000000"/>
                <w:sz w:val="20"/>
                <w:szCs w:val="20"/>
              </w:rPr>
            </w:pPr>
            <w:r w:rsidRPr="005A28F5">
              <w:rPr>
                <w:color w:val="000000"/>
                <w:sz w:val="20"/>
                <w:szCs w:val="20"/>
              </w:rPr>
              <w:t>4</w:t>
            </w:r>
          </w:p>
        </w:tc>
        <w:tc>
          <w:tcPr>
            <w:tcW w:w="1300" w:type="dxa"/>
            <w:tcBorders>
              <w:top w:val="nil"/>
              <w:left w:val="nil"/>
              <w:bottom w:val="nil"/>
              <w:right w:val="nil"/>
            </w:tcBorders>
            <w:shd w:val="clear" w:color="000000" w:fill="FFFFFF"/>
            <w:noWrap/>
            <w:vAlign w:val="bottom"/>
            <w:hideMark/>
          </w:tcPr>
          <w:p w14:paraId="4DC2611C" w14:textId="77777777" w:rsidR="000B1F81" w:rsidRPr="005A28F5" w:rsidRDefault="000B1F81" w:rsidP="000B1F81">
            <w:pPr>
              <w:spacing w:line="360" w:lineRule="auto"/>
              <w:jc w:val="center"/>
              <w:rPr>
                <w:color w:val="000000"/>
                <w:sz w:val="20"/>
                <w:szCs w:val="20"/>
              </w:rPr>
            </w:pPr>
            <w:r w:rsidRPr="005A28F5">
              <w:rPr>
                <w:color w:val="000000"/>
                <w:sz w:val="20"/>
                <w:szCs w:val="20"/>
              </w:rPr>
              <w:t>2.15E-10</w:t>
            </w:r>
          </w:p>
        </w:tc>
        <w:tc>
          <w:tcPr>
            <w:tcW w:w="1910" w:type="dxa"/>
            <w:tcBorders>
              <w:top w:val="nil"/>
              <w:left w:val="nil"/>
              <w:bottom w:val="nil"/>
              <w:right w:val="nil"/>
            </w:tcBorders>
            <w:shd w:val="clear" w:color="000000" w:fill="FFFFFF"/>
            <w:noWrap/>
            <w:vAlign w:val="bottom"/>
            <w:hideMark/>
          </w:tcPr>
          <w:p w14:paraId="351458BF" w14:textId="77777777" w:rsidR="000B1F81" w:rsidRPr="005A28F5" w:rsidRDefault="000B1F81" w:rsidP="000B1F81">
            <w:pPr>
              <w:spacing w:line="360" w:lineRule="auto"/>
              <w:jc w:val="center"/>
              <w:rPr>
                <w:color w:val="000000"/>
                <w:sz w:val="20"/>
                <w:szCs w:val="20"/>
              </w:rPr>
            </w:pPr>
            <w:r w:rsidRPr="005A28F5">
              <w:rPr>
                <w:color w:val="000000"/>
                <w:sz w:val="20"/>
                <w:szCs w:val="20"/>
              </w:rPr>
              <w:t>1.81E-01</w:t>
            </w:r>
          </w:p>
        </w:tc>
      </w:tr>
      <w:tr w:rsidR="000B1F81" w:rsidRPr="005A28F5" w14:paraId="367964F0" w14:textId="77777777" w:rsidTr="00AA1A8A">
        <w:trPr>
          <w:trHeight w:val="320"/>
        </w:trPr>
        <w:tc>
          <w:tcPr>
            <w:tcW w:w="917" w:type="dxa"/>
            <w:tcBorders>
              <w:top w:val="nil"/>
              <w:left w:val="nil"/>
              <w:bottom w:val="nil"/>
              <w:right w:val="nil"/>
            </w:tcBorders>
            <w:shd w:val="clear" w:color="000000" w:fill="FFFFFF"/>
            <w:noWrap/>
            <w:vAlign w:val="bottom"/>
            <w:hideMark/>
          </w:tcPr>
          <w:p w14:paraId="7AA8F444" w14:textId="77777777" w:rsidR="000B1F81" w:rsidRPr="005A28F5" w:rsidRDefault="000B1F81" w:rsidP="000B1F81">
            <w:pPr>
              <w:spacing w:line="360" w:lineRule="auto"/>
              <w:rPr>
                <w:color w:val="000000"/>
                <w:sz w:val="20"/>
                <w:szCs w:val="20"/>
              </w:rPr>
            </w:pPr>
            <w:r w:rsidRPr="005A28F5">
              <w:rPr>
                <w:color w:val="000000"/>
                <w:sz w:val="20"/>
                <w:szCs w:val="20"/>
              </w:rPr>
              <w:t> </w:t>
            </w:r>
          </w:p>
        </w:tc>
        <w:tc>
          <w:tcPr>
            <w:tcW w:w="1020" w:type="dxa"/>
            <w:tcBorders>
              <w:top w:val="nil"/>
              <w:left w:val="nil"/>
              <w:bottom w:val="nil"/>
              <w:right w:val="nil"/>
            </w:tcBorders>
            <w:shd w:val="clear" w:color="000000" w:fill="FFFFFF"/>
            <w:noWrap/>
            <w:vAlign w:val="bottom"/>
            <w:hideMark/>
          </w:tcPr>
          <w:p w14:paraId="3EAFCB3D" w14:textId="77777777" w:rsidR="000B1F81" w:rsidRPr="005A28F5" w:rsidRDefault="000B1F81" w:rsidP="000B1F81">
            <w:pPr>
              <w:spacing w:line="360" w:lineRule="auto"/>
              <w:rPr>
                <w:i/>
                <w:iCs/>
                <w:color w:val="000000"/>
                <w:sz w:val="20"/>
                <w:szCs w:val="20"/>
              </w:rPr>
            </w:pPr>
            <w:r w:rsidRPr="005A28F5">
              <w:rPr>
                <w:i/>
                <w:iCs/>
                <w:color w:val="000000"/>
                <w:sz w:val="20"/>
                <w:szCs w:val="20"/>
              </w:rPr>
              <w:t>comb-p</w:t>
            </w:r>
          </w:p>
        </w:tc>
        <w:tc>
          <w:tcPr>
            <w:tcW w:w="710" w:type="dxa"/>
            <w:tcBorders>
              <w:top w:val="nil"/>
              <w:left w:val="nil"/>
              <w:bottom w:val="nil"/>
              <w:right w:val="nil"/>
            </w:tcBorders>
            <w:shd w:val="clear" w:color="000000" w:fill="FFFFFF"/>
            <w:noWrap/>
            <w:vAlign w:val="bottom"/>
            <w:hideMark/>
          </w:tcPr>
          <w:p w14:paraId="7914CAC8" w14:textId="77777777" w:rsidR="000B1F81" w:rsidRPr="005A28F5" w:rsidRDefault="000B1F81" w:rsidP="000B1F81">
            <w:pPr>
              <w:spacing w:line="360" w:lineRule="auto"/>
              <w:jc w:val="center"/>
              <w:rPr>
                <w:color w:val="000000"/>
                <w:sz w:val="20"/>
                <w:szCs w:val="20"/>
              </w:rPr>
            </w:pPr>
            <w:r w:rsidRPr="005A28F5">
              <w:rPr>
                <w:color w:val="000000"/>
                <w:sz w:val="20"/>
                <w:szCs w:val="20"/>
              </w:rPr>
              <w:t>4</w:t>
            </w:r>
          </w:p>
        </w:tc>
        <w:tc>
          <w:tcPr>
            <w:tcW w:w="2740" w:type="dxa"/>
            <w:tcBorders>
              <w:top w:val="nil"/>
              <w:left w:val="nil"/>
              <w:bottom w:val="nil"/>
              <w:right w:val="nil"/>
            </w:tcBorders>
            <w:shd w:val="clear" w:color="000000" w:fill="FFFFFF"/>
            <w:noWrap/>
            <w:vAlign w:val="bottom"/>
            <w:hideMark/>
          </w:tcPr>
          <w:p w14:paraId="2DB462E1" w14:textId="77777777" w:rsidR="000B1F81" w:rsidRPr="005A28F5" w:rsidRDefault="000B1F81" w:rsidP="000B1F81">
            <w:pPr>
              <w:spacing w:line="360" w:lineRule="auto"/>
              <w:rPr>
                <w:color w:val="000000"/>
                <w:sz w:val="20"/>
                <w:szCs w:val="20"/>
              </w:rPr>
            </w:pPr>
            <w:r w:rsidRPr="005A28F5">
              <w:rPr>
                <w:color w:val="000000"/>
                <w:sz w:val="20"/>
                <w:szCs w:val="20"/>
              </w:rPr>
              <w:t>chr8: 20159382 - 20160009</w:t>
            </w:r>
          </w:p>
        </w:tc>
        <w:tc>
          <w:tcPr>
            <w:tcW w:w="800" w:type="dxa"/>
            <w:tcBorders>
              <w:top w:val="nil"/>
              <w:left w:val="nil"/>
              <w:bottom w:val="nil"/>
              <w:right w:val="nil"/>
            </w:tcBorders>
            <w:shd w:val="clear" w:color="000000" w:fill="FFFFFF"/>
            <w:noWrap/>
            <w:vAlign w:val="bottom"/>
            <w:hideMark/>
          </w:tcPr>
          <w:p w14:paraId="7C420DE7" w14:textId="77777777" w:rsidR="000B1F81" w:rsidRPr="005A28F5" w:rsidRDefault="000B1F81" w:rsidP="000B1F81">
            <w:pPr>
              <w:spacing w:line="360" w:lineRule="auto"/>
              <w:jc w:val="center"/>
              <w:rPr>
                <w:color w:val="000000"/>
                <w:sz w:val="20"/>
                <w:szCs w:val="20"/>
              </w:rPr>
            </w:pPr>
            <w:r w:rsidRPr="005A28F5">
              <w:rPr>
                <w:color w:val="000000"/>
                <w:sz w:val="20"/>
                <w:szCs w:val="20"/>
              </w:rPr>
              <w:t>4</w:t>
            </w:r>
          </w:p>
        </w:tc>
        <w:tc>
          <w:tcPr>
            <w:tcW w:w="1300" w:type="dxa"/>
            <w:tcBorders>
              <w:top w:val="nil"/>
              <w:left w:val="nil"/>
              <w:bottom w:val="nil"/>
              <w:right w:val="nil"/>
            </w:tcBorders>
            <w:shd w:val="clear" w:color="000000" w:fill="FFFFFF"/>
            <w:noWrap/>
            <w:vAlign w:val="bottom"/>
            <w:hideMark/>
          </w:tcPr>
          <w:p w14:paraId="0D1C51A7" w14:textId="77777777" w:rsidR="000B1F81" w:rsidRPr="005A28F5" w:rsidRDefault="000B1F81" w:rsidP="000B1F81">
            <w:pPr>
              <w:spacing w:line="360" w:lineRule="auto"/>
              <w:jc w:val="center"/>
              <w:rPr>
                <w:color w:val="000000"/>
                <w:sz w:val="20"/>
                <w:szCs w:val="20"/>
              </w:rPr>
            </w:pPr>
            <w:r w:rsidRPr="005A28F5">
              <w:rPr>
                <w:color w:val="000000"/>
                <w:sz w:val="20"/>
                <w:szCs w:val="20"/>
              </w:rPr>
              <w:t>7.35E-07</w:t>
            </w:r>
          </w:p>
        </w:tc>
        <w:tc>
          <w:tcPr>
            <w:tcW w:w="1910" w:type="dxa"/>
            <w:tcBorders>
              <w:top w:val="nil"/>
              <w:left w:val="nil"/>
              <w:bottom w:val="nil"/>
              <w:right w:val="nil"/>
            </w:tcBorders>
            <w:shd w:val="clear" w:color="000000" w:fill="FFFFFF"/>
            <w:noWrap/>
            <w:vAlign w:val="bottom"/>
            <w:hideMark/>
          </w:tcPr>
          <w:p w14:paraId="12753B87" w14:textId="77777777" w:rsidR="000B1F81" w:rsidRPr="005A28F5" w:rsidRDefault="000B1F81" w:rsidP="000B1F81">
            <w:pPr>
              <w:spacing w:line="360" w:lineRule="auto"/>
              <w:jc w:val="center"/>
              <w:rPr>
                <w:color w:val="000000"/>
                <w:sz w:val="20"/>
                <w:szCs w:val="20"/>
              </w:rPr>
            </w:pPr>
            <w:r w:rsidRPr="005A28F5">
              <w:rPr>
                <w:color w:val="000000"/>
                <w:sz w:val="20"/>
                <w:szCs w:val="20"/>
              </w:rPr>
              <w:t>3.16E-11</w:t>
            </w:r>
          </w:p>
        </w:tc>
      </w:tr>
    </w:tbl>
    <w:p w14:paraId="4EBDFB45" w14:textId="77777777" w:rsidR="000B1F81" w:rsidRDefault="000B1F81" w:rsidP="001A64D3">
      <w:pPr>
        <w:pBdr>
          <w:top w:val="nil"/>
          <w:left w:val="nil"/>
          <w:bottom w:val="nil"/>
          <w:right w:val="nil"/>
          <w:between w:val="nil"/>
          <w:bar w:val="nil"/>
        </w:pBdr>
        <w:spacing w:line="360" w:lineRule="auto"/>
      </w:pPr>
    </w:p>
    <w:p w14:paraId="415714DF" w14:textId="77777777" w:rsidR="000B1F81" w:rsidRDefault="000B1F81" w:rsidP="001A64D3">
      <w:pPr>
        <w:pBdr>
          <w:top w:val="nil"/>
          <w:left w:val="nil"/>
          <w:bottom w:val="nil"/>
          <w:right w:val="nil"/>
          <w:between w:val="nil"/>
          <w:bar w:val="nil"/>
        </w:pBdr>
        <w:spacing w:line="360" w:lineRule="auto"/>
      </w:pPr>
    </w:p>
    <w:p w14:paraId="5C50C3B4" w14:textId="77777777" w:rsidR="000B1F81" w:rsidRDefault="000B1F81" w:rsidP="001A64D3">
      <w:pPr>
        <w:pBdr>
          <w:top w:val="nil"/>
          <w:left w:val="nil"/>
          <w:bottom w:val="nil"/>
          <w:right w:val="nil"/>
          <w:between w:val="nil"/>
          <w:bar w:val="nil"/>
        </w:pBdr>
        <w:spacing w:line="360" w:lineRule="auto"/>
      </w:pPr>
    </w:p>
    <w:p w14:paraId="7A5F09AE" w14:textId="77777777" w:rsidR="000B1F81" w:rsidRDefault="000B1F81" w:rsidP="001A64D3">
      <w:pPr>
        <w:pBdr>
          <w:top w:val="nil"/>
          <w:left w:val="nil"/>
          <w:bottom w:val="nil"/>
          <w:right w:val="nil"/>
          <w:between w:val="nil"/>
          <w:bar w:val="nil"/>
        </w:pBdr>
        <w:spacing w:line="360" w:lineRule="auto"/>
      </w:pPr>
    </w:p>
    <w:p w14:paraId="394718FC" w14:textId="77777777" w:rsidR="000B1F81" w:rsidRDefault="000B1F81" w:rsidP="001A64D3">
      <w:pPr>
        <w:pBdr>
          <w:top w:val="nil"/>
          <w:left w:val="nil"/>
          <w:bottom w:val="nil"/>
          <w:right w:val="nil"/>
          <w:between w:val="nil"/>
          <w:bar w:val="nil"/>
        </w:pBdr>
        <w:spacing w:line="360" w:lineRule="auto"/>
      </w:pPr>
    </w:p>
    <w:p w14:paraId="5B2BC198" w14:textId="77777777" w:rsidR="000B1F81" w:rsidRDefault="000B1F81" w:rsidP="001A64D3">
      <w:pPr>
        <w:pBdr>
          <w:top w:val="nil"/>
          <w:left w:val="nil"/>
          <w:bottom w:val="nil"/>
          <w:right w:val="nil"/>
          <w:between w:val="nil"/>
          <w:bar w:val="nil"/>
        </w:pBdr>
        <w:spacing w:line="360" w:lineRule="auto"/>
      </w:pPr>
    </w:p>
    <w:p w14:paraId="26E5A746" w14:textId="77777777" w:rsidR="000B1F81" w:rsidRDefault="000B1F81" w:rsidP="001A64D3">
      <w:pPr>
        <w:pBdr>
          <w:top w:val="nil"/>
          <w:left w:val="nil"/>
          <w:bottom w:val="nil"/>
          <w:right w:val="nil"/>
          <w:between w:val="nil"/>
          <w:bar w:val="nil"/>
        </w:pBdr>
        <w:spacing w:line="360" w:lineRule="auto"/>
      </w:pPr>
    </w:p>
    <w:p w14:paraId="14BB94EB" w14:textId="77777777" w:rsidR="000B1F81" w:rsidRDefault="000B1F81" w:rsidP="001A64D3">
      <w:pPr>
        <w:pBdr>
          <w:top w:val="nil"/>
          <w:left w:val="nil"/>
          <w:bottom w:val="nil"/>
          <w:right w:val="nil"/>
          <w:between w:val="nil"/>
          <w:bar w:val="nil"/>
        </w:pBdr>
        <w:spacing w:line="360" w:lineRule="auto"/>
      </w:pPr>
    </w:p>
    <w:p w14:paraId="4BB3A046" w14:textId="77777777" w:rsidR="000B1F81" w:rsidRDefault="000B1F81" w:rsidP="001A64D3">
      <w:pPr>
        <w:pBdr>
          <w:top w:val="nil"/>
          <w:left w:val="nil"/>
          <w:bottom w:val="nil"/>
          <w:right w:val="nil"/>
          <w:between w:val="nil"/>
          <w:bar w:val="nil"/>
        </w:pBdr>
        <w:spacing w:line="360" w:lineRule="auto"/>
      </w:pPr>
    </w:p>
    <w:p w14:paraId="451880DC" w14:textId="3F9F9F1A" w:rsidR="000B1F81" w:rsidRPr="006A2D07" w:rsidRDefault="000B1F81" w:rsidP="000B1F81">
      <w:pPr>
        <w:spacing w:line="360" w:lineRule="auto"/>
        <w:jc w:val="both"/>
        <w:rPr>
          <w:color w:val="000000" w:themeColor="text1"/>
        </w:rPr>
      </w:pPr>
      <w:r w:rsidRPr="006A2D07">
        <w:rPr>
          <w:color w:val="000000" w:themeColor="text1"/>
        </w:rPr>
        <w:t xml:space="preserve">These were identified using </w:t>
      </w:r>
      <w:proofErr w:type="spellStart"/>
      <w:r w:rsidRPr="006A2D07">
        <w:rPr>
          <w:i/>
          <w:color w:val="000000" w:themeColor="text1"/>
        </w:rPr>
        <w:t>DMRcate</w:t>
      </w:r>
      <w:proofErr w:type="spellEnd"/>
      <w:r w:rsidRPr="006A2D07">
        <w:rPr>
          <w:color w:val="000000" w:themeColor="text1"/>
        </w:rPr>
        <w:t xml:space="preserve"> and/or </w:t>
      </w:r>
      <w:r w:rsidRPr="006A2D07">
        <w:rPr>
          <w:i/>
          <w:color w:val="000000" w:themeColor="text1"/>
        </w:rPr>
        <w:t>comb-p</w:t>
      </w:r>
      <w:r w:rsidRPr="006A2D07">
        <w:rPr>
          <w:color w:val="000000" w:themeColor="text1"/>
        </w:rPr>
        <w:t xml:space="preserve"> methods. Table gives rank, start and end genomic coordinates (hg19), and number of CpGs making up the region. For the </w:t>
      </w:r>
      <w:proofErr w:type="spellStart"/>
      <w:r w:rsidRPr="006A2D07">
        <w:rPr>
          <w:i/>
          <w:color w:val="000000" w:themeColor="text1"/>
        </w:rPr>
        <w:t>DMRcate</w:t>
      </w:r>
      <w:proofErr w:type="spellEnd"/>
      <w:r w:rsidRPr="006A2D07">
        <w:rPr>
          <w:color w:val="000000" w:themeColor="text1"/>
        </w:rPr>
        <w:t xml:space="preserve"> results, </w:t>
      </w:r>
      <w:r w:rsidRPr="006A2D07">
        <w:rPr>
          <w:i/>
          <w:color w:val="000000" w:themeColor="text1"/>
        </w:rPr>
        <w:t>Minimum p</w:t>
      </w:r>
      <w:r w:rsidRPr="006A2D07">
        <w:rPr>
          <w:color w:val="000000" w:themeColor="text1"/>
        </w:rPr>
        <w:t xml:space="preserve"> is the minimum p-value for a single site in the region, and </w:t>
      </w:r>
      <w:r w:rsidRPr="006A2D07">
        <w:rPr>
          <w:i/>
          <w:color w:val="000000" w:themeColor="text1"/>
        </w:rPr>
        <w:t>Region p</w:t>
      </w:r>
      <w:r w:rsidRPr="006A2D07">
        <w:rPr>
          <w:color w:val="000000" w:themeColor="text1"/>
        </w:rPr>
        <w:t xml:space="preserve"> is the Stouffer combined p value for the CpGs making up the region. For </w:t>
      </w:r>
      <w:r w:rsidRPr="006A2D07">
        <w:rPr>
          <w:i/>
          <w:color w:val="000000" w:themeColor="text1"/>
        </w:rPr>
        <w:t>comb-p</w:t>
      </w:r>
      <w:r w:rsidRPr="006A2D07">
        <w:rPr>
          <w:color w:val="000000" w:themeColor="text1"/>
        </w:rPr>
        <w:t xml:space="preserve">, </w:t>
      </w:r>
      <w:r w:rsidRPr="006A2D07">
        <w:rPr>
          <w:i/>
          <w:color w:val="000000" w:themeColor="text1"/>
        </w:rPr>
        <w:t>Minimum p</w:t>
      </w:r>
      <w:r w:rsidRPr="006A2D07">
        <w:rPr>
          <w:color w:val="000000" w:themeColor="text1"/>
        </w:rPr>
        <w:t xml:space="preserve"> is the minimum p value for a single site in the region, and </w:t>
      </w:r>
      <w:r w:rsidRPr="006A2D07">
        <w:rPr>
          <w:i/>
          <w:color w:val="000000" w:themeColor="text1"/>
        </w:rPr>
        <w:t>Region p</w:t>
      </w:r>
      <w:r w:rsidRPr="006A2D07">
        <w:rPr>
          <w:color w:val="000000" w:themeColor="text1"/>
        </w:rPr>
        <w:t xml:space="preserve"> is the multiple testing corrected, regionally-adjusted p value.</w:t>
      </w:r>
      <w:r w:rsidR="000E70A5">
        <w:rPr>
          <w:color w:val="000000" w:themeColor="text1"/>
        </w:rPr>
        <w:t xml:space="preserve"> </w:t>
      </w:r>
      <w:r w:rsidR="000E70A5" w:rsidRPr="00C36EAD">
        <w:rPr>
          <w:color w:val="000000" w:themeColor="text1"/>
          <w:szCs w:val="22"/>
        </w:rPr>
        <w:t>EWAS, epigenome-wide association study</w:t>
      </w:r>
      <w:r w:rsidR="000E70A5" w:rsidRPr="00C36EAD">
        <w:rPr>
          <w:color w:val="000000" w:themeColor="text1"/>
        </w:rPr>
        <w:t>; DMR, Differentially methylated region</w:t>
      </w:r>
      <w:r w:rsidR="000E70A5">
        <w:rPr>
          <w:color w:val="000000" w:themeColor="text1"/>
        </w:rPr>
        <w:t>.</w:t>
      </w:r>
    </w:p>
    <w:p w14:paraId="7ACD6713" w14:textId="7B4CC878" w:rsidR="00E17D0F" w:rsidRPr="005A28F5" w:rsidRDefault="00E17D0F" w:rsidP="001A64D3">
      <w:pPr>
        <w:pBdr>
          <w:top w:val="nil"/>
          <w:left w:val="nil"/>
          <w:bottom w:val="nil"/>
          <w:right w:val="nil"/>
          <w:between w:val="nil"/>
          <w:bar w:val="nil"/>
        </w:pBdr>
        <w:spacing w:line="360" w:lineRule="auto"/>
      </w:pPr>
      <w:r w:rsidRPr="005A28F5">
        <w:br w:type="page"/>
      </w:r>
    </w:p>
    <w:p w14:paraId="2D82A761" w14:textId="77777777" w:rsidR="004B7D68" w:rsidRPr="005A28F5" w:rsidRDefault="004B7D68" w:rsidP="001A64D3">
      <w:pPr>
        <w:spacing w:line="360" w:lineRule="auto"/>
        <w:jc w:val="both"/>
      </w:pPr>
    </w:p>
    <w:p w14:paraId="34F83B1D" w14:textId="77777777" w:rsidR="004B7D68" w:rsidRPr="005A28F5" w:rsidRDefault="004B7D68" w:rsidP="001A64D3">
      <w:pPr>
        <w:spacing w:line="360" w:lineRule="auto"/>
        <w:jc w:val="both"/>
      </w:pPr>
    </w:p>
    <w:p w14:paraId="282B9C5B" w14:textId="7BBBB315" w:rsidR="004B7D68" w:rsidRPr="006A2D07" w:rsidRDefault="000C43A2" w:rsidP="001A64D3">
      <w:pPr>
        <w:spacing w:line="360" w:lineRule="auto"/>
        <w:jc w:val="both"/>
        <w:rPr>
          <w:color w:val="000000" w:themeColor="text1"/>
        </w:rPr>
      </w:pPr>
      <w:r w:rsidRPr="006A2D07">
        <w:rPr>
          <w:b/>
          <w:bCs/>
          <w:lang w:val="fr-FR"/>
        </w:rPr>
        <w:t>Table 4</w:t>
      </w:r>
      <w:r w:rsidRPr="006A2D07">
        <w:rPr>
          <w:b/>
          <w:bCs/>
        </w:rPr>
        <w:t xml:space="preserve">. </w:t>
      </w:r>
      <w:r w:rsidRPr="006A2D07">
        <w:rPr>
          <w:b/>
          <w:color w:val="000000" w:themeColor="text1"/>
        </w:rPr>
        <w:t xml:space="preserve">Top-ranked </w:t>
      </w:r>
      <w:r w:rsidR="007978B6" w:rsidRPr="00AA1A8A">
        <w:rPr>
          <w:b/>
          <w:color w:val="000000" w:themeColor="text1"/>
        </w:rPr>
        <w:t>differentially methylated position</w:t>
      </w:r>
      <w:r w:rsidR="007978B6">
        <w:rPr>
          <w:b/>
          <w:color w:val="000000" w:themeColor="text1"/>
        </w:rPr>
        <w:t>s in</w:t>
      </w:r>
      <w:r w:rsidR="007978B6" w:rsidRPr="006A2D07">
        <w:rPr>
          <w:b/>
          <w:color w:val="000000" w:themeColor="text1"/>
        </w:rPr>
        <w:t xml:space="preserve"> </w:t>
      </w:r>
      <w:r w:rsidRPr="006A2D07">
        <w:rPr>
          <w:b/>
          <w:color w:val="000000" w:themeColor="text1"/>
        </w:rPr>
        <w:t>Indian intervention EWAS (by p-value)</w:t>
      </w:r>
      <w:r w:rsidRPr="006A2D07">
        <w:rPr>
          <w:color w:val="000000" w:themeColor="text1"/>
        </w:rPr>
        <w:t xml:space="preserve">. </w:t>
      </w:r>
    </w:p>
    <w:tbl>
      <w:tblPr>
        <w:tblpPr w:leftFromText="180" w:rightFromText="180" w:vertAnchor="page" w:horzAnchor="margin" w:tblpY="2962"/>
        <w:tblW w:w="12449" w:type="dxa"/>
        <w:tblLook w:val="04A0" w:firstRow="1" w:lastRow="0" w:firstColumn="1" w:lastColumn="0" w:noHBand="0" w:noVBand="1"/>
      </w:tblPr>
      <w:tblGrid>
        <w:gridCol w:w="1205"/>
        <w:gridCol w:w="1527"/>
        <w:gridCol w:w="2220"/>
        <w:gridCol w:w="1002"/>
        <w:gridCol w:w="992"/>
        <w:gridCol w:w="1134"/>
        <w:gridCol w:w="1843"/>
        <w:gridCol w:w="1843"/>
        <w:gridCol w:w="683"/>
      </w:tblGrid>
      <w:tr w:rsidR="000B1F81" w14:paraId="5405584F" w14:textId="77777777" w:rsidTr="000B1F81">
        <w:trPr>
          <w:trHeight w:val="300"/>
        </w:trPr>
        <w:tc>
          <w:tcPr>
            <w:tcW w:w="1205" w:type="dxa"/>
            <w:tcBorders>
              <w:top w:val="nil"/>
              <w:left w:val="nil"/>
              <w:bottom w:val="nil"/>
              <w:right w:val="nil"/>
            </w:tcBorders>
            <w:shd w:val="clear" w:color="auto" w:fill="auto"/>
            <w:noWrap/>
            <w:vAlign w:val="bottom"/>
            <w:hideMark/>
          </w:tcPr>
          <w:p w14:paraId="0A36BF22" w14:textId="77777777" w:rsidR="000B1F81" w:rsidRDefault="000B1F81" w:rsidP="000B1F81">
            <w:pPr>
              <w:rPr>
                <w:sz w:val="20"/>
                <w:szCs w:val="20"/>
                <w:lang w:eastAsia="en-GB"/>
              </w:rPr>
            </w:pPr>
          </w:p>
        </w:tc>
        <w:tc>
          <w:tcPr>
            <w:tcW w:w="1527" w:type="dxa"/>
            <w:tcBorders>
              <w:top w:val="nil"/>
              <w:left w:val="nil"/>
              <w:bottom w:val="nil"/>
              <w:right w:val="nil"/>
            </w:tcBorders>
            <w:shd w:val="clear" w:color="auto" w:fill="auto"/>
            <w:noWrap/>
            <w:vAlign w:val="bottom"/>
            <w:hideMark/>
          </w:tcPr>
          <w:p w14:paraId="714F3977" w14:textId="77777777" w:rsidR="000B1F81" w:rsidRDefault="000B1F81" w:rsidP="000B1F81">
            <w:pPr>
              <w:rPr>
                <w:sz w:val="20"/>
                <w:szCs w:val="20"/>
              </w:rPr>
            </w:pPr>
          </w:p>
        </w:tc>
        <w:tc>
          <w:tcPr>
            <w:tcW w:w="2220" w:type="dxa"/>
            <w:tcBorders>
              <w:top w:val="nil"/>
              <w:left w:val="nil"/>
              <w:bottom w:val="nil"/>
              <w:right w:val="nil"/>
            </w:tcBorders>
            <w:shd w:val="clear" w:color="auto" w:fill="auto"/>
            <w:noWrap/>
            <w:vAlign w:val="bottom"/>
            <w:hideMark/>
          </w:tcPr>
          <w:p w14:paraId="075C7A54" w14:textId="77777777" w:rsidR="000B1F81" w:rsidRDefault="000B1F81" w:rsidP="000B1F81">
            <w:pPr>
              <w:rPr>
                <w:sz w:val="20"/>
                <w:szCs w:val="20"/>
              </w:rPr>
            </w:pPr>
          </w:p>
        </w:tc>
        <w:tc>
          <w:tcPr>
            <w:tcW w:w="1002" w:type="dxa"/>
            <w:tcBorders>
              <w:top w:val="nil"/>
              <w:left w:val="nil"/>
              <w:bottom w:val="nil"/>
              <w:right w:val="nil"/>
            </w:tcBorders>
            <w:shd w:val="clear" w:color="auto" w:fill="auto"/>
            <w:noWrap/>
            <w:vAlign w:val="bottom"/>
            <w:hideMark/>
          </w:tcPr>
          <w:p w14:paraId="01CD91CE" w14:textId="77777777" w:rsidR="000B1F81" w:rsidRDefault="000B1F81" w:rsidP="000B1F81">
            <w:pPr>
              <w:rPr>
                <w:sz w:val="20"/>
                <w:szCs w:val="20"/>
              </w:rPr>
            </w:pPr>
          </w:p>
        </w:tc>
        <w:tc>
          <w:tcPr>
            <w:tcW w:w="992" w:type="dxa"/>
            <w:tcBorders>
              <w:top w:val="nil"/>
              <w:left w:val="nil"/>
              <w:bottom w:val="nil"/>
              <w:right w:val="nil"/>
            </w:tcBorders>
            <w:shd w:val="clear" w:color="auto" w:fill="auto"/>
            <w:noWrap/>
            <w:vAlign w:val="bottom"/>
            <w:hideMark/>
          </w:tcPr>
          <w:p w14:paraId="465F4289" w14:textId="77777777" w:rsidR="000B1F81" w:rsidRDefault="000B1F81" w:rsidP="000B1F81">
            <w:pPr>
              <w:rPr>
                <w:sz w:val="20"/>
                <w:szCs w:val="20"/>
              </w:rPr>
            </w:pPr>
          </w:p>
        </w:tc>
        <w:tc>
          <w:tcPr>
            <w:tcW w:w="1134" w:type="dxa"/>
            <w:tcBorders>
              <w:top w:val="nil"/>
              <w:left w:val="nil"/>
              <w:bottom w:val="nil"/>
              <w:right w:val="nil"/>
            </w:tcBorders>
            <w:shd w:val="clear" w:color="auto" w:fill="auto"/>
            <w:noWrap/>
            <w:vAlign w:val="bottom"/>
            <w:hideMark/>
          </w:tcPr>
          <w:p w14:paraId="4F884C2D" w14:textId="77777777" w:rsidR="000B1F81" w:rsidRDefault="000B1F81" w:rsidP="000B1F81">
            <w:pPr>
              <w:rPr>
                <w:sz w:val="20"/>
                <w:szCs w:val="20"/>
              </w:rPr>
            </w:pPr>
          </w:p>
        </w:tc>
        <w:tc>
          <w:tcPr>
            <w:tcW w:w="3686" w:type="dxa"/>
            <w:gridSpan w:val="2"/>
            <w:tcBorders>
              <w:top w:val="nil"/>
              <w:left w:val="nil"/>
              <w:bottom w:val="single" w:sz="4" w:space="0" w:color="auto"/>
              <w:right w:val="nil"/>
            </w:tcBorders>
            <w:shd w:val="clear" w:color="000000" w:fill="FFFFFF"/>
            <w:vAlign w:val="center"/>
            <w:hideMark/>
          </w:tcPr>
          <w:p w14:paraId="3ADF32FD" w14:textId="77777777" w:rsidR="000B1F81" w:rsidRDefault="000B1F81" w:rsidP="000B1F81">
            <w:pPr>
              <w:jc w:val="center"/>
              <w:rPr>
                <w:b/>
                <w:bCs/>
                <w:color w:val="000000"/>
                <w:sz w:val="20"/>
                <w:szCs w:val="20"/>
              </w:rPr>
            </w:pPr>
            <w:r>
              <w:rPr>
                <w:b/>
                <w:bCs/>
                <w:color w:val="000000"/>
                <w:sz w:val="20"/>
                <w:szCs w:val="20"/>
              </w:rPr>
              <w:t>Beta variability – median (IQR)</w:t>
            </w:r>
          </w:p>
        </w:tc>
        <w:tc>
          <w:tcPr>
            <w:tcW w:w="683" w:type="dxa"/>
            <w:tcBorders>
              <w:top w:val="nil"/>
              <w:left w:val="nil"/>
              <w:bottom w:val="nil"/>
              <w:right w:val="nil"/>
            </w:tcBorders>
            <w:shd w:val="clear" w:color="auto" w:fill="auto"/>
            <w:noWrap/>
            <w:vAlign w:val="center"/>
            <w:hideMark/>
          </w:tcPr>
          <w:p w14:paraId="1FB3E92E" w14:textId="77777777" w:rsidR="000B1F81" w:rsidRDefault="000B1F81" w:rsidP="000B1F81">
            <w:pPr>
              <w:jc w:val="center"/>
              <w:rPr>
                <w:b/>
                <w:bCs/>
                <w:color w:val="000000"/>
                <w:sz w:val="20"/>
                <w:szCs w:val="20"/>
              </w:rPr>
            </w:pPr>
          </w:p>
        </w:tc>
      </w:tr>
      <w:tr w:rsidR="000B1F81" w14:paraId="30AA5431" w14:textId="77777777" w:rsidTr="000B1F81">
        <w:trPr>
          <w:trHeight w:val="300"/>
        </w:trPr>
        <w:tc>
          <w:tcPr>
            <w:tcW w:w="1205" w:type="dxa"/>
            <w:tcBorders>
              <w:top w:val="nil"/>
              <w:left w:val="nil"/>
              <w:bottom w:val="single" w:sz="4" w:space="0" w:color="auto"/>
              <w:right w:val="nil"/>
            </w:tcBorders>
            <w:shd w:val="clear" w:color="000000" w:fill="FFFFFF"/>
            <w:noWrap/>
            <w:vAlign w:val="center"/>
            <w:hideMark/>
          </w:tcPr>
          <w:p w14:paraId="6C19BD4A" w14:textId="77777777" w:rsidR="000B1F81" w:rsidRDefault="000B1F81" w:rsidP="000B1F81">
            <w:pPr>
              <w:jc w:val="center"/>
              <w:rPr>
                <w:b/>
                <w:bCs/>
                <w:color w:val="000000"/>
                <w:sz w:val="20"/>
                <w:szCs w:val="20"/>
              </w:rPr>
            </w:pPr>
            <w:r>
              <w:rPr>
                <w:b/>
                <w:bCs/>
                <w:color w:val="000000"/>
                <w:sz w:val="20"/>
                <w:szCs w:val="20"/>
              </w:rPr>
              <w:t>CpG</w:t>
            </w:r>
          </w:p>
        </w:tc>
        <w:tc>
          <w:tcPr>
            <w:tcW w:w="1527" w:type="dxa"/>
            <w:tcBorders>
              <w:top w:val="nil"/>
              <w:left w:val="nil"/>
              <w:bottom w:val="single" w:sz="4" w:space="0" w:color="auto"/>
              <w:right w:val="nil"/>
            </w:tcBorders>
            <w:shd w:val="clear" w:color="000000" w:fill="FFFFFF"/>
            <w:noWrap/>
            <w:vAlign w:val="center"/>
            <w:hideMark/>
          </w:tcPr>
          <w:p w14:paraId="327FC3FC" w14:textId="77777777" w:rsidR="000B1F81" w:rsidRDefault="000B1F81" w:rsidP="000B1F81">
            <w:pPr>
              <w:jc w:val="center"/>
              <w:rPr>
                <w:b/>
                <w:bCs/>
                <w:color w:val="000000"/>
                <w:sz w:val="20"/>
                <w:szCs w:val="20"/>
              </w:rPr>
            </w:pPr>
            <w:r>
              <w:rPr>
                <w:b/>
                <w:bCs/>
                <w:color w:val="000000"/>
                <w:sz w:val="20"/>
                <w:szCs w:val="20"/>
              </w:rPr>
              <w:t>Location</w:t>
            </w:r>
          </w:p>
        </w:tc>
        <w:tc>
          <w:tcPr>
            <w:tcW w:w="2220" w:type="dxa"/>
            <w:tcBorders>
              <w:top w:val="nil"/>
              <w:left w:val="nil"/>
              <w:bottom w:val="single" w:sz="4" w:space="0" w:color="auto"/>
              <w:right w:val="nil"/>
            </w:tcBorders>
            <w:shd w:val="clear" w:color="000000" w:fill="FFFFFF"/>
            <w:noWrap/>
            <w:vAlign w:val="center"/>
            <w:hideMark/>
          </w:tcPr>
          <w:p w14:paraId="6A8E5703" w14:textId="77777777" w:rsidR="000B1F81" w:rsidRDefault="000B1F81" w:rsidP="000B1F81">
            <w:pPr>
              <w:jc w:val="center"/>
              <w:rPr>
                <w:b/>
                <w:bCs/>
                <w:color w:val="000000"/>
                <w:sz w:val="20"/>
                <w:szCs w:val="20"/>
              </w:rPr>
            </w:pPr>
            <w:r>
              <w:rPr>
                <w:b/>
                <w:bCs/>
                <w:color w:val="000000"/>
                <w:sz w:val="20"/>
                <w:szCs w:val="20"/>
              </w:rPr>
              <w:t>Gene</w:t>
            </w:r>
          </w:p>
        </w:tc>
        <w:tc>
          <w:tcPr>
            <w:tcW w:w="1002" w:type="dxa"/>
            <w:tcBorders>
              <w:top w:val="nil"/>
              <w:left w:val="nil"/>
              <w:bottom w:val="single" w:sz="4" w:space="0" w:color="auto"/>
              <w:right w:val="nil"/>
            </w:tcBorders>
            <w:shd w:val="clear" w:color="000000" w:fill="FFFFFF"/>
            <w:noWrap/>
            <w:vAlign w:val="center"/>
            <w:hideMark/>
          </w:tcPr>
          <w:p w14:paraId="71ACFE54" w14:textId="77777777" w:rsidR="000B1F81" w:rsidRDefault="000B1F81" w:rsidP="000B1F81">
            <w:pPr>
              <w:jc w:val="center"/>
              <w:rPr>
                <w:b/>
                <w:bCs/>
                <w:color w:val="000000"/>
                <w:sz w:val="20"/>
                <w:szCs w:val="20"/>
              </w:rPr>
            </w:pPr>
            <w:r>
              <w:rPr>
                <w:b/>
                <w:bCs/>
                <w:color w:val="000000"/>
                <w:sz w:val="20"/>
                <w:szCs w:val="20"/>
              </w:rPr>
              <w:t>p value</w:t>
            </w:r>
          </w:p>
        </w:tc>
        <w:tc>
          <w:tcPr>
            <w:tcW w:w="992" w:type="dxa"/>
            <w:tcBorders>
              <w:top w:val="nil"/>
              <w:left w:val="nil"/>
              <w:bottom w:val="single" w:sz="4" w:space="0" w:color="auto"/>
              <w:right w:val="nil"/>
            </w:tcBorders>
            <w:shd w:val="clear" w:color="000000" w:fill="FFFFFF"/>
            <w:noWrap/>
            <w:vAlign w:val="center"/>
            <w:hideMark/>
          </w:tcPr>
          <w:p w14:paraId="14A5E078" w14:textId="77777777" w:rsidR="000B1F81" w:rsidRDefault="000B1F81" w:rsidP="000B1F81">
            <w:pPr>
              <w:jc w:val="center"/>
              <w:rPr>
                <w:b/>
                <w:bCs/>
                <w:color w:val="000000"/>
                <w:sz w:val="20"/>
                <w:szCs w:val="20"/>
              </w:rPr>
            </w:pPr>
            <w:r>
              <w:rPr>
                <w:b/>
                <w:bCs/>
                <w:color w:val="000000"/>
                <w:sz w:val="20"/>
                <w:szCs w:val="20"/>
              </w:rPr>
              <w:t>FDR</w:t>
            </w:r>
          </w:p>
        </w:tc>
        <w:tc>
          <w:tcPr>
            <w:tcW w:w="1134" w:type="dxa"/>
            <w:tcBorders>
              <w:top w:val="nil"/>
              <w:left w:val="nil"/>
              <w:bottom w:val="single" w:sz="4" w:space="0" w:color="auto"/>
              <w:right w:val="nil"/>
            </w:tcBorders>
            <w:shd w:val="clear" w:color="000000" w:fill="FFFFFF"/>
            <w:noWrap/>
            <w:vAlign w:val="center"/>
            <w:hideMark/>
          </w:tcPr>
          <w:p w14:paraId="3AA10A20" w14:textId="77777777" w:rsidR="000B1F81" w:rsidRDefault="000B1F81" w:rsidP="000B1F81">
            <w:pPr>
              <w:jc w:val="center"/>
              <w:rPr>
                <w:b/>
                <w:bCs/>
                <w:color w:val="000000"/>
                <w:sz w:val="20"/>
                <w:szCs w:val="20"/>
              </w:rPr>
            </w:pPr>
            <w:r>
              <w:rPr>
                <w:b/>
                <w:bCs/>
                <w:color w:val="000000"/>
                <w:sz w:val="20"/>
                <w:szCs w:val="20"/>
              </w:rPr>
              <w:t>Delta Beta</w:t>
            </w:r>
          </w:p>
        </w:tc>
        <w:tc>
          <w:tcPr>
            <w:tcW w:w="1843" w:type="dxa"/>
            <w:tcBorders>
              <w:top w:val="nil"/>
              <w:left w:val="nil"/>
              <w:bottom w:val="single" w:sz="4" w:space="0" w:color="auto"/>
              <w:right w:val="nil"/>
            </w:tcBorders>
            <w:shd w:val="clear" w:color="000000" w:fill="FFFFFF"/>
            <w:noWrap/>
            <w:vAlign w:val="center"/>
            <w:hideMark/>
          </w:tcPr>
          <w:p w14:paraId="4F0E3FBF" w14:textId="77777777" w:rsidR="000B1F81" w:rsidRDefault="000B1F81" w:rsidP="000B1F81">
            <w:pPr>
              <w:jc w:val="center"/>
              <w:rPr>
                <w:b/>
                <w:bCs/>
                <w:color w:val="000000"/>
                <w:sz w:val="20"/>
                <w:szCs w:val="20"/>
              </w:rPr>
            </w:pPr>
            <w:r>
              <w:rPr>
                <w:b/>
                <w:bCs/>
                <w:color w:val="000000"/>
                <w:sz w:val="20"/>
                <w:szCs w:val="20"/>
              </w:rPr>
              <w:t>Intervention</w:t>
            </w:r>
          </w:p>
        </w:tc>
        <w:tc>
          <w:tcPr>
            <w:tcW w:w="1843" w:type="dxa"/>
            <w:tcBorders>
              <w:top w:val="nil"/>
              <w:left w:val="nil"/>
              <w:bottom w:val="single" w:sz="4" w:space="0" w:color="auto"/>
              <w:right w:val="nil"/>
            </w:tcBorders>
            <w:shd w:val="clear" w:color="000000" w:fill="FFFFFF"/>
            <w:noWrap/>
            <w:vAlign w:val="center"/>
            <w:hideMark/>
          </w:tcPr>
          <w:p w14:paraId="70B05F38" w14:textId="77777777" w:rsidR="000B1F81" w:rsidRDefault="000B1F81" w:rsidP="000B1F81">
            <w:pPr>
              <w:jc w:val="center"/>
              <w:rPr>
                <w:b/>
                <w:bCs/>
                <w:color w:val="000000"/>
                <w:sz w:val="20"/>
                <w:szCs w:val="20"/>
              </w:rPr>
            </w:pPr>
            <w:r>
              <w:rPr>
                <w:b/>
                <w:bCs/>
                <w:color w:val="000000"/>
                <w:sz w:val="20"/>
                <w:szCs w:val="20"/>
              </w:rPr>
              <w:t>Controls</w:t>
            </w:r>
          </w:p>
        </w:tc>
        <w:tc>
          <w:tcPr>
            <w:tcW w:w="683" w:type="dxa"/>
            <w:tcBorders>
              <w:top w:val="nil"/>
              <w:left w:val="nil"/>
              <w:bottom w:val="single" w:sz="4" w:space="0" w:color="auto"/>
              <w:right w:val="nil"/>
            </w:tcBorders>
            <w:shd w:val="clear" w:color="000000" w:fill="FFFFFF"/>
            <w:noWrap/>
            <w:vAlign w:val="center"/>
            <w:hideMark/>
          </w:tcPr>
          <w:p w14:paraId="3941E992" w14:textId="77777777" w:rsidR="000B1F81" w:rsidRDefault="000B1F81" w:rsidP="000B1F81">
            <w:pPr>
              <w:jc w:val="center"/>
              <w:rPr>
                <w:b/>
                <w:bCs/>
                <w:color w:val="000000"/>
                <w:sz w:val="20"/>
                <w:szCs w:val="20"/>
              </w:rPr>
            </w:pPr>
            <w:r>
              <w:rPr>
                <w:b/>
                <w:bCs/>
                <w:color w:val="000000"/>
                <w:sz w:val="20"/>
                <w:szCs w:val="20"/>
              </w:rPr>
              <w:t>Rank</w:t>
            </w:r>
          </w:p>
        </w:tc>
      </w:tr>
      <w:tr w:rsidR="000B1F81" w14:paraId="2381A0F6" w14:textId="77777777" w:rsidTr="000B1F81">
        <w:trPr>
          <w:trHeight w:val="300"/>
        </w:trPr>
        <w:tc>
          <w:tcPr>
            <w:tcW w:w="1205" w:type="dxa"/>
            <w:tcBorders>
              <w:top w:val="single" w:sz="4" w:space="0" w:color="auto"/>
              <w:left w:val="nil"/>
              <w:bottom w:val="dashSmallGap" w:sz="4" w:space="0" w:color="auto"/>
              <w:right w:val="nil"/>
            </w:tcBorders>
            <w:shd w:val="clear" w:color="000000" w:fill="FFFFFF"/>
            <w:noWrap/>
            <w:vAlign w:val="center"/>
            <w:hideMark/>
          </w:tcPr>
          <w:p w14:paraId="116CA097" w14:textId="77777777" w:rsidR="000B1F81" w:rsidRDefault="000B1F81" w:rsidP="000B1F81">
            <w:pPr>
              <w:jc w:val="center"/>
              <w:rPr>
                <w:color w:val="000000"/>
                <w:sz w:val="20"/>
                <w:szCs w:val="20"/>
              </w:rPr>
            </w:pPr>
            <w:r>
              <w:rPr>
                <w:color w:val="000000"/>
                <w:sz w:val="20"/>
                <w:szCs w:val="20"/>
              </w:rPr>
              <w:t>cg24940138</w:t>
            </w:r>
          </w:p>
        </w:tc>
        <w:tc>
          <w:tcPr>
            <w:tcW w:w="1527" w:type="dxa"/>
            <w:tcBorders>
              <w:top w:val="single" w:sz="4" w:space="0" w:color="auto"/>
              <w:left w:val="nil"/>
              <w:bottom w:val="dashSmallGap" w:sz="4" w:space="0" w:color="auto"/>
              <w:right w:val="nil"/>
            </w:tcBorders>
            <w:shd w:val="clear" w:color="000000" w:fill="FFFFFF"/>
            <w:noWrap/>
            <w:vAlign w:val="center"/>
            <w:hideMark/>
          </w:tcPr>
          <w:p w14:paraId="0F596A98" w14:textId="77777777" w:rsidR="000B1F81" w:rsidRDefault="000B1F81" w:rsidP="000B1F81">
            <w:pPr>
              <w:rPr>
                <w:color w:val="000000"/>
                <w:sz w:val="20"/>
                <w:szCs w:val="20"/>
              </w:rPr>
            </w:pPr>
            <w:r>
              <w:rPr>
                <w:color w:val="000000"/>
                <w:sz w:val="20"/>
                <w:szCs w:val="20"/>
              </w:rPr>
              <w:t>chr17:41363741</w:t>
            </w:r>
          </w:p>
        </w:tc>
        <w:tc>
          <w:tcPr>
            <w:tcW w:w="2220" w:type="dxa"/>
            <w:tcBorders>
              <w:top w:val="single" w:sz="4" w:space="0" w:color="auto"/>
              <w:left w:val="nil"/>
              <w:bottom w:val="dashSmallGap" w:sz="4" w:space="0" w:color="auto"/>
              <w:right w:val="nil"/>
            </w:tcBorders>
            <w:shd w:val="clear" w:color="000000" w:fill="FFFFFF"/>
            <w:noWrap/>
            <w:vAlign w:val="center"/>
            <w:hideMark/>
          </w:tcPr>
          <w:p w14:paraId="745B035C" w14:textId="77777777" w:rsidR="000B1F81" w:rsidRDefault="000B1F81" w:rsidP="000B1F81">
            <w:pPr>
              <w:rPr>
                <w:i/>
                <w:iCs/>
                <w:color w:val="000000"/>
                <w:sz w:val="20"/>
                <w:szCs w:val="20"/>
              </w:rPr>
            </w:pPr>
            <w:r>
              <w:rPr>
                <w:i/>
                <w:iCs/>
                <w:color w:val="000000"/>
                <w:sz w:val="20"/>
                <w:szCs w:val="20"/>
              </w:rPr>
              <w:t>TMEM106A</w:t>
            </w:r>
          </w:p>
        </w:tc>
        <w:tc>
          <w:tcPr>
            <w:tcW w:w="1002" w:type="dxa"/>
            <w:tcBorders>
              <w:top w:val="single" w:sz="4" w:space="0" w:color="auto"/>
              <w:left w:val="nil"/>
              <w:bottom w:val="dashSmallGap" w:sz="4" w:space="0" w:color="auto"/>
              <w:right w:val="nil"/>
            </w:tcBorders>
            <w:shd w:val="clear" w:color="000000" w:fill="FFFFFF"/>
            <w:noWrap/>
            <w:vAlign w:val="center"/>
            <w:hideMark/>
          </w:tcPr>
          <w:p w14:paraId="629CDED3" w14:textId="77777777" w:rsidR="000B1F81" w:rsidRDefault="000B1F81" w:rsidP="000B1F81">
            <w:pPr>
              <w:jc w:val="center"/>
              <w:rPr>
                <w:color w:val="000000"/>
                <w:sz w:val="20"/>
                <w:szCs w:val="20"/>
              </w:rPr>
            </w:pPr>
            <w:r>
              <w:rPr>
                <w:color w:val="000000"/>
                <w:sz w:val="20"/>
                <w:szCs w:val="20"/>
              </w:rPr>
              <w:t>1.64E-08</w:t>
            </w:r>
          </w:p>
        </w:tc>
        <w:tc>
          <w:tcPr>
            <w:tcW w:w="992" w:type="dxa"/>
            <w:tcBorders>
              <w:top w:val="single" w:sz="4" w:space="0" w:color="auto"/>
              <w:left w:val="nil"/>
              <w:bottom w:val="dashSmallGap" w:sz="4" w:space="0" w:color="auto"/>
              <w:right w:val="nil"/>
            </w:tcBorders>
            <w:shd w:val="clear" w:color="000000" w:fill="FFFFFF"/>
            <w:noWrap/>
            <w:vAlign w:val="center"/>
            <w:hideMark/>
          </w:tcPr>
          <w:p w14:paraId="371D2EFA" w14:textId="77777777" w:rsidR="000B1F81" w:rsidRDefault="000B1F81" w:rsidP="000B1F81">
            <w:pPr>
              <w:jc w:val="center"/>
              <w:rPr>
                <w:color w:val="000000"/>
                <w:sz w:val="20"/>
                <w:szCs w:val="20"/>
              </w:rPr>
            </w:pPr>
            <w:r>
              <w:rPr>
                <w:color w:val="000000"/>
                <w:sz w:val="20"/>
                <w:szCs w:val="20"/>
              </w:rPr>
              <w:t>1.32E-02</w:t>
            </w:r>
          </w:p>
        </w:tc>
        <w:tc>
          <w:tcPr>
            <w:tcW w:w="1134" w:type="dxa"/>
            <w:tcBorders>
              <w:top w:val="single" w:sz="4" w:space="0" w:color="auto"/>
              <w:left w:val="nil"/>
              <w:bottom w:val="dashSmallGap" w:sz="4" w:space="0" w:color="auto"/>
              <w:right w:val="nil"/>
            </w:tcBorders>
            <w:shd w:val="clear" w:color="000000" w:fill="FFFFFF"/>
            <w:noWrap/>
            <w:vAlign w:val="center"/>
            <w:hideMark/>
          </w:tcPr>
          <w:p w14:paraId="759FFCFE" w14:textId="77777777" w:rsidR="000B1F81" w:rsidRDefault="000B1F81" w:rsidP="000B1F81">
            <w:pPr>
              <w:jc w:val="center"/>
              <w:rPr>
                <w:color w:val="000000"/>
                <w:sz w:val="20"/>
                <w:szCs w:val="20"/>
              </w:rPr>
            </w:pPr>
            <w:r>
              <w:rPr>
                <w:color w:val="000000"/>
                <w:sz w:val="20"/>
                <w:szCs w:val="20"/>
              </w:rPr>
              <w:t>-0.0012</w:t>
            </w:r>
          </w:p>
        </w:tc>
        <w:tc>
          <w:tcPr>
            <w:tcW w:w="1843" w:type="dxa"/>
            <w:tcBorders>
              <w:top w:val="single" w:sz="4" w:space="0" w:color="auto"/>
              <w:left w:val="nil"/>
              <w:bottom w:val="dashSmallGap" w:sz="4" w:space="0" w:color="auto"/>
              <w:right w:val="nil"/>
            </w:tcBorders>
            <w:shd w:val="clear" w:color="000000" w:fill="FFFFFF"/>
            <w:noWrap/>
            <w:vAlign w:val="center"/>
            <w:hideMark/>
          </w:tcPr>
          <w:p w14:paraId="15B983C1" w14:textId="77777777" w:rsidR="000B1F81" w:rsidRDefault="000B1F81" w:rsidP="000B1F81">
            <w:pPr>
              <w:jc w:val="center"/>
              <w:rPr>
                <w:color w:val="000000"/>
                <w:sz w:val="20"/>
                <w:szCs w:val="20"/>
              </w:rPr>
            </w:pPr>
            <w:r>
              <w:rPr>
                <w:color w:val="000000"/>
                <w:sz w:val="20"/>
                <w:szCs w:val="20"/>
              </w:rPr>
              <w:t>0.028 (0.026,0.030)</w:t>
            </w:r>
          </w:p>
        </w:tc>
        <w:tc>
          <w:tcPr>
            <w:tcW w:w="1843" w:type="dxa"/>
            <w:tcBorders>
              <w:top w:val="single" w:sz="4" w:space="0" w:color="auto"/>
              <w:left w:val="nil"/>
              <w:bottom w:val="dashSmallGap" w:sz="4" w:space="0" w:color="auto"/>
              <w:right w:val="nil"/>
            </w:tcBorders>
            <w:shd w:val="clear" w:color="000000" w:fill="FFFFFF"/>
            <w:noWrap/>
            <w:vAlign w:val="center"/>
            <w:hideMark/>
          </w:tcPr>
          <w:p w14:paraId="090030C0" w14:textId="77777777" w:rsidR="000B1F81" w:rsidRDefault="000B1F81" w:rsidP="000B1F81">
            <w:pPr>
              <w:jc w:val="center"/>
              <w:rPr>
                <w:color w:val="000000"/>
                <w:sz w:val="20"/>
                <w:szCs w:val="20"/>
              </w:rPr>
            </w:pPr>
            <w:r>
              <w:rPr>
                <w:color w:val="000000"/>
                <w:sz w:val="20"/>
                <w:szCs w:val="20"/>
              </w:rPr>
              <w:t>0.029 (0.027,0.031)</w:t>
            </w:r>
          </w:p>
        </w:tc>
        <w:tc>
          <w:tcPr>
            <w:tcW w:w="683" w:type="dxa"/>
            <w:tcBorders>
              <w:top w:val="single" w:sz="4" w:space="0" w:color="auto"/>
              <w:left w:val="nil"/>
              <w:bottom w:val="dashSmallGap" w:sz="4" w:space="0" w:color="auto"/>
              <w:right w:val="nil"/>
            </w:tcBorders>
            <w:shd w:val="clear" w:color="000000" w:fill="FFFFFF"/>
            <w:noWrap/>
            <w:vAlign w:val="center"/>
            <w:hideMark/>
          </w:tcPr>
          <w:p w14:paraId="675ADA9D" w14:textId="77777777" w:rsidR="000B1F81" w:rsidRDefault="000B1F81" w:rsidP="000B1F81">
            <w:pPr>
              <w:jc w:val="center"/>
              <w:rPr>
                <w:color w:val="000000"/>
                <w:sz w:val="20"/>
                <w:szCs w:val="20"/>
              </w:rPr>
            </w:pPr>
            <w:r>
              <w:rPr>
                <w:color w:val="000000"/>
                <w:sz w:val="20"/>
                <w:szCs w:val="20"/>
              </w:rPr>
              <w:t>1</w:t>
            </w:r>
          </w:p>
        </w:tc>
      </w:tr>
      <w:tr w:rsidR="000B1F81" w14:paraId="09E885DF" w14:textId="77777777" w:rsidTr="000B1F81">
        <w:trPr>
          <w:trHeight w:val="300"/>
        </w:trPr>
        <w:tc>
          <w:tcPr>
            <w:tcW w:w="1205" w:type="dxa"/>
            <w:tcBorders>
              <w:top w:val="dashSmallGap" w:sz="4" w:space="0" w:color="auto"/>
              <w:left w:val="nil"/>
              <w:bottom w:val="nil"/>
              <w:right w:val="nil"/>
            </w:tcBorders>
            <w:shd w:val="clear" w:color="000000" w:fill="FFFFFF"/>
            <w:noWrap/>
            <w:vAlign w:val="center"/>
            <w:hideMark/>
          </w:tcPr>
          <w:p w14:paraId="3F08D4BC" w14:textId="77777777" w:rsidR="000B1F81" w:rsidRDefault="000B1F81" w:rsidP="000B1F81">
            <w:pPr>
              <w:jc w:val="center"/>
              <w:rPr>
                <w:color w:val="000000"/>
                <w:sz w:val="20"/>
                <w:szCs w:val="20"/>
              </w:rPr>
            </w:pPr>
            <w:r>
              <w:rPr>
                <w:color w:val="000000"/>
                <w:sz w:val="20"/>
                <w:szCs w:val="20"/>
              </w:rPr>
              <w:t>cg19653117</w:t>
            </w:r>
          </w:p>
        </w:tc>
        <w:tc>
          <w:tcPr>
            <w:tcW w:w="1527" w:type="dxa"/>
            <w:tcBorders>
              <w:top w:val="dashSmallGap" w:sz="4" w:space="0" w:color="auto"/>
              <w:left w:val="nil"/>
              <w:bottom w:val="nil"/>
              <w:right w:val="nil"/>
            </w:tcBorders>
            <w:shd w:val="clear" w:color="000000" w:fill="FFFFFF"/>
            <w:noWrap/>
            <w:vAlign w:val="center"/>
            <w:hideMark/>
          </w:tcPr>
          <w:p w14:paraId="50D60231" w14:textId="77777777" w:rsidR="000B1F81" w:rsidRDefault="000B1F81" w:rsidP="000B1F81">
            <w:pPr>
              <w:rPr>
                <w:color w:val="000000"/>
                <w:sz w:val="20"/>
                <w:szCs w:val="20"/>
              </w:rPr>
            </w:pPr>
            <w:r>
              <w:rPr>
                <w:color w:val="000000"/>
                <w:sz w:val="20"/>
                <w:szCs w:val="20"/>
              </w:rPr>
              <w:t>chr2:32502924</w:t>
            </w:r>
          </w:p>
        </w:tc>
        <w:tc>
          <w:tcPr>
            <w:tcW w:w="2220" w:type="dxa"/>
            <w:tcBorders>
              <w:top w:val="dashSmallGap" w:sz="4" w:space="0" w:color="auto"/>
              <w:left w:val="nil"/>
              <w:bottom w:val="nil"/>
              <w:right w:val="nil"/>
            </w:tcBorders>
            <w:shd w:val="clear" w:color="000000" w:fill="FFFFFF"/>
            <w:noWrap/>
            <w:vAlign w:val="center"/>
            <w:hideMark/>
          </w:tcPr>
          <w:p w14:paraId="3D1F0019" w14:textId="77777777" w:rsidR="000B1F81" w:rsidRDefault="000B1F81" w:rsidP="000B1F81">
            <w:pPr>
              <w:rPr>
                <w:i/>
                <w:iCs/>
                <w:color w:val="000000"/>
                <w:sz w:val="20"/>
                <w:szCs w:val="20"/>
              </w:rPr>
            </w:pPr>
            <w:r>
              <w:rPr>
                <w:i/>
                <w:iCs/>
                <w:color w:val="000000"/>
                <w:sz w:val="20"/>
                <w:szCs w:val="20"/>
              </w:rPr>
              <w:t>YIPF4</w:t>
            </w:r>
          </w:p>
        </w:tc>
        <w:tc>
          <w:tcPr>
            <w:tcW w:w="1002" w:type="dxa"/>
            <w:tcBorders>
              <w:top w:val="dashSmallGap" w:sz="4" w:space="0" w:color="auto"/>
              <w:left w:val="nil"/>
              <w:bottom w:val="nil"/>
              <w:right w:val="nil"/>
            </w:tcBorders>
            <w:shd w:val="clear" w:color="000000" w:fill="FFFFFF"/>
            <w:noWrap/>
            <w:vAlign w:val="center"/>
            <w:hideMark/>
          </w:tcPr>
          <w:p w14:paraId="695380F1" w14:textId="77777777" w:rsidR="000B1F81" w:rsidRDefault="000B1F81" w:rsidP="000B1F81">
            <w:pPr>
              <w:jc w:val="center"/>
              <w:rPr>
                <w:color w:val="000000"/>
                <w:sz w:val="20"/>
                <w:szCs w:val="20"/>
              </w:rPr>
            </w:pPr>
            <w:r>
              <w:rPr>
                <w:color w:val="000000"/>
                <w:sz w:val="20"/>
                <w:szCs w:val="20"/>
              </w:rPr>
              <w:t>5.64E-07</w:t>
            </w:r>
          </w:p>
        </w:tc>
        <w:tc>
          <w:tcPr>
            <w:tcW w:w="992" w:type="dxa"/>
            <w:tcBorders>
              <w:top w:val="dashSmallGap" w:sz="4" w:space="0" w:color="auto"/>
              <w:left w:val="nil"/>
              <w:bottom w:val="nil"/>
              <w:right w:val="nil"/>
            </w:tcBorders>
            <w:shd w:val="clear" w:color="000000" w:fill="FFFFFF"/>
            <w:noWrap/>
            <w:vAlign w:val="center"/>
            <w:hideMark/>
          </w:tcPr>
          <w:p w14:paraId="438690CA" w14:textId="77777777" w:rsidR="000B1F81" w:rsidRDefault="000B1F81" w:rsidP="000B1F81">
            <w:pPr>
              <w:jc w:val="center"/>
              <w:rPr>
                <w:color w:val="000000"/>
                <w:sz w:val="20"/>
                <w:szCs w:val="20"/>
              </w:rPr>
            </w:pPr>
            <w:r>
              <w:rPr>
                <w:color w:val="000000"/>
                <w:sz w:val="20"/>
                <w:szCs w:val="20"/>
              </w:rPr>
              <w:t>2.26E-01</w:t>
            </w:r>
          </w:p>
        </w:tc>
        <w:tc>
          <w:tcPr>
            <w:tcW w:w="1134" w:type="dxa"/>
            <w:tcBorders>
              <w:top w:val="dashSmallGap" w:sz="4" w:space="0" w:color="auto"/>
              <w:left w:val="nil"/>
              <w:bottom w:val="nil"/>
              <w:right w:val="nil"/>
            </w:tcBorders>
            <w:shd w:val="clear" w:color="000000" w:fill="FFFFFF"/>
            <w:noWrap/>
            <w:vAlign w:val="center"/>
            <w:hideMark/>
          </w:tcPr>
          <w:p w14:paraId="1C6D7D29" w14:textId="77777777" w:rsidR="000B1F81" w:rsidRDefault="000B1F81" w:rsidP="000B1F81">
            <w:pPr>
              <w:jc w:val="center"/>
              <w:rPr>
                <w:color w:val="000000"/>
                <w:sz w:val="20"/>
                <w:szCs w:val="20"/>
              </w:rPr>
            </w:pPr>
            <w:r>
              <w:rPr>
                <w:color w:val="000000"/>
                <w:sz w:val="20"/>
                <w:szCs w:val="20"/>
              </w:rPr>
              <w:t>0.0038</w:t>
            </w:r>
          </w:p>
        </w:tc>
        <w:tc>
          <w:tcPr>
            <w:tcW w:w="1843" w:type="dxa"/>
            <w:tcBorders>
              <w:top w:val="dashSmallGap" w:sz="4" w:space="0" w:color="auto"/>
              <w:left w:val="nil"/>
              <w:bottom w:val="nil"/>
              <w:right w:val="nil"/>
            </w:tcBorders>
            <w:shd w:val="clear" w:color="000000" w:fill="FFFFFF"/>
            <w:noWrap/>
            <w:vAlign w:val="center"/>
            <w:hideMark/>
          </w:tcPr>
          <w:p w14:paraId="2F675753" w14:textId="77777777" w:rsidR="000B1F81" w:rsidRDefault="000B1F81" w:rsidP="000B1F81">
            <w:pPr>
              <w:jc w:val="center"/>
              <w:rPr>
                <w:color w:val="000000"/>
                <w:sz w:val="20"/>
                <w:szCs w:val="20"/>
              </w:rPr>
            </w:pPr>
            <w:r>
              <w:rPr>
                <w:color w:val="000000"/>
                <w:sz w:val="20"/>
                <w:szCs w:val="20"/>
              </w:rPr>
              <w:t>0.056 (0.047,0.070)</w:t>
            </w:r>
          </w:p>
        </w:tc>
        <w:tc>
          <w:tcPr>
            <w:tcW w:w="1843" w:type="dxa"/>
            <w:tcBorders>
              <w:top w:val="dashSmallGap" w:sz="4" w:space="0" w:color="auto"/>
              <w:left w:val="nil"/>
              <w:bottom w:val="nil"/>
              <w:right w:val="nil"/>
            </w:tcBorders>
            <w:shd w:val="clear" w:color="000000" w:fill="FFFFFF"/>
            <w:noWrap/>
            <w:vAlign w:val="center"/>
            <w:hideMark/>
          </w:tcPr>
          <w:p w14:paraId="2A8DE54B" w14:textId="77777777" w:rsidR="000B1F81" w:rsidRDefault="000B1F81" w:rsidP="000B1F81">
            <w:pPr>
              <w:jc w:val="center"/>
              <w:rPr>
                <w:color w:val="000000"/>
                <w:sz w:val="20"/>
                <w:szCs w:val="20"/>
              </w:rPr>
            </w:pPr>
            <w:r>
              <w:rPr>
                <w:color w:val="000000"/>
                <w:sz w:val="20"/>
                <w:szCs w:val="20"/>
              </w:rPr>
              <w:t>0.054 (0.046,0.066)</w:t>
            </w:r>
          </w:p>
        </w:tc>
        <w:tc>
          <w:tcPr>
            <w:tcW w:w="683" w:type="dxa"/>
            <w:tcBorders>
              <w:top w:val="dashSmallGap" w:sz="4" w:space="0" w:color="auto"/>
              <w:left w:val="nil"/>
              <w:bottom w:val="nil"/>
              <w:right w:val="nil"/>
            </w:tcBorders>
            <w:shd w:val="clear" w:color="000000" w:fill="FFFFFF"/>
            <w:noWrap/>
            <w:vAlign w:val="center"/>
            <w:hideMark/>
          </w:tcPr>
          <w:p w14:paraId="20A2356E" w14:textId="77777777" w:rsidR="000B1F81" w:rsidRDefault="000B1F81" w:rsidP="000B1F81">
            <w:pPr>
              <w:jc w:val="center"/>
              <w:rPr>
                <w:color w:val="000000"/>
                <w:sz w:val="20"/>
                <w:szCs w:val="20"/>
              </w:rPr>
            </w:pPr>
            <w:r>
              <w:rPr>
                <w:color w:val="000000"/>
                <w:sz w:val="20"/>
                <w:szCs w:val="20"/>
              </w:rPr>
              <w:t>2</w:t>
            </w:r>
          </w:p>
        </w:tc>
      </w:tr>
      <w:tr w:rsidR="000B1F81" w14:paraId="2706F90B" w14:textId="77777777" w:rsidTr="000B1F81">
        <w:trPr>
          <w:trHeight w:val="300"/>
        </w:trPr>
        <w:tc>
          <w:tcPr>
            <w:tcW w:w="1205" w:type="dxa"/>
            <w:tcBorders>
              <w:top w:val="nil"/>
              <w:left w:val="nil"/>
              <w:bottom w:val="nil"/>
              <w:right w:val="nil"/>
            </w:tcBorders>
            <w:shd w:val="clear" w:color="000000" w:fill="FFFFFF"/>
            <w:noWrap/>
            <w:vAlign w:val="center"/>
            <w:hideMark/>
          </w:tcPr>
          <w:p w14:paraId="3864655F" w14:textId="77777777" w:rsidR="000B1F81" w:rsidRDefault="000B1F81" w:rsidP="000B1F81">
            <w:pPr>
              <w:jc w:val="center"/>
              <w:rPr>
                <w:color w:val="000000"/>
                <w:sz w:val="20"/>
                <w:szCs w:val="20"/>
              </w:rPr>
            </w:pPr>
            <w:r>
              <w:rPr>
                <w:color w:val="000000"/>
                <w:sz w:val="20"/>
                <w:szCs w:val="20"/>
              </w:rPr>
              <w:t>cg03678138</w:t>
            </w:r>
          </w:p>
        </w:tc>
        <w:tc>
          <w:tcPr>
            <w:tcW w:w="1527" w:type="dxa"/>
            <w:tcBorders>
              <w:top w:val="nil"/>
              <w:left w:val="nil"/>
              <w:bottom w:val="nil"/>
              <w:right w:val="nil"/>
            </w:tcBorders>
            <w:shd w:val="clear" w:color="000000" w:fill="FFFFFF"/>
            <w:noWrap/>
            <w:vAlign w:val="center"/>
            <w:hideMark/>
          </w:tcPr>
          <w:p w14:paraId="7E91D18A" w14:textId="77777777" w:rsidR="000B1F81" w:rsidRDefault="000B1F81" w:rsidP="000B1F81">
            <w:pPr>
              <w:rPr>
                <w:color w:val="000000"/>
                <w:sz w:val="20"/>
                <w:szCs w:val="20"/>
              </w:rPr>
            </w:pPr>
            <w:r>
              <w:rPr>
                <w:color w:val="000000"/>
                <w:sz w:val="20"/>
                <w:szCs w:val="20"/>
              </w:rPr>
              <w:t>chr15:43029643</w:t>
            </w:r>
          </w:p>
        </w:tc>
        <w:tc>
          <w:tcPr>
            <w:tcW w:w="2220" w:type="dxa"/>
            <w:tcBorders>
              <w:top w:val="nil"/>
              <w:left w:val="nil"/>
              <w:bottom w:val="nil"/>
              <w:right w:val="nil"/>
            </w:tcBorders>
            <w:shd w:val="clear" w:color="000000" w:fill="FFFFFF"/>
            <w:noWrap/>
            <w:vAlign w:val="center"/>
            <w:hideMark/>
          </w:tcPr>
          <w:p w14:paraId="3B2087C8" w14:textId="77777777" w:rsidR="000B1F81" w:rsidRDefault="000B1F81" w:rsidP="000B1F81">
            <w:pPr>
              <w:rPr>
                <w:i/>
                <w:iCs/>
                <w:color w:val="000000"/>
                <w:sz w:val="20"/>
                <w:szCs w:val="20"/>
              </w:rPr>
            </w:pPr>
            <w:r>
              <w:rPr>
                <w:i/>
                <w:iCs/>
                <w:color w:val="000000"/>
                <w:sz w:val="20"/>
                <w:szCs w:val="20"/>
              </w:rPr>
              <w:t>CDAN1</w:t>
            </w:r>
          </w:p>
        </w:tc>
        <w:tc>
          <w:tcPr>
            <w:tcW w:w="1002" w:type="dxa"/>
            <w:tcBorders>
              <w:top w:val="nil"/>
              <w:left w:val="nil"/>
              <w:bottom w:val="nil"/>
              <w:right w:val="nil"/>
            </w:tcBorders>
            <w:shd w:val="clear" w:color="000000" w:fill="FFFFFF"/>
            <w:noWrap/>
            <w:vAlign w:val="center"/>
            <w:hideMark/>
          </w:tcPr>
          <w:p w14:paraId="6A05C5D1" w14:textId="77777777" w:rsidR="000B1F81" w:rsidRDefault="000B1F81" w:rsidP="000B1F81">
            <w:pPr>
              <w:jc w:val="center"/>
              <w:rPr>
                <w:color w:val="000000"/>
                <w:sz w:val="20"/>
                <w:szCs w:val="20"/>
              </w:rPr>
            </w:pPr>
            <w:r>
              <w:rPr>
                <w:color w:val="000000"/>
                <w:sz w:val="20"/>
                <w:szCs w:val="20"/>
              </w:rPr>
              <w:t>1.48E-06</w:t>
            </w:r>
          </w:p>
        </w:tc>
        <w:tc>
          <w:tcPr>
            <w:tcW w:w="992" w:type="dxa"/>
            <w:tcBorders>
              <w:top w:val="nil"/>
              <w:left w:val="nil"/>
              <w:bottom w:val="nil"/>
              <w:right w:val="nil"/>
            </w:tcBorders>
            <w:shd w:val="clear" w:color="000000" w:fill="FFFFFF"/>
            <w:noWrap/>
            <w:vAlign w:val="center"/>
            <w:hideMark/>
          </w:tcPr>
          <w:p w14:paraId="7A82CBAC" w14:textId="77777777" w:rsidR="000B1F81" w:rsidRDefault="000B1F81" w:rsidP="000B1F81">
            <w:pPr>
              <w:jc w:val="center"/>
              <w:rPr>
                <w:color w:val="000000"/>
                <w:sz w:val="20"/>
                <w:szCs w:val="20"/>
              </w:rPr>
            </w:pPr>
            <w:r>
              <w:rPr>
                <w:color w:val="000000"/>
                <w:sz w:val="20"/>
                <w:szCs w:val="20"/>
              </w:rPr>
              <w:t>2.56E-01</w:t>
            </w:r>
          </w:p>
        </w:tc>
        <w:tc>
          <w:tcPr>
            <w:tcW w:w="1134" w:type="dxa"/>
            <w:tcBorders>
              <w:top w:val="nil"/>
              <w:left w:val="nil"/>
              <w:bottom w:val="nil"/>
              <w:right w:val="nil"/>
            </w:tcBorders>
            <w:shd w:val="clear" w:color="000000" w:fill="FFFFFF"/>
            <w:noWrap/>
            <w:vAlign w:val="center"/>
            <w:hideMark/>
          </w:tcPr>
          <w:p w14:paraId="06CC8325" w14:textId="77777777" w:rsidR="000B1F81" w:rsidRDefault="000B1F81" w:rsidP="000B1F81">
            <w:pPr>
              <w:jc w:val="center"/>
              <w:rPr>
                <w:color w:val="000000"/>
                <w:sz w:val="20"/>
                <w:szCs w:val="20"/>
              </w:rPr>
            </w:pPr>
            <w:r>
              <w:rPr>
                <w:color w:val="000000"/>
                <w:sz w:val="20"/>
                <w:szCs w:val="20"/>
              </w:rPr>
              <w:t>0.0035</w:t>
            </w:r>
          </w:p>
        </w:tc>
        <w:tc>
          <w:tcPr>
            <w:tcW w:w="1843" w:type="dxa"/>
            <w:tcBorders>
              <w:top w:val="nil"/>
              <w:left w:val="nil"/>
              <w:bottom w:val="nil"/>
              <w:right w:val="nil"/>
            </w:tcBorders>
            <w:shd w:val="clear" w:color="000000" w:fill="FFFFFF"/>
            <w:noWrap/>
            <w:vAlign w:val="center"/>
            <w:hideMark/>
          </w:tcPr>
          <w:p w14:paraId="6ECFC714" w14:textId="77777777" w:rsidR="000B1F81" w:rsidRDefault="000B1F81" w:rsidP="000B1F81">
            <w:pPr>
              <w:jc w:val="center"/>
              <w:rPr>
                <w:color w:val="000000"/>
                <w:sz w:val="20"/>
                <w:szCs w:val="20"/>
              </w:rPr>
            </w:pPr>
            <w:r>
              <w:rPr>
                <w:color w:val="000000"/>
                <w:sz w:val="20"/>
                <w:szCs w:val="20"/>
              </w:rPr>
              <w:t>0.077 (0.068,0.086)</w:t>
            </w:r>
          </w:p>
        </w:tc>
        <w:tc>
          <w:tcPr>
            <w:tcW w:w="1843" w:type="dxa"/>
            <w:tcBorders>
              <w:top w:val="nil"/>
              <w:left w:val="nil"/>
              <w:bottom w:val="nil"/>
              <w:right w:val="nil"/>
            </w:tcBorders>
            <w:shd w:val="clear" w:color="000000" w:fill="FFFFFF"/>
            <w:noWrap/>
            <w:vAlign w:val="center"/>
            <w:hideMark/>
          </w:tcPr>
          <w:p w14:paraId="341543A7" w14:textId="77777777" w:rsidR="000B1F81" w:rsidRDefault="000B1F81" w:rsidP="000B1F81">
            <w:pPr>
              <w:jc w:val="center"/>
              <w:rPr>
                <w:color w:val="000000"/>
                <w:sz w:val="20"/>
                <w:szCs w:val="20"/>
              </w:rPr>
            </w:pPr>
            <w:r>
              <w:rPr>
                <w:color w:val="000000"/>
                <w:sz w:val="20"/>
                <w:szCs w:val="20"/>
              </w:rPr>
              <w:t>0.074 (0.065,0.083)</w:t>
            </w:r>
          </w:p>
        </w:tc>
        <w:tc>
          <w:tcPr>
            <w:tcW w:w="683" w:type="dxa"/>
            <w:tcBorders>
              <w:top w:val="nil"/>
              <w:left w:val="nil"/>
              <w:bottom w:val="nil"/>
              <w:right w:val="nil"/>
            </w:tcBorders>
            <w:shd w:val="clear" w:color="000000" w:fill="FFFFFF"/>
            <w:noWrap/>
            <w:vAlign w:val="center"/>
            <w:hideMark/>
          </w:tcPr>
          <w:p w14:paraId="2ED11B09" w14:textId="77777777" w:rsidR="000B1F81" w:rsidRDefault="000B1F81" w:rsidP="000B1F81">
            <w:pPr>
              <w:jc w:val="center"/>
              <w:rPr>
                <w:color w:val="000000"/>
                <w:sz w:val="20"/>
                <w:szCs w:val="20"/>
              </w:rPr>
            </w:pPr>
            <w:r>
              <w:rPr>
                <w:color w:val="000000"/>
                <w:sz w:val="20"/>
                <w:szCs w:val="20"/>
              </w:rPr>
              <w:t>3</w:t>
            </w:r>
          </w:p>
        </w:tc>
      </w:tr>
      <w:tr w:rsidR="000B1F81" w14:paraId="5B1B56D2" w14:textId="77777777" w:rsidTr="000B1F81">
        <w:trPr>
          <w:trHeight w:val="300"/>
        </w:trPr>
        <w:tc>
          <w:tcPr>
            <w:tcW w:w="1205" w:type="dxa"/>
            <w:tcBorders>
              <w:top w:val="nil"/>
              <w:left w:val="nil"/>
              <w:bottom w:val="nil"/>
              <w:right w:val="nil"/>
            </w:tcBorders>
            <w:shd w:val="clear" w:color="000000" w:fill="FFFFFF"/>
            <w:noWrap/>
            <w:vAlign w:val="center"/>
            <w:hideMark/>
          </w:tcPr>
          <w:p w14:paraId="518CED7E" w14:textId="77777777" w:rsidR="000B1F81" w:rsidRDefault="000B1F81" w:rsidP="000B1F81">
            <w:pPr>
              <w:jc w:val="center"/>
              <w:rPr>
                <w:color w:val="000000"/>
                <w:sz w:val="20"/>
                <w:szCs w:val="20"/>
              </w:rPr>
            </w:pPr>
            <w:r>
              <w:rPr>
                <w:color w:val="000000"/>
                <w:sz w:val="20"/>
                <w:szCs w:val="20"/>
              </w:rPr>
              <w:t>cg16663155</w:t>
            </w:r>
          </w:p>
        </w:tc>
        <w:tc>
          <w:tcPr>
            <w:tcW w:w="3747" w:type="dxa"/>
            <w:gridSpan w:val="2"/>
            <w:tcBorders>
              <w:top w:val="nil"/>
              <w:left w:val="nil"/>
              <w:bottom w:val="nil"/>
              <w:right w:val="nil"/>
            </w:tcBorders>
            <w:shd w:val="clear" w:color="000000" w:fill="FFFFFF"/>
            <w:noWrap/>
            <w:vAlign w:val="center"/>
            <w:hideMark/>
          </w:tcPr>
          <w:p w14:paraId="267FD417" w14:textId="77777777" w:rsidR="000B1F81" w:rsidRDefault="000B1F81" w:rsidP="000B1F81">
            <w:pPr>
              <w:rPr>
                <w:color w:val="000000"/>
                <w:sz w:val="20"/>
                <w:szCs w:val="20"/>
              </w:rPr>
            </w:pPr>
            <w:r>
              <w:rPr>
                <w:color w:val="000000"/>
                <w:sz w:val="20"/>
                <w:szCs w:val="20"/>
              </w:rPr>
              <w:t>chr11:61911154</w:t>
            </w:r>
          </w:p>
        </w:tc>
        <w:tc>
          <w:tcPr>
            <w:tcW w:w="1002" w:type="dxa"/>
            <w:tcBorders>
              <w:top w:val="nil"/>
              <w:left w:val="nil"/>
              <w:bottom w:val="nil"/>
              <w:right w:val="nil"/>
            </w:tcBorders>
            <w:shd w:val="clear" w:color="000000" w:fill="FFFFFF"/>
            <w:noWrap/>
            <w:vAlign w:val="center"/>
            <w:hideMark/>
          </w:tcPr>
          <w:p w14:paraId="10F83D9E" w14:textId="77777777" w:rsidR="000B1F81" w:rsidRDefault="000B1F81" w:rsidP="000B1F81">
            <w:pPr>
              <w:jc w:val="center"/>
              <w:rPr>
                <w:color w:val="000000"/>
                <w:sz w:val="20"/>
                <w:szCs w:val="20"/>
              </w:rPr>
            </w:pPr>
            <w:r>
              <w:rPr>
                <w:color w:val="000000"/>
                <w:sz w:val="20"/>
                <w:szCs w:val="20"/>
              </w:rPr>
              <w:t>1.64E-06</w:t>
            </w:r>
          </w:p>
        </w:tc>
        <w:tc>
          <w:tcPr>
            <w:tcW w:w="992" w:type="dxa"/>
            <w:tcBorders>
              <w:top w:val="nil"/>
              <w:left w:val="nil"/>
              <w:bottom w:val="nil"/>
              <w:right w:val="nil"/>
            </w:tcBorders>
            <w:shd w:val="clear" w:color="000000" w:fill="FFFFFF"/>
            <w:noWrap/>
            <w:vAlign w:val="center"/>
            <w:hideMark/>
          </w:tcPr>
          <w:p w14:paraId="1E607FE9" w14:textId="77777777" w:rsidR="000B1F81" w:rsidRDefault="000B1F81" w:rsidP="000B1F81">
            <w:pPr>
              <w:jc w:val="center"/>
              <w:rPr>
                <w:color w:val="000000"/>
                <w:sz w:val="20"/>
                <w:szCs w:val="20"/>
              </w:rPr>
            </w:pPr>
            <w:r>
              <w:rPr>
                <w:color w:val="000000"/>
                <w:sz w:val="20"/>
                <w:szCs w:val="20"/>
              </w:rPr>
              <w:t>2.56E-01</w:t>
            </w:r>
          </w:p>
        </w:tc>
        <w:tc>
          <w:tcPr>
            <w:tcW w:w="1134" w:type="dxa"/>
            <w:tcBorders>
              <w:top w:val="nil"/>
              <w:left w:val="nil"/>
              <w:bottom w:val="nil"/>
              <w:right w:val="nil"/>
            </w:tcBorders>
            <w:shd w:val="clear" w:color="000000" w:fill="FFFFFF"/>
            <w:noWrap/>
            <w:vAlign w:val="center"/>
            <w:hideMark/>
          </w:tcPr>
          <w:p w14:paraId="7717D93F" w14:textId="77777777" w:rsidR="000B1F81" w:rsidRDefault="000B1F81" w:rsidP="000B1F81">
            <w:pPr>
              <w:jc w:val="center"/>
              <w:rPr>
                <w:color w:val="000000"/>
                <w:sz w:val="20"/>
                <w:szCs w:val="20"/>
              </w:rPr>
            </w:pPr>
            <w:r>
              <w:rPr>
                <w:color w:val="000000"/>
                <w:sz w:val="20"/>
                <w:szCs w:val="20"/>
              </w:rPr>
              <w:t>0.0022</w:t>
            </w:r>
          </w:p>
        </w:tc>
        <w:tc>
          <w:tcPr>
            <w:tcW w:w="1843" w:type="dxa"/>
            <w:tcBorders>
              <w:top w:val="nil"/>
              <w:left w:val="nil"/>
              <w:bottom w:val="nil"/>
              <w:right w:val="nil"/>
            </w:tcBorders>
            <w:shd w:val="clear" w:color="000000" w:fill="FFFFFF"/>
            <w:noWrap/>
            <w:vAlign w:val="center"/>
            <w:hideMark/>
          </w:tcPr>
          <w:p w14:paraId="68F62A4A" w14:textId="77777777" w:rsidR="000B1F81" w:rsidRDefault="000B1F81" w:rsidP="000B1F81">
            <w:pPr>
              <w:jc w:val="center"/>
              <w:rPr>
                <w:color w:val="000000"/>
                <w:sz w:val="20"/>
                <w:szCs w:val="20"/>
              </w:rPr>
            </w:pPr>
            <w:r>
              <w:rPr>
                <w:color w:val="000000"/>
                <w:sz w:val="20"/>
                <w:szCs w:val="20"/>
              </w:rPr>
              <w:t>0.936 (0.927,0.943)</w:t>
            </w:r>
          </w:p>
        </w:tc>
        <w:tc>
          <w:tcPr>
            <w:tcW w:w="1843" w:type="dxa"/>
            <w:tcBorders>
              <w:top w:val="nil"/>
              <w:left w:val="nil"/>
              <w:bottom w:val="nil"/>
              <w:right w:val="nil"/>
            </w:tcBorders>
            <w:shd w:val="clear" w:color="000000" w:fill="FFFFFF"/>
            <w:noWrap/>
            <w:vAlign w:val="center"/>
            <w:hideMark/>
          </w:tcPr>
          <w:p w14:paraId="46C14202" w14:textId="77777777" w:rsidR="000B1F81" w:rsidRDefault="000B1F81" w:rsidP="000B1F81">
            <w:pPr>
              <w:jc w:val="center"/>
              <w:rPr>
                <w:color w:val="000000"/>
                <w:sz w:val="20"/>
                <w:szCs w:val="20"/>
              </w:rPr>
            </w:pPr>
            <w:r>
              <w:rPr>
                <w:color w:val="000000"/>
                <w:sz w:val="20"/>
                <w:szCs w:val="20"/>
              </w:rPr>
              <w:t>0.934 (0.925,0.940)</w:t>
            </w:r>
          </w:p>
        </w:tc>
        <w:tc>
          <w:tcPr>
            <w:tcW w:w="683" w:type="dxa"/>
            <w:tcBorders>
              <w:top w:val="nil"/>
              <w:left w:val="nil"/>
              <w:bottom w:val="nil"/>
              <w:right w:val="nil"/>
            </w:tcBorders>
            <w:shd w:val="clear" w:color="000000" w:fill="FFFFFF"/>
            <w:noWrap/>
            <w:vAlign w:val="center"/>
            <w:hideMark/>
          </w:tcPr>
          <w:p w14:paraId="7F0E1A7E" w14:textId="77777777" w:rsidR="000B1F81" w:rsidRDefault="000B1F81" w:rsidP="000B1F81">
            <w:pPr>
              <w:jc w:val="center"/>
              <w:rPr>
                <w:color w:val="000000"/>
                <w:sz w:val="20"/>
                <w:szCs w:val="20"/>
              </w:rPr>
            </w:pPr>
            <w:r>
              <w:rPr>
                <w:color w:val="000000"/>
                <w:sz w:val="20"/>
                <w:szCs w:val="20"/>
              </w:rPr>
              <w:t>4</w:t>
            </w:r>
          </w:p>
        </w:tc>
      </w:tr>
      <w:tr w:rsidR="000B1F81" w14:paraId="3BD35BD9" w14:textId="77777777" w:rsidTr="000B1F81">
        <w:trPr>
          <w:trHeight w:val="300"/>
        </w:trPr>
        <w:tc>
          <w:tcPr>
            <w:tcW w:w="1205" w:type="dxa"/>
            <w:tcBorders>
              <w:top w:val="nil"/>
              <w:left w:val="nil"/>
              <w:bottom w:val="nil"/>
              <w:right w:val="nil"/>
            </w:tcBorders>
            <w:shd w:val="clear" w:color="000000" w:fill="FFFFFF"/>
            <w:noWrap/>
            <w:vAlign w:val="center"/>
            <w:hideMark/>
          </w:tcPr>
          <w:p w14:paraId="42DEAAA7" w14:textId="77777777" w:rsidR="000B1F81" w:rsidRDefault="000B1F81" w:rsidP="000B1F81">
            <w:pPr>
              <w:jc w:val="center"/>
              <w:rPr>
                <w:color w:val="000000"/>
                <w:sz w:val="20"/>
                <w:szCs w:val="20"/>
              </w:rPr>
            </w:pPr>
            <w:r>
              <w:rPr>
                <w:color w:val="000000"/>
                <w:sz w:val="20"/>
                <w:szCs w:val="20"/>
              </w:rPr>
              <w:t>cg02954365</w:t>
            </w:r>
          </w:p>
        </w:tc>
        <w:tc>
          <w:tcPr>
            <w:tcW w:w="1527" w:type="dxa"/>
            <w:tcBorders>
              <w:top w:val="nil"/>
              <w:left w:val="nil"/>
              <w:bottom w:val="nil"/>
              <w:right w:val="nil"/>
            </w:tcBorders>
            <w:shd w:val="clear" w:color="000000" w:fill="FFFFFF"/>
            <w:noWrap/>
            <w:vAlign w:val="center"/>
            <w:hideMark/>
          </w:tcPr>
          <w:p w14:paraId="7345A5E0" w14:textId="77777777" w:rsidR="000B1F81" w:rsidRDefault="000B1F81" w:rsidP="000B1F81">
            <w:pPr>
              <w:rPr>
                <w:color w:val="000000"/>
                <w:sz w:val="20"/>
                <w:szCs w:val="20"/>
              </w:rPr>
            </w:pPr>
            <w:r>
              <w:rPr>
                <w:color w:val="000000"/>
                <w:sz w:val="20"/>
                <w:szCs w:val="20"/>
              </w:rPr>
              <w:t>chr15:78585011</w:t>
            </w:r>
          </w:p>
        </w:tc>
        <w:tc>
          <w:tcPr>
            <w:tcW w:w="2220" w:type="dxa"/>
            <w:tcBorders>
              <w:top w:val="nil"/>
              <w:left w:val="nil"/>
              <w:bottom w:val="nil"/>
              <w:right w:val="nil"/>
            </w:tcBorders>
            <w:shd w:val="clear" w:color="000000" w:fill="FFFFFF"/>
            <w:noWrap/>
            <w:vAlign w:val="center"/>
            <w:hideMark/>
          </w:tcPr>
          <w:p w14:paraId="51F98114" w14:textId="77777777" w:rsidR="000B1F81" w:rsidRDefault="000B1F81" w:rsidP="000B1F81">
            <w:pPr>
              <w:rPr>
                <w:i/>
                <w:iCs/>
                <w:color w:val="000000"/>
                <w:sz w:val="20"/>
                <w:szCs w:val="20"/>
              </w:rPr>
            </w:pPr>
            <w:r>
              <w:rPr>
                <w:i/>
                <w:iCs/>
                <w:color w:val="000000"/>
                <w:sz w:val="20"/>
                <w:szCs w:val="20"/>
              </w:rPr>
              <w:t>WDR61;RP11-762H8.1</w:t>
            </w:r>
          </w:p>
        </w:tc>
        <w:tc>
          <w:tcPr>
            <w:tcW w:w="1002" w:type="dxa"/>
            <w:tcBorders>
              <w:top w:val="nil"/>
              <w:left w:val="nil"/>
              <w:bottom w:val="nil"/>
              <w:right w:val="nil"/>
            </w:tcBorders>
            <w:shd w:val="clear" w:color="000000" w:fill="FFFFFF"/>
            <w:noWrap/>
            <w:vAlign w:val="center"/>
            <w:hideMark/>
          </w:tcPr>
          <w:p w14:paraId="6BD9BC19" w14:textId="77777777" w:rsidR="000B1F81" w:rsidRDefault="000B1F81" w:rsidP="000B1F81">
            <w:pPr>
              <w:jc w:val="center"/>
              <w:rPr>
                <w:color w:val="000000"/>
                <w:sz w:val="20"/>
                <w:szCs w:val="20"/>
              </w:rPr>
            </w:pPr>
            <w:r>
              <w:rPr>
                <w:color w:val="000000"/>
                <w:sz w:val="20"/>
                <w:szCs w:val="20"/>
              </w:rPr>
              <w:t>1.68E-06</w:t>
            </w:r>
          </w:p>
        </w:tc>
        <w:tc>
          <w:tcPr>
            <w:tcW w:w="992" w:type="dxa"/>
            <w:tcBorders>
              <w:top w:val="nil"/>
              <w:left w:val="nil"/>
              <w:bottom w:val="nil"/>
              <w:right w:val="nil"/>
            </w:tcBorders>
            <w:shd w:val="clear" w:color="000000" w:fill="FFFFFF"/>
            <w:noWrap/>
            <w:vAlign w:val="center"/>
            <w:hideMark/>
          </w:tcPr>
          <w:p w14:paraId="1B11F123" w14:textId="77777777" w:rsidR="000B1F81" w:rsidRDefault="000B1F81" w:rsidP="000B1F81">
            <w:pPr>
              <w:jc w:val="center"/>
              <w:rPr>
                <w:color w:val="000000"/>
                <w:sz w:val="20"/>
                <w:szCs w:val="20"/>
              </w:rPr>
            </w:pPr>
            <w:r>
              <w:rPr>
                <w:color w:val="000000"/>
                <w:sz w:val="20"/>
                <w:szCs w:val="20"/>
              </w:rPr>
              <w:t>2.56E-01</w:t>
            </w:r>
          </w:p>
        </w:tc>
        <w:tc>
          <w:tcPr>
            <w:tcW w:w="1134" w:type="dxa"/>
            <w:tcBorders>
              <w:top w:val="nil"/>
              <w:left w:val="nil"/>
              <w:bottom w:val="nil"/>
              <w:right w:val="nil"/>
            </w:tcBorders>
            <w:shd w:val="clear" w:color="000000" w:fill="FFFFFF"/>
            <w:noWrap/>
            <w:vAlign w:val="center"/>
            <w:hideMark/>
          </w:tcPr>
          <w:p w14:paraId="1A5C8E7B" w14:textId="77777777" w:rsidR="000B1F81" w:rsidRDefault="000B1F81" w:rsidP="000B1F81">
            <w:pPr>
              <w:jc w:val="center"/>
              <w:rPr>
                <w:color w:val="000000"/>
                <w:sz w:val="20"/>
                <w:szCs w:val="20"/>
              </w:rPr>
            </w:pPr>
            <w:r>
              <w:rPr>
                <w:color w:val="000000"/>
                <w:sz w:val="20"/>
                <w:szCs w:val="20"/>
              </w:rPr>
              <w:t>-0.0073</w:t>
            </w:r>
          </w:p>
        </w:tc>
        <w:tc>
          <w:tcPr>
            <w:tcW w:w="1843" w:type="dxa"/>
            <w:tcBorders>
              <w:top w:val="nil"/>
              <w:left w:val="nil"/>
              <w:bottom w:val="nil"/>
              <w:right w:val="nil"/>
            </w:tcBorders>
            <w:shd w:val="clear" w:color="000000" w:fill="FFFFFF"/>
            <w:noWrap/>
            <w:vAlign w:val="center"/>
            <w:hideMark/>
          </w:tcPr>
          <w:p w14:paraId="6BD2B216" w14:textId="77777777" w:rsidR="000B1F81" w:rsidRDefault="000B1F81" w:rsidP="000B1F81">
            <w:pPr>
              <w:jc w:val="center"/>
              <w:rPr>
                <w:color w:val="000000"/>
                <w:sz w:val="20"/>
                <w:szCs w:val="20"/>
              </w:rPr>
            </w:pPr>
            <w:r>
              <w:rPr>
                <w:color w:val="000000"/>
                <w:sz w:val="20"/>
                <w:szCs w:val="20"/>
              </w:rPr>
              <w:t>0.895 (0.880,0.908)</w:t>
            </w:r>
          </w:p>
        </w:tc>
        <w:tc>
          <w:tcPr>
            <w:tcW w:w="1843" w:type="dxa"/>
            <w:tcBorders>
              <w:top w:val="nil"/>
              <w:left w:val="nil"/>
              <w:bottom w:val="nil"/>
              <w:right w:val="nil"/>
            </w:tcBorders>
            <w:shd w:val="clear" w:color="000000" w:fill="FFFFFF"/>
            <w:noWrap/>
            <w:vAlign w:val="center"/>
            <w:hideMark/>
          </w:tcPr>
          <w:p w14:paraId="0D06F90C" w14:textId="77777777" w:rsidR="000B1F81" w:rsidRDefault="000B1F81" w:rsidP="000B1F81">
            <w:pPr>
              <w:jc w:val="center"/>
              <w:rPr>
                <w:color w:val="000000"/>
                <w:sz w:val="20"/>
                <w:szCs w:val="20"/>
              </w:rPr>
            </w:pPr>
            <w:r>
              <w:rPr>
                <w:color w:val="000000"/>
                <w:sz w:val="20"/>
                <w:szCs w:val="20"/>
              </w:rPr>
              <w:t>0.899 (0.887,0.910)</w:t>
            </w:r>
          </w:p>
        </w:tc>
        <w:tc>
          <w:tcPr>
            <w:tcW w:w="683" w:type="dxa"/>
            <w:tcBorders>
              <w:top w:val="nil"/>
              <w:left w:val="nil"/>
              <w:bottom w:val="nil"/>
              <w:right w:val="nil"/>
            </w:tcBorders>
            <w:shd w:val="clear" w:color="000000" w:fill="FFFFFF"/>
            <w:noWrap/>
            <w:vAlign w:val="center"/>
            <w:hideMark/>
          </w:tcPr>
          <w:p w14:paraId="5F8CE8FF" w14:textId="77777777" w:rsidR="000B1F81" w:rsidRDefault="000B1F81" w:rsidP="000B1F81">
            <w:pPr>
              <w:jc w:val="center"/>
              <w:rPr>
                <w:color w:val="000000"/>
                <w:sz w:val="20"/>
                <w:szCs w:val="20"/>
              </w:rPr>
            </w:pPr>
            <w:r>
              <w:rPr>
                <w:color w:val="000000"/>
                <w:sz w:val="20"/>
                <w:szCs w:val="20"/>
              </w:rPr>
              <w:t>5</w:t>
            </w:r>
          </w:p>
        </w:tc>
      </w:tr>
      <w:tr w:rsidR="000B1F81" w14:paraId="25C50827" w14:textId="77777777" w:rsidTr="000B1F81">
        <w:trPr>
          <w:trHeight w:val="300"/>
        </w:trPr>
        <w:tc>
          <w:tcPr>
            <w:tcW w:w="1205" w:type="dxa"/>
            <w:tcBorders>
              <w:top w:val="nil"/>
              <w:left w:val="nil"/>
              <w:bottom w:val="nil"/>
              <w:right w:val="nil"/>
            </w:tcBorders>
            <w:shd w:val="clear" w:color="000000" w:fill="FFFFFF"/>
            <w:noWrap/>
            <w:vAlign w:val="center"/>
            <w:hideMark/>
          </w:tcPr>
          <w:p w14:paraId="36776C2C" w14:textId="77777777" w:rsidR="000B1F81" w:rsidRDefault="000B1F81" w:rsidP="000B1F81">
            <w:pPr>
              <w:jc w:val="center"/>
              <w:rPr>
                <w:color w:val="000000"/>
                <w:sz w:val="20"/>
                <w:szCs w:val="20"/>
              </w:rPr>
            </w:pPr>
            <w:r>
              <w:rPr>
                <w:color w:val="000000"/>
                <w:sz w:val="20"/>
                <w:szCs w:val="20"/>
              </w:rPr>
              <w:t>cg12501923</w:t>
            </w:r>
          </w:p>
        </w:tc>
        <w:tc>
          <w:tcPr>
            <w:tcW w:w="1527" w:type="dxa"/>
            <w:tcBorders>
              <w:top w:val="nil"/>
              <w:left w:val="nil"/>
              <w:bottom w:val="nil"/>
              <w:right w:val="nil"/>
            </w:tcBorders>
            <w:shd w:val="clear" w:color="000000" w:fill="FFFFFF"/>
            <w:noWrap/>
            <w:vAlign w:val="center"/>
            <w:hideMark/>
          </w:tcPr>
          <w:p w14:paraId="1E7DB3BF" w14:textId="77777777" w:rsidR="000B1F81" w:rsidRDefault="000B1F81" w:rsidP="000B1F81">
            <w:pPr>
              <w:rPr>
                <w:color w:val="000000"/>
                <w:sz w:val="20"/>
                <w:szCs w:val="20"/>
              </w:rPr>
            </w:pPr>
            <w:r>
              <w:rPr>
                <w:color w:val="000000"/>
                <w:sz w:val="20"/>
                <w:szCs w:val="20"/>
              </w:rPr>
              <w:t>chr17:73937416</w:t>
            </w:r>
          </w:p>
        </w:tc>
        <w:tc>
          <w:tcPr>
            <w:tcW w:w="2220" w:type="dxa"/>
            <w:tcBorders>
              <w:top w:val="nil"/>
              <w:left w:val="nil"/>
              <w:bottom w:val="nil"/>
              <w:right w:val="nil"/>
            </w:tcBorders>
            <w:shd w:val="clear" w:color="000000" w:fill="FFFFFF"/>
            <w:noWrap/>
            <w:vAlign w:val="center"/>
            <w:hideMark/>
          </w:tcPr>
          <w:p w14:paraId="57655F1B" w14:textId="77777777" w:rsidR="000B1F81" w:rsidRDefault="000B1F81" w:rsidP="000B1F81">
            <w:pPr>
              <w:rPr>
                <w:i/>
                <w:iCs/>
                <w:color w:val="000000"/>
                <w:sz w:val="20"/>
                <w:szCs w:val="20"/>
              </w:rPr>
            </w:pPr>
            <w:r>
              <w:rPr>
                <w:i/>
                <w:iCs/>
                <w:color w:val="000000"/>
                <w:sz w:val="20"/>
                <w:szCs w:val="20"/>
              </w:rPr>
              <w:t>FBF1</w:t>
            </w:r>
          </w:p>
        </w:tc>
        <w:tc>
          <w:tcPr>
            <w:tcW w:w="1002" w:type="dxa"/>
            <w:tcBorders>
              <w:top w:val="nil"/>
              <w:left w:val="nil"/>
              <w:bottom w:val="nil"/>
              <w:right w:val="nil"/>
            </w:tcBorders>
            <w:shd w:val="clear" w:color="000000" w:fill="FFFFFF"/>
            <w:noWrap/>
            <w:vAlign w:val="center"/>
            <w:hideMark/>
          </w:tcPr>
          <w:p w14:paraId="66FE7BE7" w14:textId="77777777" w:rsidR="000B1F81" w:rsidRDefault="000B1F81" w:rsidP="000B1F81">
            <w:pPr>
              <w:jc w:val="center"/>
              <w:rPr>
                <w:color w:val="000000"/>
                <w:sz w:val="20"/>
                <w:szCs w:val="20"/>
              </w:rPr>
            </w:pPr>
            <w:r>
              <w:rPr>
                <w:color w:val="000000"/>
                <w:sz w:val="20"/>
                <w:szCs w:val="20"/>
              </w:rPr>
              <w:t>2.06E-06</w:t>
            </w:r>
          </w:p>
        </w:tc>
        <w:tc>
          <w:tcPr>
            <w:tcW w:w="992" w:type="dxa"/>
            <w:tcBorders>
              <w:top w:val="nil"/>
              <w:left w:val="nil"/>
              <w:bottom w:val="nil"/>
              <w:right w:val="nil"/>
            </w:tcBorders>
            <w:shd w:val="clear" w:color="000000" w:fill="FFFFFF"/>
            <w:noWrap/>
            <w:vAlign w:val="center"/>
            <w:hideMark/>
          </w:tcPr>
          <w:p w14:paraId="4BE438BD" w14:textId="77777777" w:rsidR="000B1F81" w:rsidRDefault="000B1F81" w:rsidP="000B1F81">
            <w:pPr>
              <w:jc w:val="center"/>
              <w:rPr>
                <w:color w:val="000000"/>
                <w:sz w:val="20"/>
                <w:szCs w:val="20"/>
              </w:rPr>
            </w:pPr>
            <w:r>
              <w:rPr>
                <w:color w:val="000000"/>
                <w:sz w:val="20"/>
                <w:szCs w:val="20"/>
              </w:rPr>
              <w:t>2.56E-01</w:t>
            </w:r>
          </w:p>
        </w:tc>
        <w:tc>
          <w:tcPr>
            <w:tcW w:w="1134" w:type="dxa"/>
            <w:tcBorders>
              <w:top w:val="nil"/>
              <w:left w:val="nil"/>
              <w:bottom w:val="nil"/>
              <w:right w:val="nil"/>
            </w:tcBorders>
            <w:shd w:val="clear" w:color="000000" w:fill="FFFFFF"/>
            <w:noWrap/>
            <w:vAlign w:val="center"/>
            <w:hideMark/>
          </w:tcPr>
          <w:p w14:paraId="0D61931D" w14:textId="77777777" w:rsidR="000B1F81" w:rsidRDefault="000B1F81" w:rsidP="000B1F81">
            <w:pPr>
              <w:jc w:val="center"/>
              <w:rPr>
                <w:color w:val="000000"/>
                <w:sz w:val="20"/>
                <w:szCs w:val="20"/>
              </w:rPr>
            </w:pPr>
            <w:r>
              <w:rPr>
                <w:color w:val="000000"/>
                <w:sz w:val="20"/>
                <w:szCs w:val="20"/>
              </w:rPr>
              <w:t>0.003</w:t>
            </w:r>
          </w:p>
        </w:tc>
        <w:tc>
          <w:tcPr>
            <w:tcW w:w="1843" w:type="dxa"/>
            <w:tcBorders>
              <w:top w:val="nil"/>
              <w:left w:val="nil"/>
              <w:bottom w:val="nil"/>
              <w:right w:val="nil"/>
            </w:tcBorders>
            <w:shd w:val="clear" w:color="000000" w:fill="FFFFFF"/>
            <w:noWrap/>
            <w:vAlign w:val="center"/>
            <w:hideMark/>
          </w:tcPr>
          <w:p w14:paraId="73557AF3" w14:textId="77777777" w:rsidR="000B1F81" w:rsidRDefault="000B1F81" w:rsidP="000B1F81">
            <w:pPr>
              <w:jc w:val="center"/>
              <w:rPr>
                <w:color w:val="000000"/>
                <w:sz w:val="20"/>
                <w:szCs w:val="20"/>
              </w:rPr>
            </w:pPr>
            <w:r>
              <w:rPr>
                <w:color w:val="000000"/>
                <w:sz w:val="20"/>
                <w:szCs w:val="20"/>
              </w:rPr>
              <w:t>0.048 (0.041,0.060)</w:t>
            </w:r>
          </w:p>
        </w:tc>
        <w:tc>
          <w:tcPr>
            <w:tcW w:w="1843" w:type="dxa"/>
            <w:tcBorders>
              <w:top w:val="nil"/>
              <w:left w:val="nil"/>
              <w:bottom w:val="nil"/>
              <w:right w:val="nil"/>
            </w:tcBorders>
            <w:shd w:val="clear" w:color="000000" w:fill="FFFFFF"/>
            <w:noWrap/>
            <w:vAlign w:val="center"/>
            <w:hideMark/>
          </w:tcPr>
          <w:p w14:paraId="315ABE0E" w14:textId="77777777" w:rsidR="000B1F81" w:rsidRDefault="000B1F81" w:rsidP="000B1F81">
            <w:pPr>
              <w:jc w:val="center"/>
              <w:rPr>
                <w:color w:val="000000"/>
                <w:sz w:val="20"/>
                <w:szCs w:val="20"/>
              </w:rPr>
            </w:pPr>
            <w:r>
              <w:rPr>
                <w:color w:val="000000"/>
                <w:sz w:val="20"/>
                <w:szCs w:val="20"/>
              </w:rPr>
              <w:t>0.046 (0.038,0.059)</w:t>
            </w:r>
          </w:p>
        </w:tc>
        <w:tc>
          <w:tcPr>
            <w:tcW w:w="683" w:type="dxa"/>
            <w:tcBorders>
              <w:top w:val="nil"/>
              <w:left w:val="nil"/>
              <w:bottom w:val="nil"/>
              <w:right w:val="nil"/>
            </w:tcBorders>
            <w:shd w:val="clear" w:color="000000" w:fill="FFFFFF"/>
            <w:noWrap/>
            <w:vAlign w:val="center"/>
            <w:hideMark/>
          </w:tcPr>
          <w:p w14:paraId="0139E9A5" w14:textId="77777777" w:rsidR="000B1F81" w:rsidRDefault="000B1F81" w:rsidP="000B1F81">
            <w:pPr>
              <w:jc w:val="center"/>
              <w:rPr>
                <w:color w:val="000000"/>
                <w:sz w:val="20"/>
                <w:szCs w:val="20"/>
              </w:rPr>
            </w:pPr>
            <w:r>
              <w:rPr>
                <w:color w:val="000000"/>
                <w:sz w:val="20"/>
                <w:szCs w:val="20"/>
              </w:rPr>
              <w:t>6</w:t>
            </w:r>
          </w:p>
        </w:tc>
      </w:tr>
      <w:tr w:rsidR="000B1F81" w14:paraId="363EF1ED" w14:textId="77777777" w:rsidTr="000B1F81">
        <w:trPr>
          <w:trHeight w:val="300"/>
        </w:trPr>
        <w:tc>
          <w:tcPr>
            <w:tcW w:w="1205" w:type="dxa"/>
            <w:tcBorders>
              <w:top w:val="nil"/>
              <w:left w:val="nil"/>
              <w:bottom w:val="nil"/>
              <w:right w:val="nil"/>
            </w:tcBorders>
            <w:shd w:val="clear" w:color="000000" w:fill="FFFFFF"/>
            <w:noWrap/>
            <w:vAlign w:val="center"/>
            <w:hideMark/>
          </w:tcPr>
          <w:p w14:paraId="12D69644" w14:textId="77777777" w:rsidR="000B1F81" w:rsidRDefault="000B1F81" w:rsidP="000B1F81">
            <w:pPr>
              <w:jc w:val="center"/>
              <w:rPr>
                <w:color w:val="000000"/>
                <w:sz w:val="20"/>
                <w:szCs w:val="20"/>
              </w:rPr>
            </w:pPr>
            <w:r>
              <w:rPr>
                <w:color w:val="000000"/>
                <w:sz w:val="20"/>
                <w:szCs w:val="20"/>
              </w:rPr>
              <w:t>cg16962463</w:t>
            </w:r>
          </w:p>
        </w:tc>
        <w:tc>
          <w:tcPr>
            <w:tcW w:w="1527" w:type="dxa"/>
            <w:tcBorders>
              <w:top w:val="nil"/>
              <w:left w:val="nil"/>
              <w:bottom w:val="nil"/>
              <w:right w:val="nil"/>
            </w:tcBorders>
            <w:shd w:val="clear" w:color="000000" w:fill="FFFFFF"/>
            <w:noWrap/>
            <w:vAlign w:val="center"/>
            <w:hideMark/>
          </w:tcPr>
          <w:p w14:paraId="4D4F625E" w14:textId="77777777" w:rsidR="000B1F81" w:rsidRDefault="000B1F81" w:rsidP="000B1F81">
            <w:pPr>
              <w:rPr>
                <w:color w:val="000000"/>
                <w:sz w:val="20"/>
                <w:szCs w:val="20"/>
              </w:rPr>
            </w:pPr>
            <w:r>
              <w:rPr>
                <w:color w:val="000000"/>
                <w:sz w:val="20"/>
                <w:szCs w:val="20"/>
              </w:rPr>
              <w:t>chr12:89968675</w:t>
            </w:r>
          </w:p>
        </w:tc>
        <w:tc>
          <w:tcPr>
            <w:tcW w:w="2220" w:type="dxa"/>
            <w:tcBorders>
              <w:top w:val="nil"/>
              <w:left w:val="nil"/>
              <w:bottom w:val="nil"/>
              <w:right w:val="nil"/>
            </w:tcBorders>
            <w:shd w:val="clear" w:color="000000" w:fill="FFFFFF"/>
            <w:noWrap/>
            <w:vAlign w:val="center"/>
            <w:hideMark/>
          </w:tcPr>
          <w:p w14:paraId="797D800E" w14:textId="77777777" w:rsidR="000B1F81" w:rsidRDefault="000B1F81" w:rsidP="000B1F81">
            <w:pPr>
              <w:rPr>
                <w:i/>
                <w:iCs/>
                <w:color w:val="000000"/>
                <w:sz w:val="20"/>
                <w:szCs w:val="20"/>
              </w:rPr>
            </w:pPr>
            <w:r>
              <w:rPr>
                <w:i/>
                <w:iCs/>
                <w:color w:val="000000"/>
                <w:sz w:val="20"/>
                <w:szCs w:val="20"/>
              </w:rPr>
              <w:t>RP11-981P6.1</w:t>
            </w:r>
          </w:p>
        </w:tc>
        <w:tc>
          <w:tcPr>
            <w:tcW w:w="1002" w:type="dxa"/>
            <w:tcBorders>
              <w:top w:val="nil"/>
              <w:left w:val="nil"/>
              <w:bottom w:val="nil"/>
              <w:right w:val="nil"/>
            </w:tcBorders>
            <w:shd w:val="clear" w:color="000000" w:fill="FFFFFF"/>
            <w:noWrap/>
            <w:vAlign w:val="center"/>
            <w:hideMark/>
          </w:tcPr>
          <w:p w14:paraId="5EA6A1C1" w14:textId="77777777" w:rsidR="000B1F81" w:rsidRDefault="000B1F81" w:rsidP="000B1F81">
            <w:pPr>
              <w:jc w:val="center"/>
              <w:rPr>
                <w:color w:val="000000"/>
                <w:sz w:val="20"/>
                <w:szCs w:val="20"/>
              </w:rPr>
            </w:pPr>
            <w:r>
              <w:rPr>
                <w:color w:val="000000"/>
                <w:sz w:val="20"/>
                <w:szCs w:val="20"/>
              </w:rPr>
              <w:t>2.23E-06</w:t>
            </w:r>
          </w:p>
        </w:tc>
        <w:tc>
          <w:tcPr>
            <w:tcW w:w="992" w:type="dxa"/>
            <w:tcBorders>
              <w:top w:val="nil"/>
              <w:left w:val="nil"/>
              <w:bottom w:val="nil"/>
              <w:right w:val="nil"/>
            </w:tcBorders>
            <w:shd w:val="clear" w:color="000000" w:fill="FFFFFF"/>
            <w:noWrap/>
            <w:vAlign w:val="center"/>
            <w:hideMark/>
          </w:tcPr>
          <w:p w14:paraId="39984EF1" w14:textId="77777777" w:rsidR="000B1F81" w:rsidRDefault="000B1F81" w:rsidP="000B1F81">
            <w:pPr>
              <w:jc w:val="center"/>
              <w:rPr>
                <w:color w:val="000000"/>
                <w:sz w:val="20"/>
                <w:szCs w:val="20"/>
              </w:rPr>
            </w:pPr>
            <w:r>
              <w:rPr>
                <w:color w:val="000000"/>
                <w:sz w:val="20"/>
                <w:szCs w:val="20"/>
              </w:rPr>
              <w:t>2.56E-01</w:t>
            </w:r>
          </w:p>
        </w:tc>
        <w:tc>
          <w:tcPr>
            <w:tcW w:w="1134" w:type="dxa"/>
            <w:tcBorders>
              <w:top w:val="nil"/>
              <w:left w:val="nil"/>
              <w:bottom w:val="nil"/>
              <w:right w:val="nil"/>
            </w:tcBorders>
            <w:shd w:val="clear" w:color="000000" w:fill="FFFFFF"/>
            <w:noWrap/>
            <w:vAlign w:val="center"/>
            <w:hideMark/>
          </w:tcPr>
          <w:p w14:paraId="2319479F" w14:textId="77777777" w:rsidR="000B1F81" w:rsidRDefault="000B1F81" w:rsidP="000B1F81">
            <w:pPr>
              <w:jc w:val="center"/>
              <w:rPr>
                <w:color w:val="000000"/>
                <w:sz w:val="20"/>
                <w:szCs w:val="20"/>
              </w:rPr>
            </w:pPr>
            <w:r>
              <w:rPr>
                <w:color w:val="000000"/>
                <w:sz w:val="20"/>
                <w:szCs w:val="20"/>
              </w:rPr>
              <w:t>0.0113</w:t>
            </w:r>
          </w:p>
        </w:tc>
        <w:tc>
          <w:tcPr>
            <w:tcW w:w="1843" w:type="dxa"/>
            <w:tcBorders>
              <w:top w:val="nil"/>
              <w:left w:val="nil"/>
              <w:bottom w:val="nil"/>
              <w:right w:val="nil"/>
            </w:tcBorders>
            <w:shd w:val="clear" w:color="000000" w:fill="FFFFFF"/>
            <w:noWrap/>
            <w:vAlign w:val="center"/>
            <w:hideMark/>
          </w:tcPr>
          <w:p w14:paraId="1BDD70F6" w14:textId="77777777" w:rsidR="000B1F81" w:rsidRDefault="000B1F81" w:rsidP="000B1F81">
            <w:pPr>
              <w:jc w:val="center"/>
              <w:rPr>
                <w:color w:val="000000"/>
                <w:sz w:val="20"/>
                <w:szCs w:val="20"/>
              </w:rPr>
            </w:pPr>
            <w:r>
              <w:rPr>
                <w:color w:val="000000"/>
                <w:sz w:val="20"/>
                <w:szCs w:val="20"/>
              </w:rPr>
              <w:t>0.203 (0.168,0.247)</w:t>
            </w:r>
          </w:p>
        </w:tc>
        <w:tc>
          <w:tcPr>
            <w:tcW w:w="1843" w:type="dxa"/>
            <w:tcBorders>
              <w:top w:val="nil"/>
              <w:left w:val="nil"/>
              <w:bottom w:val="nil"/>
              <w:right w:val="nil"/>
            </w:tcBorders>
            <w:shd w:val="clear" w:color="000000" w:fill="FFFFFF"/>
            <w:noWrap/>
            <w:vAlign w:val="center"/>
            <w:hideMark/>
          </w:tcPr>
          <w:p w14:paraId="19434AD0" w14:textId="77777777" w:rsidR="000B1F81" w:rsidRDefault="000B1F81" w:rsidP="000B1F81">
            <w:pPr>
              <w:jc w:val="center"/>
              <w:rPr>
                <w:color w:val="000000"/>
                <w:sz w:val="20"/>
                <w:szCs w:val="20"/>
              </w:rPr>
            </w:pPr>
            <w:r>
              <w:rPr>
                <w:color w:val="000000"/>
                <w:sz w:val="20"/>
                <w:szCs w:val="20"/>
              </w:rPr>
              <w:t>0.192 (0.152,0.236)</w:t>
            </w:r>
          </w:p>
        </w:tc>
        <w:tc>
          <w:tcPr>
            <w:tcW w:w="683" w:type="dxa"/>
            <w:tcBorders>
              <w:top w:val="nil"/>
              <w:left w:val="nil"/>
              <w:bottom w:val="nil"/>
              <w:right w:val="nil"/>
            </w:tcBorders>
            <w:shd w:val="clear" w:color="000000" w:fill="FFFFFF"/>
            <w:noWrap/>
            <w:vAlign w:val="center"/>
            <w:hideMark/>
          </w:tcPr>
          <w:p w14:paraId="4599BEF1" w14:textId="77777777" w:rsidR="000B1F81" w:rsidRDefault="000B1F81" w:rsidP="000B1F81">
            <w:pPr>
              <w:jc w:val="center"/>
              <w:rPr>
                <w:color w:val="000000"/>
                <w:sz w:val="20"/>
                <w:szCs w:val="20"/>
              </w:rPr>
            </w:pPr>
            <w:r>
              <w:rPr>
                <w:color w:val="000000"/>
                <w:sz w:val="20"/>
                <w:szCs w:val="20"/>
              </w:rPr>
              <w:t>7</w:t>
            </w:r>
          </w:p>
        </w:tc>
      </w:tr>
      <w:tr w:rsidR="000B1F81" w14:paraId="56F55CCD" w14:textId="77777777" w:rsidTr="000B1F81">
        <w:trPr>
          <w:trHeight w:val="300"/>
        </w:trPr>
        <w:tc>
          <w:tcPr>
            <w:tcW w:w="1205" w:type="dxa"/>
            <w:tcBorders>
              <w:top w:val="nil"/>
              <w:left w:val="nil"/>
              <w:bottom w:val="nil"/>
              <w:right w:val="nil"/>
            </w:tcBorders>
            <w:shd w:val="clear" w:color="000000" w:fill="FFFFFF"/>
            <w:noWrap/>
            <w:vAlign w:val="center"/>
            <w:hideMark/>
          </w:tcPr>
          <w:p w14:paraId="27D3EACA" w14:textId="77777777" w:rsidR="000B1F81" w:rsidRDefault="000B1F81" w:rsidP="000B1F81">
            <w:pPr>
              <w:jc w:val="center"/>
              <w:rPr>
                <w:color w:val="000000"/>
                <w:sz w:val="20"/>
                <w:szCs w:val="20"/>
              </w:rPr>
            </w:pPr>
            <w:r>
              <w:rPr>
                <w:color w:val="000000"/>
                <w:sz w:val="20"/>
                <w:szCs w:val="20"/>
              </w:rPr>
              <w:t>cg24848351</w:t>
            </w:r>
          </w:p>
        </w:tc>
        <w:tc>
          <w:tcPr>
            <w:tcW w:w="1527" w:type="dxa"/>
            <w:tcBorders>
              <w:top w:val="nil"/>
              <w:left w:val="nil"/>
              <w:bottom w:val="nil"/>
              <w:right w:val="nil"/>
            </w:tcBorders>
            <w:shd w:val="clear" w:color="000000" w:fill="FFFFFF"/>
            <w:noWrap/>
            <w:vAlign w:val="center"/>
            <w:hideMark/>
          </w:tcPr>
          <w:p w14:paraId="07E30B1F" w14:textId="77777777" w:rsidR="000B1F81" w:rsidRDefault="000B1F81" w:rsidP="000B1F81">
            <w:pPr>
              <w:rPr>
                <w:color w:val="000000"/>
                <w:sz w:val="20"/>
                <w:szCs w:val="20"/>
              </w:rPr>
            </w:pPr>
            <w:r>
              <w:rPr>
                <w:color w:val="000000"/>
                <w:sz w:val="20"/>
                <w:szCs w:val="20"/>
              </w:rPr>
              <w:t>chr20:2622020</w:t>
            </w:r>
          </w:p>
        </w:tc>
        <w:tc>
          <w:tcPr>
            <w:tcW w:w="2220" w:type="dxa"/>
            <w:tcBorders>
              <w:top w:val="nil"/>
              <w:left w:val="nil"/>
              <w:bottom w:val="nil"/>
              <w:right w:val="nil"/>
            </w:tcBorders>
            <w:shd w:val="clear" w:color="000000" w:fill="FFFFFF"/>
            <w:noWrap/>
            <w:vAlign w:val="center"/>
            <w:hideMark/>
          </w:tcPr>
          <w:p w14:paraId="2C2E5F88" w14:textId="77777777" w:rsidR="000B1F81" w:rsidRDefault="000B1F81" w:rsidP="000B1F81">
            <w:pPr>
              <w:rPr>
                <w:i/>
                <w:iCs/>
                <w:color w:val="000000"/>
                <w:sz w:val="20"/>
                <w:szCs w:val="20"/>
              </w:rPr>
            </w:pPr>
            <w:r>
              <w:rPr>
                <w:i/>
                <w:iCs/>
                <w:color w:val="000000"/>
                <w:sz w:val="20"/>
                <w:szCs w:val="20"/>
              </w:rPr>
              <w:t>TMC2</w:t>
            </w:r>
          </w:p>
        </w:tc>
        <w:tc>
          <w:tcPr>
            <w:tcW w:w="1002" w:type="dxa"/>
            <w:tcBorders>
              <w:top w:val="nil"/>
              <w:left w:val="nil"/>
              <w:bottom w:val="nil"/>
              <w:right w:val="nil"/>
            </w:tcBorders>
            <w:shd w:val="clear" w:color="000000" w:fill="FFFFFF"/>
            <w:noWrap/>
            <w:vAlign w:val="center"/>
            <w:hideMark/>
          </w:tcPr>
          <w:p w14:paraId="0A13B1E3" w14:textId="77777777" w:rsidR="000B1F81" w:rsidRDefault="000B1F81" w:rsidP="000B1F81">
            <w:pPr>
              <w:jc w:val="center"/>
              <w:rPr>
                <w:color w:val="000000"/>
                <w:sz w:val="20"/>
                <w:szCs w:val="20"/>
              </w:rPr>
            </w:pPr>
            <w:r>
              <w:rPr>
                <w:color w:val="000000"/>
                <w:sz w:val="20"/>
                <w:szCs w:val="20"/>
              </w:rPr>
              <w:t>2.58E-06</w:t>
            </w:r>
          </w:p>
        </w:tc>
        <w:tc>
          <w:tcPr>
            <w:tcW w:w="992" w:type="dxa"/>
            <w:tcBorders>
              <w:top w:val="nil"/>
              <w:left w:val="nil"/>
              <w:bottom w:val="nil"/>
              <w:right w:val="nil"/>
            </w:tcBorders>
            <w:shd w:val="clear" w:color="000000" w:fill="FFFFFF"/>
            <w:noWrap/>
            <w:vAlign w:val="center"/>
            <w:hideMark/>
          </w:tcPr>
          <w:p w14:paraId="309BFDE6" w14:textId="77777777" w:rsidR="000B1F81" w:rsidRDefault="000B1F81" w:rsidP="000B1F81">
            <w:pPr>
              <w:jc w:val="center"/>
              <w:rPr>
                <w:color w:val="000000"/>
                <w:sz w:val="20"/>
                <w:szCs w:val="20"/>
              </w:rPr>
            </w:pPr>
            <w:r>
              <w:rPr>
                <w:color w:val="000000"/>
                <w:sz w:val="20"/>
                <w:szCs w:val="20"/>
              </w:rPr>
              <w:t>2.59E-01</w:t>
            </w:r>
          </w:p>
        </w:tc>
        <w:tc>
          <w:tcPr>
            <w:tcW w:w="1134" w:type="dxa"/>
            <w:tcBorders>
              <w:top w:val="nil"/>
              <w:left w:val="nil"/>
              <w:bottom w:val="nil"/>
              <w:right w:val="nil"/>
            </w:tcBorders>
            <w:shd w:val="clear" w:color="000000" w:fill="FFFFFF"/>
            <w:noWrap/>
            <w:vAlign w:val="center"/>
            <w:hideMark/>
          </w:tcPr>
          <w:p w14:paraId="6B682F60" w14:textId="77777777" w:rsidR="000B1F81" w:rsidRDefault="000B1F81" w:rsidP="000B1F81">
            <w:pPr>
              <w:jc w:val="center"/>
              <w:rPr>
                <w:color w:val="000000"/>
                <w:sz w:val="20"/>
                <w:szCs w:val="20"/>
              </w:rPr>
            </w:pPr>
            <w:r>
              <w:rPr>
                <w:color w:val="000000"/>
                <w:sz w:val="20"/>
                <w:szCs w:val="20"/>
              </w:rPr>
              <w:t>-0.017</w:t>
            </w:r>
          </w:p>
        </w:tc>
        <w:tc>
          <w:tcPr>
            <w:tcW w:w="1843" w:type="dxa"/>
            <w:tcBorders>
              <w:top w:val="nil"/>
              <w:left w:val="nil"/>
              <w:bottom w:val="nil"/>
              <w:right w:val="nil"/>
            </w:tcBorders>
            <w:shd w:val="clear" w:color="000000" w:fill="FFFFFF"/>
            <w:noWrap/>
            <w:vAlign w:val="center"/>
            <w:hideMark/>
          </w:tcPr>
          <w:p w14:paraId="16EE7961" w14:textId="77777777" w:rsidR="000B1F81" w:rsidRDefault="000B1F81" w:rsidP="000B1F81">
            <w:pPr>
              <w:jc w:val="center"/>
              <w:rPr>
                <w:color w:val="000000"/>
                <w:sz w:val="20"/>
                <w:szCs w:val="20"/>
              </w:rPr>
            </w:pPr>
            <w:r>
              <w:rPr>
                <w:color w:val="000000"/>
                <w:sz w:val="20"/>
                <w:szCs w:val="20"/>
              </w:rPr>
              <w:t>0.708 (0.671,0.755)</w:t>
            </w:r>
          </w:p>
        </w:tc>
        <w:tc>
          <w:tcPr>
            <w:tcW w:w="1843" w:type="dxa"/>
            <w:tcBorders>
              <w:top w:val="nil"/>
              <w:left w:val="nil"/>
              <w:bottom w:val="nil"/>
              <w:right w:val="nil"/>
            </w:tcBorders>
            <w:shd w:val="clear" w:color="000000" w:fill="FFFFFF"/>
            <w:noWrap/>
            <w:vAlign w:val="center"/>
            <w:hideMark/>
          </w:tcPr>
          <w:p w14:paraId="55B32952" w14:textId="77777777" w:rsidR="000B1F81" w:rsidRDefault="000B1F81" w:rsidP="000B1F81">
            <w:pPr>
              <w:jc w:val="center"/>
              <w:rPr>
                <w:color w:val="000000"/>
                <w:sz w:val="20"/>
                <w:szCs w:val="20"/>
              </w:rPr>
            </w:pPr>
            <w:r>
              <w:rPr>
                <w:color w:val="000000"/>
                <w:sz w:val="20"/>
                <w:szCs w:val="20"/>
              </w:rPr>
              <w:t>0.735 (0.688,0.770)</w:t>
            </w:r>
          </w:p>
        </w:tc>
        <w:tc>
          <w:tcPr>
            <w:tcW w:w="683" w:type="dxa"/>
            <w:tcBorders>
              <w:top w:val="nil"/>
              <w:left w:val="nil"/>
              <w:bottom w:val="nil"/>
              <w:right w:val="nil"/>
            </w:tcBorders>
            <w:shd w:val="clear" w:color="000000" w:fill="FFFFFF"/>
            <w:noWrap/>
            <w:vAlign w:val="center"/>
            <w:hideMark/>
          </w:tcPr>
          <w:p w14:paraId="554519A3" w14:textId="77777777" w:rsidR="000B1F81" w:rsidRDefault="000B1F81" w:rsidP="000B1F81">
            <w:pPr>
              <w:jc w:val="center"/>
              <w:rPr>
                <w:color w:val="000000"/>
                <w:sz w:val="20"/>
                <w:szCs w:val="20"/>
              </w:rPr>
            </w:pPr>
            <w:r>
              <w:rPr>
                <w:color w:val="000000"/>
                <w:sz w:val="20"/>
                <w:szCs w:val="20"/>
              </w:rPr>
              <w:t>8</w:t>
            </w:r>
          </w:p>
        </w:tc>
      </w:tr>
      <w:tr w:rsidR="000B1F81" w14:paraId="080E19EA" w14:textId="77777777" w:rsidTr="000B1F81">
        <w:trPr>
          <w:trHeight w:val="300"/>
        </w:trPr>
        <w:tc>
          <w:tcPr>
            <w:tcW w:w="1205" w:type="dxa"/>
            <w:tcBorders>
              <w:top w:val="nil"/>
              <w:left w:val="nil"/>
              <w:bottom w:val="nil"/>
              <w:right w:val="nil"/>
            </w:tcBorders>
            <w:shd w:val="clear" w:color="000000" w:fill="FFFFFF"/>
            <w:noWrap/>
            <w:vAlign w:val="center"/>
            <w:hideMark/>
          </w:tcPr>
          <w:p w14:paraId="1DF61578" w14:textId="77777777" w:rsidR="000B1F81" w:rsidRDefault="000B1F81" w:rsidP="000B1F81">
            <w:pPr>
              <w:jc w:val="center"/>
              <w:rPr>
                <w:color w:val="000000"/>
                <w:sz w:val="20"/>
                <w:szCs w:val="20"/>
              </w:rPr>
            </w:pPr>
            <w:r>
              <w:rPr>
                <w:color w:val="000000"/>
                <w:sz w:val="20"/>
                <w:szCs w:val="20"/>
              </w:rPr>
              <w:t>cg18759102</w:t>
            </w:r>
          </w:p>
        </w:tc>
        <w:tc>
          <w:tcPr>
            <w:tcW w:w="1527" w:type="dxa"/>
            <w:tcBorders>
              <w:top w:val="nil"/>
              <w:left w:val="nil"/>
              <w:bottom w:val="nil"/>
              <w:right w:val="nil"/>
            </w:tcBorders>
            <w:shd w:val="clear" w:color="000000" w:fill="FFFFFF"/>
            <w:noWrap/>
            <w:vAlign w:val="center"/>
            <w:hideMark/>
          </w:tcPr>
          <w:p w14:paraId="04A24CC7" w14:textId="77777777" w:rsidR="000B1F81" w:rsidRDefault="000B1F81" w:rsidP="000B1F81">
            <w:pPr>
              <w:rPr>
                <w:color w:val="000000"/>
                <w:sz w:val="20"/>
                <w:szCs w:val="20"/>
              </w:rPr>
            </w:pPr>
            <w:r>
              <w:rPr>
                <w:color w:val="000000"/>
                <w:sz w:val="20"/>
                <w:szCs w:val="20"/>
              </w:rPr>
              <w:t>chr1:3100343</w:t>
            </w:r>
          </w:p>
        </w:tc>
        <w:tc>
          <w:tcPr>
            <w:tcW w:w="2220" w:type="dxa"/>
            <w:tcBorders>
              <w:top w:val="nil"/>
              <w:left w:val="nil"/>
              <w:bottom w:val="nil"/>
              <w:right w:val="nil"/>
            </w:tcBorders>
            <w:shd w:val="clear" w:color="000000" w:fill="FFFFFF"/>
            <w:noWrap/>
            <w:vAlign w:val="center"/>
            <w:hideMark/>
          </w:tcPr>
          <w:p w14:paraId="616819E6" w14:textId="77777777" w:rsidR="000B1F81" w:rsidRDefault="000B1F81" w:rsidP="000B1F81">
            <w:pPr>
              <w:rPr>
                <w:i/>
                <w:iCs/>
                <w:color w:val="000000"/>
                <w:sz w:val="20"/>
                <w:szCs w:val="20"/>
              </w:rPr>
            </w:pPr>
            <w:r>
              <w:rPr>
                <w:i/>
                <w:iCs/>
                <w:color w:val="000000"/>
                <w:sz w:val="20"/>
                <w:szCs w:val="20"/>
              </w:rPr>
              <w:t> </w:t>
            </w:r>
          </w:p>
        </w:tc>
        <w:tc>
          <w:tcPr>
            <w:tcW w:w="1002" w:type="dxa"/>
            <w:tcBorders>
              <w:top w:val="nil"/>
              <w:left w:val="nil"/>
              <w:bottom w:val="nil"/>
              <w:right w:val="nil"/>
            </w:tcBorders>
            <w:shd w:val="clear" w:color="000000" w:fill="FFFFFF"/>
            <w:noWrap/>
            <w:vAlign w:val="center"/>
            <w:hideMark/>
          </w:tcPr>
          <w:p w14:paraId="71B681D1" w14:textId="77777777" w:rsidR="000B1F81" w:rsidRDefault="000B1F81" w:rsidP="000B1F81">
            <w:pPr>
              <w:jc w:val="center"/>
              <w:rPr>
                <w:color w:val="000000"/>
                <w:sz w:val="20"/>
                <w:szCs w:val="20"/>
              </w:rPr>
            </w:pPr>
            <w:r>
              <w:rPr>
                <w:color w:val="000000"/>
                <w:sz w:val="20"/>
                <w:szCs w:val="20"/>
              </w:rPr>
              <w:t>3.56E-06</w:t>
            </w:r>
          </w:p>
        </w:tc>
        <w:tc>
          <w:tcPr>
            <w:tcW w:w="992" w:type="dxa"/>
            <w:tcBorders>
              <w:top w:val="nil"/>
              <w:left w:val="nil"/>
              <w:bottom w:val="nil"/>
              <w:right w:val="nil"/>
            </w:tcBorders>
            <w:shd w:val="clear" w:color="000000" w:fill="FFFFFF"/>
            <w:noWrap/>
            <w:vAlign w:val="center"/>
            <w:hideMark/>
          </w:tcPr>
          <w:p w14:paraId="019F1309" w14:textId="77777777" w:rsidR="000B1F81" w:rsidRDefault="000B1F81" w:rsidP="000B1F81">
            <w:pPr>
              <w:jc w:val="center"/>
              <w:rPr>
                <w:color w:val="000000"/>
                <w:sz w:val="20"/>
                <w:szCs w:val="20"/>
              </w:rPr>
            </w:pPr>
            <w:r>
              <w:rPr>
                <w:color w:val="000000"/>
                <w:sz w:val="20"/>
                <w:szCs w:val="20"/>
              </w:rPr>
              <w:t>2.92E-01</w:t>
            </w:r>
          </w:p>
        </w:tc>
        <w:tc>
          <w:tcPr>
            <w:tcW w:w="1134" w:type="dxa"/>
            <w:tcBorders>
              <w:top w:val="nil"/>
              <w:left w:val="nil"/>
              <w:bottom w:val="nil"/>
              <w:right w:val="nil"/>
            </w:tcBorders>
            <w:shd w:val="clear" w:color="000000" w:fill="FFFFFF"/>
            <w:noWrap/>
            <w:vAlign w:val="center"/>
            <w:hideMark/>
          </w:tcPr>
          <w:p w14:paraId="4EA9E728" w14:textId="77777777" w:rsidR="000B1F81" w:rsidRDefault="000B1F81" w:rsidP="000B1F81">
            <w:pPr>
              <w:jc w:val="center"/>
              <w:rPr>
                <w:color w:val="000000"/>
                <w:sz w:val="20"/>
                <w:szCs w:val="20"/>
              </w:rPr>
            </w:pPr>
            <w:r>
              <w:rPr>
                <w:color w:val="000000"/>
                <w:sz w:val="20"/>
                <w:szCs w:val="20"/>
              </w:rPr>
              <w:t>0.004</w:t>
            </w:r>
          </w:p>
        </w:tc>
        <w:tc>
          <w:tcPr>
            <w:tcW w:w="1843" w:type="dxa"/>
            <w:tcBorders>
              <w:top w:val="nil"/>
              <w:left w:val="nil"/>
              <w:bottom w:val="nil"/>
              <w:right w:val="nil"/>
            </w:tcBorders>
            <w:shd w:val="clear" w:color="000000" w:fill="FFFFFF"/>
            <w:noWrap/>
            <w:vAlign w:val="center"/>
            <w:hideMark/>
          </w:tcPr>
          <w:p w14:paraId="6715CDC9" w14:textId="77777777" w:rsidR="000B1F81" w:rsidRDefault="000B1F81" w:rsidP="000B1F81">
            <w:pPr>
              <w:jc w:val="center"/>
              <w:rPr>
                <w:color w:val="000000"/>
                <w:sz w:val="20"/>
                <w:szCs w:val="20"/>
              </w:rPr>
            </w:pPr>
            <w:r>
              <w:rPr>
                <w:color w:val="000000"/>
                <w:sz w:val="20"/>
                <w:szCs w:val="20"/>
              </w:rPr>
              <w:t>0.058 (0.045,0.071)</w:t>
            </w:r>
          </w:p>
        </w:tc>
        <w:tc>
          <w:tcPr>
            <w:tcW w:w="1843" w:type="dxa"/>
            <w:tcBorders>
              <w:top w:val="nil"/>
              <w:left w:val="nil"/>
              <w:bottom w:val="nil"/>
              <w:right w:val="nil"/>
            </w:tcBorders>
            <w:shd w:val="clear" w:color="000000" w:fill="FFFFFF"/>
            <w:noWrap/>
            <w:vAlign w:val="center"/>
            <w:hideMark/>
          </w:tcPr>
          <w:p w14:paraId="4A847EAC" w14:textId="77777777" w:rsidR="000B1F81" w:rsidRDefault="000B1F81" w:rsidP="000B1F81">
            <w:pPr>
              <w:jc w:val="center"/>
              <w:rPr>
                <w:color w:val="000000"/>
                <w:sz w:val="20"/>
                <w:szCs w:val="20"/>
              </w:rPr>
            </w:pPr>
            <w:r>
              <w:rPr>
                <w:color w:val="000000"/>
                <w:sz w:val="20"/>
                <w:szCs w:val="20"/>
              </w:rPr>
              <w:t>0.053 (0.042,0.068)</w:t>
            </w:r>
          </w:p>
        </w:tc>
        <w:tc>
          <w:tcPr>
            <w:tcW w:w="683" w:type="dxa"/>
            <w:tcBorders>
              <w:top w:val="nil"/>
              <w:left w:val="nil"/>
              <w:bottom w:val="nil"/>
              <w:right w:val="nil"/>
            </w:tcBorders>
            <w:shd w:val="clear" w:color="000000" w:fill="FFFFFF"/>
            <w:noWrap/>
            <w:vAlign w:val="center"/>
            <w:hideMark/>
          </w:tcPr>
          <w:p w14:paraId="57FC607A" w14:textId="77777777" w:rsidR="000B1F81" w:rsidRDefault="000B1F81" w:rsidP="000B1F81">
            <w:pPr>
              <w:jc w:val="center"/>
              <w:rPr>
                <w:color w:val="000000"/>
                <w:sz w:val="20"/>
                <w:szCs w:val="20"/>
              </w:rPr>
            </w:pPr>
            <w:r>
              <w:rPr>
                <w:color w:val="000000"/>
                <w:sz w:val="20"/>
                <w:szCs w:val="20"/>
              </w:rPr>
              <w:t>9</w:t>
            </w:r>
          </w:p>
        </w:tc>
      </w:tr>
      <w:tr w:rsidR="000B1F81" w14:paraId="7000C367" w14:textId="77777777" w:rsidTr="000B1F81">
        <w:trPr>
          <w:trHeight w:val="300"/>
        </w:trPr>
        <w:tc>
          <w:tcPr>
            <w:tcW w:w="1205" w:type="dxa"/>
            <w:tcBorders>
              <w:top w:val="nil"/>
              <w:left w:val="nil"/>
              <w:bottom w:val="single" w:sz="4" w:space="0" w:color="auto"/>
              <w:right w:val="nil"/>
            </w:tcBorders>
            <w:shd w:val="clear" w:color="000000" w:fill="FFFFFF"/>
            <w:noWrap/>
            <w:vAlign w:val="center"/>
            <w:hideMark/>
          </w:tcPr>
          <w:p w14:paraId="2004E793" w14:textId="77777777" w:rsidR="000B1F81" w:rsidRDefault="000B1F81" w:rsidP="000B1F81">
            <w:pPr>
              <w:jc w:val="center"/>
              <w:rPr>
                <w:color w:val="000000"/>
                <w:sz w:val="20"/>
                <w:szCs w:val="20"/>
              </w:rPr>
            </w:pPr>
            <w:r>
              <w:rPr>
                <w:color w:val="000000"/>
                <w:sz w:val="20"/>
                <w:szCs w:val="20"/>
              </w:rPr>
              <w:t>cg07438401</w:t>
            </w:r>
          </w:p>
        </w:tc>
        <w:tc>
          <w:tcPr>
            <w:tcW w:w="1527" w:type="dxa"/>
            <w:tcBorders>
              <w:top w:val="nil"/>
              <w:left w:val="nil"/>
              <w:bottom w:val="single" w:sz="4" w:space="0" w:color="auto"/>
              <w:right w:val="nil"/>
            </w:tcBorders>
            <w:shd w:val="clear" w:color="000000" w:fill="FFFFFF"/>
            <w:noWrap/>
            <w:vAlign w:val="center"/>
            <w:hideMark/>
          </w:tcPr>
          <w:p w14:paraId="7734A367" w14:textId="77777777" w:rsidR="000B1F81" w:rsidRDefault="000B1F81" w:rsidP="000B1F81">
            <w:pPr>
              <w:rPr>
                <w:color w:val="000000"/>
                <w:sz w:val="20"/>
                <w:szCs w:val="20"/>
              </w:rPr>
            </w:pPr>
            <w:r>
              <w:rPr>
                <w:color w:val="000000"/>
                <w:sz w:val="20"/>
                <w:szCs w:val="20"/>
              </w:rPr>
              <w:t>chr3:67698057</w:t>
            </w:r>
          </w:p>
        </w:tc>
        <w:tc>
          <w:tcPr>
            <w:tcW w:w="2220" w:type="dxa"/>
            <w:tcBorders>
              <w:top w:val="nil"/>
              <w:left w:val="nil"/>
              <w:bottom w:val="single" w:sz="4" w:space="0" w:color="auto"/>
              <w:right w:val="nil"/>
            </w:tcBorders>
            <w:shd w:val="clear" w:color="000000" w:fill="FFFFFF"/>
            <w:noWrap/>
            <w:vAlign w:val="center"/>
            <w:hideMark/>
          </w:tcPr>
          <w:p w14:paraId="396D9EAE" w14:textId="77777777" w:rsidR="000B1F81" w:rsidRDefault="000B1F81" w:rsidP="000B1F81">
            <w:pPr>
              <w:rPr>
                <w:i/>
                <w:iCs/>
                <w:color w:val="000000"/>
                <w:sz w:val="20"/>
                <w:szCs w:val="20"/>
              </w:rPr>
            </w:pPr>
            <w:r>
              <w:rPr>
                <w:i/>
                <w:iCs/>
                <w:color w:val="000000"/>
                <w:sz w:val="20"/>
                <w:szCs w:val="20"/>
              </w:rPr>
              <w:t>SUCLG2</w:t>
            </w:r>
          </w:p>
        </w:tc>
        <w:tc>
          <w:tcPr>
            <w:tcW w:w="1002" w:type="dxa"/>
            <w:tcBorders>
              <w:top w:val="nil"/>
              <w:left w:val="nil"/>
              <w:bottom w:val="single" w:sz="4" w:space="0" w:color="auto"/>
              <w:right w:val="nil"/>
            </w:tcBorders>
            <w:shd w:val="clear" w:color="000000" w:fill="FFFFFF"/>
            <w:noWrap/>
            <w:vAlign w:val="center"/>
            <w:hideMark/>
          </w:tcPr>
          <w:p w14:paraId="3D6D4138" w14:textId="77777777" w:rsidR="000B1F81" w:rsidRDefault="000B1F81" w:rsidP="000B1F81">
            <w:pPr>
              <w:jc w:val="center"/>
              <w:rPr>
                <w:color w:val="000000"/>
                <w:sz w:val="20"/>
                <w:szCs w:val="20"/>
              </w:rPr>
            </w:pPr>
            <w:r>
              <w:rPr>
                <w:color w:val="000000"/>
                <w:sz w:val="20"/>
                <w:szCs w:val="20"/>
              </w:rPr>
              <w:t>3.64E-06</w:t>
            </w:r>
          </w:p>
        </w:tc>
        <w:tc>
          <w:tcPr>
            <w:tcW w:w="992" w:type="dxa"/>
            <w:tcBorders>
              <w:top w:val="nil"/>
              <w:left w:val="nil"/>
              <w:bottom w:val="single" w:sz="4" w:space="0" w:color="auto"/>
              <w:right w:val="nil"/>
            </w:tcBorders>
            <w:shd w:val="clear" w:color="000000" w:fill="FFFFFF"/>
            <w:noWrap/>
            <w:vAlign w:val="center"/>
            <w:hideMark/>
          </w:tcPr>
          <w:p w14:paraId="236BCA2D" w14:textId="77777777" w:rsidR="000B1F81" w:rsidRDefault="000B1F81" w:rsidP="000B1F81">
            <w:pPr>
              <w:jc w:val="center"/>
              <w:rPr>
                <w:color w:val="000000"/>
                <w:sz w:val="20"/>
                <w:szCs w:val="20"/>
              </w:rPr>
            </w:pPr>
            <w:r>
              <w:rPr>
                <w:color w:val="000000"/>
                <w:sz w:val="20"/>
                <w:szCs w:val="20"/>
              </w:rPr>
              <w:t>2.92E-01</w:t>
            </w:r>
          </w:p>
        </w:tc>
        <w:tc>
          <w:tcPr>
            <w:tcW w:w="1134" w:type="dxa"/>
            <w:tcBorders>
              <w:top w:val="nil"/>
              <w:left w:val="nil"/>
              <w:bottom w:val="single" w:sz="4" w:space="0" w:color="auto"/>
              <w:right w:val="nil"/>
            </w:tcBorders>
            <w:shd w:val="clear" w:color="000000" w:fill="FFFFFF"/>
            <w:noWrap/>
            <w:vAlign w:val="center"/>
            <w:hideMark/>
          </w:tcPr>
          <w:p w14:paraId="7937E91A" w14:textId="77777777" w:rsidR="000B1F81" w:rsidRDefault="000B1F81" w:rsidP="000B1F81">
            <w:pPr>
              <w:jc w:val="center"/>
              <w:rPr>
                <w:color w:val="000000"/>
                <w:sz w:val="20"/>
                <w:szCs w:val="20"/>
              </w:rPr>
            </w:pPr>
            <w:r>
              <w:rPr>
                <w:color w:val="000000"/>
                <w:sz w:val="20"/>
                <w:szCs w:val="20"/>
              </w:rPr>
              <w:t>-0.0057</w:t>
            </w:r>
          </w:p>
        </w:tc>
        <w:tc>
          <w:tcPr>
            <w:tcW w:w="1843" w:type="dxa"/>
            <w:tcBorders>
              <w:top w:val="nil"/>
              <w:left w:val="nil"/>
              <w:bottom w:val="single" w:sz="4" w:space="0" w:color="auto"/>
              <w:right w:val="nil"/>
            </w:tcBorders>
            <w:shd w:val="clear" w:color="000000" w:fill="FFFFFF"/>
            <w:noWrap/>
            <w:vAlign w:val="center"/>
            <w:hideMark/>
          </w:tcPr>
          <w:p w14:paraId="70F67298" w14:textId="77777777" w:rsidR="000B1F81" w:rsidRDefault="000B1F81" w:rsidP="000B1F81">
            <w:pPr>
              <w:jc w:val="center"/>
              <w:rPr>
                <w:color w:val="000000"/>
                <w:sz w:val="20"/>
                <w:szCs w:val="20"/>
              </w:rPr>
            </w:pPr>
            <w:r>
              <w:rPr>
                <w:color w:val="000000"/>
                <w:sz w:val="20"/>
                <w:szCs w:val="20"/>
              </w:rPr>
              <w:t>0.891 (0.873,0.908)</w:t>
            </w:r>
          </w:p>
        </w:tc>
        <w:tc>
          <w:tcPr>
            <w:tcW w:w="1843" w:type="dxa"/>
            <w:tcBorders>
              <w:top w:val="nil"/>
              <w:left w:val="nil"/>
              <w:bottom w:val="single" w:sz="4" w:space="0" w:color="auto"/>
              <w:right w:val="nil"/>
            </w:tcBorders>
            <w:shd w:val="clear" w:color="000000" w:fill="FFFFFF"/>
            <w:noWrap/>
            <w:vAlign w:val="center"/>
            <w:hideMark/>
          </w:tcPr>
          <w:p w14:paraId="39971DA4" w14:textId="77777777" w:rsidR="000B1F81" w:rsidRDefault="000B1F81" w:rsidP="000B1F81">
            <w:pPr>
              <w:jc w:val="center"/>
              <w:rPr>
                <w:color w:val="000000"/>
                <w:sz w:val="20"/>
                <w:szCs w:val="20"/>
              </w:rPr>
            </w:pPr>
            <w:r>
              <w:rPr>
                <w:color w:val="000000"/>
                <w:sz w:val="20"/>
                <w:szCs w:val="20"/>
              </w:rPr>
              <w:t>0.898 (0.882,0.911)</w:t>
            </w:r>
          </w:p>
        </w:tc>
        <w:tc>
          <w:tcPr>
            <w:tcW w:w="683" w:type="dxa"/>
            <w:tcBorders>
              <w:top w:val="nil"/>
              <w:left w:val="nil"/>
              <w:bottom w:val="single" w:sz="4" w:space="0" w:color="auto"/>
              <w:right w:val="nil"/>
            </w:tcBorders>
            <w:shd w:val="clear" w:color="000000" w:fill="FFFFFF"/>
            <w:noWrap/>
            <w:vAlign w:val="center"/>
            <w:hideMark/>
          </w:tcPr>
          <w:p w14:paraId="7558F01F" w14:textId="77777777" w:rsidR="000B1F81" w:rsidRDefault="000B1F81" w:rsidP="000B1F81">
            <w:pPr>
              <w:jc w:val="center"/>
              <w:rPr>
                <w:color w:val="000000"/>
                <w:sz w:val="20"/>
                <w:szCs w:val="20"/>
              </w:rPr>
            </w:pPr>
            <w:r>
              <w:rPr>
                <w:color w:val="000000"/>
                <w:sz w:val="20"/>
                <w:szCs w:val="20"/>
              </w:rPr>
              <w:t>10</w:t>
            </w:r>
          </w:p>
        </w:tc>
      </w:tr>
    </w:tbl>
    <w:p w14:paraId="73C391B5"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610FFABC"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1975CBCF"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62210918"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099983BC"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2636FD49"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54272AD5"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7158EC86"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15A31D99"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4CAF1B24"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456A5952"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1B907470"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2AEA00D0"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7208C656" w14:textId="77777777" w:rsidR="000B1F81" w:rsidRDefault="000B1F81" w:rsidP="001A64D3">
      <w:pPr>
        <w:pBdr>
          <w:top w:val="nil"/>
          <w:left w:val="nil"/>
          <w:bottom w:val="nil"/>
          <w:right w:val="nil"/>
          <w:between w:val="nil"/>
          <w:bar w:val="nil"/>
        </w:pBdr>
        <w:spacing w:line="360" w:lineRule="auto"/>
        <w:rPr>
          <w:color w:val="000000" w:themeColor="text1"/>
          <w:sz w:val="20"/>
          <w:szCs w:val="20"/>
        </w:rPr>
      </w:pPr>
    </w:p>
    <w:p w14:paraId="5E6D05B7" w14:textId="586DB4D6" w:rsidR="007978B6" w:rsidRPr="00DE359F" w:rsidRDefault="000B1F81" w:rsidP="00AA1A8A">
      <w:pPr>
        <w:spacing w:line="360" w:lineRule="auto"/>
        <w:ind w:right="2078"/>
        <w:jc w:val="both"/>
        <w:rPr>
          <w:color w:val="000000" w:themeColor="text1"/>
          <w:sz w:val="22"/>
          <w:szCs w:val="22"/>
        </w:rPr>
      </w:pPr>
      <w:r w:rsidRPr="006A2D07">
        <w:rPr>
          <w:color w:val="000000" w:themeColor="text1"/>
        </w:rPr>
        <w:t xml:space="preserve">DMPs passing FDR 5% are indicated above the </w:t>
      </w:r>
      <w:r>
        <w:rPr>
          <w:color w:val="000000" w:themeColor="text1"/>
        </w:rPr>
        <w:t>dashed</w:t>
      </w:r>
      <w:r w:rsidRPr="006A2D07">
        <w:rPr>
          <w:color w:val="000000" w:themeColor="text1"/>
        </w:rPr>
        <w:t xml:space="preserve"> line. Given for each probe are the </w:t>
      </w:r>
      <w:r>
        <w:rPr>
          <w:color w:val="000000" w:themeColor="text1"/>
        </w:rPr>
        <w:t xml:space="preserve">Illumina probe ID, </w:t>
      </w:r>
      <w:r w:rsidRPr="006A2D07">
        <w:rPr>
          <w:color w:val="000000" w:themeColor="text1"/>
        </w:rPr>
        <w:t xml:space="preserve">genomic position (hg19), annotated gene (EPIC manifest), regression p value for the effect of intervention group, the FDR adjusted p </w:t>
      </w:r>
      <w:proofErr w:type="spellStart"/>
      <w:r w:rsidRPr="006A2D07">
        <w:rPr>
          <w:color w:val="000000" w:themeColor="text1"/>
        </w:rPr>
        <w:t>vaiue</w:t>
      </w:r>
      <w:proofErr w:type="spellEnd"/>
      <w:r w:rsidRPr="006A2D07">
        <w:rPr>
          <w:color w:val="000000" w:themeColor="text1"/>
        </w:rPr>
        <w:t xml:space="preserve">, </w:t>
      </w:r>
      <w:r>
        <w:rPr>
          <w:color w:val="000000" w:themeColor="text1"/>
        </w:rPr>
        <w:t xml:space="preserve">change in mean Beta </w:t>
      </w:r>
      <w:r w:rsidRPr="006A2D07">
        <w:rPr>
          <w:color w:val="000000" w:themeColor="text1"/>
        </w:rPr>
        <w:t xml:space="preserve">between intervention and control groups, </w:t>
      </w:r>
      <w:r>
        <w:rPr>
          <w:color w:val="000000" w:themeColor="text1"/>
        </w:rPr>
        <w:t xml:space="preserve">the Beta value variability [median (IQR)], </w:t>
      </w:r>
      <w:r w:rsidRPr="006A2D07">
        <w:rPr>
          <w:color w:val="000000" w:themeColor="text1"/>
        </w:rPr>
        <w:t xml:space="preserve">and finally the rank at which the CpG appears in the list of all tested probes (sorted by p value). </w:t>
      </w:r>
      <w:r w:rsidR="007978B6" w:rsidRPr="00C36EAD">
        <w:rPr>
          <w:color w:val="000000" w:themeColor="text1"/>
          <w:szCs w:val="22"/>
        </w:rPr>
        <w:t xml:space="preserve">EWAS, epigenome-wide association study; </w:t>
      </w:r>
      <w:r w:rsidR="007978B6">
        <w:rPr>
          <w:color w:val="000000" w:themeColor="text1"/>
          <w:sz w:val="22"/>
          <w:szCs w:val="22"/>
        </w:rPr>
        <w:t>DMP</w:t>
      </w:r>
      <w:r w:rsidR="00803245">
        <w:rPr>
          <w:color w:val="000000" w:themeColor="text1"/>
          <w:sz w:val="22"/>
          <w:szCs w:val="22"/>
        </w:rPr>
        <w:t>s</w:t>
      </w:r>
      <w:r w:rsidR="007978B6">
        <w:rPr>
          <w:color w:val="000000" w:themeColor="text1"/>
          <w:sz w:val="22"/>
          <w:szCs w:val="22"/>
        </w:rPr>
        <w:t xml:space="preserve">, </w:t>
      </w:r>
      <w:r w:rsidR="007978B6" w:rsidRPr="00C36EAD">
        <w:rPr>
          <w:color w:val="000000" w:themeColor="text1"/>
        </w:rPr>
        <w:t>Differentially methylated position</w:t>
      </w:r>
      <w:r w:rsidR="00803245">
        <w:rPr>
          <w:color w:val="000000" w:themeColor="text1"/>
        </w:rPr>
        <w:t>s</w:t>
      </w:r>
      <w:r w:rsidR="007978B6">
        <w:rPr>
          <w:color w:val="000000" w:themeColor="text1"/>
        </w:rPr>
        <w:t>; FDR, false discovery rate</w:t>
      </w:r>
      <w:r w:rsidR="0044252C">
        <w:rPr>
          <w:color w:val="000000" w:themeColor="text1"/>
        </w:rPr>
        <w:t>; IQR, interquartile range</w:t>
      </w:r>
      <w:r w:rsidR="00D37917">
        <w:rPr>
          <w:color w:val="000000" w:themeColor="text1"/>
        </w:rPr>
        <w:t>.</w:t>
      </w:r>
    </w:p>
    <w:p w14:paraId="2C1A0648" w14:textId="03BF6DEE" w:rsidR="00E17D0F" w:rsidRPr="005A28F5" w:rsidRDefault="00E17D0F" w:rsidP="001A64D3">
      <w:pPr>
        <w:pBdr>
          <w:top w:val="nil"/>
          <w:left w:val="nil"/>
          <w:bottom w:val="nil"/>
          <w:right w:val="nil"/>
          <w:between w:val="nil"/>
          <w:bar w:val="nil"/>
        </w:pBdr>
        <w:spacing w:line="360" w:lineRule="auto"/>
        <w:rPr>
          <w:color w:val="000000" w:themeColor="text1"/>
          <w:sz w:val="20"/>
          <w:szCs w:val="20"/>
        </w:rPr>
      </w:pPr>
      <w:r w:rsidRPr="005A28F5">
        <w:rPr>
          <w:color w:val="000000" w:themeColor="text1"/>
          <w:sz w:val="20"/>
          <w:szCs w:val="20"/>
        </w:rPr>
        <w:br w:type="page"/>
      </w:r>
    </w:p>
    <w:p w14:paraId="3BBB7CB0" w14:textId="77777777" w:rsidR="00991AFB" w:rsidRDefault="00991AFB" w:rsidP="001A64D3">
      <w:pPr>
        <w:spacing w:line="360" w:lineRule="auto"/>
        <w:jc w:val="both"/>
        <w:rPr>
          <w:color w:val="000000" w:themeColor="text1"/>
          <w:sz w:val="20"/>
          <w:szCs w:val="20"/>
        </w:rPr>
        <w:sectPr w:rsidR="00991AFB" w:rsidSect="003863E9">
          <w:pgSz w:w="16820" w:h="11900" w:orient="landscape"/>
          <w:pgMar w:top="644" w:right="1134" w:bottom="201" w:left="1134" w:header="709" w:footer="851" w:gutter="0"/>
          <w:cols w:space="720"/>
          <w:docGrid w:linePitch="326"/>
        </w:sectPr>
      </w:pPr>
    </w:p>
    <w:p w14:paraId="4A5C1790" w14:textId="586BD447" w:rsidR="004B7D68" w:rsidRDefault="004B7D68" w:rsidP="001A64D3">
      <w:pPr>
        <w:spacing w:line="360" w:lineRule="auto"/>
        <w:jc w:val="both"/>
        <w:rPr>
          <w:color w:val="000000" w:themeColor="text1"/>
          <w:sz w:val="20"/>
          <w:szCs w:val="20"/>
        </w:rPr>
      </w:pPr>
    </w:p>
    <w:p w14:paraId="317D8455" w14:textId="334F2F18" w:rsidR="00642275" w:rsidRPr="006A2D07" w:rsidRDefault="00642275" w:rsidP="00642275">
      <w:pPr>
        <w:spacing w:line="360" w:lineRule="auto"/>
        <w:jc w:val="both"/>
        <w:rPr>
          <w:sz w:val="36"/>
          <w:szCs w:val="36"/>
        </w:rPr>
      </w:pPr>
      <w:r w:rsidRPr="006A2D07">
        <w:rPr>
          <w:b/>
          <w:color w:val="000000" w:themeColor="text1"/>
        </w:rPr>
        <w:t>Table 5.</w:t>
      </w:r>
      <w:r w:rsidRPr="006A2D07">
        <w:rPr>
          <w:color w:val="000000" w:themeColor="text1"/>
        </w:rPr>
        <w:t xml:space="preserve"> </w:t>
      </w:r>
      <w:r w:rsidRPr="006A2D07">
        <w:rPr>
          <w:b/>
          <w:color w:val="000000" w:themeColor="text1"/>
        </w:rPr>
        <w:t>Enrichment analysis for metastable epialleles and loci mapping to imprinted genes</w:t>
      </w:r>
      <w:r w:rsidRPr="006A2D07">
        <w:rPr>
          <w:color w:val="000000" w:themeColor="text1"/>
        </w:rPr>
        <w:t xml:space="preserve">. </w:t>
      </w:r>
    </w:p>
    <w:p w14:paraId="03F6D749" w14:textId="2FADB5A1" w:rsidR="006A2D07" w:rsidRDefault="006A2D07" w:rsidP="001A64D3">
      <w:pPr>
        <w:spacing w:line="360" w:lineRule="auto"/>
        <w:jc w:val="both"/>
        <w:rPr>
          <w:color w:val="000000" w:themeColor="text1"/>
          <w:sz w:val="20"/>
          <w:szCs w:val="20"/>
        </w:rPr>
      </w:pPr>
    </w:p>
    <w:p w14:paraId="361DBE7A" w14:textId="77777777" w:rsidR="006A2D07" w:rsidRPr="005A28F5" w:rsidRDefault="006A2D07" w:rsidP="001A64D3">
      <w:pPr>
        <w:spacing w:line="360" w:lineRule="auto"/>
        <w:jc w:val="both"/>
        <w:rPr>
          <w:color w:val="000000" w:themeColor="text1"/>
          <w:sz w:val="20"/>
          <w:szCs w:val="20"/>
        </w:rPr>
      </w:pPr>
    </w:p>
    <w:tbl>
      <w:tblPr>
        <w:tblpPr w:leftFromText="180" w:rightFromText="180" w:vertAnchor="page" w:horzAnchor="page" w:tblpX="1801" w:tblpY="2454"/>
        <w:tblW w:w="9498" w:type="dxa"/>
        <w:tblLayout w:type="fixed"/>
        <w:tblLook w:val="04A0" w:firstRow="1" w:lastRow="0" w:firstColumn="1" w:lastColumn="0" w:noHBand="0" w:noVBand="1"/>
      </w:tblPr>
      <w:tblGrid>
        <w:gridCol w:w="2268"/>
        <w:gridCol w:w="1560"/>
        <w:gridCol w:w="1559"/>
        <w:gridCol w:w="1276"/>
        <w:gridCol w:w="1559"/>
        <w:gridCol w:w="1276"/>
      </w:tblGrid>
      <w:tr w:rsidR="000B1F81" w:rsidRPr="005A28F5" w14:paraId="467FA78E" w14:textId="77777777" w:rsidTr="000B1F81">
        <w:trPr>
          <w:trHeight w:val="320"/>
        </w:trPr>
        <w:tc>
          <w:tcPr>
            <w:tcW w:w="2268" w:type="dxa"/>
            <w:tcBorders>
              <w:top w:val="nil"/>
              <w:left w:val="nil"/>
              <w:bottom w:val="nil"/>
              <w:right w:val="nil"/>
            </w:tcBorders>
            <w:shd w:val="clear" w:color="000000" w:fill="FFFFFF"/>
            <w:noWrap/>
            <w:vAlign w:val="bottom"/>
            <w:hideMark/>
          </w:tcPr>
          <w:p w14:paraId="0B06F70F" w14:textId="77777777" w:rsidR="000B1F81" w:rsidRPr="005A28F5" w:rsidRDefault="000B1F81" w:rsidP="000B1F81">
            <w:pPr>
              <w:spacing w:line="360" w:lineRule="auto"/>
              <w:rPr>
                <w:color w:val="000000"/>
                <w:sz w:val="20"/>
                <w:szCs w:val="20"/>
              </w:rPr>
            </w:pPr>
            <w:r w:rsidRPr="005A28F5">
              <w:rPr>
                <w:color w:val="000000"/>
                <w:sz w:val="20"/>
                <w:szCs w:val="20"/>
              </w:rPr>
              <w:t> </w:t>
            </w:r>
          </w:p>
        </w:tc>
        <w:tc>
          <w:tcPr>
            <w:tcW w:w="1560" w:type="dxa"/>
            <w:tcBorders>
              <w:top w:val="nil"/>
              <w:left w:val="nil"/>
              <w:bottom w:val="nil"/>
              <w:right w:val="nil"/>
            </w:tcBorders>
            <w:shd w:val="clear" w:color="000000" w:fill="FFFFFF"/>
            <w:noWrap/>
            <w:vAlign w:val="bottom"/>
            <w:hideMark/>
          </w:tcPr>
          <w:p w14:paraId="2540B45F" w14:textId="77777777" w:rsidR="000B1F81" w:rsidRPr="005A28F5" w:rsidRDefault="000B1F81" w:rsidP="000B1F81">
            <w:pPr>
              <w:spacing w:line="360" w:lineRule="auto"/>
              <w:rPr>
                <w:color w:val="000000"/>
                <w:sz w:val="20"/>
                <w:szCs w:val="20"/>
              </w:rPr>
            </w:pPr>
            <w:r w:rsidRPr="005A28F5">
              <w:rPr>
                <w:color w:val="000000"/>
                <w:sz w:val="20"/>
                <w:szCs w:val="20"/>
              </w:rPr>
              <w:t> </w:t>
            </w:r>
          </w:p>
        </w:tc>
        <w:tc>
          <w:tcPr>
            <w:tcW w:w="5670" w:type="dxa"/>
            <w:gridSpan w:val="4"/>
            <w:tcBorders>
              <w:top w:val="nil"/>
              <w:left w:val="nil"/>
              <w:bottom w:val="single" w:sz="4" w:space="0" w:color="000000"/>
              <w:right w:val="nil"/>
            </w:tcBorders>
            <w:shd w:val="clear" w:color="000000" w:fill="FFFFFF"/>
            <w:noWrap/>
            <w:vAlign w:val="bottom"/>
            <w:hideMark/>
          </w:tcPr>
          <w:p w14:paraId="3E5463A6"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Dataset</w:t>
            </w:r>
          </w:p>
        </w:tc>
      </w:tr>
      <w:tr w:rsidR="000B1F81" w:rsidRPr="005A28F5" w14:paraId="00AEAC3D" w14:textId="77777777" w:rsidTr="000B1F81">
        <w:trPr>
          <w:trHeight w:val="320"/>
        </w:trPr>
        <w:tc>
          <w:tcPr>
            <w:tcW w:w="2268" w:type="dxa"/>
            <w:tcBorders>
              <w:top w:val="nil"/>
              <w:left w:val="nil"/>
              <w:bottom w:val="nil"/>
              <w:right w:val="nil"/>
            </w:tcBorders>
            <w:shd w:val="clear" w:color="auto" w:fill="auto"/>
            <w:noWrap/>
            <w:vAlign w:val="bottom"/>
            <w:hideMark/>
          </w:tcPr>
          <w:p w14:paraId="2A4BBAAB" w14:textId="77777777" w:rsidR="000B1F81" w:rsidRPr="005A28F5" w:rsidRDefault="000B1F81" w:rsidP="000B1F81">
            <w:pPr>
              <w:spacing w:line="360" w:lineRule="auto"/>
              <w:jc w:val="center"/>
              <w:rPr>
                <w:b/>
                <w:bCs/>
                <w:color w:val="000000"/>
                <w:sz w:val="20"/>
                <w:szCs w:val="20"/>
              </w:rPr>
            </w:pPr>
          </w:p>
        </w:tc>
        <w:tc>
          <w:tcPr>
            <w:tcW w:w="1560" w:type="dxa"/>
            <w:tcBorders>
              <w:top w:val="nil"/>
              <w:left w:val="nil"/>
              <w:bottom w:val="nil"/>
              <w:right w:val="nil"/>
            </w:tcBorders>
            <w:shd w:val="clear" w:color="auto" w:fill="auto"/>
            <w:noWrap/>
            <w:vAlign w:val="bottom"/>
            <w:hideMark/>
          </w:tcPr>
          <w:p w14:paraId="364501EC" w14:textId="77777777" w:rsidR="000B1F81" w:rsidRPr="005A28F5" w:rsidRDefault="000B1F81" w:rsidP="000B1F81">
            <w:pPr>
              <w:spacing w:line="360" w:lineRule="auto"/>
              <w:rPr>
                <w:b/>
                <w:bCs/>
                <w:color w:val="000000"/>
                <w:sz w:val="20"/>
                <w:szCs w:val="20"/>
              </w:rPr>
            </w:pPr>
          </w:p>
        </w:tc>
        <w:tc>
          <w:tcPr>
            <w:tcW w:w="2835" w:type="dxa"/>
            <w:gridSpan w:val="2"/>
            <w:tcBorders>
              <w:top w:val="nil"/>
              <w:left w:val="nil"/>
              <w:bottom w:val="nil"/>
              <w:right w:val="nil"/>
            </w:tcBorders>
            <w:shd w:val="clear" w:color="000000" w:fill="FFFFFF"/>
            <w:noWrap/>
            <w:vAlign w:val="bottom"/>
            <w:hideMark/>
          </w:tcPr>
          <w:p w14:paraId="10677F5F" w14:textId="77777777" w:rsidR="000B1F81" w:rsidRPr="005A28F5" w:rsidRDefault="000B1F81" w:rsidP="000B1F81">
            <w:pPr>
              <w:spacing w:line="360" w:lineRule="auto"/>
              <w:jc w:val="center"/>
              <w:rPr>
                <w:b/>
                <w:color w:val="000000"/>
                <w:sz w:val="20"/>
                <w:szCs w:val="20"/>
              </w:rPr>
            </w:pPr>
            <w:r w:rsidRPr="005A28F5">
              <w:rPr>
                <w:b/>
                <w:color w:val="000000"/>
                <w:sz w:val="20"/>
                <w:szCs w:val="20"/>
              </w:rPr>
              <w:t>Gambian</w:t>
            </w:r>
          </w:p>
        </w:tc>
        <w:tc>
          <w:tcPr>
            <w:tcW w:w="2835" w:type="dxa"/>
            <w:gridSpan w:val="2"/>
            <w:tcBorders>
              <w:top w:val="nil"/>
              <w:left w:val="nil"/>
              <w:bottom w:val="nil"/>
              <w:right w:val="nil"/>
            </w:tcBorders>
            <w:shd w:val="clear" w:color="000000" w:fill="FFFFFF"/>
            <w:noWrap/>
            <w:vAlign w:val="bottom"/>
            <w:hideMark/>
          </w:tcPr>
          <w:p w14:paraId="6D8E21AC" w14:textId="77777777" w:rsidR="000B1F81" w:rsidRPr="005A28F5" w:rsidRDefault="000B1F81" w:rsidP="000B1F81">
            <w:pPr>
              <w:spacing w:line="360" w:lineRule="auto"/>
              <w:jc w:val="center"/>
              <w:rPr>
                <w:b/>
                <w:color w:val="000000"/>
                <w:sz w:val="20"/>
                <w:szCs w:val="20"/>
              </w:rPr>
            </w:pPr>
            <w:r w:rsidRPr="005A28F5">
              <w:rPr>
                <w:b/>
                <w:color w:val="000000"/>
                <w:sz w:val="20"/>
                <w:szCs w:val="20"/>
              </w:rPr>
              <w:t>India</w:t>
            </w:r>
          </w:p>
        </w:tc>
      </w:tr>
      <w:tr w:rsidR="000B1F81" w:rsidRPr="005A28F5" w14:paraId="433A5243" w14:textId="77777777" w:rsidTr="000B1F81">
        <w:trPr>
          <w:trHeight w:val="320"/>
        </w:trPr>
        <w:tc>
          <w:tcPr>
            <w:tcW w:w="2268" w:type="dxa"/>
            <w:tcBorders>
              <w:top w:val="nil"/>
              <w:left w:val="nil"/>
              <w:bottom w:val="single" w:sz="4" w:space="0" w:color="000000"/>
              <w:right w:val="nil"/>
            </w:tcBorders>
            <w:shd w:val="clear" w:color="000000" w:fill="FFFFFF"/>
            <w:noWrap/>
            <w:vAlign w:val="center"/>
            <w:hideMark/>
          </w:tcPr>
          <w:p w14:paraId="4812513D" w14:textId="77777777" w:rsidR="000B1F81" w:rsidRPr="005A28F5" w:rsidRDefault="000B1F81" w:rsidP="000B1F81">
            <w:pPr>
              <w:spacing w:line="360" w:lineRule="auto"/>
              <w:rPr>
                <w:b/>
                <w:bCs/>
                <w:color w:val="000000"/>
                <w:sz w:val="20"/>
                <w:szCs w:val="20"/>
              </w:rPr>
            </w:pPr>
            <w:r w:rsidRPr="005A28F5">
              <w:rPr>
                <w:b/>
                <w:bCs/>
                <w:color w:val="000000"/>
                <w:sz w:val="20"/>
                <w:szCs w:val="20"/>
              </w:rPr>
              <w:t>CpG set</w:t>
            </w:r>
          </w:p>
        </w:tc>
        <w:tc>
          <w:tcPr>
            <w:tcW w:w="1560" w:type="dxa"/>
            <w:tcBorders>
              <w:top w:val="nil"/>
              <w:left w:val="nil"/>
              <w:bottom w:val="single" w:sz="4" w:space="0" w:color="auto"/>
              <w:right w:val="nil"/>
            </w:tcBorders>
            <w:shd w:val="clear" w:color="000000" w:fill="FFFFFF"/>
            <w:noWrap/>
            <w:vAlign w:val="bottom"/>
            <w:hideMark/>
          </w:tcPr>
          <w:p w14:paraId="01C36A08"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n in CpG set</w:t>
            </w:r>
          </w:p>
        </w:tc>
        <w:tc>
          <w:tcPr>
            <w:tcW w:w="1559" w:type="dxa"/>
            <w:tcBorders>
              <w:top w:val="nil"/>
              <w:left w:val="nil"/>
              <w:bottom w:val="single" w:sz="4" w:space="0" w:color="auto"/>
              <w:right w:val="nil"/>
            </w:tcBorders>
            <w:shd w:val="clear" w:color="000000" w:fill="FFFFFF"/>
            <w:noWrap/>
            <w:vAlign w:val="bottom"/>
            <w:hideMark/>
          </w:tcPr>
          <w:p w14:paraId="40C75DD1"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n sub-threshold CpGs in CpG set</w:t>
            </w:r>
          </w:p>
        </w:tc>
        <w:tc>
          <w:tcPr>
            <w:tcW w:w="1276" w:type="dxa"/>
            <w:tcBorders>
              <w:top w:val="nil"/>
              <w:left w:val="nil"/>
              <w:bottom w:val="single" w:sz="4" w:space="0" w:color="auto"/>
              <w:right w:val="nil"/>
            </w:tcBorders>
            <w:shd w:val="clear" w:color="000000" w:fill="FFFFFF"/>
            <w:noWrap/>
            <w:vAlign w:val="bottom"/>
            <w:hideMark/>
          </w:tcPr>
          <w:p w14:paraId="3B66FB83"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Enrichment p value</w:t>
            </w:r>
          </w:p>
        </w:tc>
        <w:tc>
          <w:tcPr>
            <w:tcW w:w="1559" w:type="dxa"/>
            <w:tcBorders>
              <w:top w:val="nil"/>
              <w:left w:val="nil"/>
              <w:bottom w:val="single" w:sz="4" w:space="0" w:color="auto"/>
              <w:right w:val="nil"/>
            </w:tcBorders>
            <w:shd w:val="clear" w:color="000000" w:fill="FFFFFF"/>
            <w:noWrap/>
            <w:vAlign w:val="bottom"/>
            <w:hideMark/>
          </w:tcPr>
          <w:p w14:paraId="78CBA03C"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n sub-threshold CpGs in CpG set</w:t>
            </w:r>
          </w:p>
        </w:tc>
        <w:tc>
          <w:tcPr>
            <w:tcW w:w="1276" w:type="dxa"/>
            <w:tcBorders>
              <w:top w:val="nil"/>
              <w:left w:val="nil"/>
              <w:bottom w:val="single" w:sz="4" w:space="0" w:color="auto"/>
              <w:right w:val="nil"/>
            </w:tcBorders>
            <w:shd w:val="clear" w:color="000000" w:fill="FFFFFF"/>
            <w:noWrap/>
            <w:vAlign w:val="bottom"/>
            <w:hideMark/>
          </w:tcPr>
          <w:p w14:paraId="36CF2139" w14:textId="77777777" w:rsidR="000B1F81" w:rsidRPr="005A28F5" w:rsidRDefault="000B1F81" w:rsidP="000B1F81">
            <w:pPr>
              <w:spacing w:line="360" w:lineRule="auto"/>
              <w:jc w:val="center"/>
              <w:rPr>
                <w:b/>
                <w:bCs/>
                <w:color w:val="000000"/>
                <w:sz w:val="20"/>
                <w:szCs w:val="20"/>
              </w:rPr>
            </w:pPr>
            <w:r w:rsidRPr="005A28F5">
              <w:rPr>
                <w:b/>
                <w:bCs/>
                <w:color w:val="000000"/>
                <w:sz w:val="20"/>
                <w:szCs w:val="20"/>
              </w:rPr>
              <w:t>Enrichment p value</w:t>
            </w:r>
          </w:p>
        </w:tc>
      </w:tr>
      <w:tr w:rsidR="000B1F81" w:rsidRPr="005A28F5" w14:paraId="43569594" w14:textId="77777777" w:rsidTr="000B1F81">
        <w:trPr>
          <w:trHeight w:val="320"/>
        </w:trPr>
        <w:tc>
          <w:tcPr>
            <w:tcW w:w="2268" w:type="dxa"/>
            <w:tcBorders>
              <w:top w:val="nil"/>
              <w:left w:val="nil"/>
              <w:bottom w:val="nil"/>
              <w:right w:val="nil"/>
            </w:tcBorders>
            <w:shd w:val="clear" w:color="000000" w:fill="FFFFFF"/>
            <w:noWrap/>
            <w:vAlign w:val="bottom"/>
            <w:hideMark/>
          </w:tcPr>
          <w:p w14:paraId="2F72A3EA" w14:textId="77777777" w:rsidR="000B1F81" w:rsidRPr="005A28F5" w:rsidRDefault="000B1F81" w:rsidP="000B1F81">
            <w:pPr>
              <w:spacing w:line="360" w:lineRule="auto"/>
              <w:rPr>
                <w:bCs/>
                <w:color w:val="000000"/>
                <w:sz w:val="20"/>
                <w:szCs w:val="20"/>
              </w:rPr>
            </w:pPr>
            <w:r w:rsidRPr="005A28F5">
              <w:rPr>
                <w:bCs/>
                <w:color w:val="000000"/>
                <w:sz w:val="20"/>
                <w:szCs w:val="20"/>
              </w:rPr>
              <w:t xml:space="preserve">MEs </w:t>
            </w:r>
          </w:p>
        </w:tc>
        <w:tc>
          <w:tcPr>
            <w:tcW w:w="1560" w:type="dxa"/>
            <w:tcBorders>
              <w:top w:val="nil"/>
              <w:left w:val="nil"/>
              <w:bottom w:val="nil"/>
              <w:right w:val="nil"/>
            </w:tcBorders>
            <w:shd w:val="clear" w:color="000000" w:fill="FFFFFF"/>
            <w:noWrap/>
            <w:vAlign w:val="bottom"/>
            <w:hideMark/>
          </w:tcPr>
          <w:p w14:paraId="5C071E19" w14:textId="77777777" w:rsidR="000B1F81" w:rsidRPr="005A28F5" w:rsidRDefault="000B1F81" w:rsidP="000B1F81">
            <w:pPr>
              <w:spacing w:line="360" w:lineRule="auto"/>
              <w:jc w:val="center"/>
              <w:rPr>
                <w:color w:val="000000"/>
                <w:sz w:val="20"/>
                <w:szCs w:val="20"/>
              </w:rPr>
            </w:pPr>
            <w:r w:rsidRPr="005A28F5">
              <w:rPr>
                <w:color w:val="000000"/>
                <w:sz w:val="20"/>
                <w:szCs w:val="20"/>
              </w:rPr>
              <w:t>1355</w:t>
            </w:r>
          </w:p>
        </w:tc>
        <w:tc>
          <w:tcPr>
            <w:tcW w:w="1559" w:type="dxa"/>
            <w:tcBorders>
              <w:top w:val="nil"/>
              <w:left w:val="nil"/>
              <w:bottom w:val="nil"/>
              <w:right w:val="nil"/>
            </w:tcBorders>
            <w:shd w:val="clear" w:color="000000" w:fill="FFFFFF"/>
            <w:noWrap/>
            <w:vAlign w:val="bottom"/>
            <w:hideMark/>
          </w:tcPr>
          <w:p w14:paraId="181A99F9" w14:textId="77777777" w:rsidR="000B1F81" w:rsidRPr="005A28F5" w:rsidRDefault="000B1F81" w:rsidP="000B1F81">
            <w:pPr>
              <w:spacing w:line="360" w:lineRule="auto"/>
              <w:jc w:val="center"/>
              <w:rPr>
                <w:color w:val="000000"/>
                <w:sz w:val="20"/>
                <w:szCs w:val="20"/>
              </w:rPr>
            </w:pPr>
            <w:r w:rsidRPr="005A28F5">
              <w:rPr>
                <w:color w:val="000000"/>
                <w:sz w:val="20"/>
                <w:szCs w:val="20"/>
              </w:rPr>
              <w:t>80</w:t>
            </w:r>
          </w:p>
        </w:tc>
        <w:tc>
          <w:tcPr>
            <w:tcW w:w="1276" w:type="dxa"/>
            <w:tcBorders>
              <w:top w:val="nil"/>
              <w:left w:val="nil"/>
              <w:bottom w:val="nil"/>
              <w:right w:val="nil"/>
            </w:tcBorders>
            <w:shd w:val="clear" w:color="000000" w:fill="FFFFFF"/>
            <w:noWrap/>
            <w:vAlign w:val="bottom"/>
            <w:hideMark/>
          </w:tcPr>
          <w:p w14:paraId="4F91A6B8" w14:textId="77777777" w:rsidR="000B1F81" w:rsidRPr="005A28F5" w:rsidRDefault="000B1F81" w:rsidP="000B1F81">
            <w:pPr>
              <w:spacing w:line="360" w:lineRule="auto"/>
              <w:jc w:val="center"/>
              <w:rPr>
                <w:color w:val="000000"/>
                <w:sz w:val="20"/>
                <w:szCs w:val="20"/>
              </w:rPr>
            </w:pPr>
            <w:r w:rsidRPr="005A28F5">
              <w:rPr>
                <w:color w:val="000000"/>
                <w:sz w:val="20"/>
                <w:szCs w:val="20"/>
              </w:rPr>
              <w:t>&lt;1E-04</w:t>
            </w:r>
          </w:p>
        </w:tc>
        <w:tc>
          <w:tcPr>
            <w:tcW w:w="1559" w:type="dxa"/>
            <w:tcBorders>
              <w:top w:val="nil"/>
              <w:left w:val="nil"/>
              <w:bottom w:val="nil"/>
              <w:right w:val="nil"/>
            </w:tcBorders>
            <w:shd w:val="clear" w:color="000000" w:fill="FFFFFF"/>
            <w:noWrap/>
            <w:vAlign w:val="bottom"/>
            <w:hideMark/>
          </w:tcPr>
          <w:p w14:paraId="21B5C2B4" w14:textId="77777777" w:rsidR="000B1F81" w:rsidRPr="005A28F5" w:rsidRDefault="000B1F81" w:rsidP="000B1F81">
            <w:pPr>
              <w:spacing w:line="360" w:lineRule="auto"/>
              <w:jc w:val="center"/>
              <w:rPr>
                <w:color w:val="000000"/>
                <w:sz w:val="20"/>
                <w:szCs w:val="20"/>
              </w:rPr>
            </w:pPr>
            <w:r w:rsidRPr="005A28F5">
              <w:rPr>
                <w:color w:val="000000"/>
                <w:sz w:val="20"/>
                <w:szCs w:val="20"/>
              </w:rPr>
              <w:t>11</w:t>
            </w:r>
          </w:p>
        </w:tc>
        <w:tc>
          <w:tcPr>
            <w:tcW w:w="1276" w:type="dxa"/>
            <w:tcBorders>
              <w:top w:val="nil"/>
              <w:left w:val="nil"/>
              <w:bottom w:val="nil"/>
              <w:right w:val="nil"/>
            </w:tcBorders>
            <w:shd w:val="clear" w:color="000000" w:fill="FFFFFF"/>
            <w:noWrap/>
            <w:vAlign w:val="bottom"/>
            <w:hideMark/>
          </w:tcPr>
          <w:p w14:paraId="54FB2F68" w14:textId="77777777" w:rsidR="000B1F81" w:rsidRPr="005A28F5" w:rsidRDefault="000B1F81" w:rsidP="000B1F81">
            <w:pPr>
              <w:spacing w:line="360" w:lineRule="auto"/>
              <w:jc w:val="center"/>
              <w:rPr>
                <w:color w:val="000000"/>
                <w:sz w:val="20"/>
                <w:szCs w:val="20"/>
              </w:rPr>
            </w:pPr>
            <w:r w:rsidRPr="005A28F5">
              <w:rPr>
                <w:color w:val="000000"/>
                <w:sz w:val="20"/>
                <w:szCs w:val="20"/>
              </w:rPr>
              <w:t>0.97</w:t>
            </w:r>
          </w:p>
        </w:tc>
      </w:tr>
      <w:tr w:rsidR="000B1F81" w:rsidRPr="005A28F5" w14:paraId="14979533" w14:textId="77777777" w:rsidTr="000B1F81">
        <w:trPr>
          <w:trHeight w:val="320"/>
        </w:trPr>
        <w:tc>
          <w:tcPr>
            <w:tcW w:w="2268" w:type="dxa"/>
            <w:tcBorders>
              <w:top w:val="nil"/>
              <w:left w:val="nil"/>
              <w:bottom w:val="nil"/>
              <w:right w:val="nil"/>
            </w:tcBorders>
            <w:shd w:val="clear" w:color="000000" w:fill="FFFFFF"/>
            <w:noWrap/>
            <w:vAlign w:val="bottom"/>
            <w:hideMark/>
          </w:tcPr>
          <w:p w14:paraId="6BB51EB6" w14:textId="77777777" w:rsidR="000B1F81" w:rsidRPr="005A28F5" w:rsidRDefault="000B1F81" w:rsidP="000B1F81">
            <w:pPr>
              <w:spacing w:line="360" w:lineRule="auto"/>
              <w:rPr>
                <w:bCs/>
                <w:color w:val="000000"/>
                <w:sz w:val="20"/>
                <w:szCs w:val="20"/>
              </w:rPr>
            </w:pPr>
            <w:r w:rsidRPr="005A28F5">
              <w:rPr>
                <w:bCs/>
                <w:color w:val="000000"/>
                <w:sz w:val="20"/>
                <w:szCs w:val="20"/>
              </w:rPr>
              <w:t>ICRs</w:t>
            </w:r>
          </w:p>
        </w:tc>
        <w:tc>
          <w:tcPr>
            <w:tcW w:w="1560" w:type="dxa"/>
            <w:tcBorders>
              <w:top w:val="nil"/>
              <w:left w:val="nil"/>
              <w:bottom w:val="nil"/>
              <w:right w:val="nil"/>
            </w:tcBorders>
            <w:shd w:val="clear" w:color="000000" w:fill="FFFFFF"/>
            <w:noWrap/>
            <w:vAlign w:val="bottom"/>
            <w:hideMark/>
          </w:tcPr>
          <w:p w14:paraId="1E68250E" w14:textId="77777777" w:rsidR="000B1F81" w:rsidRPr="005A28F5" w:rsidRDefault="000B1F81" w:rsidP="000B1F81">
            <w:pPr>
              <w:spacing w:line="360" w:lineRule="auto"/>
              <w:jc w:val="center"/>
              <w:rPr>
                <w:color w:val="000000"/>
                <w:sz w:val="20"/>
                <w:szCs w:val="20"/>
              </w:rPr>
            </w:pPr>
            <w:r w:rsidRPr="005A28F5">
              <w:rPr>
                <w:color w:val="000000"/>
                <w:sz w:val="20"/>
                <w:szCs w:val="20"/>
              </w:rPr>
              <w:t>2168</w:t>
            </w:r>
          </w:p>
        </w:tc>
        <w:tc>
          <w:tcPr>
            <w:tcW w:w="1559" w:type="dxa"/>
            <w:tcBorders>
              <w:top w:val="nil"/>
              <w:left w:val="nil"/>
              <w:bottom w:val="nil"/>
              <w:right w:val="nil"/>
            </w:tcBorders>
            <w:shd w:val="clear" w:color="000000" w:fill="FFFFFF"/>
            <w:noWrap/>
            <w:vAlign w:val="bottom"/>
            <w:hideMark/>
          </w:tcPr>
          <w:p w14:paraId="1C624428" w14:textId="77777777" w:rsidR="000B1F81" w:rsidRPr="005A28F5" w:rsidRDefault="000B1F81" w:rsidP="000B1F81">
            <w:pPr>
              <w:spacing w:line="360" w:lineRule="auto"/>
              <w:jc w:val="center"/>
              <w:rPr>
                <w:color w:val="000000"/>
                <w:sz w:val="20"/>
                <w:szCs w:val="20"/>
              </w:rPr>
            </w:pPr>
            <w:r w:rsidRPr="005A28F5">
              <w:rPr>
                <w:color w:val="000000"/>
                <w:sz w:val="20"/>
                <w:szCs w:val="20"/>
              </w:rPr>
              <w:t>13</w:t>
            </w:r>
          </w:p>
        </w:tc>
        <w:tc>
          <w:tcPr>
            <w:tcW w:w="1276" w:type="dxa"/>
            <w:tcBorders>
              <w:top w:val="nil"/>
              <w:left w:val="nil"/>
              <w:bottom w:val="nil"/>
              <w:right w:val="nil"/>
            </w:tcBorders>
            <w:shd w:val="clear" w:color="000000" w:fill="FFFFFF"/>
            <w:noWrap/>
            <w:vAlign w:val="bottom"/>
            <w:hideMark/>
          </w:tcPr>
          <w:p w14:paraId="00DD839C" w14:textId="77777777" w:rsidR="000B1F81" w:rsidRPr="005A28F5" w:rsidRDefault="000B1F81" w:rsidP="000B1F81">
            <w:pPr>
              <w:spacing w:line="360" w:lineRule="auto"/>
              <w:jc w:val="center"/>
              <w:rPr>
                <w:color w:val="000000"/>
                <w:sz w:val="20"/>
                <w:szCs w:val="20"/>
              </w:rPr>
            </w:pPr>
            <w:r w:rsidRPr="005A28F5">
              <w:rPr>
                <w:color w:val="000000"/>
                <w:sz w:val="20"/>
                <w:szCs w:val="20"/>
              </w:rPr>
              <w:t>1.29E-02</w:t>
            </w:r>
          </w:p>
        </w:tc>
        <w:tc>
          <w:tcPr>
            <w:tcW w:w="1559" w:type="dxa"/>
            <w:tcBorders>
              <w:top w:val="nil"/>
              <w:left w:val="nil"/>
              <w:bottom w:val="nil"/>
              <w:right w:val="nil"/>
            </w:tcBorders>
            <w:shd w:val="clear" w:color="000000" w:fill="FFFFFF"/>
            <w:noWrap/>
            <w:vAlign w:val="bottom"/>
            <w:hideMark/>
          </w:tcPr>
          <w:p w14:paraId="4D0E9950" w14:textId="77777777" w:rsidR="000B1F81" w:rsidRPr="005A28F5" w:rsidRDefault="000B1F81" w:rsidP="000B1F81">
            <w:pPr>
              <w:spacing w:line="360" w:lineRule="auto"/>
              <w:jc w:val="center"/>
              <w:rPr>
                <w:color w:val="000000"/>
                <w:sz w:val="20"/>
                <w:szCs w:val="20"/>
              </w:rPr>
            </w:pPr>
            <w:r w:rsidRPr="005A28F5">
              <w:rPr>
                <w:color w:val="000000"/>
                <w:sz w:val="20"/>
                <w:szCs w:val="20"/>
              </w:rPr>
              <w:t>0</w:t>
            </w:r>
          </w:p>
        </w:tc>
        <w:tc>
          <w:tcPr>
            <w:tcW w:w="1276" w:type="dxa"/>
            <w:tcBorders>
              <w:top w:val="nil"/>
              <w:left w:val="nil"/>
              <w:bottom w:val="nil"/>
              <w:right w:val="nil"/>
            </w:tcBorders>
            <w:shd w:val="clear" w:color="000000" w:fill="FFFFFF"/>
            <w:noWrap/>
            <w:vAlign w:val="bottom"/>
            <w:hideMark/>
          </w:tcPr>
          <w:p w14:paraId="441C8142" w14:textId="77777777" w:rsidR="000B1F81" w:rsidRPr="005A28F5" w:rsidRDefault="000B1F81" w:rsidP="000B1F81">
            <w:pPr>
              <w:spacing w:line="360" w:lineRule="auto"/>
              <w:jc w:val="center"/>
              <w:rPr>
                <w:color w:val="000000"/>
                <w:sz w:val="20"/>
                <w:szCs w:val="20"/>
              </w:rPr>
            </w:pPr>
            <w:r w:rsidRPr="005A28F5">
              <w:rPr>
                <w:color w:val="000000"/>
                <w:sz w:val="20"/>
                <w:szCs w:val="20"/>
              </w:rPr>
              <w:t>1.0</w:t>
            </w:r>
          </w:p>
        </w:tc>
      </w:tr>
      <w:tr w:rsidR="000B1F81" w:rsidRPr="005A28F5" w14:paraId="370EB652" w14:textId="77777777" w:rsidTr="000B1F81">
        <w:trPr>
          <w:trHeight w:val="320"/>
        </w:trPr>
        <w:tc>
          <w:tcPr>
            <w:tcW w:w="2268" w:type="dxa"/>
            <w:tcBorders>
              <w:top w:val="nil"/>
              <w:left w:val="nil"/>
              <w:bottom w:val="nil"/>
              <w:right w:val="nil"/>
            </w:tcBorders>
            <w:shd w:val="clear" w:color="000000" w:fill="FFFFFF"/>
            <w:noWrap/>
            <w:vAlign w:val="bottom"/>
            <w:hideMark/>
          </w:tcPr>
          <w:p w14:paraId="16437F4D" w14:textId="77777777" w:rsidR="000B1F81" w:rsidRPr="005A28F5" w:rsidRDefault="000B1F81" w:rsidP="000B1F81">
            <w:pPr>
              <w:spacing w:line="360" w:lineRule="auto"/>
              <w:rPr>
                <w:bCs/>
                <w:color w:val="000000"/>
                <w:sz w:val="20"/>
                <w:szCs w:val="20"/>
              </w:rPr>
            </w:pPr>
            <w:r w:rsidRPr="005A28F5">
              <w:rPr>
                <w:bCs/>
                <w:color w:val="000000"/>
                <w:sz w:val="20"/>
                <w:szCs w:val="20"/>
              </w:rPr>
              <w:t>control: variable CpGs</w:t>
            </w:r>
          </w:p>
        </w:tc>
        <w:tc>
          <w:tcPr>
            <w:tcW w:w="1560" w:type="dxa"/>
            <w:tcBorders>
              <w:top w:val="nil"/>
              <w:left w:val="nil"/>
              <w:bottom w:val="nil"/>
              <w:right w:val="nil"/>
            </w:tcBorders>
            <w:shd w:val="clear" w:color="000000" w:fill="FFFFFF"/>
            <w:noWrap/>
            <w:vAlign w:val="bottom"/>
            <w:hideMark/>
          </w:tcPr>
          <w:p w14:paraId="3677622C" w14:textId="77777777" w:rsidR="000B1F81" w:rsidRPr="005A28F5" w:rsidRDefault="000B1F81" w:rsidP="000B1F81">
            <w:pPr>
              <w:spacing w:line="360" w:lineRule="auto"/>
              <w:jc w:val="center"/>
              <w:rPr>
                <w:color w:val="000000"/>
                <w:sz w:val="20"/>
                <w:szCs w:val="20"/>
              </w:rPr>
            </w:pPr>
            <w:r w:rsidRPr="005A28F5">
              <w:rPr>
                <w:color w:val="000000"/>
                <w:sz w:val="20"/>
                <w:szCs w:val="20"/>
              </w:rPr>
              <w:t>1355</w:t>
            </w:r>
          </w:p>
        </w:tc>
        <w:tc>
          <w:tcPr>
            <w:tcW w:w="1559" w:type="dxa"/>
            <w:tcBorders>
              <w:top w:val="nil"/>
              <w:left w:val="nil"/>
              <w:bottom w:val="nil"/>
              <w:right w:val="nil"/>
            </w:tcBorders>
            <w:shd w:val="clear" w:color="000000" w:fill="FFFFFF"/>
            <w:noWrap/>
            <w:vAlign w:val="bottom"/>
            <w:hideMark/>
          </w:tcPr>
          <w:p w14:paraId="1CFE0A7A" w14:textId="77777777" w:rsidR="000B1F81" w:rsidRPr="005A28F5" w:rsidRDefault="000B1F81" w:rsidP="000B1F81">
            <w:pPr>
              <w:spacing w:line="360" w:lineRule="auto"/>
              <w:jc w:val="center"/>
              <w:rPr>
                <w:color w:val="000000"/>
                <w:sz w:val="20"/>
                <w:szCs w:val="20"/>
              </w:rPr>
            </w:pPr>
            <w:r w:rsidRPr="005A28F5">
              <w:rPr>
                <w:color w:val="000000"/>
                <w:sz w:val="20"/>
                <w:szCs w:val="20"/>
              </w:rPr>
              <w:t>33</w:t>
            </w:r>
          </w:p>
        </w:tc>
        <w:tc>
          <w:tcPr>
            <w:tcW w:w="1276" w:type="dxa"/>
            <w:tcBorders>
              <w:top w:val="nil"/>
              <w:left w:val="nil"/>
              <w:bottom w:val="nil"/>
              <w:right w:val="nil"/>
            </w:tcBorders>
            <w:shd w:val="clear" w:color="000000" w:fill="FFFFFF"/>
            <w:noWrap/>
            <w:vAlign w:val="bottom"/>
            <w:hideMark/>
          </w:tcPr>
          <w:p w14:paraId="58E4B1A7" w14:textId="77777777" w:rsidR="000B1F81" w:rsidRPr="005A28F5" w:rsidRDefault="000B1F81" w:rsidP="000B1F81">
            <w:pPr>
              <w:spacing w:line="360" w:lineRule="auto"/>
              <w:jc w:val="center"/>
              <w:rPr>
                <w:color w:val="000000"/>
                <w:sz w:val="20"/>
                <w:szCs w:val="20"/>
              </w:rPr>
            </w:pPr>
            <w:r w:rsidRPr="005A28F5">
              <w:rPr>
                <w:color w:val="000000"/>
                <w:sz w:val="20"/>
                <w:szCs w:val="20"/>
              </w:rPr>
              <w:t>0.15</w:t>
            </w:r>
          </w:p>
        </w:tc>
        <w:tc>
          <w:tcPr>
            <w:tcW w:w="1559" w:type="dxa"/>
            <w:tcBorders>
              <w:top w:val="nil"/>
              <w:left w:val="nil"/>
              <w:bottom w:val="nil"/>
              <w:right w:val="nil"/>
            </w:tcBorders>
            <w:shd w:val="clear" w:color="000000" w:fill="FFFFFF"/>
            <w:noWrap/>
            <w:vAlign w:val="bottom"/>
            <w:hideMark/>
          </w:tcPr>
          <w:p w14:paraId="58802A82" w14:textId="77777777" w:rsidR="000B1F81" w:rsidRPr="005A28F5" w:rsidRDefault="000B1F81" w:rsidP="000B1F81">
            <w:pPr>
              <w:spacing w:line="360" w:lineRule="auto"/>
              <w:jc w:val="center"/>
              <w:rPr>
                <w:color w:val="000000"/>
                <w:sz w:val="20"/>
                <w:szCs w:val="20"/>
              </w:rPr>
            </w:pPr>
            <w:r w:rsidRPr="005A28F5">
              <w:rPr>
                <w:color w:val="000000"/>
                <w:sz w:val="20"/>
                <w:szCs w:val="20"/>
              </w:rPr>
              <w:t>9</w:t>
            </w:r>
          </w:p>
        </w:tc>
        <w:tc>
          <w:tcPr>
            <w:tcW w:w="1276" w:type="dxa"/>
            <w:tcBorders>
              <w:top w:val="nil"/>
              <w:left w:val="nil"/>
              <w:bottom w:val="nil"/>
              <w:right w:val="nil"/>
            </w:tcBorders>
            <w:shd w:val="clear" w:color="000000" w:fill="FFFFFF"/>
            <w:noWrap/>
            <w:vAlign w:val="bottom"/>
            <w:hideMark/>
          </w:tcPr>
          <w:p w14:paraId="47EBAB12" w14:textId="77777777" w:rsidR="000B1F81" w:rsidRPr="005A28F5" w:rsidRDefault="000B1F81" w:rsidP="000B1F81">
            <w:pPr>
              <w:spacing w:line="360" w:lineRule="auto"/>
              <w:jc w:val="center"/>
              <w:rPr>
                <w:color w:val="000000"/>
                <w:sz w:val="20"/>
                <w:szCs w:val="20"/>
              </w:rPr>
            </w:pPr>
            <w:r w:rsidRPr="005A28F5">
              <w:rPr>
                <w:color w:val="000000"/>
                <w:sz w:val="20"/>
                <w:szCs w:val="20"/>
              </w:rPr>
              <w:t>0.68</w:t>
            </w:r>
          </w:p>
        </w:tc>
      </w:tr>
    </w:tbl>
    <w:p w14:paraId="7D6FCCF9" w14:textId="77777777" w:rsidR="004B7D68" w:rsidRPr="005A28F5" w:rsidRDefault="004B7D68" w:rsidP="001A64D3">
      <w:pPr>
        <w:spacing w:line="360" w:lineRule="auto"/>
      </w:pPr>
    </w:p>
    <w:p w14:paraId="266A1A1A" w14:textId="0B671D13" w:rsidR="004B7D68" w:rsidRDefault="004B7D68" w:rsidP="001A64D3">
      <w:pPr>
        <w:spacing w:line="360" w:lineRule="auto"/>
      </w:pPr>
    </w:p>
    <w:p w14:paraId="0DD31A1A" w14:textId="769D13C2" w:rsidR="000B1F81" w:rsidRDefault="000B1F81" w:rsidP="001A64D3">
      <w:pPr>
        <w:spacing w:line="360" w:lineRule="auto"/>
      </w:pPr>
    </w:p>
    <w:p w14:paraId="030C0226" w14:textId="7EBB2B44" w:rsidR="000B1F81" w:rsidRDefault="000B1F81" w:rsidP="001A64D3">
      <w:pPr>
        <w:spacing w:line="360" w:lineRule="auto"/>
      </w:pPr>
    </w:p>
    <w:p w14:paraId="6D77CA23" w14:textId="279289FE" w:rsidR="000B1F81" w:rsidRDefault="000B1F81" w:rsidP="001A64D3">
      <w:pPr>
        <w:spacing w:line="360" w:lineRule="auto"/>
      </w:pPr>
    </w:p>
    <w:p w14:paraId="3BC490B1" w14:textId="7EEFB1B6" w:rsidR="000B1F81" w:rsidRDefault="000B1F81" w:rsidP="001A64D3">
      <w:pPr>
        <w:spacing w:line="360" w:lineRule="auto"/>
      </w:pPr>
    </w:p>
    <w:p w14:paraId="4C818409" w14:textId="1FB31CEC" w:rsidR="000B1F81" w:rsidRDefault="000B1F81" w:rsidP="001A64D3">
      <w:pPr>
        <w:spacing w:line="360" w:lineRule="auto"/>
      </w:pPr>
    </w:p>
    <w:p w14:paraId="3569406F" w14:textId="21D9ACBB" w:rsidR="000B1F81" w:rsidRDefault="000B1F81" w:rsidP="001A64D3">
      <w:pPr>
        <w:spacing w:line="360" w:lineRule="auto"/>
      </w:pPr>
    </w:p>
    <w:p w14:paraId="36C44392" w14:textId="22611660" w:rsidR="000B1F81" w:rsidRDefault="000B1F81" w:rsidP="001A64D3">
      <w:pPr>
        <w:spacing w:line="360" w:lineRule="auto"/>
      </w:pPr>
    </w:p>
    <w:p w14:paraId="129E84FA" w14:textId="77777777" w:rsidR="000B1F81" w:rsidRPr="006A2D07" w:rsidRDefault="000B1F81" w:rsidP="000B1F81">
      <w:pPr>
        <w:spacing w:line="360" w:lineRule="auto"/>
        <w:jc w:val="both"/>
        <w:rPr>
          <w:sz w:val="36"/>
          <w:szCs w:val="36"/>
        </w:rPr>
      </w:pPr>
      <w:r w:rsidRPr="006A2D07">
        <w:rPr>
          <w:color w:val="000000" w:themeColor="text1"/>
        </w:rPr>
        <w:t>Both ME and imprinting-associated CpG sets show evidence for significant enrichment in Gambian EWAS CpGs at p &lt; 0.05 and delta Beta &gt;= 2%. n - size of set, MEs - metastable epialleles; ICRs imprinting control regions - CpGs associated with genomic imprinting (see Methods).</w:t>
      </w:r>
    </w:p>
    <w:p w14:paraId="01A42EA8" w14:textId="77777777" w:rsidR="000B1F81" w:rsidRPr="005A28F5" w:rsidRDefault="000B1F81" w:rsidP="001A64D3">
      <w:pPr>
        <w:spacing w:line="360" w:lineRule="auto"/>
      </w:pPr>
    </w:p>
    <w:sectPr w:rsidR="000B1F81" w:rsidRPr="005A28F5" w:rsidSect="00991AFB">
      <w:type w:val="continuous"/>
      <w:pgSz w:w="16820" w:h="11900" w:orient="landscape"/>
      <w:pgMar w:top="644" w:right="1134" w:bottom="201" w:left="1134"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48235" w14:textId="77777777" w:rsidR="003F3C87" w:rsidRDefault="003F3C87">
      <w:r>
        <w:separator/>
      </w:r>
    </w:p>
  </w:endnote>
  <w:endnote w:type="continuationSeparator" w:id="0">
    <w:p w14:paraId="0A86A115" w14:textId="77777777" w:rsidR="003F3C87" w:rsidRDefault="003F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2D80" w14:textId="77777777" w:rsidR="00AD2117" w:rsidRDefault="00AD2117" w:rsidP="007554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32F10" w14:textId="77777777" w:rsidR="00AD2117" w:rsidRDefault="00AD2117" w:rsidP="007554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E23F" w14:textId="77777777" w:rsidR="00AD2117" w:rsidRDefault="00AD2117" w:rsidP="007554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4404" w14:textId="77777777" w:rsidR="00AD2117" w:rsidRDefault="00AD21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5756422"/>
      <w:docPartObj>
        <w:docPartGallery w:val="Page Numbers (Bottom of Page)"/>
        <w:docPartUnique/>
      </w:docPartObj>
    </w:sdtPr>
    <w:sdtEndPr>
      <w:rPr>
        <w:rStyle w:val="PageNumber"/>
      </w:rPr>
    </w:sdtEndPr>
    <w:sdtContent>
      <w:p w14:paraId="40104F15" w14:textId="1945479F" w:rsidR="00AD2117" w:rsidRDefault="00AD2117" w:rsidP="00D15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AF16E9" w14:textId="77777777" w:rsidR="00AD2117" w:rsidRDefault="00AD2117" w:rsidP="000E0C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696A2" w14:textId="20EA674B" w:rsidR="00AD2117" w:rsidRDefault="00AD2117" w:rsidP="00D15EBE">
    <w:pPr>
      <w:pStyle w:val="Footer"/>
      <w:framePr w:wrap="none" w:vAnchor="text" w:hAnchor="margin" w:xAlign="right" w:y="1"/>
      <w:rPr>
        <w:rStyle w:val="PageNumber"/>
      </w:rPr>
    </w:pPr>
  </w:p>
  <w:p w14:paraId="14B64191" w14:textId="79128A28" w:rsidR="00AD2117" w:rsidRDefault="00AD2117" w:rsidP="000E0C4C">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BB6A" w14:textId="77777777" w:rsidR="00AD2117" w:rsidRDefault="00AD2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9834" w14:textId="77777777" w:rsidR="003F3C87" w:rsidRDefault="003F3C87">
      <w:r>
        <w:separator/>
      </w:r>
    </w:p>
  </w:footnote>
  <w:footnote w:type="continuationSeparator" w:id="0">
    <w:p w14:paraId="7E579A29" w14:textId="77777777" w:rsidR="003F3C87" w:rsidRDefault="003F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8685103"/>
      <w:docPartObj>
        <w:docPartGallery w:val="Page Numbers (Top of Page)"/>
        <w:docPartUnique/>
      </w:docPartObj>
    </w:sdtPr>
    <w:sdtEndPr>
      <w:rPr>
        <w:rStyle w:val="PageNumber"/>
      </w:rPr>
    </w:sdtEndPr>
    <w:sdtContent>
      <w:p w14:paraId="20D8D990" w14:textId="5832B0F3" w:rsidR="00AD2117" w:rsidRDefault="00AD2117" w:rsidP="004961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31B67" w14:textId="77777777" w:rsidR="00AD2117" w:rsidRDefault="00AD2117" w:rsidP="00E85A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6989500"/>
      <w:docPartObj>
        <w:docPartGallery w:val="Page Numbers (Top of Page)"/>
        <w:docPartUnique/>
      </w:docPartObj>
    </w:sdtPr>
    <w:sdtEndPr>
      <w:rPr>
        <w:rStyle w:val="PageNumber"/>
      </w:rPr>
    </w:sdtEndPr>
    <w:sdtContent>
      <w:p w14:paraId="68DEDB6A" w14:textId="60BFB45C" w:rsidR="00AD2117" w:rsidRDefault="00AD2117" w:rsidP="004961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1CD4">
          <w:rPr>
            <w:rStyle w:val="PageNumber"/>
            <w:noProof/>
          </w:rPr>
          <w:t>25</w:t>
        </w:r>
        <w:r>
          <w:rPr>
            <w:rStyle w:val="PageNumber"/>
          </w:rPr>
          <w:fldChar w:fldCharType="end"/>
        </w:r>
      </w:p>
    </w:sdtContent>
  </w:sdt>
  <w:p w14:paraId="13121261" w14:textId="77777777" w:rsidR="00AD2117" w:rsidRDefault="00AD2117" w:rsidP="00E85AB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4B4E" w14:textId="77777777" w:rsidR="00AD2117" w:rsidRDefault="00AD21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5993863"/>
      <w:docPartObj>
        <w:docPartGallery w:val="Page Numbers (Top of Page)"/>
        <w:docPartUnique/>
      </w:docPartObj>
    </w:sdtPr>
    <w:sdtEndPr>
      <w:rPr>
        <w:rStyle w:val="PageNumber"/>
      </w:rPr>
    </w:sdtEndPr>
    <w:sdtContent>
      <w:p w14:paraId="67E58240" w14:textId="49F679D8" w:rsidR="00AD2117" w:rsidRDefault="00AD2117" w:rsidP="00D15E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A01C9" w14:textId="77777777" w:rsidR="00AD2117" w:rsidRDefault="00AD2117" w:rsidP="000E0C4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5766799"/>
      <w:docPartObj>
        <w:docPartGallery w:val="Page Numbers (Top of Page)"/>
        <w:docPartUnique/>
      </w:docPartObj>
    </w:sdtPr>
    <w:sdtEndPr>
      <w:rPr>
        <w:rStyle w:val="PageNumber"/>
      </w:rPr>
    </w:sdtEndPr>
    <w:sdtContent>
      <w:p w14:paraId="1D8CB876" w14:textId="60B02F60" w:rsidR="00AD2117" w:rsidRDefault="00AD2117" w:rsidP="00D15E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1CD4">
          <w:rPr>
            <w:rStyle w:val="PageNumber"/>
            <w:noProof/>
          </w:rPr>
          <w:t>42</w:t>
        </w:r>
        <w:r>
          <w:rPr>
            <w:rStyle w:val="PageNumber"/>
          </w:rPr>
          <w:fldChar w:fldCharType="end"/>
        </w:r>
      </w:p>
    </w:sdtContent>
  </w:sdt>
  <w:p w14:paraId="627E3363" w14:textId="77777777" w:rsidR="00AD2117" w:rsidRDefault="00AD2117" w:rsidP="000E0C4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3C0B" w14:textId="77777777" w:rsidR="00AD2117" w:rsidRDefault="00AD2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52A"/>
    <w:multiLevelType w:val="hybridMultilevel"/>
    <w:tmpl w:val="4CF241C8"/>
    <w:styleLink w:val="ImportedStyle1"/>
    <w:lvl w:ilvl="0" w:tplc="F4BEBFA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E8EA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96FCFC">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1482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227F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0D4A2">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DC52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8D5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A2807E">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FA1575"/>
    <w:multiLevelType w:val="hybridMultilevel"/>
    <w:tmpl w:val="F2F2DFEC"/>
    <w:lvl w:ilvl="0" w:tplc="F39C2746">
      <w:start w:val="2"/>
      <w:numFmt w:val="bullet"/>
      <w:lvlText w:val=""/>
      <w:lvlJc w:val="left"/>
      <w:pPr>
        <w:ind w:left="720" w:hanging="360"/>
      </w:pPr>
      <w:rPr>
        <w:rFonts w:ascii="Wingdings" w:eastAsia="Arial Unicode M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94640"/>
    <w:multiLevelType w:val="hybridMultilevel"/>
    <w:tmpl w:val="4CF241C8"/>
    <w:numStyleLink w:val="ImportedStyle1"/>
  </w:abstractNum>
  <w:abstractNum w:abstractNumId="3" w15:restartNumberingAfterBreak="0">
    <w:nsid w:val="18D54886"/>
    <w:multiLevelType w:val="hybridMultilevel"/>
    <w:tmpl w:val="DE4E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47987"/>
    <w:multiLevelType w:val="hybridMultilevel"/>
    <w:tmpl w:val="13F85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E33D5"/>
    <w:multiLevelType w:val="hybridMultilevel"/>
    <w:tmpl w:val="6940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B2"/>
    <w:rsid w:val="0000055D"/>
    <w:rsid w:val="00001871"/>
    <w:rsid w:val="00002EFE"/>
    <w:rsid w:val="00005BCB"/>
    <w:rsid w:val="00005DFA"/>
    <w:rsid w:val="00005F92"/>
    <w:rsid w:val="0000793E"/>
    <w:rsid w:val="00013F8E"/>
    <w:rsid w:val="000152E6"/>
    <w:rsid w:val="00015B48"/>
    <w:rsid w:val="000166D6"/>
    <w:rsid w:val="00016E47"/>
    <w:rsid w:val="000179C9"/>
    <w:rsid w:val="000203F5"/>
    <w:rsid w:val="000209CC"/>
    <w:rsid w:val="00021AB7"/>
    <w:rsid w:val="00022382"/>
    <w:rsid w:val="00023241"/>
    <w:rsid w:val="00024728"/>
    <w:rsid w:val="00026159"/>
    <w:rsid w:val="00027E35"/>
    <w:rsid w:val="00031892"/>
    <w:rsid w:val="000329D3"/>
    <w:rsid w:val="00035030"/>
    <w:rsid w:val="00035C3B"/>
    <w:rsid w:val="00035E4A"/>
    <w:rsid w:val="000366D1"/>
    <w:rsid w:val="00037580"/>
    <w:rsid w:val="00043139"/>
    <w:rsid w:val="00045F31"/>
    <w:rsid w:val="00047572"/>
    <w:rsid w:val="000509FF"/>
    <w:rsid w:val="00050A6D"/>
    <w:rsid w:val="000515FB"/>
    <w:rsid w:val="0005289B"/>
    <w:rsid w:val="000554DB"/>
    <w:rsid w:val="00062858"/>
    <w:rsid w:val="000660BA"/>
    <w:rsid w:val="00066D3F"/>
    <w:rsid w:val="000701D1"/>
    <w:rsid w:val="00072424"/>
    <w:rsid w:val="00077C1D"/>
    <w:rsid w:val="00080A29"/>
    <w:rsid w:val="000828F8"/>
    <w:rsid w:val="00084226"/>
    <w:rsid w:val="00086FDD"/>
    <w:rsid w:val="00090C14"/>
    <w:rsid w:val="00090EB2"/>
    <w:rsid w:val="000912A6"/>
    <w:rsid w:val="000919C3"/>
    <w:rsid w:val="0009229C"/>
    <w:rsid w:val="000A0823"/>
    <w:rsid w:val="000A0849"/>
    <w:rsid w:val="000A0BA8"/>
    <w:rsid w:val="000A13C9"/>
    <w:rsid w:val="000A196D"/>
    <w:rsid w:val="000A1EDB"/>
    <w:rsid w:val="000A5CF2"/>
    <w:rsid w:val="000A6B35"/>
    <w:rsid w:val="000A73B0"/>
    <w:rsid w:val="000A7491"/>
    <w:rsid w:val="000B1F81"/>
    <w:rsid w:val="000B2A24"/>
    <w:rsid w:val="000B55F3"/>
    <w:rsid w:val="000B5BA4"/>
    <w:rsid w:val="000B706C"/>
    <w:rsid w:val="000B7C17"/>
    <w:rsid w:val="000B7FA9"/>
    <w:rsid w:val="000C3130"/>
    <w:rsid w:val="000C43A2"/>
    <w:rsid w:val="000C484D"/>
    <w:rsid w:val="000C58F0"/>
    <w:rsid w:val="000C71D4"/>
    <w:rsid w:val="000C776C"/>
    <w:rsid w:val="000D4C4F"/>
    <w:rsid w:val="000D7A94"/>
    <w:rsid w:val="000E0C4C"/>
    <w:rsid w:val="000E0CD4"/>
    <w:rsid w:val="000E2989"/>
    <w:rsid w:val="000E40B3"/>
    <w:rsid w:val="000E5234"/>
    <w:rsid w:val="000E5DD1"/>
    <w:rsid w:val="000E6A01"/>
    <w:rsid w:val="000E6C85"/>
    <w:rsid w:val="000E70A5"/>
    <w:rsid w:val="000E7C72"/>
    <w:rsid w:val="000F035A"/>
    <w:rsid w:val="000F1B12"/>
    <w:rsid w:val="000F4A77"/>
    <w:rsid w:val="000F5A80"/>
    <w:rsid w:val="000F5BEB"/>
    <w:rsid w:val="001050AC"/>
    <w:rsid w:val="00105618"/>
    <w:rsid w:val="001137A2"/>
    <w:rsid w:val="00113CE0"/>
    <w:rsid w:val="00121B67"/>
    <w:rsid w:val="00127727"/>
    <w:rsid w:val="00130288"/>
    <w:rsid w:val="0013241A"/>
    <w:rsid w:val="00132905"/>
    <w:rsid w:val="0013306B"/>
    <w:rsid w:val="0013425F"/>
    <w:rsid w:val="001342BE"/>
    <w:rsid w:val="00135027"/>
    <w:rsid w:val="00135683"/>
    <w:rsid w:val="00136044"/>
    <w:rsid w:val="001379AA"/>
    <w:rsid w:val="00137AFD"/>
    <w:rsid w:val="00142307"/>
    <w:rsid w:val="00146184"/>
    <w:rsid w:val="0014643B"/>
    <w:rsid w:val="001470A8"/>
    <w:rsid w:val="00150285"/>
    <w:rsid w:val="001505AD"/>
    <w:rsid w:val="001546CA"/>
    <w:rsid w:val="0015482C"/>
    <w:rsid w:val="00154C05"/>
    <w:rsid w:val="00160AA2"/>
    <w:rsid w:val="00160C04"/>
    <w:rsid w:val="00162BB1"/>
    <w:rsid w:val="00165157"/>
    <w:rsid w:val="001653DE"/>
    <w:rsid w:val="00167543"/>
    <w:rsid w:val="0016786B"/>
    <w:rsid w:val="001739A2"/>
    <w:rsid w:val="001754FE"/>
    <w:rsid w:val="00175E95"/>
    <w:rsid w:val="00176AC0"/>
    <w:rsid w:val="00181153"/>
    <w:rsid w:val="001827F4"/>
    <w:rsid w:val="00182961"/>
    <w:rsid w:val="00183157"/>
    <w:rsid w:val="0018444F"/>
    <w:rsid w:val="00185B64"/>
    <w:rsid w:val="001901DB"/>
    <w:rsid w:val="00195ABA"/>
    <w:rsid w:val="00195BB3"/>
    <w:rsid w:val="00196B38"/>
    <w:rsid w:val="001A01E1"/>
    <w:rsid w:val="001A1402"/>
    <w:rsid w:val="001A4745"/>
    <w:rsid w:val="001A64D3"/>
    <w:rsid w:val="001A670F"/>
    <w:rsid w:val="001A6D0A"/>
    <w:rsid w:val="001B1292"/>
    <w:rsid w:val="001B1CD4"/>
    <w:rsid w:val="001B4594"/>
    <w:rsid w:val="001B4E57"/>
    <w:rsid w:val="001B5683"/>
    <w:rsid w:val="001B6527"/>
    <w:rsid w:val="001B69AF"/>
    <w:rsid w:val="001C004B"/>
    <w:rsid w:val="001C55EC"/>
    <w:rsid w:val="001C58B0"/>
    <w:rsid w:val="001C7A52"/>
    <w:rsid w:val="001D1EB9"/>
    <w:rsid w:val="001D4EA1"/>
    <w:rsid w:val="001D6BBB"/>
    <w:rsid w:val="001E1A38"/>
    <w:rsid w:val="001E3214"/>
    <w:rsid w:val="001E3515"/>
    <w:rsid w:val="001E3671"/>
    <w:rsid w:val="001E3A05"/>
    <w:rsid w:val="001E4E6A"/>
    <w:rsid w:val="001F32E4"/>
    <w:rsid w:val="001F3FCD"/>
    <w:rsid w:val="001F65F3"/>
    <w:rsid w:val="001F6663"/>
    <w:rsid w:val="001F7344"/>
    <w:rsid w:val="001F778B"/>
    <w:rsid w:val="00202F31"/>
    <w:rsid w:val="00204B23"/>
    <w:rsid w:val="00206256"/>
    <w:rsid w:val="00211D29"/>
    <w:rsid w:val="00212638"/>
    <w:rsid w:val="00215DF0"/>
    <w:rsid w:val="00216E06"/>
    <w:rsid w:val="00226921"/>
    <w:rsid w:val="00230D51"/>
    <w:rsid w:val="002317BD"/>
    <w:rsid w:val="002328B7"/>
    <w:rsid w:val="002328C3"/>
    <w:rsid w:val="0023720F"/>
    <w:rsid w:val="0024175E"/>
    <w:rsid w:val="00243D5A"/>
    <w:rsid w:val="00245AD9"/>
    <w:rsid w:val="002470CC"/>
    <w:rsid w:val="00247184"/>
    <w:rsid w:val="002479B2"/>
    <w:rsid w:val="002512D1"/>
    <w:rsid w:val="00253A34"/>
    <w:rsid w:val="002558A0"/>
    <w:rsid w:val="00257728"/>
    <w:rsid w:val="002613B7"/>
    <w:rsid w:val="002638B5"/>
    <w:rsid w:val="0026421F"/>
    <w:rsid w:val="00264D9B"/>
    <w:rsid w:val="00264E48"/>
    <w:rsid w:val="0026790D"/>
    <w:rsid w:val="0027011D"/>
    <w:rsid w:val="00271712"/>
    <w:rsid w:val="002725B5"/>
    <w:rsid w:val="0027299A"/>
    <w:rsid w:val="00272B1A"/>
    <w:rsid w:val="002733B8"/>
    <w:rsid w:val="002735DE"/>
    <w:rsid w:val="002755F4"/>
    <w:rsid w:val="00276E12"/>
    <w:rsid w:val="00277352"/>
    <w:rsid w:val="0027740B"/>
    <w:rsid w:val="00280A55"/>
    <w:rsid w:val="00280C44"/>
    <w:rsid w:val="00287B56"/>
    <w:rsid w:val="00292A6D"/>
    <w:rsid w:val="002967AD"/>
    <w:rsid w:val="002967FF"/>
    <w:rsid w:val="00296FF5"/>
    <w:rsid w:val="002976A2"/>
    <w:rsid w:val="00297783"/>
    <w:rsid w:val="002A1EE3"/>
    <w:rsid w:val="002A2995"/>
    <w:rsid w:val="002A4972"/>
    <w:rsid w:val="002A7D5D"/>
    <w:rsid w:val="002A7F79"/>
    <w:rsid w:val="002B183C"/>
    <w:rsid w:val="002B28B3"/>
    <w:rsid w:val="002B3429"/>
    <w:rsid w:val="002B460B"/>
    <w:rsid w:val="002B46E8"/>
    <w:rsid w:val="002B47EA"/>
    <w:rsid w:val="002B4D4B"/>
    <w:rsid w:val="002B5A01"/>
    <w:rsid w:val="002B704B"/>
    <w:rsid w:val="002B7613"/>
    <w:rsid w:val="002C104C"/>
    <w:rsid w:val="002C4EDE"/>
    <w:rsid w:val="002C5776"/>
    <w:rsid w:val="002C799E"/>
    <w:rsid w:val="002D2CFF"/>
    <w:rsid w:val="002D4D18"/>
    <w:rsid w:val="002D6BA6"/>
    <w:rsid w:val="002D6DBA"/>
    <w:rsid w:val="002E025F"/>
    <w:rsid w:val="002E0BCD"/>
    <w:rsid w:val="002E5AD6"/>
    <w:rsid w:val="002F27A0"/>
    <w:rsid w:val="002F3FDF"/>
    <w:rsid w:val="002F576C"/>
    <w:rsid w:val="002F57BA"/>
    <w:rsid w:val="002F5A59"/>
    <w:rsid w:val="002F5E02"/>
    <w:rsid w:val="002F5E0D"/>
    <w:rsid w:val="002F66A3"/>
    <w:rsid w:val="00300B59"/>
    <w:rsid w:val="00300EFA"/>
    <w:rsid w:val="0030187C"/>
    <w:rsid w:val="003028FB"/>
    <w:rsid w:val="00304C78"/>
    <w:rsid w:val="003138D3"/>
    <w:rsid w:val="00316204"/>
    <w:rsid w:val="00316934"/>
    <w:rsid w:val="003176AB"/>
    <w:rsid w:val="00322B29"/>
    <w:rsid w:val="00322D84"/>
    <w:rsid w:val="00324154"/>
    <w:rsid w:val="00324A40"/>
    <w:rsid w:val="0032715B"/>
    <w:rsid w:val="003272C8"/>
    <w:rsid w:val="00330887"/>
    <w:rsid w:val="00331D89"/>
    <w:rsid w:val="00332186"/>
    <w:rsid w:val="003342C8"/>
    <w:rsid w:val="00335BA7"/>
    <w:rsid w:val="00335F5E"/>
    <w:rsid w:val="00337C15"/>
    <w:rsid w:val="00340483"/>
    <w:rsid w:val="003448FA"/>
    <w:rsid w:val="00346411"/>
    <w:rsid w:val="00347CDB"/>
    <w:rsid w:val="00352D64"/>
    <w:rsid w:val="003534B1"/>
    <w:rsid w:val="00353567"/>
    <w:rsid w:val="00354451"/>
    <w:rsid w:val="00354CDD"/>
    <w:rsid w:val="0036049B"/>
    <w:rsid w:val="00362812"/>
    <w:rsid w:val="0036784F"/>
    <w:rsid w:val="00370758"/>
    <w:rsid w:val="00371E05"/>
    <w:rsid w:val="00372E5F"/>
    <w:rsid w:val="003741D3"/>
    <w:rsid w:val="00375B71"/>
    <w:rsid w:val="003805CD"/>
    <w:rsid w:val="00380A10"/>
    <w:rsid w:val="00380ED6"/>
    <w:rsid w:val="0038150C"/>
    <w:rsid w:val="00381B2D"/>
    <w:rsid w:val="00385A84"/>
    <w:rsid w:val="003863E9"/>
    <w:rsid w:val="00393573"/>
    <w:rsid w:val="00395556"/>
    <w:rsid w:val="003957F3"/>
    <w:rsid w:val="003A03F0"/>
    <w:rsid w:val="003A1207"/>
    <w:rsid w:val="003A2907"/>
    <w:rsid w:val="003A3110"/>
    <w:rsid w:val="003A74FF"/>
    <w:rsid w:val="003B1BBD"/>
    <w:rsid w:val="003B4545"/>
    <w:rsid w:val="003B6C38"/>
    <w:rsid w:val="003C7A46"/>
    <w:rsid w:val="003D0ED1"/>
    <w:rsid w:val="003D3008"/>
    <w:rsid w:val="003E394B"/>
    <w:rsid w:val="003E58A5"/>
    <w:rsid w:val="003E596F"/>
    <w:rsid w:val="003E680B"/>
    <w:rsid w:val="003F0A06"/>
    <w:rsid w:val="003F29C8"/>
    <w:rsid w:val="003F3C87"/>
    <w:rsid w:val="003F5D10"/>
    <w:rsid w:val="003F6823"/>
    <w:rsid w:val="00401976"/>
    <w:rsid w:val="00403290"/>
    <w:rsid w:val="0040475B"/>
    <w:rsid w:val="0040542B"/>
    <w:rsid w:val="004057BE"/>
    <w:rsid w:val="0041412A"/>
    <w:rsid w:val="004207E8"/>
    <w:rsid w:val="0042415B"/>
    <w:rsid w:val="004255B7"/>
    <w:rsid w:val="0042745F"/>
    <w:rsid w:val="0043491C"/>
    <w:rsid w:val="004366A8"/>
    <w:rsid w:val="0044252C"/>
    <w:rsid w:val="00444796"/>
    <w:rsid w:val="00444CF7"/>
    <w:rsid w:val="00446E9E"/>
    <w:rsid w:val="00450CA5"/>
    <w:rsid w:val="0045117E"/>
    <w:rsid w:val="00453860"/>
    <w:rsid w:val="004551A1"/>
    <w:rsid w:val="00457080"/>
    <w:rsid w:val="004634DC"/>
    <w:rsid w:val="004666F1"/>
    <w:rsid w:val="00466962"/>
    <w:rsid w:val="0046697E"/>
    <w:rsid w:val="00467442"/>
    <w:rsid w:val="00472566"/>
    <w:rsid w:val="004735A2"/>
    <w:rsid w:val="00475C18"/>
    <w:rsid w:val="00481F4A"/>
    <w:rsid w:val="00485588"/>
    <w:rsid w:val="00487097"/>
    <w:rsid w:val="00487685"/>
    <w:rsid w:val="00487865"/>
    <w:rsid w:val="00491520"/>
    <w:rsid w:val="00492EC6"/>
    <w:rsid w:val="00493A16"/>
    <w:rsid w:val="004953F3"/>
    <w:rsid w:val="004961AF"/>
    <w:rsid w:val="004A2CF4"/>
    <w:rsid w:val="004A4DBB"/>
    <w:rsid w:val="004A54D2"/>
    <w:rsid w:val="004A7B4D"/>
    <w:rsid w:val="004B2B02"/>
    <w:rsid w:val="004B35D0"/>
    <w:rsid w:val="004B39A0"/>
    <w:rsid w:val="004B7D68"/>
    <w:rsid w:val="004C1897"/>
    <w:rsid w:val="004C3883"/>
    <w:rsid w:val="004C4B26"/>
    <w:rsid w:val="004D06E2"/>
    <w:rsid w:val="004D0E4A"/>
    <w:rsid w:val="004D2A47"/>
    <w:rsid w:val="004D6EAE"/>
    <w:rsid w:val="004E229F"/>
    <w:rsid w:val="004E6EC1"/>
    <w:rsid w:val="004F214A"/>
    <w:rsid w:val="004F6F6A"/>
    <w:rsid w:val="004F73AD"/>
    <w:rsid w:val="00502943"/>
    <w:rsid w:val="00504DE7"/>
    <w:rsid w:val="005058F1"/>
    <w:rsid w:val="00506C1A"/>
    <w:rsid w:val="005102D4"/>
    <w:rsid w:val="00520986"/>
    <w:rsid w:val="00521BB7"/>
    <w:rsid w:val="00524452"/>
    <w:rsid w:val="00525CC1"/>
    <w:rsid w:val="00531777"/>
    <w:rsid w:val="00532256"/>
    <w:rsid w:val="005327CD"/>
    <w:rsid w:val="00532993"/>
    <w:rsid w:val="005374AC"/>
    <w:rsid w:val="00537A96"/>
    <w:rsid w:val="005428E2"/>
    <w:rsid w:val="0054365B"/>
    <w:rsid w:val="00545642"/>
    <w:rsid w:val="005477AE"/>
    <w:rsid w:val="00553530"/>
    <w:rsid w:val="0055529B"/>
    <w:rsid w:val="00557D04"/>
    <w:rsid w:val="00561E46"/>
    <w:rsid w:val="00567404"/>
    <w:rsid w:val="00570465"/>
    <w:rsid w:val="00570519"/>
    <w:rsid w:val="0057136F"/>
    <w:rsid w:val="00572105"/>
    <w:rsid w:val="0057280A"/>
    <w:rsid w:val="005758E8"/>
    <w:rsid w:val="00576DA0"/>
    <w:rsid w:val="00577CAB"/>
    <w:rsid w:val="0058041E"/>
    <w:rsid w:val="00580A92"/>
    <w:rsid w:val="0058185F"/>
    <w:rsid w:val="00583476"/>
    <w:rsid w:val="00585465"/>
    <w:rsid w:val="00590A66"/>
    <w:rsid w:val="00593EAF"/>
    <w:rsid w:val="00595BE8"/>
    <w:rsid w:val="00595BF3"/>
    <w:rsid w:val="00597904"/>
    <w:rsid w:val="005A1C9A"/>
    <w:rsid w:val="005A223B"/>
    <w:rsid w:val="005A28F5"/>
    <w:rsid w:val="005A2A61"/>
    <w:rsid w:val="005A2AD0"/>
    <w:rsid w:val="005A2D65"/>
    <w:rsid w:val="005A4484"/>
    <w:rsid w:val="005A50A3"/>
    <w:rsid w:val="005B02EB"/>
    <w:rsid w:val="005B0FBF"/>
    <w:rsid w:val="005B4710"/>
    <w:rsid w:val="005B5D57"/>
    <w:rsid w:val="005B5FB3"/>
    <w:rsid w:val="005C0B30"/>
    <w:rsid w:val="005C2F1D"/>
    <w:rsid w:val="005C3D08"/>
    <w:rsid w:val="005C50B2"/>
    <w:rsid w:val="005C6490"/>
    <w:rsid w:val="005D264D"/>
    <w:rsid w:val="005D3E12"/>
    <w:rsid w:val="005D42C3"/>
    <w:rsid w:val="005D6A0C"/>
    <w:rsid w:val="005D6BB0"/>
    <w:rsid w:val="005E0201"/>
    <w:rsid w:val="005E5C60"/>
    <w:rsid w:val="005F34E9"/>
    <w:rsid w:val="005F4FEE"/>
    <w:rsid w:val="006007CD"/>
    <w:rsid w:val="00602E48"/>
    <w:rsid w:val="006040EA"/>
    <w:rsid w:val="00604970"/>
    <w:rsid w:val="00611B7E"/>
    <w:rsid w:val="00612E2F"/>
    <w:rsid w:val="0061301D"/>
    <w:rsid w:val="00615B03"/>
    <w:rsid w:val="00616A21"/>
    <w:rsid w:val="00616D22"/>
    <w:rsid w:val="006228B9"/>
    <w:rsid w:val="0062480D"/>
    <w:rsid w:val="00624E95"/>
    <w:rsid w:val="006263FD"/>
    <w:rsid w:val="00626D30"/>
    <w:rsid w:val="00631727"/>
    <w:rsid w:val="006339E8"/>
    <w:rsid w:val="00634EFB"/>
    <w:rsid w:val="0063572E"/>
    <w:rsid w:val="00637DBA"/>
    <w:rsid w:val="00642275"/>
    <w:rsid w:val="00642846"/>
    <w:rsid w:val="00644015"/>
    <w:rsid w:val="006510E0"/>
    <w:rsid w:val="006517A7"/>
    <w:rsid w:val="00651CA8"/>
    <w:rsid w:val="006526E5"/>
    <w:rsid w:val="00662353"/>
    <w:rsid w:val="006628BA"/>
    <w:rsid w:val="00663389"/>
    <w:rsid w:val="0066379D"/>
    <w:rsid w:val="0067137D"/>
    <w:rsid w:val="006714F7"/>
    <w:rsid w:val="00671F40"/>
    <w:rsid w:val="006726DB"/>
    <w:rsid w:val="00674080"/>
    <w:rsid w:val="00674BDE"/>
    <w:rsid w:val="00681345"/>
    <w:rsid w:val="00682356"/>
    <w:rsid w:val="006844FE"/>
    <w:rsid w:val="006853DA"/>
    <w:rsid w:val="00697362"/>
    <w:rsid w:val="00697CE0"/>
    <w:rsid w:val="006A064E"/>
    <w:rsid w:val="006A2D07"/>
    <w:rsid w:val="006A53EE"/>
    <w:rsid w:val="006A6A67"/>
    <w:rsid w:val="006A6FC0"/>
    <w:rsid w:val="006B0346"/>
    <w:rsid w:val="006B15BD"/>
    <w:rsid w:val="006B3CB3"/>
    <w:rsid w:val="006B6180"/>
    <w:rsid w:val="006C025B"/>
    <w:rsid w:val="006C67EF"/>
    <w:rsid w:val="006C6897"/>
    <w:rsid w:val="006C722C"/>
    <w:rsid w:val="006C793D"/>
    <w:rsid w:val="006C7E61"/>
    <w:rsid w:val="006D0318"/>
    <w:rsid w:val="006D375A"/>
    <w:rsid w:val="006D4ECC"/>
    <w:rsid w:val="006D5B7E"/>
    <w:rsid w:val="006E0AD9"/>
    <w:rsid w:val="006E2307"/>
    <w:rsid w:val="006E2722"/>
    <w:rsid w:val="006E2CD9"/>
    <w:rsid w:val="006E670F"/>
    <w:rsid w:val="006F2E40"/>
    <w:rsid w:val="006F5A81"/>
    <w:rsid w:val="006F6439"/>
    <w:rsid w:val="006F71C6"/>
    <w:rsid w:val="006F7D5F"/>
    <w:rsid w:val="00701E9F"/>
    <w:rsid w:val="00702A97"/>
    <w:rsid w:val="00704F79"/>
    <w:rsid w:val="0070502E"/>
    <w:rsid w:val="007059D6"/>
    <w:rsid w:val="00711662"/>
    <w:rsid w:val="00711DB2"/>
    <w:rsid w:val="00711F38"/>
    <w:rsid w:val="0071368D"/>
    <w:rsid w:val="007201BD"/>
    <w:rsid w:val="00720936"/>
    <w:rsid w:val="00724BDC"/>
    <w:rsid w:val="0073126A"/>
    <w:rsid w:val="0073314F"/>
    <w:rsid w:val="00737694"/>
    <w:rsid w:val="007402DD"/>
    <w:rsid w:val="00740AEA"/>
    <w:rsid w:val="007446F9"/>
    <w:rsid w:val="00746ADA"/>
    <w:rsid w:val="00751BE2"/>
    <w:rsid w:val="00752E7F"/>
    <w:rsid w:val="00753B21"/>
    <w:rsid w:val="00753DE8"/>
    <w:rsid w:val="0075486B"/>
    <w:rsid w:val="0075549E"/>
    <w:rsid w:val="007554D2"/>
    <w:rsid w:val="0075687F"/>
    <w:rsid w:val="00756BF5"/>
    <w:rsid w:val="0076066E"/>
    <w:rsid w:val="00761322"/>
    <w:rsid w:val="00761CB7"/>
    <w:rsid w:val="00765E82"/>
    <w:rsid w:val="00772ED3"/>
    <w:rsid w:val="007748ED"/>
    <w:rsid w:val="00774EA4"/>
    <w:rsid w:val="00775739"/>
    <w:rsid w:val="00775DBE"/>
    <w:rsid w:val="007773FF"/>
    <w:rsid w:val="0078043B"/>
    <w:rsid w:val="0078222D"/>
    <w:rsid w:val="007834FA"/>
    <w:rsid w:val="00790B1D"/>
    <w:rsid w:val="00791F94"/>
    <w:rsid w:val="00796AF7"/>
    <w:rsid w:val="00797465"/>
    <w:rsid w:val="007978B6"/>
    <w:rsid w:val="007A07F7"/>
    <w:rsid w:val="007A70ED"/>
    <w:rsid w:val="007B0232"/>
    <w:rsid w:val="007B06D2"/>
    <w:rsid w:val="007B0E4D"/>
    <w:rsid w:val="007B3DF7"/>
    <w:rsid w:val="007C01F8"/>
    <w:rsid w:val="007C3D95"/>
    <w:rsid w:val="007C40FD"/>
    <w:rsid w:val="007C7C5D"/>
    <w:rsid w:val="007D18BE"/>
    <w:rsid w:val="007D369E"/>
    <w:rsid w:val="007E38A5"/>
    <w:rsid w:val="007E4AFC"/>
    <w:rsid w:val="007E5060"/>
    <w:rsid w:val="007E66F4"/>
    <w:rsid w:val="007E6828"/>
    <w:rsid w:val="007E69FA"/>
    <w:rsid w:val="007E7646"/>
    <w:rsid w:val="007F03FC"/>
    <w:rsid w:val="007F43B0"/>
    <w:rsid w:val="007F48E6"/>
    <w:rsid w:val="007F4BAF"/>
    <w:rsid w:val="00803245"/>
    <w:rsid w:val="00803251"/>
    <w:rsid w:val="00805047"/>
    <w:rsid w:val="00805D8F"/>
    <w:rsid w:val="00807991"/>
    <w:rsid w:val="008109DF"/>
    <w:rsid w:val="0081319E"/>
    <w:rsid w:val="008141C6"/>
    <w:rsid w:val="00814B37"/>
    <w:rsid w:val="008213CB"/>
    <w:rsid w:val="00823A30"/>
    <w:rsid w:val="00825289"/>
    <w:rsid w:val="00827239"/>
    <w:rsid w:val="00827A97"/>
    <w:rsid w:val="00830666"/>
    <w:rsid w:val="00830DB7"/>
    <w:rsid w:val="0083233F"/>
    <w:rsid w:val="00833FCF"/>
    <w:rsid w:val="008345A7"/>
    <w:rsid w:val="00842252"/>
    <w:rsid w:val="00842B14"/>
    <w:rsid w:val="00842CEC"/>
    <w:rsid w:val="00844ADD"/>
    <w:rsid w:val="00844E71"/>
    <w:rsid w:val="008456B7"/>
    <w:rsid w:val="00854C13"/>
    <w:rsid w:val="00854CCB"/>
    <w:rsid w:val="00854D02"/>
    <w:rsid w:val="00855BCF"/>
    <w:rsid w:val="008578F4"/>
    <w:rsid w:val="00863741"/>
    <w:rsid w:val="008678A3"/>
    <w:rsid w:val="008722C9"/>
    <w:rsid w:val="00872446"/>
    <w:rsid w:val="00874BF6"/>
    <w:rsid w:val="0087681B"/>
    <w:rsid w:val="008802F1"/>
    <w:rsid w:val="008822BD"/>
    <w:rsid w:val="00883BE0"/>
    <w:rsid w:val="008846B7"/>
    <w:rsid w:val="0089221C"/>
    <w:rsid w:val="00892F36"/>
    <w:rsid w:val="00893B85"/>
    <w:rsid w:val="0089667A"/>
    <w:rsid w:val="008968BC"/>
    <w:rsid w:val="00897103"/>
    <w:rsid w:val="008A0337"/>
    <w:rsid w:val="008A1D03"/>
    <w:rsid w:val="008A3AEC"/>
    <w:rsid w:val="008A4CBD"/>
    <w:rsid w:val="008A629F"/>
    <w:rsid w:val="008A6DBA"/>
    <w:rsid w:val="008A6E40"/>
    <w:rsid w:val="008B04DD"/>
    <w:rsid w:val="008B2ED6"/>
    <w:rsid w:val="008B3F21"/>
    <w:rsid w:val="008B5876"/>
    <w:rsid w:val="008C29F5"/>
    <w:rsid w:val="008C2A70"/>
    <w:rsid w:val="008C46E3"/>
    <w:rsid w:val="008C7760"/>
    <w:rsid w:val="008D2A07"/>
    <w:rsid w:val="008D481E"/>
    <w:rsid w:val="008D48B5"/>
    <w:rsid w:val="008D6488"/>
    <w:rsid w:val="008D706C"/>
    <w:rsid w:val="008D71A2"/>
    <w:rsid w:val="008D77FD"/>
    <w:rsid w:val="008E05EE"/>
    <w:rsid w:val="008E3B28"/>
    <w:rsid w:val="008E64F3"/>
    <w:rsid w:val="008E7547"/>
    <w:rsid w:val="008E79CE"/>
    <w:rsid w:val="008F2970"/>
    <w:rsid w:val="008F5749"/>
    <w:rsid w:val="008F741E"/>
    <w:rsid w:val="009026CF"/>
    <w:rsid w:val="00904D1F"/>
    <w:rsid w:val="009060D8"/>
    <w:rsid w:val="00906794"/>
    <w:rsid w:val="00910423"/>
    <w:rsid w:val="00912B39"/>
    <w:rsid w:val="00914F00"/>
    <w:rsid w:val="009166EE"/>
    <w:rsid w:val="00925443"/>
    <w:rsid w:val="00925E28"/>
    <w:rsid w:val="00927BED"/>
    <w:rsid w:val="009302D0"/>
    <w:rsid w:val="00931AE5"/>
    <w:rsid w:val="009335AF"/>
    <w:rsid w:val="0093625F"/>
    <w:rsid w:val="00940D3C"/>
    <w:rsid w:val="00942E83"/>
    <w:rsid w:val="0094317B"/>
    <w:rsid w:val="00944195"/>
    <w:rsid w:val="009445FF"/>
    <w:rsid w:val="00944FA6"/>
    <w:rsid w:val="00950707"/>
    <w:rsid w:val="009562D0"/>
    <w:rsid w:val="009566BA"/>
    <w:rsid w:val="00960264"/>
    <w:rsid w:val="00961CD2"/>
    <w:rsid w:val="00961E1D"/>
    <w:rsid w:val="00962578"/>
    <w:rsid w:val="00965C8E"/>
    <w:rsid w:val="00965DD4"/>
    <w:rsid w:val="009672F1"/>
    <w:rsid w:val="0097020B"/>
    <w:rsid w:val="00970C68"/>
    <w:rsid w:val="00971E40"/>
    <w:rsid w:val="00972B45"/>
    <w:rsid w:val="009734A4"/>
    <w:rsid w:val="009744E0"/>
    <w:rsid w:val="00975134"/>
    <w:rsid w:val="00975C79"/>
    <w:rsid w:val="00977AED"/>
    <w:rsid w:val="0098004E"/>
    <w:rsid w:val="00981D86"/>
    <w:rsid w:val="00984B43"/>
    <w:rsid w:val="00990A6D"/>
    <w:rsid w:val="00991AFB"/>
    <w:rsid w:val="00992D16"/>
    <w:rsid w:val="00993E80"/>
    <w:rsid w:val="00997543"/>
    <w:rsid w:val="009977CD"/>
    <w:rsid w:val="009A2C78"/>
    <w:rsid w:val="009A2E88"/>
    <w:rsid w:val="009A7313"/>
    <w:rsid w:val="009B1B94"/>
    <w:rsid w:val="009B2B00"/>
    <w:rsid w:val="009B3561"/>
    <w:rsid w:val="009B3ED2"/>
    <w:rsid w:val="009B4717"/>
    <w:rsid w:val="009B5138"/>
    <w:rsid w:val="009B641B"/>
    <w:rsid w:val="009B6EEA"/>
    <w:rsid w:val="009C3821"/>
    <w:rsid w:val="009C44AE"/>
    <w:rsid w:val="009C53F4"/>
    <w:rsid w:val="009C645F"/>
    <w:rsid w:val="009C68FB"/>
    <w:rsid w:val="009C7A17"/>
    <w:rsid w:val="009D5992"/>
    <w:rsid w:val="009D5FBA"/>
    <w:rsid w:val="009D79AB"/>
    <w:rsid w:val="009D7C66"/>
    <w:rsid w:val="009E1205"/>
    <w:rsid w:val="009E4316"/>
    <w:rsid w:val="009F05E5"/>
    <w:rsid w:val="009F1508"/>
    <w:rsid w:val="009F19C9"/>
    <w:rsid w:val="00A00F4A"/>
    <w:rsid w:val="00A1014A"/>
    <w:rsid w:val="00A104B7"/>
    <w:rsid w:val="00A10502"/>
    <w:rsid w:val="00A1073D"/>
    <w:rsid w:val="00A1473D"/>
    <w:rsid w:val="00A15875"/>
    <w:rsid w:val="00A15ECE"/>
    <w:rsid w:val="00A21248"/>
    <w:rsid w:val="00A21F3A"/>
    <w:rsid w:val="00A22414"/>
    <w:rsid w:val="00A23A54"/>
    <w:rsid w:val="00A265D5"/>
    <w:rsid w:val="00A30D2D"/>
    <w:rsid w:val="00A37121"/>
    <w:rsid w:val="00A41B46"/>
    <w:rsid w:val="00A43C6F"/>
    <w:rsid w:val="00A462B7"/>
    <w:rsid w:val="00A47669"/>
    <w:rsid w:val="00A5078E"/>
    <w:rsid w:val="00A50E9C"/>
    <w:rsid w:val="00A51B20"/>
    <w:rsid w:val="00A527D4"/>
    <w:rsid w:val="00A53198"/>
    <w:rsid w:val="00A53674"/>
    <w:rsid w:val="00A57C02"/>
    <w:rsid w:val="00A61D7A"/>
    <w:rsid w:val="00A6260C"/>
    <w:rsid w:val="00A63C86"/>
    <w:rsid w:val="00A64343"/>
    <w:rsid w:val="00A65542"/>
    <w:rsid w:val="00A660FD"/>
    <w:rsid w:val="00A70757"/>
    <w:rsid w:val="00A7127C"/>
    <w:rsid w:val="00A721E2"/>
    <w:rsid w:val="00A7248E"/>
    <w:rsid w:val="00A74946"/>
    <w:rsid w:val="00A751C3"/>
    <w:rsid w:val="00A75456"/>
    <w:rsid w:val="00A7616F"/>
    <w:rsid w:val="00A77A6F"/>
    <w:rsid w:val="00A83F3A"/>
    <w:rsid w:val="00A84925"/>
    <w:rsid w:val="00A84B6E"/>
    <w:rsid w:val="00A84FB6"/>
    <w:rsid w:val="00A852F4"/>
    <w:rsid w:val="00A90426"/>
    <w:rsid w:val="00A90C55"/>
    <w:rsid w:val="00A93057"/>
    <w:rsid w:val="00A968B6"/>
    <w:rsid w:val="00A969E2"/>
    <w:rsid w:val="00AA02A0"/>
    <w:rsid w:val="00AA11CB"/>
    <w:rsid w:val="00AA1A8A"/>
    <w:rsid w:val="00AA33B5"/>
    <w:rsid w:val="00AB2C29"/>
    <w:rsid w:val="00AB6294"/>
    <w:rsid w:val="00AB662A"/>
    <w:rsid w:val="00AC0CC3"/>
    <w:rsid w:val="00AC213B"/>
    <w:rsid w:val="00AC3DB1"/>
    <w:rsid w:val="00AC4E33"/>
    <w:rsid w:val="00AC75BB"/>
    <w:rsid w:val="00AC79F6"/>
    <w:rsid w:val="00AD0B4D"/>
    <w:rsid w:val="00AD2117"/>
    <w:rsid w:val="00AD2461"/>
    <w:rsid w:val="00AD2543"/>
    <w:rsid w:val="00AD279E"/>
    <w:rsid w:val="00AD34DE"/>
    <w:rsid w:val="00AE179B"/>
    <w:rsid w:val="00AE39C3"/>
    <w:rsid w:val="00AE4520"/>
    <w:rsid w:val="00AE624B"/>
    <w:rsid w:val="00AF0FE0"/>
    <w:rsid w:val="00AF4A2B"/>
    <w:rsid w:val="00AF68B0"/>
    <w:rsid w:val="00B0084E"/>
    <w:rsid w:val="00B02493"/>
    <w:rsid w:val="00B038F6"/>
    <w:rsid w:val="00B07658"/>
    <w:rsid w:val="00B1154A"/>
    <w:rsid w:val="00B11A5F"/>
    <w:rsid w:val="00B12EF9"/>
    <w:rsid w:val="00B13DD7"/>
    <w:rsid w:val="00B162B2"/>
    <w:rsid w:val="00B16471"/>
    <w:rsid w:val="00B16B55"/>
    <w:rsid w:val="00B170C1"/>
    <w:rsid w:val="00B2010D"/>
    <w:rsid w:val="00B22F56"/>
    <w:rsid w:val="00B236A8"/>
    <w:rsid w:val="00B27B25"/>
    <w:rsid w:val="00B31D0B"/>
    <w:rsid w:val="00B33D14"/>
    <w:rsid w:val="00B359EC"/>
    <w:rsid w:val="00B379E5"/>
    <w:rsid w:val="00B47058"/>
    <w:rsid w:val="00B47CA9"/>
    <w:rsid w:val="00B553F0"/>
    <w:rsid w:val="00B64D7B"/>
    <w:rsid w:val="00B67EC3"/>
    <w:rsid w:val="00B70099"/>
    <w:rsid w:val="00B71DE1"/>
    <w:rsid w:val="00B71DEB"/>
    <w:rsid w:val="00B73AF4"/>
    <w:rsid w:val="00B768C6"/>
    <w:rsid w:val="00B81E01"/>
    <w:rsid w:val="00B82A57"/>
    <w:rsid w:val="00B834ED"/>
    <w:rsid w:val="00B83C06"/>
    <w:rsid w:val="00B83E31"/>
    <w:rsid w:val="00B84188"/>
    <w:rsid w:val="00B9450E"/>
    <w:rsid w:val="00B97955"/>
    <w:rsid w:val="00BA0FA9"/>
    <w:rsid w:val="00BA2B00"/>
    <w:rsid w:val="00BA2E91"/>
    <w:rsid w:val="00BA3B26"/>
    <w:rsid w:val="00BA48FF"/>
    <w:rsid w:val="00BA6C9F"/>
    <w:rsid w:val="00BB13C2"/>
    <w:rsid w:val="00BB401C"/>
    <w:rsid w:val="00BB4349"/>
    <w:rsid w:val="00BB60DE"/>
    <w:rsid w:val="00BB62A9"/>
    <w:rsid w:val="00BB6A4C"/>
    <w:rsid w:val="00BC2824"/>
    <w:rsid w:val="00BC3B0C"/>
    <w:rsid w:val="00BC5807"/>
    <w:rsid w:val="00BC7EEB"/>
    <w:rsid w:val="00BD0B7F"/>
    <w:rsid w:val="00BD37D9"/>
    <w:rsid w:val="00BD3E3F"/>
    <w:rsid w:val="00BD6885"/>
    <w:rsid w:val="00BE0CCA"/>
    <w:rsid w:val="00BE1515"/>
    <w:rsid w:val="00BE194E"/>
    <w:rsid w:val="00BE30BD"/>
    <w:rsid w:val="00BE3AD6"/>
    <w:rsid w:val="00BE58C7"/>
    <w:rsid w:val="00BF130C"/>
    <w:rsid w:val="00BF2B0C"/>
    <w:rsid w:val="00BF55E1"/>
    <w:rsid w:val="00BF6204"/>
    <w:rsid w:val="00C0114A"/>
    <w:rsid w:val="00C04326"/>
    <w:rsid w:val="00C04928"/>
    <w:rsid w:val="00C066C5"/>
    <w:rsid w:val="00C10299"/>
    <w:rsid w:val="00C102EC"/>
    <w:rsid w:val="00C137EF"/>
    <w:rsid w:val="00C15373"/>
    <w:rsid w:val="00C210B5"/>
    <w:rsid w:val="00C216AD"/>
    <w:rsid w:val="00C22012"/>
    <w:rsid w:val="00C229C0"/>
    <w:rsid w:val="00C22F6B"/>
    <w:rsid w:val="00C23BC8"/>
    <w:rsid w:val="00C2455D"/>
    <w:rsid w:val="00C24972"/>
    <w:rsid w:val="00C2651E"/>
    <w:rsid w:val="00C31413"/>
    <w:rsid w:val="00C32E3C"/>
    <w:rsid w:val="00C340BB"/>
    <w:rsid w:val="00C35877"/>
    <w:rsid w:val="00C36B20"/>
    <w:rsid w:val="00C451FB"/>
    <w:rsid w:val="00C4579E"/>
    <w:rsid w:val="00C5050E"/>
    <w:rsid w:val="00C5134E"/>
    <w:rsid w:val="00C5366E"/>
    <w:rsid w:val="00C57A5D"/>
    <w:rsid w:val="00C61892"/>
    <w:rsid w:val="00C65555"/>
    <w:rsid w:val="00C7157C"/>
    <w:rsid w:val="00C71A28"/>
    <w:rsid w:val="00C71FBE"/>
    <w:rsid w:val="00C73E37"/>
    <w:rsid w:val="00C83FE4"/>
    <w:rsid w:val="00C84ABC"/>
    <w:rsid w:val="00C9036E"/>
    <w:rsid w:val="00C90681"/>
    <w:rsid w:val="00C95B89"/>
    <w:rsid w:val="00C96A82"/>
    <w:rsid w:val="00CA155A"/>
    <w:rsid w:val="00CA247D"/>
    <w:rsid w:val="00CA2651"/>
    <w:rsid w:val="00CA2992"/>
    <w:rsid w:val="00CA3C9B"/>
    <w:rsid w:val="00CA6361"/>
    <w:rsid w:val="00CA7E76"/>
    <w:rsid w:val="00CB0805"/>
    <w:rsid w:val="00CB640C"/>
    <w:rsid w:val="00CC380B"/>
    <w:rsid w:val="00CC6003"/>
    <w:rsid w:val="00CC681D"/>
    <w:rsid w:val="00CC72E5"/>
    <w:rsid w:val="00CC73DB"/>
    <w:rsid w:val="00CC7F80"/>
    <w:rsid w:val="00CD1AC7"/>
    <w:rsid w:val="00CD363C"/>
    <w:rsid w:val="00CD496F"/>
    <w:rsid w:val="00CD4F83"/>
    <w:rsid w:val="00CE4E52"/>
    <w:rsid w:val="00CE5444"/>
    <w:rsid w:val="00CE6779"/>
    <w:rsid w:val="00CE7619"/>
    <w:rsid w:val="00CF4B0A"/>
    <w:rsid w:val="00D007D6"/>
    <w:rsid w:val="00D0110E"/>
    <w:rsid w:val="00D014B1"/>
    <w:rsid w:val="00D02F28"/>
    <w:rsid w:val="00D05C5E"/>
    <w:rsid w:val="00D11582"/>
    <w:rsid w:val="00D11F8B"/>
    <w:rsid w:val="00D11FE2"/>
    <w:rsid w:val="00D12C23"/>
    <w:rsid w:val="00D131BF"/>
    <w:rsid w:val="00D14788"/>
    <w:rsid w:val="00D14973"/>
    <w:rsid w:val="00D15EBE"/>
    <w:rsid w:val="00D175B6"/>
    <w:rsid w:val="00D22BF0"/>
    <w:rsid w:val="00D23FAA"/>
    <w:rsid w:val="00D3028C"/>
    <w:rsid w:val="00D3044F"/>
    <w:rsid w:val="00D33559"/>
    <w:rsid w:val="00D377B0"/>
    <w:rsid w:val="00D37917"/>
    <w:rsid w:val="00D4481B"/>
    <w:rsid w:val="00D45400"/>
    <w:rsid w:val="00D45A45"/>
    <w:rsid w:val="00D47D99"/>
    <w:rsid w:val="00D51056"/>
    <w:rsid w:val="00D61DA3"/>
    <w:rsid w:val="00D62FB8"/>
    <w:rsid w:val="00D6425D"/>
    <w:rsid w:val="00D663DF"/>
    <w:rsid w:val="00D67903"/>
    <w:rsid w:val="00D70FA7"/>
    <w:rsid w:val="00D737ED"/>
    <w:rsid w:val="00D73D5C"/>
    <w:rsid w:val="00D762EE"/>
    <w:rsid w:val="00D802CE"/>
    <w:rsid w:val="00D80511"/>
    <w:rsid w:val="00D81FCC"/>
    <w:rsid w:val="00D8344F"/>
    <w:rsid w:val="00D83EA8"/>
    <w:rsid w:val="00D864D3"/>
    <w:rsid w:val="00D91DD8"/>
    <w:rsid w:val="00D923B5"/>
    <w:rsid w:val="00D96C5A"/>
    <w:rsid w:val="00D96F4B"/>
    <w:rsid w:val="00D974C5"/>
    <w:rsid w:val="00DA03BE"/>
    <w:rsid w:val="00DA1C1E"/>
    <w:rsid w:val="00DA25B2"/>
    <w:rsid w:val="00DA26BB"/>
    <w:rsid w:val="00DA72E4"/>
    <w:rsid w:val="00DB2D11"/>
    <w:rsid w:val="00DB6D5E"/>
    <w:rsid w:val="00DC1384"/>
    <w:rsid w:val="00DC2A3A"/>
    <w:rsid w:val="00DC41DF"/>
    <w:rsid w:val="00DC457F"/>
    <w:rsid w:val="00DD1623"/>
    <w:rsid w:val="00DD4F9C"/>
    <w:rsid w:val="00DD5E21"/>
    <w:rsid w:val="00DD72B8"/>
    <w:rsid w:val="00DD7D63"/>
    <w:rsid w:val="00DE07FE"/>
    <w:rsid w:val="00DE082D"/>
    <w:rsid w:val="00DE359F"/>
    <w:rsid w:val="00DE3749"/>
    <w:rsid w:val="00DE5A4D"/>
    <w:rsid w:val="00DE62F4"/>
    <w:rsid w:val="00DE6DE5"/>
    <w:rsid w:val="00DF364E"/>
    <w:rsid w:val="00DF6E82"/>
    <w:rsid w:val="00E01BB2"/>
    <w:rsid w:val="00E01D64"/>
    <w:rsid w:val="00E01D92"/>
    <w:rsid w:val="00E038E0"/>
    <w:rsid w:val="00E04601"/>
    <w:rsid w:val="00E06596"/>
    <w:rsid w:val="00E071C7"/>
    <w:rsid w:val="00E11FE3"/>
    <w:rsid w:val="00E14C5E"/>
    <w:rsid w:val="00E16668"/>
    <w:rsid w:val="00E175ED"/>
    <w:rsid w:val="00E17D0F"/>
    <w:rsid w:val="00E228AA"/>
    <w:rsid w:val="00E24113"/>
    <w:rsid w:val="00E24240"/>
    <w:rsid w:val="00E27A4C"/>
    <w:rsid w:val="00E27D3C"/>
    <w:rsid w:val="00E300B5"/>
    <w:rsid w:val="00E3169E"/>
    <w:rsid w:val="00E36283"/>
    <w:rsid w:val="00E37633"/>
    <w:rsid w:val="00E417F5"/>
    <w:rsid w:val="00E42140"/>
    <w:rsid w:val="00E505BA"/>
    <w:rsid w:val="00E50B2F"/>
    <w:rsid w:val="00E50CF3"/>
    <w:rsid w:val="00E53FF4"/>
    <w:rsid w:val="00E563CE"/>
    <w:rsid w:val="00E56A15"/>
    <w:rsid w:val="00E5700E"/>
    <w:rsid w:val="00E57E52"/>
    <w:rsid w:val="00E679D4"/>
    <w:rsid w:val="00E77EC7"/>
    <w:rsid w:val="00E80971"/>
    <w:rsid w:val="00E84262"/>
    <w:rsid w:val="00E85AB9"/>
    <w:rsid w:val="00E85E86"/>
    <w:rsid w:val="00E94B78"/>
    <w:rsid w:val="00EA10F1"/>
    <w:rsid w:val="00EA3D55"/>
    <w:rsid w:val="00EA47DF"/>
    <w:rsid w:val="00EA4EC3"/>
    <w:rsid w:val="00EB166D"/>
    <w:rsid w:val="00EB2E1C"/>
    <w:rsid w:val="00EC1803"/>
    <w:rsid w:val="00EC40B4"/>
    <w:rsid w:val="00ED5830"/>
    <w:rsid w:val="00ED6094"/>
    <w:rsid w:val="00ED7A2A"/>
    <w:rsid w:val="00EE0B89"/>
    <w:rsid w:val="00EE1AC1"/>
    <w:rsid w:val="00EE1DBD"/>
    <w:rsid w:val="00EE355D"/>
    <w:rsid w:val="00EE4AC0"/>
    <w:rsid w:val="00EE4C69"/>
    <w:rsid w:val="00EE5726"/>
    <w:rsid w:val="00EE578B"/>
    <w:rsid w:val="00EE7C51"/>
    <w:rsid w:val="00EF05E4"/>
    <w:rsid w:val="00EF061B"/>
    <w:rsid w:val="00EF19AE"/>
    <w:rsid w:val="00EF20CB"/>
    <w:rsid w:val="00EF64DF"/>
    <w:rsid w:val="00F00372"/>
    <w:rsid w:val="00F00AD1"/>
    <w:rsid w:val="00F038DF"/>
    <w:rsid w:val="00F03F68"/>
    <w:rsid w:val="00F125FA"/>
    <w:rsid w:val="00F158BC"/>
    <w:rsid w:val="00F15BAA"/>
    <w:rsid w:val="00F24C7F"/>
    <w:rsid w:val="00F3146E"/>
    <w:rsid w:val="00F315BF"/>
    <w:rsid w:val="00F31F5D"/>
    <w:rsid w:val="00F3488E"/>
    <w:rsid w:val="00F34AFC"/>
    <w:rsid w:val="00F35A42"/>
    <w:rsid w:val="00F40176"/>
    <w:rsid w:val="00F46973"/>
    <w:rsid w:val="00F50D24"/>
    <w:rsid w:val="00F54E4C"/>
    <w:rsid w:val="00F56EEE"/>
    <w:rsid w:val="00F56F06"/>
    <w:rsid w:val="00F57984"/>
    <w:rsid w:val="00F57DE1"/>
    <w:rsid w:val="00F6133C"/>
    <w:rsid w:val="00F62A0F"/>
    <w:rsid w:val="00F64F1D"/>
    <w:rsid w:val="00F66E5F"/>
    <w:rsid w:val="00F675BC"/>
    <w:rsid w:val="00F676E1"/>
    <w:rsid w:val="00F70EE2"/>
    <w:rsid w:val="00F729C6"/>
    <w:rsid w:val="00F77B1E"/>
    <w:rsid w:val="00F80A9A"/>
    <w:rsid w:val="00F8199F"/>
    <w:rsid w:val="00F81BB8"/>
    <w:rsid w:val="00F8246F"/>
    <w:rsid w:val="00F8491F"/>
    <w:rsid w:val="00F8604C"/>
    <w:rsid w:val="00F8695C"/>
    <w:rsid w:val="00F87112"/>
    <w:rsid w:val="00F87D7B"/>
    <w:rsid w:val="00F93439"/>
    <w:rsid w:val="00F94334"/>
    <w:rsid w:val="00F95588"/>
    <w:rsid w:val="00F975CC"/>
    <w:rsid w:val="00FA11FD"/>
    <w:rsid w:val="00FA2160"/>
    <w:rsid w:val="00FA4016"/>
    <w:rsid w:val="00FA7504"/>
    <w:rsid w:val="00FA767F"/>
    <w:rsid w:val="00FB0124"/>
    <w:rsid w:val="00FB684D"/>
    <w:rsid w:val="00FB7030"/>
    <w:rsid w:val="00FC0990"/>
    <w:rsid w:val="00FC0A60"/>
    <w:rsid w:val="00FC3ACB"/>
    <w:rsid w:val="00FC7C48"/>
    <w:rsid w:val="00FD1788"/>
    <w:rsid w:val="00FD1A55"/>
    <w:rsid w:val="00FD1D8C"/>
    <w:rsid w:val="00FD3665"/>
    <w:rsid w:val="00FD5F3C"/>
    <w:rsid w:val="00FD5F71"/>
    <w:rsid w:val="00FD63A7"/>
    <w:rsid w:val="00FE2531"/>
    <w:rsid w:val="00FE33BD"/>
    <w:rsid w:val="00FE3411"/>
    <w:rsid w:val="00FE5284"/>
    <w:rsid w:val="00FE5C46"/>
    <w:rsid w:val="00FE7854"/>
    <w:rsid w:val="00FF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34B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13"/>
        <w:tab w:val="right" w:pos="9026"/>
      </w:tabs>
    </w:pPr>
    <w:rPr>
      <w:rFonts w:cs="Arial Unicode MS"/>
      <w:color w:val="000000"/>
      <w:sz w:val="24"/>
      <w:szCs w:val="24"/>
      <w:u w:color="000000"/>
      <w:lang w:val="en-US"/>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customStyle="1" w:styleId="BodyB">
    <w:name w:val="Body B"/>
    <w:rPr>
      <w:rFonts w:cs="Arial Unicode MS"/>
      <w:color w:val="000000"/>
      <w:sz w:val="24"/>
      <w:szCs w:val="24"/>
      <w:u w:color="000000"/>
      <w:lang w:val="en-US"/>
    </w:rPr>
  </w:style>
  <w:style w:type="paragraph" w:customStyle="1" w:styleId="BodyC">
    <w:name w:val="Body C"/>
    <w:rPr>
      <w:rFonts w:cs="Arial Unicode MS"/>
      <w:color w:val="000000"/>
      <w:sz w:val="24"/>
      <w:szCs w:val="24"/>
      <w:u w:color="000000"/>
      <w:lang w:val="en-US"/>
    </w:rPr>
  </w:style>
  <w:style w:type="paragraph" w:customStyle="1" w:styleId="BodyBA">
    <w:name w:val="Body B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mbria" w:eastAsia="Cambria" w:hAnsi="Cambria" w:cs="Cambria"/>
      <w:color w:val="0000FF"/>
      <w:sz w:val="21"/>
      <w:szCs w:val="21"/>
      <w:u w:val="single" w:color="0000FF"/>
      <w:lang w:val="en-US"/>
    </w:rPr>
  </w:style>
  <w:style w:type="paragraph" w:styleId="BalloonText">
    <w:name w:val="Balloon Text"/>
    <w:link w:val="BalloonTextChar"/>
    <w:uiPriority w:val="99"/>
    <w:rPr>
      <w:rFonts w:ascii="Helvetica Neue" w:eastAsia="Helvetica Neue" w:hAnsi="Helvetica Neue" w:cs="Helvetica Neue"/>
      <w:color w:val="000000"/>
      <w:sz w:val="18"/>
      <w:szCs w:val="18"/>
      <w:u w:color="000000"/>
      <w:lang w:val="en-US"/>
    </w:rPr>
  </w:style>
  <w:style w:type="paragraph" w:customStyle="1" w:styleId="BodyD">
    <w:name w:val="Body D"/>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rPr>
  </w:style>
  <w:style w:type="paragraph" w:styleId="CommentText">
    <w:name w:val="annotation text"/>
    <w:basedOn w:val="Normal"/>
    <w:link w:val="CommentTextChar"/>
    <w:uiPriority w:val="99"/>
    <w:unhideWhenUsed/>
    <w:rsid w:val="00EF05E4"/>
    <w:rPr>
      <w:rFonts w:asciiTheme="majorHAnsi" w:hAnsiTheme="majorHAnsi"/>
    </w:rPr>
  </w:style>
  <w:style w:type="character" w:customStyle="1" w:styleId="CommentTextChar">
    <w:name w:val="Comment Text Char"/>
    <w:basedOn w:val="DefaultParagraphFont"/>
    <w:link w:val="CommentText"/>
    <w:uiPriority w:val="99"/>
    <w:rsid w:val="00EF05E4"/>
    <w:rPr>
      <w:rFonts w:asciiTheme="majorHAnsi" w:hAnsiTheme="majorHAnsi"/>
      <w:sz w:val="24"/>
      <w:szCs w:val="24"/>
      <w:lang w:val="en-US" w:eastAsia="en-US"/>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940D3C"/>
    <w:rPr>
      <w:b/>
      <w:bCs/>
      <w:sz w:val="20"/>
      <w:szCs w:val="20"/>
    </w:rPr>
  </w:style>
  <w:style w:type="character" w:customStyle="1" w:styleId="CommentSubjectChar">
    <w:name w:val="Comment Subject Char"/>
    <w:basedOn w:val="CommentTextChar"/>
    <w:link w:val="CommentSubject"/>
    <w:uiPriority w:val="99"/>
    <w:semiHidden/>
    <w:rsid w:val="00940D3C"/>
    <w:rPr>
      <w:rFonts w:asciiTheme="majorHAnsi" w:hAnsiTheme="majorHAnsi"/>
      <w:b/>
      <w:bCs/>
      <w:sz w:val="24"/>
      <w:szCs w:val="24"/>
      <w:lang w:val="en-US" w:eastAsia="en-US"/>
    </w:rPr>
  </w:style>
  <w:style w:type="paragraph" w:styleId="Revision">
    <w:name w:val="Revision"/>
    <w:hidden/>
    <w:uiPriority w:val="99"/>
    <w:semiHidden/>
    <w:rsid w:val="007B06D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BalloonTextChar">
    <w:name w:val="Balloon Text Char"/>
    <w:basedOn w:val="DefaultParagraphFont"/>
    <w:link w:val="BalloonText"/>
    <w:uiPriority w:val="99"/>
    <w:rsid w:val="00F80A9A"/>
    <w:rPr>
      <w:rFonts w:ascii="Helvetica Neue" w:eastAsia="Helvetica Neue" w:hAnsi="Helvetica Neue" w:cs="Helvetica Neue"/>
      <w:color w:val="000000"/>
      <w:sz w:val="18"/>
      <w:szCs w:val="18"/>
      <w:u w:color="000000"/>
      <w:lang w:val="en-US"/>
    </w:rPr>
  </w:style>
  <w:style w:type="character" w:styleId="FollowedHyperlink">
    <w:name w:val="FollowedHyperlink"/>
    <w:basedOn w:val="DefaultParagraphFont"/>
    <w:uiPriority w:val="99"/>
    <w:semiHidden/>
    <w:unhideWhenUsed/>
    <w:rsid w:val="005C3D08"/>
    <w:rPr>
      <w:color w:val="FF00FF" w:themeColor="followedHyperlink"/>
      <w:u w:val="single"/>
    </w:rPr>
  </w:style>
  <w:style w:type="character" w:customStyle="1" w:styleId="apple-converted-space">
    <w:name w:val="apple-converted-space"/>
    <w:basedOn w:val="DefaultParagraphFont"/>
    <w:rsid w:val="002D6BA6"/>
  </w:style>
  <w:style w:type="character" w:customStyle="1" w:styleId="b">
    <w:name w:val="b"/>
    <w:basedOn w:val="DefaultParagraphFont"/>
    <w:rsid w:val="002D6BA6"/>
  </w:style>
  <w:style w:type="paragraph" w:styleId="Header">
    <w:name w:val="header"/>
    <w:basedOn w:val="Normal"/>
    <w:link w:val="HeaderChar"/>
    <w:uiPriority w:val="99"/>
    <w:unhideWhenUsed/>
    <w:rsid w:val="004A4DBB"/>
    <w:pPr>
      <w:tabs>
        <w:tab w:val="center" w:pos="4513"/>
        <w:tab w:val="right" w:pos="9026"/>
      </w:tabs>
    </w:pPr>
  </w:style>
  <w:style w:type="character" w:customStyle="1" w:styleId="HeaderChar">
    <w:name w:val="Header Char"/>
    <w:basedOn w:val="DefaultParagraphFont"/>
    <w:link w:val="Header"/>
    <w:uiPriority w:val="99"/>
    <w:rsid w:val="004A4DBB"/>
    <w:rPr>
      <w:sz w:val="24"/>
      <w:szCs w:val="24"/>
      <w:lang w:val="en-US" w:eastAsia="en-US"/>
    </w:rPr>
  </w:style>
  <w:style w:type="character" w:customStyle="1" w:styleId="FooterChar">
    <w:name w:val="Footer Char"/>
    <w:basedOn w:val="DefaultParagraphFont"/>
    <w:link w:val="Footer"/>
    <w:uiPriority w:val="99"/>
    <w:rsid w:val="004B7D68"/>
    <w:rPr>
      <w:rFonts w:cs="Arial Unicode MS"/>
      <w:color w:val="000000"/>
      <w:sz w:val="24"/>
      <w:szCs w:val="24"/>
      <w:u w:color="000000"/>
      <w:lang w:val="en-US"/>
    </w:rPr>
  </w:style>
  <w:style w:type="character" w:styleId="PageNumber">
    <w:name w:val="page number"/>
    <w:basedOn w:val="DefaultParagraphFont"/>
    <w:uiPriority w:val="99"/>
    <w:semiHidden/>
    <w:unhideWhenUsed/>
    <w:rsid w:val="004B7D68"/>
  </w:style>
  <w:style w:type="character" w:styleId="LineNumber">
    <w:name w:val="line number"/>
    <w:basedOn w:val="DefaultParagraphFont"/>
    <w:uiPriority w:val="99"/>
    <w:semiHidden/>
    <w:unhideWhenUsed/>
    <w:rsid w:val="00E85AB9"/>
  </w:style>
  <w:style w:type="character" w:customStyle="1" w:styleId="UnresolvedMention1">
    <w:name w:val="Unresolved Mention1"/>
    <w:basedOn w:val="DefaultParagraphFont"/>
    <w:uiPriority w:val="99"/>
    <w:semiHidden/>
    <w:unhideWhenUsed/>
    <w:rsid w:val="00A0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4579">
      <w:bodyDiv w:val="1"/>
      <w:marLeft w:val="0"/>
      <w:marRight w:val="0"/>
      <w:marTop w:val="0"/>
      <w:marBottom w:val="0"/>
      <w:divBdr>
        <w:top w:val="none" w:sz="0" w:space="0" w:color="auto"/>
        <w:left w:val="none" w:sz="0" w:space="0" w:color="auto"/>
        <w:bottom w:val="none" w:sz="0" w:space="0" w:color="auto"/>
        <w:right w:val="none" w:sz="0" w:space="0" w:color="auto"/>
      </w:divBdr>
    </w:div>
    <w:div w:id="80834573">
      <w:bodyDiv w:val="1"/>
      <w:marLeft w:val="0"/>
      <w:marRight w:val="0"/>
      <w:marTop w:val="0"/>
      <w:marBottom w:val="0"/>
      <w:divBdr>
        <w:top w:val="none" w:sz="0" w:space="0" w:color="auto"/>
        <w:left w:val="none" w:sz="0" w:space="0" w:color="auto"/>
        <w:bottom w:val="none" w:sz="0" w:space="0" w:color="auto"/>
        <w:right w:val="none" w:sz="0" w:space="0" w:color="auto"/>
      </w:divBdr>
      <w:divsChild>
        <w:div w:id="390036474">
          <w:marLeft w:val="0"/>
          <w:marRight w:val="0"/>
          <w:marTop w:val="0"/>
          <w:marBottom w:val="0"/>
          <w:divBdr>
            <w:top w:val="none" w:sz="0" w:space="0" w:color="auto"/>
            <w:left w:val="none" w:sz="0" w:space="0" w:color="auto"/>
            <w:bottom w:val="none" w:sz="0" w:space="0" w:color="auto"/>
            <w:right w:val="none" w:sz="0" w:space="0" w:color="auto"/>
          </w:divBdr>
        </w:div>
        <w:div w:id="1231310092">
          <w:marLeft w:val="0"/>
          <w:marRight w:val="0"/>
          <w:marTop w:val="0"/>
          <w:marBottom w:val="0"/>
          <w:divBdr>
            <w:top w:val="none" w:sz="0" w:space="0" w:color="auto"/>
            <w:left w:val="none" w:sz="0" w:space="0" w:color="auto"/>
            <w:bottom w:val="none" w:sz="0" w:space="0" w:color="auto"/>
            <w:right w:val="none" w:sz="0" w:space="0" w:color="auto"/>
          </w:divBdr>
        </w:div>
        <w:div w:id="1554660967">
          <w:marLeft w:val="0"/>
          <w:marRight w:val="0"/>
          <w:marTop w:val="0"/>
          <w:marBottom w:val="0"/>
          <w:divBdr>
            <w:top w:val="none" w:sz="0" w:space="0" w:color="auto"/>
            <w:left w:val="none" w:sz="0" w:space="0" w:color="auto"/>
            <w:bottom w:val="none" w:sz="0" w:space="0" w:color="auto"/>
            <w:right w:val="none" w:sz="0" w:space="0" w:color="auto"/>
          </w:divBdr>
        </w:div>
      </w:divsChild>
    </w:div>
    <w:div w:id="87311342">
      <w:bodyDiv w:val="1"/>
      <w:marLeft w:val="0"/>
      <w:marRight w:val="0"/>
      <w:marTop w:val="0"/>
      <w:marBottom w:val="0"/>
      <w:divBdr>
        <w:top w:val="none" w:sz="0" w:space="0" w:color="auto"/>
        <w:left w:val="none" w:sz="0" w:space="0" w:color="auto"/>
        <w:bottom w:val="none" w:sz="0" w:space="0" w:color="auto"/>
        <w:right w:val="none" w:sz="0" w:space="0" w:color="auto"/>
      </w:divBdr>
    </w:div>
    <w:div w:id="183444859">
      <w:bodyDiv w:val="1"/>
      <w:marLeft w:val="0"/>
      <w:marRight w:val="0"/>
      <w:marTop w:val="0"/>
      <w:marBottom w:val="0"/>
      <w:divBdr>
        <w:top w:val="none" w:sz="0" w:space="0" w:color="auto"/>
        <w:left w:val="none" w:sz="0" w:space="0" w:color="auto"/>
        <w:bottom w:val="none" w:sz="0" w:space="0" w:color="auto"/>
        <w:right w:val="none" w:sz="0" w:space="0" w:color="auto"/>
      </w:divBdr>
    </w:div>
    <w:div w:id="208764809">
      <w:bodyDiv w:val="1"/>
      <w:marLeft w:val="0"/>
      <w:marRight w:val="0"/>
      <w:marTop w:val="0"/>
      <w:marBottom w:val="0"/>
      <w:divBdr>
        <w:top w:val="none" w:sz="0" w:space="0" w:color="auto"/>
        <w:left w:val="none" w:sz="0" w:space="0" w:color="auto"/>
        <w:bottom w:val="none" w:sz="0" w:space="0" w:color="auto"/>
        <w:right w:val="none" w:sz="0" w:space="0" w:color="auto"/>
      </w:divBdr>
    </w:div>
    <w:div w:id="284392509">
      <w:bodyDiv w:val="1"/>
      <w:marLeft w:val="0"/>
      <w:marRight w:val="0"/>
      <w:marTop w:val="0"/>
      <w:marBottom w:val="0"/>
      <w:divBdr>
        <w:top w:val="none" w:sz="0" w:space="0" w:color="auto"/>
        <w:left w:val="none" w:sz="0" w:space="0" w:color="auto"/>
        <w:bottom w:val="none" w:sz="0" w:space="0" w:color="auto"/>
        <w:right w:val="none" w:sz="0" w:space="0" w:color="auto"/>
      </w:divBdr>
    </w:div>
    <w:div w:id="301229197">
      <w:bodyDiv w:val="1"/>
      <w:marLeft w:val="0"/>
      <w:marRight w:val="0"/>
      <w:marTop w:val="0"/>
      <w:marBottom w:val="0"/>
      <w:divBdr>
        <w:top w:val="none" w:sz="0" w:space="0" w:color="auto"/>
        <w:left w:val="none" w:sz="0" w:space="0" w:color="auto"/>
        <w:bottom w:val="none" w:sz="0" w:space="0" w:color="auto"/>
        <w:right w:val="none" w:sz="0" w:space="0" w:color="auto"/>
      </w:divBdr>
    </w:div>
    <w:div w:id="437144665">
      <w:bodyDiv w:val="1"/>
      <w:marLeft w:val="0"/>
      <w:marRight w:val="0"/>
      <w:marTop w:val="0"/>
      <w:marBottom w:val="0"/>
      <w:divBdr>
        <w:top w:val="none" w:sz="0" w:space="0" w:color="auto"/>
        <w:left w:val="none" w:sz="0" w:space="0" w:color="auto"/>
        <w:bottom w:val="none" w:sz="0" w:space="0" w:color="auto"/>
        <w:right w:val="none" w:sz="0" w:space="0" w:color="auto"/>
      </w:divBdr>
    </w:div>
    <w:div w:id="475757301">
      <w:bodyDiv w:val="1"/>
      <w:marLeft w:val="0"/>
      <w:marRight w:val="0"/>
      <w:marTop w:val="0"/>
      <w:marBottom w:val="0"/>
      <w:divBdr>
        <w:top w:val="none" w:sz="0" w:space="0" w:color="auto"/>
        <w:left w:val="none" w:sz="0" w:space="0" w:color="auto"/>
        <w:bottom w:val="none" w:sz="0" w:space="0" w:color="auto"/>
        <w:right w:val="none" w:sz="0" w:space="0" w:color="auto"/>
      </w:divBdr>
    </w:div>
    <w:div w:id="670527845">
      <w:bodyDiv w:val="1"/>
      <w:marLeft w:val="0"/>
      <w:marRight w:val="0"/>
      <w:marTop w:val="0"/>
      <w:marBottom w:val="0"/>
      <w:divBdr>
        <w:top w:val="none" w:sz="0" w:space="0" w:color="auto"/>
        <w:left w:val="none" w:sz="0" w:space="0" w:color="auto"/>
        <w:bottom w:val="none" w:sz="0" w:space="0" w:color="auto"/>
        <w:right w:val="none" w:sz="0" w:space="0" w:color="auto"/>
      </w:divBdr>
    </w:div>
    <w:div w:id="676856466">
      <w:bodyDiv w:val="1"/>
      <w:marLeft w:val="0"/>
      <w:marRight w:val="0"/>
      <w:marTop w:val="0"/>
      <w:marBottom w:val="0"/>
      <w:divBdr>
        <w:top w:val="none" w:sz="0" w:space="0" w:color="auto"/>
        <w:left w:val="none" w:sz="0" w:space="0" w:color="auto"/>
        <w:bottom w:val="none" w:sz="0" w:space="0" w:color="auto"/>
        <w:right w:val="none" w:sz="0" w:space="0" w:color="auto"/>
      </w:divBdr>
    </w:div>
    <w:div w:id="723680981">
      <w:bodyDiv w:val="1"/>
      <w:marLeft w:val="0"/>
      <w:marRight w:val="0"/>
      <w:marTop w:val="0"/>
      <w:marBottom w:val="0"/>
      <w:divBdr>
        <w:top w:val="none" w:sz="0" w:space="0" w:color="auto"/>
        <w:left w:val="none" w:sz="0" w:space="0" w:color="auto"/>
        <w:bottom w:val="none" w:sz="0" w:space="0" w:color="auto"/>
        <w:right w:val="none" w:sz="0" w:space="0" w:color="auto"/>
      </w:divBdr>
    </w:div>
    <w:div w:id="745886135">
      <w:bodyDiv w:val="1"/>
      <w:marLeft w:val="0"/>
      <w:marRight w:val="0"/>
      <w:marTop w:val="0"/>
      <w:marBottom w:val="0"/>
      <w:divBdr>
        <w:top w:val="none" w:sz="0" w:space="0" w:color="auto"/>
        <w:left w:val="none" w:sz="0" w:space="0" w:color="auto"/>
        <w:bottom w:val="none" w:sz="0" w:space="0" w:color="auto"/>
        <w:right w:val="none" w:sz="0" w:space="0" w:color="auto"/>
      </w:divBdr>
    </w:div>
    <w:div w:id="773593795">
      <w:bodyDiv w:val="1"/>
      <w:marLeft w:val="0"/>
      <w:marRight w:val="0"/>
      <w:marTop w:val="0"/>
      <w:marBottom w:val="0"/>
      <w:divBdr>
        <w:top w:val="none" w:sz="0" w:space="0" w:color="auto"/>
        <w:left w:val="none" w:sz="0" w:space="0" w:color="auto"/>
        <w:bottom w:val="none" w:sz="0" w:space="0" w:color="auto"/>
        <w:right w:val="none" w:sz="0" w:space="0" w:color="auto"/>
      </w:divBdr>
    </w:div>
    <w:div w:id="803545704">
      <w:bodyDiv w:val="1"/>
      <w:marLeft w:val="0"/>
      <w:marRight w:val="0"/>
      <w:marTop w:val="0"/>
      <w:marBottom w:val="0"/>
      <w:divBdr>
        <w:top w:val="none" w:sz="0" w:space="0" w:color="auto"/>
        <w:left w:val="none" w:sz="0" w:space="0" w:color="auto"/>
        <w:bottom w:val="none" w:sz="0" w:space="0" w:color="auto"/>
        <w:right w:val="none" w:sz="0" w:space="0" w:color="auto"/>
      </w:divBdr>
    </w:div>
    <w:div w:id="973019158">
      <w:bodyDiv w:val="1"/>
      <w:marLeft w:val="0"/>
      <w:marRight w:val="0"/>
      <w:marTop w:val="0"/>
      <w:marBottom w:val="0"/>
      <w:divBdr>
        <w:top w:val="none" w:sz="0" w:space="0" w:color="auto"/>
        <w:left w:val="none" w:sz="0" w:space="0" w:color="auto"/>
        <w:bottom w:val="none" w:sz="0" w:space="0" w:color="auto"/>
        <w:right w:val="none" w:sz="0" w:space="0" w:color="auto"/>
      </w:divBdr>
    </w:div>
    <w:div w:id="986012344">
      <w:bodyDiv w:val="1"/>
      <w:marLeft w:val="0"/>
      <w:marRight w:val="0"/>
      <w:marTop w:val="0"/>
      <w:marBottom w:val="0"/>
      <w:divBdr>
        <w:top w:val="none" w:sz="0" w:space="0" w:color="auto"/>
        <w:left w:val="none" w:sz="0" w:space="0" w:color="auto"/>
        <w:bottom w:val="none" w:sz="0" w:space="0" w:color="auto"/>
        <w:right w:val="none" w:sz="0" w:space="0" w:color="auto"/>
      </w:divBdr>
    </w:div>
    <w:div w:id="1093163051">
      <w:bodyDiv w:val="1"/>
      <w:marLeft w:val="0"/>
      <w:marRight w:val="0"/>
      <w:marTop w:val="0"/>
      <w:marBottom w:val="0"/>
      <w:divBdr>
        <w:top w:val="none" w:sz="0" w:space="0" w:color="auto"/>
        <w:left w:val="none" w:sz="0" w:space="0" w:color="auto"/>
        <w:bottom w:val="none" w:sz="0" w:space="0" w:color="auto"/>
        <w:right w:val="none" w:sz="0" w:space="0" w:color="auto"/>
      </w:divBdr>
      <w:divsChild>
        <w:div w:id="334117617">
          <w:marLeft w:val="0"/>
          <w:marRight w:val="0"/>
          <w:marTop w:val="0"/>
          <w:marBottom w:val="0"/>
          <w:divBdr>
            <w:top w:val="none" w:sz="0" w:space="0" w:color="auto"/>
            <w:left w:val="none" w:sz="0" w:space="0" w:color="auto"/>
            <w:bottom w:val="none" w:sz="0" w:space="0" w:color="auto"/>
            <w:right w:val="none" w:sz="0" w:space="0" w:color="auto"/>
          </w:divBdr>
          <w:divsChild>
            <w:div w:id="1470127124">
              <w:marLeft w:val="0"/>
              <w:marRight w:val="0"/>
              <w:marTop w:val="0"/>
              <w:marBottom w:val="0"/>
              <w:divBdr>
                <w:top w:val="none" w:sz="0" w:space="0" w:color="auto"/>
                <w:left w:val="none" w:sz="0" w:space="0" w:color="auto"/>
                <w:bottom w:val="none" w:sz="0" w:space="0" w:color="auto"/>
                <w:right w:val="none" w:sz="0" w:space="0" w:color="auto"/>
              </w:divBdr>
              <w:divsChild>
                <w:div w:id="5155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3378">
      <w:bodyDiv w:val="1"/>
      <w:marLeft w:val="0"/>
      <w:marRight w:val="0"/>
      <w:marTop w:val="0"/>
      <w:marBottom w:val="0"/>
      <w:divBdr>
        <w:top w:val="none" w:sz="0" w:space="0" w:color="auto"/>
        <w:left w:val="none" w:sz="0" w:space="0" w:color="auto"/>
        <w:bottom w:val="none" w:sz="0" w:space="0" w:color="auto"/>
        <w:right w:val="none" w:sz="0" w:space="0" w:color="auto"/>
      </w:divBdr>
    </w:div>
    <w:div w:id="1241596875">
      <w:bodyDiv w:val="1"/>
      <w:marLeft w:val="0"/>
      <w:marRight w:val="0"/>
      <w:marTop w:val="0"/>
      <w:marBottom w:val="0"/>
      <w:divBdr>
        <w:top w:val="none" w:sz="0" w:space="0" w:color="auto"/>
        <w:left w:val="none" w:sz="0" w:space="0" w:color="auto"/>
        <w:bottom w:val="none" w:sz="0" w:space="0" w:color="auto"/>
        <w:right w:val="none" w:sz="0" w:space="0" w:color="auto"/>
      </w:divBdr>
    </w:div>
    <w:div w:id="1274903847">
      <w:bodyDiv w:val="1"/>
      <w:marLeft w:val="0"/>
      <w:marRight w:val="0"/>
      <w:marTop w:val="0"/>
      <w:marBottom w:val="0"/>
      <w:divBdr>
        <w:top w:val="none" w:sz="0" w:space="0" w:color="auto"/>
        <w:left w:val="none" w:sz="0" w:space="0" w:color="auto"/>
        <w:bottom w:val="none" w:sz="0" w:space="0" w:color="auto"/>
        <w:right w:val="none" w:sz="0" w:space="0" w:color="auto"/>
      </w:divBdr>
    </w:div>
    <w:div w:id="1279945896">
      <w:bodyDiv w:val="1"/>
      <w:marLeft w:val="0"/>
      <w:marRight w:val="0"/>
      <w:marTop w:val="0"/>
      <w:marBottom w:val="0"/>
      <w:divBdr>
        <w:top w:val="none" w:sz="0" w:space="0" w:color="auto"/>
        <w:left w:val="none" w:sz="0" w:space="0" w:color="auto"/>
        <w:bottom w:val="none" w:sz="0" w:space="0" w:color="auto"/>
        <w:right w:val="none" w:sz="0" w:space="0" w:color="auto"/>
      </w:divBdr>
      <w:divsChild>
        <w:div w:id="1073970706">
          <w:marLeft w:val="0"/>
          <w:marRight w:val="0"/>
          <w:marTop w:val="0"/>
          <w:marBottom w:val="0"/>
          <w:divBdr>
            <w:top w:val="none" w:sz="0" w:space="0" w:color="auto"/>
            <w:left w:val="none" w:sz="0" w:space="0" w:color="auto"/>
            <w:bottom w:val="none" w:sz="0" w:space="0" w:color="auto"/>
            <w:right w:val="none" w:sz="0" w:space="0" w:color="auto"/>
          </w:divBdr>
        </w:div>
        <w:div w:id="911353797">
          <w:marLeft w:val="0"/>
          <w:marRight w:val="0"/>
          <w:marTop w:val="0"/>
          <w:marBottom w:val="0"/>
          <w:divBdr>
            <w:top w:val="none" w:sz="0" w:space="0" w:color="auto"/>
            <w:left w:val="none" w:sz="0" w:space="0" w:color="auto"/>
            <w:bottom w:val="none" w:sz="0" w:space="0" w:color="auto"/>
            <w:right w:val="none" w:sz="0" w:space="0" w:color="auto"/>
          </w:divBdr>
        </w:div>
        <w:div w:id="1350526551">
          <w:marLeft w:val="0"/>
          <w:marRight w:val="0"/>
          <w:marTop w:val="0"/>
          <w:marBottom w:val="0"/>
          <w:divBdr>
            <w:top w:val="none" w:sz="0" w:space="0" w:color="auto"/>
            <w:left w:val="none" w:sz="0" w:space="0" w:color="auto"/>
            <w:bottom w:val="none" w:sz="0" w:space="0" w:color="auto"/>
            <w:right w:val="none" w:sz="0" w:space="0" w:color="auto"/>
          </w:divBdr>
        </w:div>
      </w:divsChild>
    </w:div>
    <w:div w:id="1289506242">
      <w:bodyDiv w:val="1"/>
      <w:marLeft w:val="0"/>
      <w:marRight w:val="0"/>
      <w:marTop w:val="0"/>
      <w:marBottom w:val="0"/>
      <w:divBdr>
        <w:top w:val="none" w:sz="0" w:space="0" w:color="auto"/>
        <w:left w:val="none" w:sz="0" w:space="0" w:color="auto"/>
        <w:bottom w:val="none" w:sz="0" w:space="0" w:color="auto"/>
        <w:right w:val="none" w:sz="0" w:space="0" w:color="auto"/>
      </w:divBdr>
    </w:div>
    <w:div w:id="1303149998">
      <w:bodyDiv w:val="1"/>
      <w:marLeft w:val="0"/>
      <w:marRight w:val="0"/>
      <w:marTop w:val="0"/>
      <w:marBottom w:val="0"/>
      <w:divBdr>
        <w:top w:val="none" w:sz="0" w:space="0" w:color="auto"/>
        <w:left w:val="none" w:sz="0" w:space="0" w:color="auto"/>
        <w:bottom w:val="none" w:sz="0" w:space="0" w:color="auto"/>
        <w:right w:val="none" w:sz="0" w:space="0" w:color="auto"/>
      </w:divBdr>
    </w:div>
    <w:div w:id="1410613200">
      <w:bodyDiv w:val="1"/>
      <w:marLeft w:val="0"/>
      <w:marRight w:val="0"/>
      <w:marTop w:val="0"/>
      <w:marBottom w:val="0"/>
      <w:divBdr>
        <w:top w:val="none" w:sz="0" w:space="0" w:color="auto"/>
        <w:left w:val="none" w:sz="0" w:space="0" w:color="auto"/>
        <w:bottom w:val="none" w:sz="0" w:space="0" w:color="auto"/>
        <w:right w:val="none" w:sz="0" w:space="0" w:color="auto"/>
      </w:divBdr>
    </w:div>
    <w:div w:id="1411267611">
      <w:bodyDiv w:val="1"/>
      <w:marLeft w:val="0"/>
      <w:marRight w:val="0"/>
      <w:marTop w:val="0"/>
      <w:marBottom w:val="0"/>
      <w:divBdr>
        <w:top w:val="none" w:sz="0" w:space="0" w:color="auto"/>
        <w:left w:val="none" w:sz="0" w:space="0" w:color="auto"/>
        <w:bottom w:val="none" w:sz="0" w:space="0" w:color="auto"/>
        <w:right w:val="none" w:sz="0" w:space="0" w:color="auto"/>
      </w:divBdr>
    </w:div>
    <w:div w:id="1491943586">
      <w:bodyDiv w:val="1"/>
      <w:marLeft w:val="0"/>
      <w:marRight w:val="0"/>
      <w:marTop w:val="0"/>
      <w:marBottom w:val="0"/>
      <w:divBdr>
        <w:top w:val="none" w:sz="0" w:space="0" w:color="auto"/>
        <w:left w:val="none" w:sz="0" w:space="0" w:color="auto"/>
        <w:bottom w:val="none" w:sz="0" w:space="0" w:color="auto"/>
        <w:right w:val="none" w:sz="0" w:space="0" w:color="auto"/>
      </w:divBdr>
    </w:div>
    <w:div w:id="1599292590">
      <w:bodyDiv w:val="1"/>
      <w:marLeft w:val="0"/>
      <w:marRight w:val="0"/>
      <w:marTop w:val="0"/>
      <w:marBottom w:val="0"/>
      <w:divBdr>
        <w:top w:val="none" w:sz="0" w:space="0" w:color="auto"/>
        <w:left w:val="none" w:sz="0" w:space="0" w:color="auto"/>
        <w:bottom w:val="none" w:sz="0" w:space="0" w:color="auto"/>
        <w:right w:val="none" w:sz="0" w:space="0" w:color="auto"/>
      </w:divBdr>
      <w:divsChild>
        <w:div w:id="1879008680">
          <w:marLeft w:val="0"/>
          <w:marRight w:val="0"/>
          <w:marTop w:val="0"/>
          <w:marBottom w:val="0"/>
          <w:divBdr>
            <w:top w:val="none" w:sz="0" w:space="0" w:color="auto"/>
            <w:left w:val="none" w:sz="0" w:space="0" w:color="auto"/>
            <w:bottom w:val="none" w:sz="0" w:space="0" w:color="auto"/>
            <w:right w:val="none" w:sz="0" w:space="0" w:color="auto"/>
          </w:divBdr>
        </w:div>
        <w:div w:id="2002271526">
          <w:marLeft w:val="0"/>
          <w:marRight w:val="0"/>
          <w:marTop w:val="0"/>
          <w:marBottom w:val="0"/>
          <w:divBdr>
            <w:top w:val="none" w:sz="0" w:space="0" w:color="auto"/>
            <w:left w:val="none" w:sz="0" w:space="0" w:color="auto"/>
            <w:bottom w:val="none" w:sz="0" w:space="0" w:color="auto"/>
            <w:right w:val="none" w:sz="0" w:space="0" w:color="auto"/>
          </w:divBdr>
        </w:div>
        <w:div w:id="2106227676">
          <w:marLeft w:val="0"/>
          <w:marRight w:val="0"/>
          <w:marTop w:val="0"/>
          <w:marBottom w:val="0"/>
          <w:divBdr>
            <w:top w:val="none" w:sz="0" w:space="0" w:color="auto"/>
            <w:left w:val="none" w:sz="0" w:space="0" w:color="auto"/>
            <w:bottom w:val="none" w:sz="0" w:space="0" w:color="auto"/>
            <w:right w:val="none" w:sz="0" w:space="0" w:color="auto"/>
          </w:divBdr>
        </w:div>
      </w:divsChild>
    </w:div>
    <w:div w:id="1789738382">
      <w:bodyDiv w:val="1"/>
      <w:marLeft w:val="0"/>
      <w:marRight w:val="0"/>
      <w:marTop w:val="0"/>
      <w:marBottom w:val="0"/>
      <w:divBdr>
        <w:top w:val="none" w:sz="0" w:space="0" w:color="auto"/>
        <w:left w:val="none" w:sz="0" w:space="0" w:color="auto"/>
        <w:bottom w:val="none" w:sz="0" w:space="0" w:color="auto"/>
        <w:right w:val="none" w:sz="0" w:space="0" w:color="auto"/>
      </w:divBdr>
    </w:div>
    <w:div w:id="1797481692">
      <w:bodyDiv w:val="1"/>
      <w:marLeft w:val="0"/>
      <w:marRight w:val="0"/>
      <w:marTop w:val="0"/>
      <w:marBottom w:val="0"/>
      <w:divBdr>
        <w:top w:val="none" w:sz="0" w:space="0" w:color="auto"/>
        <w:left w:val="none" w:sz="0" w:space="0" w:color="auto"/>
        <w:bottom w:val="none" w:sz="0" w:space="0" w:color="auto"/>
        <w:right w:val="none" w:sz="0" w:space="0" w:color="auto"/>
      </w:divBdr>
    </w:div>
    <w:div w:id="1860465183">
      <w:bodyDiv w:val="1"/>
      <w:marLeft w:val="0"/>
      <w:marRight w:val="0"/>
      <w:marTop w:val="0"/>
      <w:marBottom w:val="0"/>
      <w:divBdr>
        <w:top w:val="none" w:sz="0" w:space="0" w:color="auto"/>
        <w:left w:val="none" w:sz="0" w:space="0" w:color="auto"/>
        <w:bottom w:val="none" w:sz="0" w:space="0" w:color="auto"/>
        <w:right w:val="none" w:sz="0" w:space="0" w:color="auto"/>
      </w:divBdr>
    </w:div>
    <w:div w:id="2007782886">
      <w:bodyDiv w:val="1"/>
      <w:marLeft w:val="0"/>
      <w:marRight w:val="0"/>
      <w:marTop w:val="0"/>
      <w:marBottom w:val="0"/>
      <w:divBdr>
        <w:top w:val="none" w:sz="0" w:space="0" w:color="auto"/>
        <w:left w:val="none" w:sz="0" w:space="0" w:color="auto"/>
        <w:bottom w:val="none" w:sz="0" w:space="0" w:color="auto"/>
        <w:right w:val="none" w:sz="0" w:space="0" w:color="auto"/>
      </w:divBdr>
    </w:div>
    <w:div w:id="2084638958">
      <w:bodyDiv w:val="1"/>
      <w:marLeft w:val="0"/>
      <w:marRight w:val="0"/>
      <w:marTop w:val="0"/>
      <w:marBottom w:val="0"/>
      <w:divBdr>
        <w:top w:val="none" w:sz="0" w:space="0" w:color="auto"/>
        <w:left w:val="none" w:sz="0" w:space="0" w:color="auto"/>
        <w:bottom w:val="none" w:sz="0" w:space="0" w:color="auto"/>
        <w:right w:val="none" w:sz="0" w:space="0" w:color="auto"/>
      </w:divBdr>
    </w:div>
    <w:div w:id="2103606510">
      <w:bodyDiv w:val="1"/>
      <w:marLeft w:val="0"/>
      <w:marRight w:val="0"/>
      <w:marTop w:val="0"/>
      <w:marBottom w:val="0"/>
      <w:divBdr>
        <w:top w:val="none" w:sz="0" w:space="0" w:color="auto"/>
        <w:left w:val="none" w:sz="0" w:space="0" w:color="auto"/>
        <w:bottom w:val="none" w:sz="0" w:space="0" w:color="auto"/>
        <w:right w:val="none" w:sz="0" w:space="0" w:color="auto"/>
      </w:divBdr>
    </w:div>
    <w:div w:id="2114090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silver@lshtm.ac.u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github.com/asaffa/EMPHASI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B122C6-F2DD-4860-BD87-2D2FDDFF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82857</Words>
  <Characters>472286</Characters>
  <Application>Microsoft Office Word</Application>
  <DocSecurity>0</DocSecurity>
  <Lines>3935</Lines>
  <Paragraphs>1108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2018-12-19T16:28:00Z</cp:lastPrinted>
  <dcterms:created xsi:type="dcterms:W3CDTF">2020-06-25T09:29:00Z</dcterms:created>
  <dcterms:modified xsi:type="dcterms:W3CDTF">2020-06-25T09:29:00Z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http://www.zotero.org/styles/apa-no-doi-no-issue</vt:lpwstr>
  </property>
  <property fmtid="{D5CDD505-2E9C-101B-9397-08002B2CF9AE}" pid="9" name="Mendeley Recent Style Name 3_1">
    <vt:lpwstr>American Psychological Association 6th edition (no DOIs, no issue numbers)</vt:lpwstr>
  </property>
  <property fmtid="{D5CDD505-2E9C-101B-9397-08002B2CF9AE}" pid="10" name="Mendeley Recent Style Id 4_1">
    <vt:lpwstr>http://www.zotero.org/styles/genome-biology</vt:lpwstr>
  </property>
  <property fmtid="{D5CDD505-2E9C-101B-9397-08002B2CF9AE}" pid="11" name="Mendeley Recent Style Name 4_1">
    <vt:lpwstr>Genome Biology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http://csl.mendeley.com/styles/191632/nature-no-doi</vt:lpwstr>
  </property>
  <property fmtid="{D5CDD505-2E9C-101B-9397-08002B2CF9AE}" pid="15" name="Mendeley Recent Style Name 6_1">
    <vt:lpwstr>Nature - Matt Silver</vt:lpwstr>
  </property>
  <property fmtid="{D5CDD505-2E9C-101B-9397-08002B2CF9AE}" pid="16" name="Mendeley Recent Style Id 7_1">
    <vt:lpwstr>http://csl.mendeley.com/styles/191632/science-no-et-al</vt:lpwstr>
  </property>
  <property fmtid="{D5CDD505-2E9C-101B-9397-08002B2CF9AE}" pid="17" name="Mendeley Recent Style Name 7_1">
    <vt:lpwstr>Science - Matt Silver</vt:lpwstr>
  </property>
  <property fmtid="{D5CDD505-2E9C-101B-9397-08002B2CF9AE}" pid="18" name="Mendeley Recent Style Id 8_1">
    <vt:lpwstr>http://www.zotero.org/styles/the-american-journal-of-clinical-nutrition</vt:lpwstr>
  </property>
  <property fmtid="{D5CDD505-2E9C-101B-9397-08002B2CF9AE}" pid="19" name="Mendeley Recent Style Name 8_1">
    <vt:lpwstr>The American Journal of Clinical Nutrition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0101c0f2-1d18-31b5-8d9b-2e0a79852451</vt:lpwstr>
  </property>
  <property fmtid="{D5CDD505-2E9C-101B-9397-08002B2CF9AE}" pid="24" name="Mendeley Citation Style_1">
    <vt:lpwstr>http://www.zotero.org/styles/the-american-journal-of-clinical-nutrition</vt:lpwstr>
  </property>
</Properties>
</file>