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71" w:rsidRDefault="008A4371" w:rsidP="00424B47">
      <w:pPr>
        <w:pStyle w:val="NormalWeb"/>
        <w:rPr>
          <w:b/>
          <w:i/>
          <w:color w:val="000000"/>
          <w:lang w:val="en-GB"/>
        </w:rPr>
      </w:pPr>
    </w:p>
    <w:p w:rsidR="000E40B9" w:rsidRDefault="000E40B9" w:rsidP="00F547A5">
      <w:pPr>
        <w:pStyle w:val="NormalWeb"/>
        <w:spacing w:before="0" w:beforeAutospacing="0" w:after="0" w:afterAutospacing="0"/>
        <w:jc w:val="center"/>
        <w:rPr>
          <w:b/>
          <w:color w:val="000000"/>
          <w:lang w:val="en-GB"/>
        </w:rPr>
      </w:pPr>
    </w:p>
    <w:p w:rsidR="00EE56D5" w:rsidRPr="004F0559" w:rsidRDefault="00EE56D5" w:rsidP="00F547A5">
      <w:pPr>
        <w:pStyle w:val="NormalWeb"/>
        <w:spacing w:before="0" w:beforeAutospacing="0" w:after="0" w:afterAutospacing="0"/>
        <w:jc w:val="center"/>
        <w:rPr>
          <w:b/>
          <w:color w:val="000000"/>
          <w:lang w:val="en-GB"/>
        </w:rPr>
      </w:pPr>
    </w:p>
    <w:p w:rsidR="009D2CBE" w:rsidRPr="004F0559" w:rsidRDefault="009D2CBE" w:rsidP="00F547A5">
      <w:pPr>
        <w:pStyle w:val="NormalWeb"/>
        <w:spacing w:before="0" w:beforeAutospacing="0" w:after="0" w:afterAutospacing="0"/>
        <w:jc w:val="center"/>
        <w:rPr>
          <w:b/>
          <w:color w:val="000000"/>
          <w:lang w:val="en-GB"/>
        </w:rPr>
      </w:pPr>
    </w:p>
    <w:p w:rsidR="002366F9" w:rsidRDefault="002366F9" w:rsidP="00F547A5">
      <w:pPr>
        <w:pStyle w:val="NormalWeb"/>
        <w:spacing w:before="0" w:beforeAutospacing="0" w:after="0" w:afterAutospacing="0"/>
        <w:jc w:val="center"/>
        <w:rPr>
          <w:b/>
          <w:color w:val="000000"/>
          <w:lang w:val="en-GB"/>
        </w:rPr>
      </w:pPr>
    </w:p>
    <w:p w:rsidR="00F547A5" w:rsidRPr="004F0559" w:rsidRDefault="00F547A5" w:rsidP="00F547A5">
      <w:pPr>
        <w:pStyle w:val="NormalWeb"/>
        <w:spacing w:before="0" w:beforeAutospacing="0" w:after="0" w:afterAutospacing="0"/>
        <w:jc w:val="center"/>
        <w:rPr>
          <w:b/>
          <w:color w:val="000000"/>
          <w:lang w:val="en-GB"/>
        </w:rPr>
      </w:pPr>
      <w:r w:rsidRPr="004F0559">
        <w:rPr>
          <w:b/>
          <w:color w:val="000000"/>
          <w:lang w:val="en-GB"/>
        </w:rPr>
        <w:t xml:space="preserve">A TYPOLOGY OF TRAITORS </w:t>
      </w:r>
    </w:p>
    <w:p w:rsidR="00265901" w:rsidRDefault="00F547A5" w:rsidP="00F547A5">
      <w:pPr>
        <w:pStyle w:val="NormalWeb"/>
        <w:spacing w:before="0" w:beforeAutospacing="0" w:after="0" w:afterAutospacing="0"/>
        <w:jc w:val="center"/>
        <w:rPr>
          <w:b/>
          <w:color w:val="000000"/>
          <w:lang w:val="en-GB"/>
        </w:rPr>
      </w:pPr>
      <w:r w:rsidRPr="004F0559">
        <w:rPr>
          <w:b/>
          <w:color w:val="000000"/>
          <w:lang w:val="en-GB"/>
        </w:rPr>
        <w:t>IN LATE NINETEENTH CENTURY AUSTRIA-HUNGARY</w:t>
      </w:r>
    </w:p>
    <w:p w:rsidR="00791B1B" w:rsidRDefault="00791B1B" w:rsidP="00F547A5">
      <w:pPr>
        <w:pStyle w:val="NormalWeb"/>
        <w:spacing w:before="0" w:beforeAutospacing="0" w:after="0" w:afterAutospacing="0"/>
        <w:jc w:val="center"/>
        <w:rPr>
          <w:b/>
          <w:color w:val="000000"/>
          <w:lang w:val="en-GB"/>
        </w:rPr>
      </w:pPr>
    </w:p>
    <w:p w:rsidR="00791B1B" w:rsidRPr="00791B1B" w:rsidRDefault="00791B1B" w:rsidP="00F547A5">
      <w:pPr>
        <w:pStyle w:val="NormalWeb"/>
        <w:spacing w:before="0" w:beforeAutospacing="0" w:after="0" w:afterAutospacing="0"/>
        <w:jc w:val="center"/>
        <w:rPr>
          <w:b/>
          <w:i/>
          <w:color w:val="000000"/>
          <w:lang w:val="en-GB"/>
        </w:rPr>
      </w:pPr>
      <w:r>
        <w:rPr>
          <w:b/>
          <w:i/>
          <w:color w:val="000000"/>
          <w:lang w:val="en-GB"/>
        </w:rPr>
        <w:t>Mark Cornwall</w:t>
      </w:r>
    </w:p>
    <w:p w:rsidR="008B13B5" w:rsidRPr="004F0559" w:rsidRDefault="008B13B5" w:rsidP="00F547A5">
      <w:pPr>
        <w:pStyle w:val="NormalWeb"/>
        <w:spacing w:before="0" w:beforeAutospacing="0" w:after="0" w:afterAutospacing="0"/>
        <w:jc w:val="center"/>
        <w:rPr>
          <w:b/>
          <w:color w:val="000000"/>
          <w:lang w:val="en-GB"/>
        </w:rPr>
      </w:pPr>
    </w:p>
    <w:p w:rsidR="008B13B5" w:rsidRPr="004F0559" w:rsidRDefault="008B13B5" w:rsidP="00F547A5">
      <w:pPr>
        <w:pStyle w:val="NormalWeb"/>
        <w:spacing w:before="0" w:beforeAutospacing="0" w:after="0" w:afterAutospacing="0"/>
        <w:jc w:val="center"/>
        <w:rPr>
          <w:b/>
          <w:color w:val="000000"/>
          <w:lang w:val="en-GB"/>
        </w:rPr>
      </w:pPr>
    </w:p>
    <w:p w:rsidR="006E4050" w:rsidRPr="004F0559" w:rsidRDefault="00265901" w:rsidP="00707077">
      <w:pPr>
        <w:pStyle w:val="NormalWeb"/>
        <w:spacing w:before="0" w:beforeAutospacing="0" w:after="0" w:afterAutospacing="0" w:line="480" w:lineRule="auto"/>
        <w:rPr>
          <w:color w:val="000000"/>
          <w:lang w:val="en-GB"/>
        </w:rPr>
      </w:pPr>
      <w:r w:rsidRPr="004F0559">
        <w:rPr>
          <w:color w:val="000000"/>
          <w:lang w:val="en-GB"/>
        </w:rPr>
        <w:t xml:space="preserve">I </w:t>
      </w:r>
      <w:r w:rsidR="00F82501">
        <w:rPr>
          <w:color w:val="000000"/>
          <w:lang w:val="en-GB"/>
        </w:rPr>
        <w:t xml:space="preserve">begin </w:t>
      </w:r>
      <w:r w:rsidR="003D7701">
        <w:rPr>
          <w:color w:val="000000"/>
          <w:lang w:val="en-GB"/>
        </w:rPr>
        <w:t xml:space="preserve">this first Austrian Studies Lecture </w:t>
      </w:r>
      <w:r w:rsidRPr="004F0559">
        <w:rPr>
          <w:color w:val="000000"/>
          <w:lang w:val="en-GB"/>
        </w:rPr>
        <w:t xml:space="preserve">with a dramatic event that occurred in </w:t>
      </w:r>
      <w:r w:rsidR="000965BB" w:rsidRPr="004F0559">
        <w:rPr>
          <w:color w:val="000000"/>
          <w:lang w:val="en-GB"/>
        </w:rPr>
        <w:t xml:space="preserve">Prague </w:t>
      </w:r>
      <w:r w:rsidR="00970BB9">
        <w:rPr>
          <w:color w:val="000000"/>
          <w:lang w:val="en-GB"/>
        </w:rPr>
        <w:t>o</w:t>
      </w:r>
      <w:r w:rsidR="000965BB" w:rsidRPr="004F0559">
        <w:rPr>
          <w:color w:val="000000"/>
          <w:lang w:val="en-GB"/>
        </w:rPr>
        <w:t xml:space="preserve">n </w:t>
      </w:r>
      <w:r w:rsidR="001104F0">
        <w:rPr>
          <w:color w:val="000000"/>
          <w:lang w:val="en-GB"/>
        </w:rPr>
        <w:t xml:space="preserve">the evening of </w:t>
      </w:r>
      <w:r w:rsidR="00970BB9">
        <w:rPr>
          <w:color w:val="000000"/>
          <w:lang w:val="en-GB"/>
        </w:rPr>
        <w:t xml:space="preserve">27 </w:t>
      </w:r>
      <w:r w:rsidRPr="004F0559">
        <w:rPr>
          <w:color w:val="000000"/>
          <w:lang w:val="en-GB"/>
        </w:rPr>
        <w:t>October 1866</w:t>
      </w:r>
      <w:r w:rsidR="000965BB" w:rsidRPr="004F0559">
        <w:rPr>
          <w:color w:val="000000"/>
          <w:lang w:val="en-GB"/>
        </w:rPr>
        <w:t>.</w:t>
      </w:r>
      <w:r w:rsidRPr="004F0559">
        <w:rPr>
          <w:color w:val="000000"/>
          <w:lang w:val="en-GB"/>
        </w:rPr>
        <w:t xml:space="preserve"> </w:t>
      </w:r>
      <w:r w:rsidR="000965BB" w:rsidRPr="004F0559">
        <w:rPr>
          <w:color w:val="000000"/>
          <w:lang w:val="en-GB"/>
        </w:rPr>
        <w:t>In</w:t>
      </w:r>
      <w:r w:rsidRPr="004F0559">
        <w:rPr>
          <w:color w:val="000000"/>
          <w:lang w:val="en-GB"/>
        </w:rPr>
        <w:t xml:space="preserve"> the aftermath of the Austro-Prussian War</w:t>
      </w:r>
      <w:r w:rsidR="000965BB" w:rsidRPr="004F0559">
        <w:rPr>
          <w:color w:val="000000"/>
          <w:lang w:val="en-GB"/>
        </w:rPr>
        <w:t>,</w:t>
      </w:r>
      <w:r w:rsidRPr="004F0559">
        <w:rPr>
          <w:color w:val="000000"/>
          <w:lang w:val="en-GB"/>
        </w:rPr>
        <w:t xml:space="preserve"> </w:t>
      </w:r>
      <w:r w:rsidR="000965BB" w:rsidRPr="004F0559">
        <w:rPr>
          <w:color w:val="000000"/>
          <w:lang w:val="en-GB"/>
        </w:rPr>
        <w:t xml:space="preserve">Emperor Franz Joseph was on a tour of Bohemia, </w:t>
      </w:r>
      <w:r w:rsidR="00CD19E8" w:rsidRPr="004F0559">
        <w:rPr>
          <w:color w:val="000000"/>
          <w:lang w:val="en-GB"/>
        </w:rPr>
        <w:t>studying</w:t>
      </w:r>
      <w:r w:rsidR="000965BB" w:rsidRPr="004F0559">
        <w:rPr>
          <w:color w:val="000000"/>
          <w:lang w:val="en-GB"/>
        </w:rPr>
        <w:t xml:space="preserve"> the region </w:t>
      </w:r>
      <w:r w:rsidR="00706030">
        <w:rPr>
          <w:color w:val="000000"/>
          <w:lang w:val="en-GB"/>
        </w:rPr>
        <w:t xml:space="preserve">but also </w:t>
      </w:r>
      <w:r w:rsidR="000965BB" w:rsidRPr="004F0559">
        <w:rPr>
          <w:color w:val="000000"/>
          <w:lang w:val="en-GB"/>
        </w:rPr>
        <w:t xml:space="preserve">bringing it both material and moral support. </w:t>
      </w:r>
      <w:r w:rsidR="00972C00" w:rsidRPr="004F0559">
        <w:rPr>
          <w:color w:val="000000"/>
          <w:lang w:val="en-GB"/>
        </w:rPr>
        <w:t xml:space="preserve">According to one </w:t>
      </w:r>
      <w:r w:rsidR="00E354E8">
        <w:rPr>
          <w:color w:val="000000"/>
          <w:lang w:val="en-GB"/>
        </w:rPr>
        <w:t>Prague</w:t>
      </w:r>
      <w:r w:rsidR="00972C00" w:rsidRPr="004F0559">
        <w:rPr>
          <w:color w:val="000000"/>
          <w:lang w:val="en-GB"/>
        </w:rPr>
        <w:t xml:space="preserve"> newspaper, the visit was a great success: </w:t>
      </w:r>
      <w:r w:rsidR="00F82501">
        <w:rPr>
          <w:color w:val="000000"/>
          <w:lang w:val="en-GB"/>
        </w:rPr>
        <w:t>‘</w:t>
      </w:r>
      <w:r w:rsidR="008B13B5" w:rsidRPr="004F0559">
        <w:rPr>
          <w:color w:val="000000"/>
          <w:lang w:val="en-GB"/>
        </w:rPr>
        <w:t>O</w:t>
      </w:r>
      <w:r w:rsidR="00972C00" w:rsidRPr="004F0559">
        <w:rPr>
          <w:color w:val="000000"/>
          <w:lang w:val="en-GB"/>
        </w:rPr>
        <w:t xml:space="preserve">ver everything there </w:t>
      </w:r>
      <w:r w:rsidR="003F70A9" w:rsidRPr="004F0559">
        <w:rPr>
          <w:color w:val="000000"/>
          <w:lang w:val="en-GB"/>
        </w:rPr>
        <w:t xml:space="preserve">has </w:t>
      </w:r>
      <w:r w:rsidR="00F41A84" w:rsidRPr="004F0559">
        <w:rPr>
          <w:color w:val="000000"/>
          <w:lang w:val="en-GB"/>
        </w:rPr>
        <w:t>radiated</w:t>
      </w:r>
      <w:r w:rsidR="00972C00" w:rsidRPr="004F0559">
        <w:rPr>
          <w:color w:val="000000"/>
          <w:lang w:val="en-GB"/>
        </w:rPr>
        <w:t xml:space="preserve"> a spirit of attachment and loyalty towards the common state and its ruler, </w:t>
      </w:r>
      <w:r w:rsidR="00530EFD" w:rsidRPr="004F0559">
        <w:rPr>
          <w:color w:val="000000"/>
          <w:lang w:val="en-GB"/>
        </w:rPr>
        <w:t>that</w:t>
      </w:r>
      <w:r w:rsidR="00972C00" w:rsidRPr="004F0559">
        <w:rPr>
          <w:color w:val="000000"/>
          <w:lang w:val="en-GB"/>
        </w:rPr>
        <w:t xml:space="preserve"> </w:t>
      </w:r>
      <w:r w:rsidR="008B13B5" w:rsidRPr="004F0559">
        <w:rPr>
          <w:color w:val="000000"/>
          <w:lang w:val="en-GB"/>
        </w:rPr>
        <w:t>genuine</w:t>
      </w:r>
      <w:r w:rsidR="00972C00" w:rsidRPr="004F0559">
        <w:rPr>
          <w:color w:val="000000"/>
          <w:lang w:val="en-GB"/>
        </w:rPr>
        <w:t xml:space="preserve"> Austrian idea </w:t>
      </w:r>
      <w:r w:rsidR="000C5119" w:rsidRPr="004F0559">
        <w:rPr>
          <w:color w:val="000000"/>
          <w:lang w:val="en-GB"/>
        </w:rPr>
        <w:t>[</w:t>
      </w:r>
      <w:proofErr w:type="spellStart"/>
      <w:r w:rsidR="000C5119" w:rsidRPr="004F0559">
        <w:rPr>
          <w:i/>
          <w:color w:val="000000"/>
          <w:lang w:val="en-GB"/>
        </w:rPr>
        <w:t>echte</w:t>
      </w:r>
      <w:r w:rsidR="00570E9E" w:rsidRPr="004F0559">
        <w:rPr>
          <w:i/>
          <w:color w:val="000000"/>
          <w:lang w:val="en-GB"/>
        </w:rPr>
        <w:t>r</w:t>
      </w:r>
      <w:proofErr w:type="spellEnd"/>
      <w:r w:rsidR="000C5119" w:rsidRPr="004F0559">
        <w:rPr>
          <w:i/>
          <w:color w:val="000000"/>
          <w:lang w:val="en-GB"/>
        </w:rPr>
        <w:t xml:space="preserve"> </w:t>
      </w:r>
      <w:proofErr w:type="spellStart"/>
      <w:r w:rsidR="000C5119" w:rsidRPr="004F0559">
        <w:rPr>
          <w:i/>
          <w:color w:val="000000"/>
          <w:lang w:val="en-GB"/>
        </w:rPr>
        <w:t>österreichische</w:t>
      </w:r>
      <w:r w:rsidR="00570E9E" w:rsidRPr="004F0559">
        <w:rPr>
          <w:i/>
          <w:color w:val="000000"/>
          <w:lang w:val="en-GB"/>
        </w:rPr>
        <w:t>r</w:t>
      </w:r>
      <w:proofErr w:type="spellEnd"/>
      <w:r w:rsidR="000C5119" w:rsidRPr="004F0559">
        <w:rPr>
          <w:i/>
          <w:color w:val="000000"/>
          <w:lang w:val="en-GB"/>
        </w:rPr>
        <w:t xml:space="preserve"> </w:t>
      </w:r>
      <w:proofErr w:type="spellStart"/>
      <w:r w:rsidR="000C5119" w:rsidRPr="004F0559">
        <w:rPr>
          <w:i/>
          <w:color w:val="000000"/>
          <w:lang w:val="en-GB"/>
        </w:rPr>
        <w:t>Gedanke</w:t>
      </w:r>
      <w:proofErr w:type="spellEnd"/>
      <w:r w:rsidR="000C5119" w:rsidRPr="004F0559">
        <w:rPr>
          <w:color w:val="000000"/>
          <w:lang w:val="en-GB"/>
        </w:rPr>
        <w:t>]</w:t>
      </w:r>
      <w:r w:rsidR="000C5119" w:rsidRPr="004F0559">
        <w:rPr>
          <w:i/>
          <w:color w:val="000000"/>
          <w:lang w:val="en-GB"/>
        </w:rPr>
        <w:t xml:space="preserve"> </w:t>
      </w:r>
      <w:r w:rsidR="00972C00" w:rsidRPr="004F0559">
        <w:rPr>
          <w:color w:val="000000"/>
          <w:lang w:val="en-GB"/>
        </w:rPr>
        <w:t xml:space="preserve">and </w:t>
      </w:r>
      <w:r w:rsidR="00530EFD" w:rsidRPr="004F0559">
        <w:rPr>
          <w:color w:val="000000"/>
          <w:lang w:val="en-GB"/>
        </w:rPr>
        <w:t xml:space="preserve">that </w:t>
      </w:r>
      <w:r w:rsidR="00972C00" w:rsidRPr="004F0559">
        <w:rPr>
          <w:color w:val="000000"/>
          <w:lang w:val="en-GB"/>
        </w:rPr>
        <w:t>steadfast love for the fatherland</w:t>
      </w:r>
      <w:r w:rsidR="00F82501">
        <w:rPr>
          <w:color w:val="000000"/>
          <w:lang w:val="en-GB"/>
        </w:rPr>
        <w:t>’</w:t>
      </w:r>
      <w:r w:rsidR="00972C00" w:rsidRPr="004F0559">
        <w:rPr>
          <w:color w:val="000000"/>
          <w:lang w:val="en-GB"/>
        </w:rPr>
        <w:t xml:space="preserve">. </w:t>
      </w:r>
      <w:r w:rsidR="000C5119" w:rsidRPr="004F0559">
        <w:rPr>
          <w:color w:val="000000"/>
          <w:lang w:val="en-GB"/>
        </w:rPr>
        <w:t xml:space="preserve">The emperor even told the Czech patriot František </w:t>
      </w:r>
      <w:r w:rsidR="0042421E" w:rsidRPr="004F0559">
        <w:rPr>
          <w:color w:val="000000"/>
          <w:lang w:val="en-GB"/>
        </w:rPr>
        <w:t>Palacký</w:t>
      </w:r>
      <w:r w:rsidR="000C5119" w:rsidRPr="004F0559">
        <w:rPr>
          <w:color w:val="000000"/>
          <w:lang w:val="en-GB"/>
        </w:rPr>
        <w:t xml:space="preserve"> that he had </w:t>
      </w:r>
      <w:proofErr w:type="gramStart"/>
      <w:r w:rsidR="000C5119" w:rsidRPr="004F0559">
        <w:rPr>
          <w:color w:val="000000"/>
          <w:lang w:val="en-GB"/>
        </w:rPr>
        <w:t>encountered</w:t>
      </w:r>
      <w:proofErr w:type="gramEnd"/>
      <w:r w:rsidR="000C5119" w:rsidRPr="004F0559">
        <w:rPr>
          <w:color w:val="000000"/>
          <w:lang w:val="en-GB"/>
        </w:rPr>
        <w:t xml:space="preserve"> </w:t>
      </w:r>
      <w:r w:rsidR="00F82501">
        <w:rPr>
          <w:color w:val="000000"/>
          <w:lang w:val="en-GB"/>
        </w:rPr>
        <w:t>‘</w:t>
      </w:r>
      <w:proofErr w:type="spellStart"/>
      <w:r w:rsidR="000C5119" w:rsidRPr="00B41E56">
        <w:rPr>
          <w:color w:val="000000"/>
          <w:lang w:val="en-GB"/>
        </w:rPr>
        <w:t>ein</w:t>
      </w:r>
      <w:proofErr w:type="spellEnd"/>
      <w:r w:rsidR="000C5119" w:rsidRPr="00B41E56">
        <w:rPr>
          <w:color w:val="000000"/>
          <w:lang w:val="en-GB"/>
        </w:rPr>
        <w:t xml:space="preserve"> </w:t>
      </w:r>
      <w:proofErr w:type="spellStart"/>
      <w:r w:rsidR="000C5119" w:rsidRPr="00B41E56">
        <w:rPr>
          <w:color w:val="000000"/>
          <w:lang w:val="en-GB"/>
        </w:rPr>
        <w:t>treues</w:t>
      </w:r>
      <w:proofErr w:type="spellEnd"/>
      <w:r w:rsidR="000C5119" w:rsidRPr="00B41E56">
        <w:rPr>
          <w:color w:val="000000"/>
          <w:lang w:val="en-GB"/>
        </w:rPr>
        <w:t xml:space="preserve"> Volk</w:t>
      </w:r>
      <w:r w:rsidR="00F82501">
        <w:rPr>
          <w:color w:val="000000"/>
          <w:lang w:val="en-GB"/>
        </w:rPr>
        <w:t>’</w:t>
      </w:r>
      <w:r w:rsidR="00CD19E8" w:rsidRPr="004F0559">
        <w:rPr>
          <w:color w:val="000000"/>
          <w:lang w:val="en-GB"/>
        </w:rPr>
        <w:t>. It all</w:t>
      </w:r>
      <w:r w:rsidR="000C5119" w:rsidRPr="004F0559">
        <w:rPr>
          <w:color w:val="000000"/>
          <w:lang w:val="en-GB"/>
        </w:rPr>
        <w:t xml:space="preserve"> seemed to disprove the rumours </w:t>
      </w:r>
      <w:r w:rsidR="0042421E" w:rsidRPr="004F0559">
        <w:rPr>
          <w:color w:val="000000"/>
          <w:lang w:val="en-GB"/>
        </w:rPr>
        <w:t xml:space="preserve">circulating </w:t>
      </w:r>
      <w:r w:rsidR="000C5119" w:rsidRPr="004F0559">
        <w:rPr>
          <w:color w:val="000000"/>
          <w:lang w:val="en-GB"/>
        </w:rPr>
        <w:t xml:space="preserve">during the </w:t>
      </w:r>
      <w:r w:rsidR="003F70A9" w:rsidRPr="004F0559">
        <w:rPr>
          <w:color w:val="000000"/>
          <w:lang w:val="en-GB"/>
        </w:rPr>
        <w:t xml:space="preserve">recent </w:t>
      </w:r>
      <w:r w:rsidR="000C5119" w:rsidRPr="004F0559">
        <w:rPr>
          <w:color w:val="000000"/>
          <w:lang w:val="en-GB"/>
        </w:rPr>
        <w:t>Prussian occupation</w:t>
      </w:r>
      <w:r w:rsidR="00F41A84" w:rsidRPr="004F0559">
        <w:rPr>
          <w:color w:val="000000"/>
          <w:lang w:val="en-GB"/>
        </w:rPr>
        <w:t>,</w:t>
      </w:r>
      <w:r w:rsidR="000C5119" w:rsidRPr="004F0559">
        <w:rPr>
          <w:color w:val="000000"/>
          <w:lang w:val="en-GB"/>
        </w:rPr>
        <w:t xml:space="preserve"> that Bohemia </w:t>
      </w:r>
      <w:r w:rsidR="00F41A84" w:rsidRPr="004F0559">
        <w:rPr>
          <w:color w:val="000000"/>
          <w:lang w:val="en-GB"/>
        </w:rPr>
        <w:t>w</w:t>
      </w:r>
      <w:r w:rsidR="000C5119" w:rsidRPr="004F0559">
        <w:rPr>
          <w:color w:val="000000"/>
          <w:lang w:val="en-GB"/>
        </w:rPr>
        <w:t>as a hostile</w:t>
      </w:r>
      <w:r w:rsidR="00C4270F" w:rsidRPr="004F0559">
        <w:rPr>
          <w:color w:val="000000"/>
          <w:lang w:val="en-GB"/>
        </w:rPr>
        <w:t xml:space="preserve"> territory</w:t>
      </w:r>
      <w:r w:rsidR="00706030">
        <w:rPr>
          <w:color w:val="000000"/>
          <w:lang w:val="en-GB"/>
        </w:rPr>
        <w:t xml:space="preserve"> wh</w:t>
      </w:r>
      <w:r w:rsidR="00F82501">
        <w:rPr>
          <w:color w:val="000000"/>
          <w:lang w:val="en-GB"/>
        </w:rPr>
        <w:t>ose inhabitants were keen</w:t>
      </w:r>
      <w:r w:rsidR="00CD19E8" w:rsidRPr="004F0559">
        <w:rPr>
          <w:color w:val="000000"/>
          <w:lang w:val="en-GB"/>
        </w:rPr>
        <w:t xml:space="preserve"> to secede from the </w:t>
      </w:r>
      <w:r w:rsidR="00F41A84" w:rsidRPr="004F0559">
        <w:rPr>
          <w:color w:val="000000"/>
          <w:lang w:val="en-GB"/>
        </w:rPr>
        <w:t xml:space="preserve">Habsburg </w:t>
      </w:r>
      <w:proofErr w:type="gramStart"/>
      <w:r w:rsidR="00CD19E8" w:rsidRPr="004F0559">
        <w:rPr>
          <w:color w:val="000000"/>
          <w:lang w:val="en-GB"/>
        </w:rPr>
        <w:t>empire</w:t>
      </w:r>
      <w:proofErr w:type="gramEnd"/>
      <w:r w:rsidR="000C5119" w:rsidRPr="004F0559">
        <w:rPr>
          <w:color w:val="000000"/>
          <w:lang w:val="en-GB"/>
        </w:rPr>
        <w:t>.</w:t>
      </w:r>
      <w:r w:rsidR="006E4050" w:rsidRPr="004F0559">
        <w:rPr>
          <w:rStyle w:val="FootnoteReference"/>
          <w:color w:val="000000"/>
          <w:lang w:val="en-GB"/>
        </w:rPr>
        <w:footnoteReference w:id="1"/>
      </w:r>
      <w:r w:rsidR="006E4050" w:rsidRPr="004F0559">
        <w:rPr>
          <w:color w:val="000000"/>
          <w:lang w:val="en-GB"/>
        </w:rPr>
        <w:t xml:space="preserve"> </w:t>
      </w:r>
    </w:p>
    <w:p w:rsidR="006E4050" w:rsidRPr="00405EC8" w:rsidRDefault="006E4050" w:rsidP="00257760">
      <w:pPr>
        <w:pStyle w:val="NormalWeb"/>
        <w:spacing w:before="0" w:beforeAutospacing="0" w:after="0" w:afterAutospacing="0" w:line="480" w:lineRule="auto"/>
        <w:ind w:firstLine="720"/>
        <w:rPr>
          <w:b/>
          <w:color w:val="000000"/>
          <w:lang w:val="en-GB"/>
        </w:rPr>
      </w:pPr>
      <w:r w:rsidRPr="004F0559">
        <w:rPr>
          <w:color w:val="000000"/>
          <w:lang w:val="en-GB"/>
        </w:rPr>
        <w:t xml:space="preserve">Yet Franz Joseph’s visit was also </w:t>
      </w:r>
      <w:r>
        <w:rPr>
          <w:color w:val="000000"/>
          <w:lang w:val="en-GB"/>
        </w:rPr>
        <w:t>disturbed</w:t>
      </w:r>
      <w:r w:rsidRPr="004F0559">
        <w:rPr>
          <w:color w:val="000000"/>
          <w:lang w:val="en-GB"/>
        </w:rPr>
        <w:t xml:space="preserve"> by </w:t>
      </w:r>
      <w:r>
        <w:rPr>
          <w:color w:val="000000"/>
          <w:lang w:val="en-GB"/>
        </w:rPr>
        <w:t xml:space="preserve">a strange </w:t>
      </w:r>
      <w:r w:rsidRPr="004F0559">
        <w:rPr>
          <w:color w:val="000000"/>
          <w:lang w:val="en-GB"/>
        </w:rPr>
        <w:t>incident. On</w:t>
      </w:r>
      <w:r>
        <w:rPr>
          <w:color w:val="000000"/>
          <w:lang w:val="en-GB"/>
        </w:rPr>
        <w:t>e</w:t>
      </w:r>
      <w:r w:rsidRPr="004F0559">
        <w:rPr>
          <w:color w:val="000000"/>
          <w:lang w:val="en-GB"/>
        </w:rPr>
        <w:t xml:space="preserve"> evening, he attended a performance of Smetana’s </w:t>
      </w:r>
      <w:r w:rsidRPr="004F0559">
        <w:rPr>
          <w:i/>
          <w:color w:val="000000"/>
          <w:lang w:val="en-GB"/>
        </w:rPr>
        <w:t xml:space="preserve">Bartered Bride </w:t>
      </w:r>
      <w:r w:rsidRPr="004F0559">
        <w:rPr>
          <w:color w:val="000000"/>
          <w:lang w:val="en-GB"/>
        </w:rPr>
        <w:t xml:space="preserve">at the Czech </w:t>
      </w:r>
      <w:r>
        <w:rPr>
          <w:color w:val="000000"/>
          <w:lang w:val="en-GB"/>
        </w:rPr>
        <w:t xml:space="preserve">Provisional </w:t>
      </w:r>
      <w:r w:rsidRPr="004F0559">
        <w:rPr>
          <w:color w:val="000000"/>
          <w:lang w:val="en-GB"/>
        </w:rPr>
        <w:t xml:space="preserve">Theatre </w:t>
      </w:r>
      <w:r>
        <w:rPr>
          <w:color w:val="000000"/>
          <w:lang w:val="en-GB"/>
        </w:rPr>
        <w:t xml:space="preserve">by the Vltava River; </w:t>
      </w:r>
      <w:r w:rsidRPr="004F0559">
        <w:rPr>
          <w:color w:val="000000"/>
          <w:lang w:val="en-GB"/>
        </w:rPr>
        <w:t>Smetana had just become principal conductor</w:t>
      </w:r>
      <w:r w:rsidR="001104F0">
        <w:rPr>
          <w:color w:val="000000"/>
          <w:lang w:val="en-GB"/>
        </w:rPr>
        <w:t>,</w:t>
      </w:r>
      <w:r>
        <w:rPr>
          <w:color w:val="000000"/>
          <w:lang w:val="en-GB"/>
        </w:rPr>
        <w:t xml:space="preserve"> and this opera had had its premiere there that spring</w:t>
      </w:r>
      <w:r w:rsidRPr="004F0559">
        <w:rPr>
          <w:color w:val="000000"/>
          <w:lang w:val="en-GB"/>
        </w:rPr>
        <w:t xml:space="preserve">. </w:t>
      </w:r>
      <w:r>
        <w:rPr>
          <w:color w:val="000000"/>
          <w:lang w:val="en-GB"/>
        </w:rPr>
        <w:t xml:space="preserve">After the first act, the emperor </w:t>
      </w:r>
      <w:r w:rsidRPr="004F0559">
        <w:rPr>
          <w:color w:val="000000"/>
          <w:lang w:val="en-GB"/>
        </w:rPr>
        <w:t xml:space="preserve">left the theatre and entered his </w:t>
      </w:r>
      <w:r>
        <w:rPr>
          <w:color w:val="000000"/>
          <w:lang w:val="en-GB"/>
        </w:rPr>
        <w:t xml:space="preserve">waiting </w:t>
      </w:r>
      <w:r w:rsidRPr="004F0559">
        <w:rPr>
          <w:color w:val="000000"/>
          <w:lang w:val="en-GB"/>
        </w:rPr>
        <w:t xml:space="preserve">carriage, </w:t>
      </w:r>
      <w:r>
        <w:rPr>
          <w:color w:val="000000"/>
          <w:lang w:val="en-GB"/>
        </w:rPr>
        <w:t xml:space="preserve">whereupon </w:t>
      </w:r>
      <w:r w:rsidRPr="004F0559">
        <w:rPr>
          <w:color w:val="000000"/>
          <w:lang w:val="en-GB"/>
        </w:rPr>
        <w:t>an assassination attempt took place. A Czech tailor, Antonín Půst, was seen raising a fully-cocked pistol, only to be prevented from firing by some</w:t>
      </w:r>
      <w:r>
        <w:rPr>
          <w:color w:val="000000"/>
          <w:lang w:val="en-GB"/>
        </w:rPr>
        <w:t>body</w:t>
      </w:r>
      <w:r w:rsidRPr="004F0559">
        <w:rPr>
          <w:color w:val="000000"/>
          <w:lang w:val="en-GB"/>
        </w:rPr>
        <w:t xml:space="preserve"> next to him who intervened and marched him over to the nearest policeman. The next day </w:t>
      </w:r>
      <w:r w:rsidRPr="004F0559">
        <w:rPr>
          <w:color w:val="000000"/>
          <w:lang w:val="en-GB"/>
        </w:rPr>
        <w:lastRenderedPageBreak/>
        <w:t xml:space="preserve">Půst was interrogated at Prague’s criminal court and told he was suspected of the crime of </w:t>
      </w:r>
      <w:r>
        <w:rPr>
          <w:color w:val="000000"/>
          <w:lang w:val="en-GB"/>
        </w:rPr>
        <w:t xml:space="preserve">high </w:t>
      </w:r>
      <w:r w:rsidRPr="004F0559">
        <w:rPr>
          <w:color w:val="000000"/>
          <w:lang w:val="en-GB"/>
        </w:rPr>
        <w:t>treason</w:t>
      </w:r>
      <w:r>
        <w:rPr>
          <w:color w:val="000000"/>
          <w:lang w:val="en-GB"/>
        </w:rPr>
        <w:t xml:space="preserve"> (</w:t>
      </w:r>
      <w:r>
        <w:rPr>
          <w:i/>
          <w:color w:val="000000"/>
          <w:lang w:val="en-GB"/>
        </w:rPr>
        <w:t>Hochverrat</w:t>
      </w:r>
      <w:r>
        <w:rPr>
          <w:color w:val="000000"/>
          <w:lang w:val="en-GB"/>
        </w:rPr>
        <w:t>)</w:t>
      </w:r>
      <w:r w:rsidRPr="004F0559">
        <w:rPr>
          <w:color w:val="000000"/>
          <w:lang w:val="en-GB"/>
        </w:rPr>
        <w:t>, of trying to murder the emperor.</w:t>
      </w:r>
      <w:r w:rsidR="00405EC8">
        <w:rPr>
          <w:color w:val="000000"/>
          <w:lang w:val="en-GB"/>
        </w:rPr>
        <w:t xml:space="preserve">  </w:t>
      </w:r>
      <w:r w:rsidR="00405EC8">
        <w:rPr>
          <w:b/>
          <w:color w:val="000000"/>
          <w:lang w:val="en-GB"/>
        </w:rPr>
        <w:t>[Figures 1 &amp; 2]</w:t>
      </w:r>
    </w:p>
    <w:p w:rsidR="006E4050"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But had a treasonous act actually been foiled? While Půst constantly declared his innocence, there did seem to be incriminating evidence against him. Foremost was the word of the man who intervened and arrested him, an Englishman named Captain Hugh Palmer. Palmer too had been waiting outside the theatre</w:t>
      </w:r>
      <w:r>
        <w:rPr>
          <w:color w:val="000000"/>
          <w:lang w:val="en-GB"/>
        </w:rPr>
        <w:t>, having attended part of the performance,</w:t>
      </w:r>
      <w:r w:rsidRPr="004F0559">
        <w:rPr>
          <w:color w:val="000000"/>
          <w:lang w:val="en-GB"/>
        </w:rPr>
        <w:t xml:space="preserve"> and claimed to have seen Půst’s pistol: </w:t>
      </w:r>
      <w:r>
        <w:rPr>
          <w:color w:val="000000"/>
          <w:lang w:val="en-GB"/>
        </w:rPr>
        <w:t>‘</w:t>
      </w:r>
      <w:r w:rsidRPr="004F0559">
        <w:rPr>
          <w:color w:val="000000"/>
          <w:lang w:val="en-GB"/>
        </w:rPr>
        <w:t>The light of the [theatre] lamps flashed upon the barrel of the pistol …. I saw distinctly the prisoner raise his right hand in which I am ready to swear there was a pistol</w:t>
      </w:r>
      <w:r>
        <w:rPr>
          <w:color w:val="000000"/>
          <w:lang w:val="en-GB"/>
        </w:rPr>
        <w:t>’</w:t>
      </w:r>
      <w:r w:rsidRPr="004F0559">
        <w:rPr>
          <w:color w:val="000000"/>
          <w:lang w:val="en-GB"/>
        </w:rPr>
        <w:t>.</w:t>
      </w:r>
      <w:r w:rsidRPr="004F0559">
        <w:rPr>
          <w:rStyle w:val="FootnoteReference"/>
          <w:color w:val="000000"/>
          <w:lang w:val="en-GB"/>
        </w:rPr>
        <w:footnoteReference w:id="2"/>
      </w:r>
      <w:r w:rsidRPr="004F0559">
        <w:rPr>
          <w:color w:val="000000"/>
          <w:lang w:val="en-GB"/>
        </w:rPr>
        <w:t xml:space="preserve">  Půst on his arrest had also allegedly dropped onto the ground a piece of </w:t>
      </w:r>
      <w:r>
        <w:rPr>
          <w:color w:val="000000"/>
          <w:lang w:val="en-GB"/>
        </w:rPr>
        <w:t>black silk</w:t>
      </w:r>
      <w:r w:rsidRPr="004F0559">
        <w:rPr>
          <w:color w:val="000000"/>
          <w:lang w:val="en-GB"/>
        </w:rPr>
        <w:t xml:space="preserve"> </w:t>
      </w:r>
      <w:r>
        <w:rPr>
          <w:color w:val="000000"/>
          <w:lang w:val="en-GB"/>
        </w:rPr>
        <w:t xml:space="preserve">which was </w:t>
      </w:r>
      <w:r w:rsidRPr="004F0559">
        <w:rPr>
          <w:color w:val="000000"/>
          <w:lang w:val="en-GB"/>
        </w:rPr>
        <w:t xml:space="preserve">found to contain gunshot powder and a bullet. On the other hand, Palmer’s account of the </w:t>
      </w:r>
      <w:proofErr w:type="spellStart"/>
      <w:r w:rsidRPr="004F0559">
        <w:rPr>
          <w:i/>
          <w:color w:val="000000"/>
          <w:lang w:val="en-GB"/>
        </w:rPr>
        <w:t>Attentat</w:t>
      </w:r>
      <w:proofErr w:type="spellEnd"/>
      <w:r w:rsidRPr="004F0559">
        <w:rPr>
          <w:color w:val="000000"/>
          <w:lang w:val="en-GB"/>
        </w:rPr>
        <w:t xml:space="preserve"> soon looked distinctly suspicious. For a start</w:t>
      </w:r>
      <w:r>
        <w:rPr>
          <w:color w:val="000000"/>
          <w:lang w:val="en-GB"/>
        </w:rPr>
        <w:t>,</w:t>
      </w:r>
      <w:r w:rsidRPr="004F0559">
        <w:rPr>
          <w:color w:val="000000"/>
          <w:lang w:val="en-GB"/>
        </w:rPr>
        <w:t xml:space="preserve"> no gun was found on Půst, but coincidentally a loaded pistol was discovered thirty steps away from the incident. </w:t>
      </w:r>
      <w:r>
        <w:rPr>
          <w:color w:val="000000"/>
          <w:lang w:val="en-GB"/>
        </w:rPr>
        <w:t xml:space="preserve">The press commented that Půst was an industrious worker and good-hearted, who would not hurt a fly; if anything he had a stupid face, so no-one </w:t>
      </w:r>
      <w:r w:rsidR="001104F0">
        <w:rPr>
          <w:color w:val="000000"/>
          <w:lang w:val="en-GB"/>
        </w:rPr>
        <w:t>w</w:t>
      </w:r>
      <w:r>
        <w:rPr>
          <w:color w:val="000000"/>
          <w:lang w:val="en-GB"/>
        </w:rPr>
        <w:t>ould deduce from his physiognomy that he could be a ‘king murderer’.</w:t>
      </w:r>
      <w:r>
        <w:rPr>
          <w:rStyle w:val="FootnoteReference"/>
          <w:color w:val="000000"/>
          <w:lang w:val="en-GB"/>
        </w:rPr>
        <w:footnoteReference w:id="3"/>
      </w:r>
    </w:p>
    <w:p w:rsidR="006E4050" w:rsidRPr="004F0559"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The authorities therefore quickly began to wonder if the ‘assassination’ was fabricated</w:t>
      </w:r>
      <w:r>
        <w:rPr>
          <w:color w:val="000000"/>
          <w:lang w:val="en-GB"/>
        </w:rPr>
        <w:t xml:space="preserve"> – Franz Joseph even surmised that</w:t>
      </w:r>
      <w:r>
        <w:rPr>
          <w:rStyle w:val="FootnoteReference"/>
          <w:color w:val="000000"/>
          <w:lang w:val="en-GB"/>
        </w:rPr>
        <w:footnoteReference w:id="4"/>
      </w:r>
      <w:r>
        <w:rPr>
          <w:color w:val="000000"/>
          <w:lang w:val="en-GB"/>
        </w:rPr>
        <w:t xml:space="preserve"> - </w:t>
      </w:r>
      <w:r w:rsidRPr="004F0559">
        <w:rPr>
          <w:color w:val="000000"/>
          <w:lang w:val="en-GB"/>
        </w:rPr>
        <w:t xml:space="preserve">and </w:t>
      </w:r>
      <w:r>
        <w:rPr>
          <w:color w:val="000000"/>
          <w:lang w:val="en-GB"/>
        </w:rPr>
        <w:t xml:space="preserve">they </w:t>
      </w:r>
      <w:r w:rsidRPr="004F0559">
        <w:rPr>
          <w:color w:val="000000"/>
          <w:lang w:val="en-GB"/>
        </w:rPr>
        <w:t xml:space="preserve">began to investigate the 23-year old ‘Captain’ Palmer too. </w:t>
      </w:r>
      <w:r>
        <w:rPr>
          <w:color w:val="000000"/>
          <w:lang w:val="en-GB"/>
        </w:rPr>
        <w:t>Palmer claimed that he w</w:t>
      </w:r>
      <w:r w:rsidRPr="004F0559">
        <w:rPr>
          <w:color w:val="000000"/>
          <w:lang w:val="en-GB"/>
        </w:rPr>
        <w:t xml:space="preserve">as a self-sufficient man of the world who </w:t>
      </w:r>
      <w:r>
        <w:rPr>
          <w:color w:val="000000"/>
          <w:lang w:val="en-GB"/>
        </w:rPr>
        <w:t>came from a wealthy family since his father owned a mine in north Wales. Having bought a yacht at the age of 21, he then d</w:t>
      </w:r>
      <w:r w:rsidRPr="004F0559">
        <w:rPr>
          <w:color w:val="000000"/>
          <w:lang w:val="en-GB"/>
        </w:rPr>
        <w:t xml:space="preserve">ressed as a naval officer </w:t>
      </w:r>
      <w:r>
        <w:rPr>
          <w:color w:val="000000"/>
          <w:lang w:val="en-GB"/>
        </w:rPr>
        <w:t xml:space="preserve">and began to </w:t>
      </w:r>
      <w:r w:rsidRPr="004F0559">
        <w:rPr>
          <w:color w:val="000000"/>
          <w:lang w:val="en-GB"/>
        </w:rPr>
        <w:t>dabble in buying and selling ships around Europe</w:t>
      </w:r>
      <w:r>
        <w:rPr>
          <w:color w:val="000000"/>
          <w:lang w:val="en-GB"/>
        </w:rPr>
        <w:t>, notably in Denmark and Germany</w:t>
      </w:r>
      <w:r w:rsidRPr="004F0559">
        <w:rPr>
          <w:color w:val="000000"/>
          <w:lang w:val="en-GB"/>
        </w:rPr>
        <w:t xml:space="preserve">. </w:t>
      </w:r>
      <w:r>
        <w:rPr>
          <w:color w:val="000000"/>
          <w:lang w:val="en-GB"/>
        </w:rPr>
        <w:t xml:space="preserve">However, it soon emerged that he was </w:t>
      </w:r>
      <w:r w:rsidRPr="004F0559">
        <w:rPr>
          <w:color w:val="000000"/>
          <w:lang w:val="en-GB"/>
        </w:rPr>
        <w:t>deeply corrupt</w:t>
      </w:r>
      <w:r>
        <w:rPr>
          <w:color w:val="000000"/>
          <w:lang w:val="en-GB"/>
        </w:rPr>
        <w:t xml:space="preserve"> and indebted, given according to a London lawyer to </w:t>
      </w:r>
      <w:r w:rsidRPr="004F0559">
        <w:rPr>
          <w:color w:val="000000"/>
          <w:lang w:val="en-GB"/>
        </w:rPr>
        <w:t xml:space="preserve">many </w:t>
      </w:r>
      <w:r>
        <w:rPr>
          <w:color w:val="000000"/>
          <w:lang w:val="en-GB"/>
        </w:rPr>
        <w:t>‘</w:t>
      </w:r>
      <w:r w:rsidRPr="004F0559">
        <w:rPr>
          <w:color w:val="000000"/>
          <w:lang w:val="en-GB"/>
        </w:rPr>
        <w:t>swindling transactions</w:t>
      </w:r>
      <w:r>
        <w:rPr>
          <w:color w:val="000000"/>
          <w:lang w:val="en-GB"/>
        </w:rPr>
        <w:t xml:space="preserve">’ around Britain. He was also a potential fantasist, inclined to </w:t>
      </w:r>
      <w:r w:rsidRPr="004F0559">
        <w:rPr>
          <w:color w:val="000000"/>
          <w:lang w:val="en-GB"/>
        </w:rPr>
        <w:t>fabricat</w:t>
      </w:r>
      <w:r>
        <w:rPr>
          <w:color w:val="000000"/>
          <w:lang w:val="en-GB"/>
        </w:rPr>
        <w:t>e</w:t>
      </w:r>
      <w:r w:rsidRPr="004F0559">
        <w:rPr>
          <w:color w:val="000000"/>
          <w:lang w:val="en-GB"/>
        </w:rPr>
        <w:t xml:space="preserve"> stories to </w:t>
      </w:r>
      <w:r w:rsidRPr="004F0559">
        <w:rPr>
          <w:color w:val="000000"/>
          <w:lang w:val="en-GB"/>
        </w:rPr>
        <w:lastRenderedPageBreak/>
        <w:t>gain attention.</w:t>
      </w:r>
      <w:r>
        <w:rPr>
          <w:color w:val="000000"/>
          <w:lang w:val="en-GB"/>
        </w:rPr>
        <w:t xml:space="preserve"> He had written to his father that Franz Joseph had placed a carriage and horses at his disposal.</w:t>
      </w:r>
      <w:r w:rsidRPr="004F0559">
        <w:rPr>
          <w:rStyle w:val="FootnoteReference"/>
          <w:color w:val="000000"/>
          <w:lang w:val="en-GB"/>
        </w:rPr>
        <w:footnoteReference w:id="5"/>
      </w:r>
      <w:r>
        <w:rPr>
          <w:color w:val="000000"/>
          <w:lang w:val="en-GB"/>
        </w:rPr>
        <w:t xml:space="preserve"> And according to the Czech newspaper, </w:t>
      </w:r>
      <w:r>
        <w:rPr>
          <w:i/>
          <w:color w:val="000000"/>
          <w:lang w:val="en-GB"/>
        </w:rPr>
        <w:t>Národní listy</w:t>
      </w:r>
      <w:r>
        <w:rPr>
          <w:color w:val="000000"/>
          <w:lang w:val="en-GB"/>
        </w:rPr>
        <w:t>, he had laid a wager that one day his name would be celebrated all over the world.</w:t>
      </w:r>
      <w:r>
        <w:rPr>
          <w:rStyle w:val="FootnoteReference"/>
          <w:color w:val="000000"/>
          <w:lang w:val="en-GB"/>
        </w:rPr>
        <w:footnoteReference w:id="6"/>
      </w:r>
      <w:r w:rsidRPr="004F0559">
        <w:rPr>
          <w:color w:val="000000"/>
          <w:lang w:val="en-GB"/>
        </w:rPr>
        <w:t xml:space="preserve"> </w:t>
      </w:r>
    </w:p>
    <w:p w:rsidR="006E4050" w:rsidRPr="004F0559"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 xml:space="preserve">Partly due to this evidence about their key witness, the criminal court in Prague decided </w:t>
      </w:r>
      <w:r>
        <w:rPr>
          <w:color w:val="000000"/>
          <w:lang w:val="en-GB"/>
        </w:rPr>
        <w:t xml:space="preserve">in January 1867 </w:t>
      </w:r>
      <w:r w:rsidRPr="004F0559">
        <w:rPr>
          <w:color w:val="000000"/>
          <w:lang w:val="en-GB"/>
        </w:rPr>
        <w:t xml:space="preserve">to halt the case against Půst, and this ruling was upheld </w:t>
      </w:r>
      <w:r>
        <w:rPr>
          <w:color w:val="000000"/>
          <w:lang w:val="en-GB"/>
        </w:rPr>
        <w:t xml:space="preserve">four months later </w:t>
      </w:r>
      <w:r w:rsidRPr="004F0559">
        <w:rPr>
          <w:color w:val="000000"/>
          <w:lang w:val="en-GB"/>
        </w:rPr>
        <w:t xml:space="preserve">by the Supreme Court in Vienna. Yet the Supreme Court still suggested that major suspicion lingered over Půst, and that Palmer for all his eccentricity </w:t>
      </w:r>
      <w:r>
        <w:rPr>
          <w:color w:val="000000"/>
          <w:lang w:val="en-GB"/>
        </w:rPr>
        <w:t>might</w:t>
      </w:r>
      <w:r w:rsidRPr="004F0559">
        <w:rPr>
          <w:color w:val="000000"/>
          <w:lang w:val="en-GB"/>
        </w:rPr>
        <w:t xml:space="preserve"> still be a credible witness. The case in fact was being stopped because under Austrian law the evidence of one man was insufficient to proceed</w:t>
      </w:r>
      <w:r>
        <w:rPr>
          <w:color w:val="000000"/>
          <w:lang w:val="en-GB"/>
        </w:rPr>
        <w:t>,</w:t>
      </w:r>
      <w:r w:rsidRPr="004F0559">
        <w:rPr>
          <w:color w:val="000000"/>
          <w:lang w:val="en-GB"/>
        </w:rPr>
        <w:t xml:space="preserve"> not least on a serious charge like treason. From this point in </w:t>
      </w:r>
      <w:r>
        <w:rPr>
          <w:color w:val="000000"/>
          <w:lang w:val="en-GB"/>
        </w:rPr>
        <w:t xml:space="preserve">spring </w:t>
      </w:r>
      <w:r w:rsidRPr="004F0559">
        <w:rPr>
          <w:color w:val="000000"/>
          <w:lang w:val="en-GB"/>
        </w:rPr>
        <w:t xml:space="preserve">1867 both protagonists </w:t>
      </w:r>
      <w:r>
        <w:rPr>
          <w:color w:val="000000"/>
          <w:lang w:val="en-GB"/>
        </w:rPr>
        <w:t xml:space="preserve">completely </w:t>
      </w:r>
      <w:r w:rsidRPr="004F0559">
        <w:rPr>
          <w:color w:val="000000"/>
          <w:lang w:val="en-GB"/>
        </w:rPr>
        <w:t xml:space="preserve">disappear from the historical record. </w:t>
      </w:r>
      <w:r>
        <w:rPr>
          <w:color w:val="000000"/>
          <w:lang w:val="en-GB"/>
        </w:rPr>
        <w:t>W</w:t>
      </w:r>
      <w:r w:rsidRPr="004F0559">
        <w:rPr>
          <w:color w:val="000000"/>
          <w:lang w:val="en-GB"/>
        </w:rPr>
        <w:t xml:space="preserve">e know </w:t>
      </w:r>
      <w:r>
        <w:rPr>
          <w:color w:val="000000"/>
          <w:lang w:val="en-GB"/>
        </w:rPr>
        <w:t xml:space="preserve">only </w:t>
      </w:r>
      <w:r w:rsidRPr="004F0559">
        <w:rPr>
          <w:color w:val="000000"/>
          <w:lang w:val="en-GB"/>
        </w:rPr>
        <w:t xml:space="preserve">that </w:t>
      </w:r>
      <w:r>
        <w:rPr>
          <w:color w:val="000000"/>
          <w:lang w:val="en-GB"/>
        </w:rPr>
        <w:t xml:space="preserve">Hugh </w:t>
      </w:r>
      <w:r w:rsidRPr="004F0559">
        <w:rPr>
          <w:color w:val="000000"/>
          <w:lang w:val="en-GB"/>
        </w:rPr>
        <w:t>Palmer continued to visit Vienna</w:t>
      </w:r>
      <w:r>
        <w:rPr>
          <w:color w:val="000000"/>
          <w:lang w:val="en-GB"/>
        </w:rPr>
        <w:t xml:space="preserve">, staying there in the </w:t>
      </w:r>
      <w:r w:rsidRPr="004F0559">
        <w:rPr>
          <w:color w:val="000000"/>
          <w:lang w:val="en-GB"/>
        </w:rPr>
        <w:t xml:space="preserve">prestigious Hotel </w:t>
      </w:r>
      <w:proofErr w:type="spellStart"/>
      <w:r w:rsidRPr="004F0559">
        <w:rPr>
          <w:color w:val="000000"/>
          <w:lang w:val="en-GB"/>
        </w:rPr>
        <w:t>Munsch</w:t>
      </w:r>
      <w:proofErr w:type="spellEnd"/>
      <w:r>
        <w:rPr>
          <w:color w:val="000000"/>
          <w:lang w:val="en-GB"/>
        </w:rPr>
        <w:t>,</w:t>
      </w:r>
      <w:r w:rsidRPr="004F0559">
        <w:rPr>
          <w:color w:val="000000"/>
          <w:lang w:val="en-GB"/>
        </w:rPr>
        <w:t xml:space="preserve"> while </w:t>
      </w:r>
      <w:r>
        <w:rPr>
          <w:color w:val="000000"/>
          <w:lang w:val="en-GB"/>
        </w:rPr>
        <w:t xml:space="preserve">Antonín </w:t>
      </w:r>
      <w:r w:rsidRPr="004F0559">
        <w:rPr>
          <w:color w:val="000000"/>
          <w:lang w:val="en-GB"/>
        </w:rPr>
        <w:t>Půst tried in vain to appeal against his public humiliation.</w:t>
      </w:r>
      <w:r w:rsidRPr="004F0559">
        <w:rPr>
          <w:rStyle w:val="FootnoteReference"/>
          <w:color w:val="000000"/>
          <w:lang w:val="en-GB"/>
        </w:rPr>
        <w:footnoteReference w:id="7"/>
      </w:r>
    </w:p>
    <w:p w:rsidR="006E4050"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This intriguing</w:t>
      </w:r>
      <w:r w:rsidR="001104F0">
        <w:rPr>
          <w:color w:val="000000"/>
          <w:lang w:val="en-GB"/>
        </w:rPr>
        <w:t>,</w:t>
      </w:r>
      <w:r>
        <w:rPr>
          <w:color w:val="000000"/>
          <w:lang w:val="en-GB"/>
        </w:rPr>
        <w:t xml:space="preserve"> unresolved </w:t>
      </w:r>
      <w:r w:rsidR="001104F0">
        <w:rPr>
          <w:color w:val="000000"/>
          <w:lang w:val="en-GB"/>
        </w:rPr>
        <w:t xml:space="preserve">and forgotten </w:t>
      </w:r>
      <w:r w:rsidRPr="004F0559">
        <w:rPr>
          <w:color w:val="000000"/>
          <w:lang w:val="en-GB"/>
        </w:rPr>
        <w:t>case introduces us to the whole contentious subject of treason and traitors in the late Austrian empire. Just as it was never clear whether Půst had intended or even performed an act of treason, so the crime of treason through the centuries has been notoriously hard for regimes to interpret and prosecute. Indeed, simply defining ‘treason’ is not as easy as we might think</w:t>
      </w:r>
      <w:r w:rsidR="00B61A2E">
        <w:rPr>
          <w:color w:val="000000"/>
          <w:lang w:val="en-GB"/>
        </w:rPr>
        <w:t xml:space="preserve">, often confused with generic concepts of </w:t>
      </w:r>
      <w:proofErr w:type="gramStart"/>
      <w:r w:rsidR="00B61A2E">
        <w:rPr>
          <w:color w:val="000000"/>
          <w:lang w:val="en-GB"/>
        </w:rPr>
        <w:t>‘betrayal’</w:t>
      </w:r>
      <w:r w:rsidRPr="004F0559">
        <w:rPr>
          <w:color w:val="000000"/>
          <w:lang w:val="en-GB"/>
        </w:rPr>
        <w:t>.</w:t>
      </w:r>
      <w:proofErr w:type="gramEnd"/>
      <w:r w:rsidR="00B61A2E">
        <w:rPr>
          <w:rStyle w:val="FootnoteReference"/>
          <w:color w:val="000000"/>
          <w:lang w:val="en-GB"/>
        </w:rPr>
        <w:footnoteReference w:id="8"/>
      </w:r>
      <w:r w:rsidRPr="004F0559">
        <w:rPr>
          <w:color w:val="000000"/>
          <w:lang w:val="en-GB"/>
        </w:rPr>
        <w:t xml:space="preserve"> It has of course been a ubiquitous phenomenon in human history, </w:t>
      </w:r>
      <w:r>
        <w:rPr>
          <w:color w:val="000000"/>
          <w:lang w:val="en-GB"/>
        </w:rPr>
        <w:t xml:space="preserve">with </w:t>
      </w:r>
      <w:r w:rsidRPr="004F0559">
        <w:rPr>
          <w:color w:val="000000"/>
          <w:lang w:val="en-GB"/>
        </w:rPr>
        <w:t xml:space="preserve">the word ‘traitor’ </w:t>
      </w:r>
      <w:r w:rsidR="00B61A2E">
        <w:rPr>
          <w:color w:val="000000"/>
          <w:lang w:val="en-GB"/>
        </w:rPr>
        <w:t xml:space="preserve">often </w:t>
      </w:r>
      <w:r w:rsidRPr="004F0559">
        <w:rPr>
          <w:color w:val="000000"/>
          <w:lang w:val="en-GB"/>
        </w:rPr>
        <w:t xml:space="preserve">used in political rhetoric as </w:t>
      </w:r>
      <w:r>
        <w:rPr>
          <w:color w:val="000000"/>
          <w:lang w:val="en-GB"/>
        </w:rPr>
        <w:t xml:space="preserve">a </w:t>
      </w:r>
      <w:r w:rsidRPr="004F0559">
        <w:rPr>
          <w:color w:val="000000"/>
          <w:lang w:val="en-GB"/>
        </w:rPr>
        <w:t>way to vilify opponents who have betrayed strongly-held convictions</w:t>
      </w:r>
      <w:r w:rsidR="00A00B4C">
        <w:rPr>
          <w:color w:val="000000"/>
          <w:lang w:val="en-GB"/>
        </w:rPr>
        <w:t>,</w:t>
      </w:r>
      <w:r w:rsidR="00EE6F87">
        <w:rPr>
          <w:color w:val="000000"/>
          <w:lang w:val="en-GB"/>
        </w:rPr>
        <w:t xml:space="preserve"> where a moral edge is always near the surface</w:t>
      </w:r>
      <w:r w:rsidRPr="004F0559">
        <w:rPr>
          <w:color w:val="000000"/>
          <w:lang w:val="en-GB"/>
        </w:rPr>
        <w:t>.</w:t>
      </w:r>
      <w:r>
        <w:rPr>
          <w:color w:val="000000"/>
          <w:lang w:val="en-GB"/>
        </w:rPr>
        <w:t xml:space="preserve"> When in 2019 the Greek parliament voted to agree the naming of their northern neighbour as North Macedonia, </w:t>
      </w:r>
      <w:r>
        <w:rPr>
          <w:color w:val="000000"/>
          <w:lang w:val="en-GB"/>
        </w:rPr>
        <w:lastRenderedPageBreak/>
        <w:t>opponents labelled the MPs as ‘traitors’ who had committed ‘a national crime’.</w:t>
      </w:r>
      <w:r>
        <w:rPr>
          <w:rStyle w:val="FootnoteReference"/>
          <w:color w:val="000000"/>
          <w:lang w:val="en-GB"/>
        </w:rPr>
        <w:footnoteReference w:id="9"/>
      </w:r>
      <w:r w:rsidRPr="004F0559">
        <w:rPr>
          <w:color w:val="000000"/>
          <w:lang w:val="en-GB"/>
        </w:rPr>
        <w:t xml:space="preserve"> </w:t>
      </w:r>
      <w:r w:rsidR="00594E72">
        <w:rPr>
          <w:color w:val="000000"/>
          <w:lang w:val="en-GB"/>
        </w:rPr>
        <w:t xml:space="preserve">More recently, the term was used rather casually against Donald Trump’s ex-national security adviser </w:t>
      </w:r>
      <w:r w:rsidR="00EE6F87">
        <w:rPr>
          <w:color w:val="000000"/>
          <w:lang w:val="en-GB"/>
        </w:rPr>
        <w:t xml:space="preserve">when he published a memoir, leaking </w:t>
      </w:r>
      <w:r w:rsidR="00594E72">
        <w:rPr>
          <w:color w:val="000000"/>
          <w:lang w:val="en-GB"/>
        </w:rPr>
        <w:t xml:space="preserve">his views on </w:t>
      </w:r>
      <w:r w:rsidR="00EE6F87">
        <w:rPr>
          <w:color w:val="000000"/>
          <w:lang w:val="en-GB"/>
        </w:rPr>
        <w:t>an incompetent</w:t>
      </w:r>
      <w:r w:rsidR="00594E72">
        <w:rPr>
          <w:color w:val="000000"/>
          <w:lang w:val="en-GB"/>
        </w:rPr>
        <w:t xml:space="preserve"> president. It was, said US secretary of state Mike Pompeo</w:t>
      </w:r>
      <w:r w:rsidR="00912600">
        <w:rPr>
          <w:color w:val="000000"/>
          <w:lang w:val="en-GB"/>
        </w:rPr>
        <w:t>,</w:t>
      </w:r>
      <w:r w:rsidR="00594E72">
        <w:rPr>
          <w:color w:val="000000"/>
          <w:lang w:val="en-GB"/>
        </w:rPr>
        <w:t xml:space="preserve"> ‘both sad and dangerous that John Bolton’s final public role is that of a traitor who damaged America by violating his sacred trust with its people’.</w:t>
      </w:r>
      <w:r w:rsidR="00594E72">
        <w:rPr>
          <w:rStyle w:val="FootnoteReference"/>
          <w:color w:val="000000"/>
          <w:lang w:val="en-GB"/>
        </w:rPr>
        <w:footnoteReference w:id="10"/>
      </w:r>
      <w:r w:rsidR="00594E72">
        <w:rPr>
          <w:color w:val="000000"/>
          <w:lang w:val="en-GB"/>
        </w:rPr>
        <w:t xml:space="preserve"> </w:t>
      </w:r>
      <w:r>
        <w:rPr>
          <w:color w:val="000000"/>
          <w:lang w:val="en-GB"/>
        </w:rPr>
        <w:t>Yet</w:t>
      </w:r>
      <w:r w:rsidRPr="004F0559">
        <w:rPr>
          <w:color w:val="000000"/>
          <w:lang w:val="en-GB"/>
        </w:rPr>
        <w:t xml:space="preserve"> in its most concrete manifestation </w:t>
      </w:r>
      <w:r>
        <w:rPr>
          <w:color w:val="000000"/>
          <w:lang w:val="en-GB"/>
        </w:rPr>
        <w:t>treason is a crime codified in law</w:t>
      </w:r>
      <w:r w:rsidRPr="004F0559">
        <w:rPr>
          <w:color w:val="000000"/>
          <w:lang w:val="en-GB"/>
        </w:rPr>
        <w:t xml:space="preserve">. There, </w:t>
      </w:r>
      <w:r w:rsidR="00B61A2E">
        <w:rPr>
          <w:color w:val="000000"/>
          <w:lang w:val="en-GB"/>
        </w:rPr>
        <w:t xml:space="preserve">since the ancient world, </w:t>
      </w:r>
      <w:r w:rsidRPr="004F0559">
        <w:rPr>
          <w:color w:val="000000"/>
          <w:lang w:val="en-GB"/>
        </w:rPr>
        <w:t xml:space="preserve">it has always been </w:t>
      </w:r>
      <w:r>
        <w:rPr>
          <w:color w:val="000000"/>
          <w:lang w:val="en-GB"/>
        </w:rPr>
        <w:t>seen</w:t>
      </w:r>
      <w:r w:rsidRPr="004F0559">
        <w:rPr>
          <w:color w:val="000000"/>
          <w:lang w:val="en-GB"/>
        </w:rPr>
        <w:t xml:space="preserve"> as the ultimate political </w:t>
      </w:r>
      <w:r>
        <w:rPr>
          <w:color w:val="000000"/>
          <w:lang w:val="en-GB"/>
        </w:rPr>
        <w:t>crime</w:t>
      </w:r>
      <w:r w:rsidRPr="004F0559">
        <w:rPr>
          <w:color w:val="000000"/>
          <w:lang w:val="en-GB"/>
        </w:rPr>
        <w:t xml:space="preserve">, </w:t>
      </w:r>
      <w:r>
        <w:rPr>
          <w:color w:val="000000"/>
          <w:lang w:val="en-GB"/>
        </w:rPr>
        <w:t>requiring</w:t>
      </w:r>
      <w:r w:rsidRPr="004F0559">
        <w:rPr>
          <w:color w:val="000000"/>
          <w:lang w:val="en-GB"/>
        </w:rPr>
        <w:t xml:space="preserve"> the harshest punishment in order to set an example. </w:t>
      </w:r>
      <w:r>
        <w:rPr>
          <w:color w:val="000000"/>
          <w:lang w:val="en-GB"/>
        </w:rPr>
        <w:t xml:space="preserve">In </w:t>
      </w:r>
      <w:r w:rsidR="000B13E0">
        <w:rPr>
          <w:color w:val="000000"/>
          <w:lang w:val="en-GB"/>
        </w:rPr>
        <w:t>eighteenth-</w:t>
      </w:r>
      <w:r>
        <w:rPr>
          <w:color w:val="000000"/>
          <w:lang w:val="en-GB"/>
        </w:rPr>
        <w:t>century Austria, the draconian penalty was still beheading for women</w:t>
      </w:r>
      <w:r w:rsidR="00B177AD">
        <w:rPr>
          <w:color w:val="000000"/>
          <w:lang w:val="en-GB"/>
        </w:rPr>
        <w:t>,</w:t>
      </w:r>
      <w:r>
        <w:rPr>
          <w:color w:val="000000"/>
          <w:lang w:val="en-GB"/>
        </w:rPr>
        <w:t xml:space="preserve"> and quartering while still alive for men. Joseph II abolished the death penalty in 1783, but it was restored for treason in 1795</w:t>
      </w:r>
      <w:r w:rsidR="00B61A2E">
        <w:rPr>
          <w:color w:val="000000"/>
          <w:lang w:val="en-GB"/>
        </w:rPr>
        <w:t xml:space="preserve"> in the aftermath of the Jacobin trials,</w:t>
      </w:r>
      <w:r>
        <w:rPr>
          <w:color w:val="000000"/>
          <w:lang w:val="en-GB"/>
        </w:rPr>
        <w:t xml:space="preserve"> and the penalty </w:t>
      </w:r>
      <w:r w:rsidR="00B61A2E">
        <w:rPr>
          <w:color w:val="000000"/>
          <w:lang w:val="en-GB"/>
        </w:rPr>
        <w:t xml:space="preserve">was </w:t>
      </w:r>
      <w:r>
        <w:rPr>
          <w:color w:val="000000"/>
          <w:lang w:val="en-GB"/>
        </w:rPr>
        <w:t>changed to hanging.</w:t>
      </w:r>
      <w:r>
        <w:rPr>
          <w:rStyle w:val="FootnoteReference"/>
          <w:color w:val="000000"/>
          <w:lang w:val="en-GB"/>
        </w:rPr>
        <w:footnoteReference w:id="11"/>
      </w:r>
    </w:p>
    <w:p w:rsidR="006E4050" w:rsidRPr="004F0559" w:rsidRDefault="006E4050" w:rsidP="00257760">
      <w:pPr>
        <w:pStyle w:val="NormalWeb"/>
        <w:spacing w:before="0" w:beforeAutospacing="0" w:after="0" w:afterAutospacing="0" w:line="480" w:lineRule="auto"/>
        <w:ind w:firstLine="720"/>
        <w:rPr>
          <w:color w:val="000000"/>
          <w:lang w:val="en-GB"/>
        </w:rPr>
      </w:pPr>
      <w:r w:rsidRPr="00B61A2E">
        <w:rPr>
          <w:color w:val="000000"/>
          <w:lang w:val="en-GB"/>
        </w:rPr>
        <w:t xml:space="preserve">How then </w:t>
      </w:r>
      <w:r w:rsidR="00B61A2E" w:rsidRPr="00B61A2E">
        <w:rPr>
          <w:color w:val="000000"/>
          <w:lang w:val="en-GB"/>
        </w:rPr>
        <w:t xml:space="preserve">should we </w:t>
      </w:r>
      <w:r w:rsidRPr="00B61A2E">
        <w:rPr>
          <w:color w:val="000000"/>
          <w:lang w:val="en-GB"/>
        </w:rPr>
        <w:t>define treason?</w:t>
      </w:r>
      <w:r>
        <w:rPr>
          <w:i/>
          <w:color w:val="000000"/>
          <w:lang w:val="en-GB"/>
        </w:rPr>
        <w:t xml:space="preserve"> </w:t>
      </w:r>
      <w:r>
        <w:rPr>
          <w:color w:val="000000"/>
          <w:lang w:val="en-GB"/>
        </w:rPr>
        <w:t>T</w:t>
      </w:r>
      <w:r w:rsidRPr="004F0559">
        <w:rPr>
          <w:color w:val="000000"/>
          <w:lang w:val="en-GB"/>
        </w:rPr>
        <w:t xml:space="preserve">reason means a violent crime </w:t>
      </w:r>
      <w:r w:rsidR="00B61A2E">
        <w:rPr>
          <w:color w:val="000000"/>
          <w:lang w:val="en-GB"/>
        </w:rPr>
        <w:t>direct</w:t>
      </w:r>
      <w:r w:rsidR="000B13E0">
        <w:rPr>
          <w:color w:val="000000"/>
          <w:lang w:val="en-GB"/>
        </w:rPr>
        <w:t>ed</w:t>
      </w:r>
      <w:r w:rsidR="00B61A2E">
        <w:rPr>
          <w:color w:val="000000"/>
          <w:lang w:val="en-GB"/>
        </w:rPr>
        <w:t xml:space="preserve"> at destroying the fundamental elements of the </w:t>
      </w:r>
      <w:r w:rsidRPr="004F0559">
        <w:rPr>
          <w:color w:val="000000"/>
          <w:lang w:val="en-GB"/>
        </w:rPr>
        <w:t xml:space="preserve">regime or the state; </w:t>
      </w:r>
      <w:r w:rsidR="00B61A2E">
        <w:rPr>
          <w:color w:val="000000"/>
          <w:lang w:val="en-GB"/>
        </w:rPr>
        <w:t xml:space="preserve">specifically, </w:t>
      </w:r>
      <w:r w:rsidRPr="004F0559">
        <w:rPr>
          <w:color w:val="000000"/>
          <w:lang w:val="en-GB"/>
        </w:rPr>
        <w:t xml:space="preserve">an individual </w:t>
      </w:r>
      <w:r>
        <w:rPr>
          <w:color w:val="000000"/>
          <w:lang w:val="en-GB"/>
        </w:rPr>
        <w:t>through</w:t>
      </w:r>
      <w:r w:rsidRPr="004F0559">
        <w:rPr>
          <w:color w:val="000000"/>
          <w:lang w:val="en-GB"/>
        </w:rPr>
        <w:t xml:space="preserve"> breaking </w:t>
      </w:r>
      <w:r>
        <w:rPr>
          <w:color w:val="000000"/>
          <w:lang w:val="en-GB"/>
        </w:rPr>
        <w:t>some</w:t>
      </w:r>
      <w:r w:rsidRPr="004F0559">
        <w:rPr>
          <w:color w:val="000000"/>
          <w:lang w:val="en-GB"/>
        </w:rPr>
        <w:t xml:space="preserve"> obligation of loyalty threatens the state’s integrity and stability. </w:t>
      </w:r>
      <w:r w:rsidR="00B61A2E">
        <w:rPr>
          <w:color w:val="000000"/>
          <w:lang w:val="en-GB"/>
        </w:rPr>
        <w:t xml:space="preserve">Violence in some form is </w:t>
      </w:r>
      <w:r w:rsidR="000B13E0">
        <w:rPr>
          <w:color w:val="000000"/>
          <w:lang w:val="en-GB"/>
        </w:rPr>
        <w:t xml:space="preserve">also </w:t>
      </w:r>
      <w:r w:rsidR="00B61A2E">
        <w:rPr>
          <w:color w:val="000000"/>
          <w:lang w:val="en-GB"/>
        </w:rPr>
        <w:t xml:space="preserve">always a crucial ingredient. </w:t>
      </w:r>
      <w:r w:rsidRPr="004F0559">
        <w:rPr>
          <w:color w:val="000000"/>
          <w:lang w:val="en-GB"/>
        </w:rPr>
        <w:t xml:space="preserve">While in the modern era the crime has usually involved the security of </w:t>
      </w:r>
      <w:r w:rsidRPr="00B61A2E">
        <w:rPr>
          <w:color w:val="000000"/>
          <w:lang w:val="en-GB"/>
        </w:rPr>
        <w:t>the state</w:t>
      </w:r>
      <w:r w:rsidRPr="004F0559">
        <w:rPr>
          <w:color w:val="000000"/>
          <w:lang w:val="en-GB"/>
        </w:rPr>
        <w:t xml:space="preserve"> (and the state community), the pre-modern focus was on upholding the security of the </w:t>
      </w:r>
      <w:r w:rsidRPr="00B61A2E">
        <w:rPr>
          <w:color w:val="000000"/>
          <w:lang w:val="en-GB"/>
        </w:rPr>
        <w:t>monarchical regime</w:t>
      </w:r>
      <w:r w:rsidRPr="004F0559">
        <w:rPr>
          <w:color w:val="000000"/>
          <w:lang w:val="en-GB"/>
        </w:rPr>
        <w:t>: treason was above all an attack on the monarch</w:t>
      </w:r>
      <w:r w:rsidR="00B61A2E">
        <w:rPr>
          <w:color w:val="000000"/>
          <w:lang w:val="en-GB"/>
        </w:rPr>
        <w:t>, either endangering his life or damaging his ability to govern</w:t>
      </w:r>
      <w:r w:rsidRPr="004F0559">
        <w:rPr>
          <w:color w:val="000000"/>
          <w:lang w:val="en-GB"/>
        </w:rPr>
        <w:t xml:space="preserve">. As we will see, late Habsburg laws on treason combined these older and newer interpretations of the crime. Indeed, </w:t>
      </w:r>
      <w:r w:rsidR="000B13E0">
        <w:rPr>
          <w:color w:val="000000"/>
          <w:lang w:val="en-GB"/>
        </w:rPr>
        <w:t xml:space="preserve">in the overall history of treason, </w:t>
      </w:r>
      <w:r w:rsidRPr="004F0559">
        <w:rPr>
          <w:color w:val="000000"/>
          <w:lang w:val="en-GB"/>
        </w:rPr>
        <w:t xml:space="preserve">the Habsburg case is particularly suggestive, as an empire which in </w:t>
      </w:r>
      <w:r w:rsidR="00B47444">
        <w:rPr>
          <w:color w:val="000000"/>
          <w:lang w:val="en-GB"/>
        </w:rPr>
        <w:t xml:space="preserve">the late </w:t>
      </w:r>
      <w:r w:rsidR="00E9038D">
        <w:rPr>
          <w:color w:val="000000"/>
          <w:lang w:val="en-GB"/>
        </w:rPr>
        <w:t>nineteenth</w:t>
      </w:r>
      <w:r w:rsidR="00B47444">
        <w:rPr>
          <w:color w:val="000000"/>
          <w:lang w:val="en-GB"/>
        </w:rPr>
        <w:t xml:space="preserve"> century </w:t>
      </w:r>
      <w:r w:rsidRPr="004F0559">
        <w:rPr>
          <w:color w:val="000000"/>
          <w:lang w:val="en-GB"/>
        </w:rPr>
        <w:t>stood on the cusp between the early modern and modern eras.</w:t>
      </w:r>
      <w:r w:rsidR="00B47444">
        <w:rPr>
          <w:color w:val="000000"/>
          <w:lang w:val="en-GB"/>
        </w:rPr>
        <w:t xml:space="preserve"> Other </w:t>
      </w:r>
      <w:r w:rsidR="00912600">
        <w:rPr>
          <w:color w:val="000000"/>
          <w:lang w:val="en-GB"/>
        </w:rPr>
        <w:t xml:space="preserve">modern </w:t>
      </w:r>
      <w:r w:rsidR="00B47444">
        <w:rPr>
          <w:color w:val="000000"/>
          <w:lang w:val="en-GB"/>
        </w:rPr>
        <w:t xml:space="preserve">European states like Britain and France had now moved beyond </w:t>
      </w:r>
      <w:proofErr w:type="gramStart"/>
      <w:r w:rsidR="00B47444">
        <w:rPr>
          <w:color w:val="000000"/>
          <w:lang w:val="en-GB"/>
        </w:rPr>
        <w:lastRenderedPageBreak/>
        <w:t>the</w:t>
      </w:r>
      <w:proofErr w:type="gramEnd"/>
      <w:r w:rsidR="00B47444">
        <w:rPr>
          <w:color w:val="000000"/>
          <w:lang w:val="en-GB"/>
        </w:rPr>
        <w:t xml:space="preserve"> strictly monarchical dimension of treason, adjusting it more clearly towards threats to state security.</w:t>
      </w:r>
    </w:p>
    <w:p w:rsidR="006E4050" w:rsidRPr="00405EC8" w:rsidRDefault="000B13E0" w:rsidP="00257760">
      <w:pPr>
        <w:pStyle w:val="NormalWeb"/>
        <w:spacing w:before="0" w:beforeAutospacing="0" w:after="0" w:afterAutospacing="0" w:line="480" w:lineRule="auto"/>
        <w:ind w:firstLine="720"/>
        <w:rPr>
          <w:b/>
          <w:color w:val="000000"/>
          <w:lang w:val="en-GB"/>
        </w:rPr>
      </w:pPr>
      <w:r>
        <w:rPr>
          <w:color w:val="000000"/>
          <w:lang w:val="en-GB"/>
        </w:rPr>
        <w:t>‘Habsburg treason’ i</w:t>
      </w:r>
      <w:r w:rsidR="006E4050" w:rsidRPr="004F0559">
        <w:rPr>
          <w:color w:val="000000"/>
          <w:lang w:val="en-GB"/>
        </w:rPr>
        <w:t xml:space="preserve">s </w:t>
      </w:r>
      <w:r w:rsidR="00B47444">
        <w:rPr>
          <w:color w:val="000000"/>
          <w:lang w:val="en-GB"/>
        </w:rPr>
        <w:t>also</w:t>
      </w:r>
      <w:r>
        <w:rPr>
          <w:color w:val="000000"/>
          <w:lang w:val="en-GB"/>
        </w:rPr>
        <w:t xml:space="preserve"> </w:t>
      </w:r>
      <w:r w:rsidR="006E4050" w:rsidRPr="004F0559">
        <w:rPr>
          <w:color w:val="000000"/>
          <w:lang w:val="en-GB"/>
        </w:rPr>
        <w:t>a surprisingly unresearched topic</w:t>
      </w:r>
      <w:r w:rsidR="00B47444">
        <w:rPr>
          <w:color w:val="000000"/>
          <w:lang w:val="en-GB"/>
        </w:rPr>
        <w:t xml:space="preserve">. </w:t>
      </w:r>
      <w:r>
        <w:rPr>
          <w:color w:val="000000"/>
          <w:lang w:val="en-GB"/>
        </w:rPr>
        <w:t>A</w:t>
      </w:r>
      <w:r w:rsidR="006E4050" w:rsidRPr="004F0559">
        <w:rPr>
          <w:color w:val="000000"/>
          <w:lang w:val="en-GB"/>
        </w:rPr>
        <w:t>cross seventy years</w:t>
      </w:r>
      <w:r w:rsidR="00713035">
        <w:rPr>
          <w:color w:val="000000"/>
          <w:lang w:val="en-GB"/>
        </w:rPr>
        <w:t>,</w:t>
      </w:r>
      <w:r w:rsidR="006E4050" w:rsidRPr="004F0559">
        <w:rPr>
          <w:color w:val="000000"/>
          <w:lang w:val="en-GB"/>
        </w:rPr>
        <w:t xml:space="preserve"> the regime of Franz Joseph made regular use of treason law to manage some serious domestic enemies. The number of traitors convicted was often not large</w:t>
      </w:r>
      <w:r w:rsidR="000E1F63">
        <w:rPr>
          <w:color w:val="000000"/>
          <w:lang w:val="en-GB"/>
        </w:rPr>
        <w:t>, or at least it fluctuated across different decades and in different parts of the Monarchy</w:t>
      </w:r>
      <w:r w:rsidR="00713035">
        <w:rPr>
          <w:color w:val="000000"/>
          <w:lang w:val="en-GB"/>
        </w:rPr>
        <w:t xml:space="preserve">. </w:t>
      </w:r>
      <w:r w:rsidR="00912600">
        <w:rPr>
          <w:color w:val="000000"/>
          <w:lang w:val="en-GB"/>
        </w:rPr>
        <w:t>In</w:t>
      </w:r>
      <w:r w:rsidR="00713035">
        <w:rPr>
          <w:color w:val="000000"/>
          <w:lang w:val="en-GB"/>
        </w:rPr>
        <w:t xml:space="preserve"> the Austrian half of the empire </w:t>
      </w:r>
      <w:r w:rsidR="006E4050" w:rsidRPr="004F0559">
        <w:rPr>
          <w:color w:val="000000"/>
          <w:lang w:val="en-GB"/>
        </w:rPr>
        <w:t>in the 1880s, apart from 1884</w:t>
      </w:r>
      <w:r w:rsidR="00713035">
        <w:rPr>
          <w:color w:val="000000"/>
          <w:lang w:val="en-GB"/>
        </w:rPr>
        <w:t xml:space="preserve"> (a notable anarchist year)</w:t>
      </w:r>
      <w:r w:rsidR="006E4050" w:rsidRPr="004F0559">
        <w:rPr>
          <w:color w:val="000000"/>
          <w:lang w:val="en-GB"/>
        </w:rPr>
        <w:t>, it was usually in single figures</w:t>
      </w:r>
      <w:r w:rsidR="000E1F63">
        <w:rPr>
          <w:color w:val="000000"/>
          <w:lang w:val="en-GB"/>
        </w:rPr>
        <w:t>.</w:t>
      </w:r>
      <w:r w:rsidR="006B2CE5" w:rsidRPr="004F0559">
        <w:rPr>
          <w:rStyle w:val="FootnoteReference"/>
          <w:color w:val="000000"/>
          <w:lang w:val="en-GB"/>
        </w:rPr>
        <w:footnoteReference w:id="12"/>
      </w:r>
      <w:r w:rsidR="006B2CE5" w:rsidRPr="004F0559">
        <w:rPr>
          <w:color w:val="000000"/>
          <w:lang w:val="en-GB"/>
        </w:rPr>
        <w:t xml:space="preserve"> </w:t>
      </w:r>
      <w:r w:rsidR="000E1F63">
        <w:rPr>
          <w:color w:val="000000"/>
          <w:lang w:val="en-GB"/>
        </w:rPr>
        <w:t xml:space="preserve"> In contrast, in Croatia in the 1890s there was a steady run of convictions with 148 prosecutions in 1902 alone</w:t>
      </w:r>
      <w:r w:rsidR="006E4050" w:rsidRPr="004F0559">
        <w:rPr>
          <w:color w:val="000000"/>
          <w:lang w:val="en-GB"/>
        </w:rPr>
        <w:t>.</w:t>
      </w:r>
      <w:r w:rsidR="006B2CE5" w:rsidRPr="004F0559">
        <w:rPr>
          <w:rStyle w:val="FootnoteReference"/>
          <w:color w:val="000000"/>
          <w:lang w:val="en-GB"/>
        </w:rPr>
        <w:footnoteReference w:id="13"/>
      </w:r>
      <w:r w:rsidR="006B2CE5" w:rsidRPr="004F0559">
        <w:rPr>
          <w:color w:val="000000"/>
          <w:lang w:val="en-GB"/>
        </w:rPr>
        <w:t xml:space="preserve"> </w:t>
      </w:r>
      <w:r w:rsidR="006E4050" w:rsidRPr="004F0559">
        <w:rPr>
          <w:color w:val="000000"/>
          <w:lang w:val="en-GB"/>
        </w:rPr>
        <w:t xml:space="preserve"> </w:t>
      </w:r>
      <w:r>
        <w:rPr>
          <w:color w:val="000000"/>
          <w:lang w:val="en-GB"/>
        </w:rPr>
        <w:t>T</w:t>
      </w:r>
      <w:r w:rsidR="006E4050" w:rsidRPr="004F0559">
        <w:rPr>
          <w:color w:val="000000"/>
          <w:lang w:val="en-GB"/>
        </w:rPr>
        <w:t xml:space="preserve">he word ‘Hochverrat’ </w:t>
      </w:r>
      <w:r w:rsidR="00713035">
        <w:rPr>
          <w:color w:val="000000"/>
          <w:lang w:val="en-GB"/>
        </w:rPr>
        <w:t xml:space="preserve">always </w:t>
      </w:r>
      <w:r w:rsidR="006E4050" w:rsidRPr="004F0559">
        <w:rPr>
          <w:color w:val="000000"/>
          <w:lang w:val="en-GB"/>
        </w:rPr>
        <w:t>resonated with the public and ensured there was much press publicity</w:t>
      </w:r>
      <w:r>
        <w:rPr>
          <w:color w:val="000000"/>
          <w:lang w:val="en-GB"/>
        </w:rPr>
        <w:t xml:space="preserve"> from even </w:t>
      </w:r>
      <w:r w:rsidR="00912600">
        <w:rPr>
          <w:color w:val="000000"/>
          <w:lang w:val="en-GB"/>
        </w:rPr>
        <w:t>single</w:t>
      </w:r>
      <w:r>
        <w:rPr>
          <w:color w:val="000000"/>
          <w:lang w:val="en-GB"/>
        </w:rPr>
        <w:t xml:space="preserve"> incidents</w:t>
      </w:r>
      <w:r w:rsidR="006E4050" w:rsidRPr="004F0559">
        <w:rPr>
          <w:color w:val="000000"/>
          <w:lang w:val="en-GB"/>
        </w:rPr>
        <w:t>. Possibly the Habsburg prosecutions were on a par with those in Tsarist Russia</w:t>
      </w:r>
      <w:r w:rsidR="00D427CD">
        <w:rPr>
          <w:color w:val="000000"/>
          <w:lang w:val="en-GB"/>
        </w:rPr>
        <w:t>; this requires further research</w:t>
      </w:r>
      <w:r w:rsidR="006E4050" w:rsidRPr="004F0559">
        <w:rPr>
          <w:color w:val="000000"/>
          <w:lang w:val="en-GB"/>
        </w:rPr>
        <w:t>. Certainly they vastly exceeded those in either Germany or Britain.</w:t>
      </w:r>
      <w:r w:rsidR="00D427CD">
        <w:rPr>
          <w:rStyle w:val="FootnoteReference"/>
          <w:color w:val="000000"/>
          <w:lang w:val="en-GB"/>
        </w:rPr>
        <w:footnoteReference w:id="14"/>
      </w:r>
      <w:r w:rsidR="006E4050" w:rsidRPr="004F0559">
        <w:rPr>
          <w:color w:val="000000"/>
          <w:lang w:val="en-GB"/>
        </w:rPr>
        <w:t xml:space="preserve"> Most notably, Habsburg traitors </w:t>
      </w:r>
      <w:r>
        <w:rPr>
          <w:color w:val="000000"/>
          <w:lang w:val="en-GB"/>
        </w:rPr>
        <w:t xml:space="preserve">during the dualist era from the 1860s </w:t>
      </w:r>
      <w:r w:rsidR="006E4050" w:rsidRPr="004F0559">
        <w:rPr>
          <w:color w:val="000000"/>
          <w:lang w:val="en-GB"/>
        </w:rPr>
        <w:t xml:space="preserve">were being identified and prosecuted in </w:t>
      </w:r>
      <w:r w:rsidR="006E4050" w:rsidRPr="00D427CD">
        <w:rPr>
          <w:color w:val="000000"/>
          <w:lang w:val="en-GB"/>
        </w:rPr>
        <w:t>peacetime</w:t>
      </w:r>
      <w:r w:rsidR="006E4050" w:rsidRPr="004F0559">
        <w:rPr>
          <w:color w:val="000000"/>
          <w:lang w:val="en-GB"/>
        </w:rPr>
        <w:t>, not just during times of revolution and war</w:t>
      </w:r>
      <w:r w:rsidR="00D427CD">
        <w:rPr>
          <w:color w:val="000000"/>
          <w:lang w:val="en-GB"/>
        </w:rPr>
        <w:t xml:space="preserve"> when one could expect many </w:t>
      </w:r>
      <w:r w:rsidR="00B177AD">
        <w:rPr>
          <w:color w:val="000000"/>
          <w:lang w:val="en-GB"/>
        </w:rPr>
        <w:t xml:space="preserve">more </w:t>
      </w:r>
      <w:r w:rsidR="00D427CD">
        <w:rPr>
          <w:color w:val="000000"/>
          <w:lang w:val="en-GB"/>
        </w:rPr>
        <w:t>transgressions of loyalty to the state</w:t>
      </w:r>
      <w:r w:rsidR="006E4050" w:rsidRPr="004F0559">
        <w:rPr>
          <w:color w:val="000000"/>
          <w:lang w:val="en-GB"/>
        </w:rPr>
        <w:t xml:space="preserve">. </w:t>
      </w:r>
      <w:r w:rsidR="00405EC8">
        <w:rPr>
          <w:color w:val="000000"/>
          <w:lang w:val="en-GB"/>
        </w:rPr>
        <w:t xml:space="preserve">  </w:t>
      </w:r>
      <w:r w:rsidR="00405EC8">
        <w:rPr>
          <w:b/>
          <w:color w:val="000000"/>
          <w:lang w:val="en-GB"/>
        </w:rPr>
        <w:t>[Figure 3: MAP]</w:t>
      </w:r>
    </w:p>
    <w:p w:rsidR="006E4050" w:rsidRPr="004F0559" w:rsidRDefault="006E4050" w:rsidP="00257760">
      <w:pPr>
        <w:pStyle w:val="NormalWeb"/>
        <w:spacing w:before="0" w:beforeAutospacing="0" w:after="0" w:afterAutospacing="0" w:line="480" w:lineRule="auto"/>
        <w:ind w:firstLine="720"/>
        <w:rPr>
          <w:color w:val="000000"/>
          <w:lang w:val="en-GB"/>
        </w:rPr>
      </w:pPr>
      <w:r w:rsidRPr="00D427CD">
        <w:rPr>
          <w:color w:val="000000"/>
          <w:lang w:val="en-GB"/>
        </w:rPr>
        <w:t xml:space="preserve">What then can we hope to learn from </w:t>
      </w:r>
      <w:r w:rsidR="00D427CD">
        <w:rPr>
          <w:color w:val="000000"/>
          <w:lang w:val="en-GB"/>
        </w:rPr>
        <w:t xml:space="preserve">studying </w:t>
      </w:r>
      <w:r w:rsidRPr="00D427CD">
        <w:rPr>
          <w:color w:val="000000"/>
          <w:lang w:val="en-GB"/>
        </w:rPr>
        <w:t>this ex</w:t>
      </w:r>
      <w:r w:rsidR="00D427CD">
        <w:rPr>
          <w:color w:val="000000"/>
          <w:lang w:val="en-GB"/>
        </w:rPr>
        <w:t>cessive</w:t>
      </w:r>
      <w:r w:rsidRPr="00D427CD">
        <w:rPr>
          <w:color w:val="000000"/>
          <w:lang w:val="en-GB"/>
        </w:rPr>
        <w:t xml:space="preserve"> use of treason law?</w:t>
      </w:r>
      <w:r w:rsidRPr="004F0559">
        <w:rPr>
          <w:i/>
          <w:color w:val="000000"/>
          <w:lang w:val="en-GB"/>
        </w:rPr>
        <w:t xml:space="preserve"> </w:t>
      </w:r>
      <w:r w:rsidRPr="00D427CD">
        <w:rPr>
          <w:color w:val="000000"/>
          <w:lang w:val="en-GB"/>
        </w:rPr>
        <w:t>First</w:t>
      </w:r>
      <w:r w:rsidR="007705D7">
        <w:rPr>
          <w:color w:val="000000"/>
          <w:lang w:val="en-GB"/>
        </w:rPr>
        <w:t>ly</w:t>
      </w:r>
      <w:r w:rsidRPr="00D427CD">
        <w:rPr>
          <w:color w:val="000000"/>
          <w:lang w:val="en-GB"/>
        </w:rPr>
        <w:t>,</w:t>
      </w:r>
      <w:r w:rsidRPr="004F0559">
        <w:rPr>
          <w:color w:val="000000"/>
          <w:lang w:val="en-GB"/>
        </w:rPr>
        <w:t xml:space="preserve"> it can tell us much about the mindset of the Habsburg regime in decades when its power, domestically and internationally, was constantly </w:t>
      </w:r>
      <w:r w:rsidR="005C4A95">
        <w:rPr>
          <w:color w:val="000000"/>
          <w:lang w:val="en-GB"/>
        </w:rPr>
        <w:t xml:space="preserve">being </w:t>
      </w:r>
      <w:r w:rsidRPr="004F0559">
        <w:rPr>
          <w:color w:val="000000"/>
          <w:lang w:val="en-GB"/>
        </w:rPr>
        <w:t>challenged from new directions</w:t>
      </w:r>
      <w:r w:rsidR="007705D7">
        <w:rPr>
          <w:color w:val="000000"/>
          <w:lang w:val="en-GB"/>
        </w:rPr>
        <w:t xml:space="preserve"> at home and abroad: the two were often interlinked</w:t>
      </w:r>
      <w:r w:rsidRPr="004F0559">
        <w:rPr>
          <w:color w:val="000000"/>
          <w:lang w:val="en-GB"/>
        </w:rPr>
        <w:t xml:space="preserve">. </w:t>
      </w:r>
      <w:r w:rsidRPr="007705D7">
        <w:rPr>
          <w:i/>
          <w:color w:val="000000"/>
          <w:lang w:val="en-GB"/>
        </w:rPr>
        <w:t>Where</w:t>
      </w:r>
      <w:r w:rsidRPr="007705D7">
        <w:rPr>
          <w:color w:val="000000"/>
          <w:lang w:val="en-GB"/>
        </w:rPr>
        <w:t xml:space="preserve"> </w:t>
      </w:r>
      <w:r w:rsidR="00A2363F">
        <w:rPr>
          <w:color w:val="000000"/>
          <w:lang w:val="en-GB"/>
        </w:rPr>
        <w:t xml:space="preserve">in the empire </w:t>
      </w:r>
      <w:r w:rsidRPr="004F0559">
        <w:rPr>
          <w:color w:val="000000"/>
          <w:lang w:val="en-GB"/>
        </w:rPr>
        <w:t>treason law was wielded highlights the major security threats</w:t>
      </w:r>
      <w:r w:rsidR="007705D7">
        <w:rPr>
          <w:color w:val="000000"/>
          <w:lang w:val="en-GB"/>
        </w:rPr>
        <w:t xml:space="preserve"> to the state</w:t>
      </w:r>
      <w:r w:rsidRPr="004F0559">
        <w:rPr>
          <w:color w:val="000000"/>
          <w:lang w:val="en-GB"/>
        </w:rPr>
        <w:t xml:space="preserve">, but it will also make us </w:t>
      </w:r>
      <w:r w:rsidRPr="004F0559">
        <w:rPr>
          <w:color w:val="000000"/>
          <w:lang w:val="en-GB"/>
        </w:rPr>
        <w:lastRenderedPageBreak/>
        <w:t xml:space="preserve">question </w:t>
      </w:r>
      <w:r w:rsidRPr="004F0559">
        <w:rPr>
          <w:i/>
          <w:color w:val="000000"/>
          <w:lang w:val="en-GB"/>
        </w:rPr>
        <w:t>why</w:t>
      </w:r>
      <w:r w:rsidRPr="004F0559">
        <w:rPr>
          <w:color w:val="000000"/>
          <w:lang w:val="en-GB"/>
        </w:rPr>
        <w:t xml:space="preserve"> the authorities decided to use this ‘blunt legal tool’ to crush its enemies. So, </w:t>
      </w:r>
      <w:r w:rsidRPr="007705D7">
        <w:rPr>
          <w:color w:val="000000"/>
          <w:lang w:val="en-GB"/>
        </w:rPr>
        <w:t>secondly</w:t>
      </w:r>
      <w:r w:rsidRPr="004F0559">
        <w:rPr>
          <w:color w:val="000000"/>
          <w:lang w:val="en-GB"/>
        </w:rPr>
        <w:t xml:space="preserve">, the study of treason is a new way to reassess the mythical </w:t>
      </w:r>
      <w:r w:rsidR="000B13E0">
        <w:rPr>
          <w:color w:val="000000"/>
          <w:lang w:val="en-GB"/>
        </w:rPr>
        <w:t xml:space="preserve">rule of law – </w:t>
      </w:r>
      <w:r w:rsidR="00B177AD">
        <w:rPr>
          <w:color w:val="000000"/>
          <w:lang w:val="en-GB"/>
        </w:rPr>
        <w:t xml:space="preserve">the </w:t>
      </w:r>
      <w:r w:rsidRPr="004F0559">
        <w:rPr>
          <w:i/>
          <w:color w:val="000000"/>
          <w:lang w:val="en-GB"/>
        </w:rPr>
        <w:t>Rechtsstaat</w:t>
      </w:r>
      <w:r w:rsidR="000B13E0">
        <w:rPr>
          <w:i/>
          <w:color w:val="000000"/>
          <w:lang w:val="en-GB"/>
        </w:rPr>
        <w:t xml:space="preserve"> </w:t>
      </w:r>
      <w:r w:rsidR="000B13E0">
        <w:t>-</w:t>
      </w:r>
      <w:r w:rsidRPr="004F0559">
        <w:rPr>
          <w:i/>
          <w:color w:val="000000"/>
          <w:lang w:val="en-GB"/>
        </w:rPr>
        <w:t xml:space="preserve"> </w:t>
      </w:r>
      <w:r w:rsidRPr="004F0559">
        <w:rPr>
          <w:color w:val="000000"/>
          <w:lang w:val="en-GB"/>
        </w:rPr>
        <w:t xml:space="preserve">of late imperial Austria. This </w:t>
      </w:r>
      <w:r w:rsidRPr="004F0559">
        <w:rPr>
          <w:i/>
          <w:color w:val="000000"/>
          <w:lang w:val="en-GB"/>
        </w:rPr>
        <w:t xml:space="preserve">Rechtsstaat </w:t>
      </w:r>
      <w:r w:rsidRPr="004F0559">
        <w:rPr>
          <w:color w:val="000000"/>
          <w:lang w:val="en-GB"/>
        </w:rPr>
        <w:t>continues to be lauded by some historians</w:t>
      </w:r>
      <w:r w:rsidR="00B177AD">
        <w:rPr>
          <w:color w:val="000000"/>
          <w:lang w:val="en-GB"/>
        </w:rPr>
        <w:t>;</w:t>
      </w:r>
      <w:r w:rsidR="00C258E2">
        <w:rPr>
          <w:rStyle w:val="FootnoteReference"/>
          <w:color w:val="000000"/>
          <w:lang w:val="en-GB"/>
        </w:rPr>
        <w:footnoteReference w:id="15"/>
      </w:r>
      <w:r w:rsidRPr="004F0559">
        <w:rPr>
          <w:color w:val="000000"/>
          <w:lang w:val="en-GB"/>
        </w:rPr>
        <w:t xml:space="preserve"> and after 1867 its basic framework was indeed in place</w:t>
      </w:r>
      <w:r w:rsidR="00A2363F">
        <w:rPr>
          <w:color w:val="000000"/>
          <w:lang w:val="en-GB"/>
        </w:rPr>
        <w:t xml:space="preserve"> within a new constitutional framework</w:t>
      </w:r>
      <w:r w:rsidR="00B177AD">
        <w:rPr>
          <w:color w:val="000000"/>
          <w:lang w:val="en-GB"/>
        </w:rPr>
        <w:t xml:space="preserve"> for the Austrian and Hungarian halves of the empire</w:t>
      </w:r>
      <w:r w:rsidRPr="004F0559">
        <w:rPr>
          <w:color w:val="000000"/>
          <w:lang w:val="en-GB"/>
        </w:rPr>
        <w:t xml:space="preserve">. However, there were </w:t>
      </w:r>
      <w:r w:rsidR="00A2363F">
        <w:rPr>
          <w:color w:val="000000"/>
          <w:lang w:val="en-GB"/>
        </w:rPr>
        <w:t xml:space="preserve">always </w:t>
      </w:r>
      <w:r w:rsidRPr="004F0559">
        <w:rPr>
          <w:color w:val="000000"/>
          <w:lang w:val="en-GB"/>
        </w:rPr>
        <w:t xml:space="preserve">limits to how this operated, and many opportunities for its </w:t>
      </w:r>
      <w:r w:rsidR="00A2363F">
        <w:rPr>
          <w:color w:val="000000"/>
          <w:lang w:val="en-GB"/>
        </w:rPr>
        <w:t>violation</w:t>
      </w:r>
      <w:r w:rsidRPr="004F0559">
        <w:rPr>
          <w:color w:val="000000"/>
          <w:lang w:val="en-GB"/>
        </w:rPr>
        <w:t xml:space="preserve"> by any regime which needed to circumvent the law. In short, treason prosecutions reveal how the </w:t>
      </w:r>
      <w:r w:rsidRPr="004F0559">
        <w:rPr>
          <w:i/>
          <w:color w:val="000000"/>
          <w:lang w:val="en-GB"/>
        </w:rPr>
        <w:t xml:space="preserve">Rechtsstaat </w:t>
      </w:r>
      <w:r w:rsidRPr="004F0559">
        <w:rPr>
          <w:color w:val="000000"/>
          <w:lang w:val="en-GB"/>
        </w:rPr>
        <w:t>could be undermined through political interference in the law</w:t>
      </w:r>
      <w:r w:rsidR="00A2363F">
        <w:rPr>
          <w:color w:val="000000"/>
          <w:lang w:val="en-GB"/>
        </w:rPr>
        <w:t xml:space="preserve">, with </w:t>
      </w:r>
      <w:r w:rsidR="000B13E0">
        <w:rPr>
          <w:color w:val="000000"/>
          <w:lang w:val="en-GB"/>
        </w:rPr>
        <w:t>serious</w:t>
      </w:r>
      <w:r w:rsidR="00A2363F">
        <w:rPr>
          <w:color w:val="000000"/>
          <w:lang w:val="en-GB"/>
        </w:rPr>
        <w:t xml:space="preserve"> consequences for how citizens assessed the justice and legitimacy of the Habsburg state or its regional governments.</w:t>
      </w:r>
    </w:p>
    <w:p w:rsidR="006E4050"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 xml:space="preserve">In the rest of this lecture </w:t>
      </w:r>
      <w:r w:rsidR="00C258E2">
        <w:rPr>
          <w:color w:val="000000"/>
          <w:lang w:val="en-GB"/>
        </w:rPr>
        <w:t xml:space="preserve">we </w:t>
      </w:r>
      <w:r w:rsidRPr="004F0559">
        <w:rPr>
          <w:color w:val="000000"/>
          <w:lang w:val="en-GB"/>
        </w:rPr>
        <w:t xml:space="preserve">will </w:t>
      </w:r>
      <w:r>
        <w:rPr>
          <w:color w:val="000000"/>
          <w:lang w:val="en-GB"/>
        </w:rPr>
        <w:t xml:space="preserve">take a walk through </w:t>
      </w:r>
      <w:r w:rsidR="00C258E2">
        <w:rPr>
          <w:color w:val="000000"/>
          <w:lang w:val="en-GB"/>
        </w:rPr>
        <w:t>what Margret Boveri has called ‘</w:t>
      </w:r>
      <w:r>
        <w:rPr>
          <w:color w:val="000000"/>
          <w:lang w:val="en-GB"/>
        </w:rPr>
        <w:t>the landscape of treason</w:t>
      </w:r>
      <w:r w:rsidR="00C258E2">
        <w:rPr>
          <w:color w:val="000000"/>
          <w:lang w:val="en-GB"/>
        </w:rPr>
        <w:t>’</w:t>
      </w:r>
      <w:r w:rsidR="003171D1">
        <w:rPr>
          <w:color w:val="000000"/>
          <w:lang w:val="en-GB"/>
        </w:rPr>
        <w:t>.</w:t>
      </w:r>
      <w:r w:rsidR="003171D1">
        <w:rPr>
          <w:rStyle w:val="FootnoteReference"/>
          <w:color w:val="000000"/>
          <w:lang w:val="en-GB"/>
        </w:rPr>
        <w:footnoteReference w:id="16"/>
      </w:r>
      <w:r w:rsidR="003171D1">
        <w:rPr>
          <w:color w:val="000000"/>
          <w:lang w:val="en-GB"/>
        </w:rPr>
        <w:t xml:space="preserve"> Specifically I want to </w:t>
      </w:r>
      <w:r w:rsidRPr="004F0559">
        <w:rPr>
          <w:color w:val="000000"/>
          <w:lang w:val="en-GB"/>
        </w:rPr>
        <w:t xml:space="preserve">construct a </w:t>
      </w:r>
      <w:r w:rsidR="003171D1">
        <w:rPr>
          <w:color w:val="000000"/>
          <w:lang w:val="en-GB"/>
        </w:rPr>
        <w:t xml:space="preserve">rough </w:t>
      </w:r>
      <w:r w:rsidRPr="004F0559">
        <w:rPr>
          <w:color w:val="000000"/>
          <w:lang w:val="en-GB"/>
        </w:rPr>
        <w:t xml:space="preserve">typology of traitors as identified by the </w:t>
      </w:r>
      <w:r w:rsidR="00A71F41">
        <w:rPr>
          <w:color w:val="000000"/>
          <w:lang w:val="en-GB"/>
        </w:rPr>
        <w:t>Austro-Hungarian</w:t>
      </w:r>
      <w:r w:rsidRPr="004F0559">
        <w:rPr>
          <w:color w:val="000000"/>
          <w:lang w:val="en-GB"/>
        </w:rPr>
        <w:t xml:space="preserve"> regime in the late </w:t>
      </w:r>
      <w:r w:rsidR="00912600">
        <w:rPr>
          <w:color w:val="000000"/>
          <w:lang w:val="en-GB"/>
        </w:rPr>
        <w:t>nineteenth</w:t>
      </w:r>
      <w:r w:rsidRPr="004F0559">
        <w:rPr>
          <w:color w:val="000000"/>
          <w:lang w:val="en-GB"/>
        </w:rPr>
        <w:t xml:space="preserve"> century. </w:t>
      </w:r>
      <w:r w:rsidRPr="003171D1">
        <w:rPr>
          <w:color w:val="000000"/>
          <w:lang w:val="en-GB"/>
        </w:rPr>
        <w:t>Who were these traitors, where and why did they emerge,</w:t>
      </w:r>
      <w:r w:rsidRPr="004F0559">
        <w:rPr>
          <w:color w:val="000000"/>
          <w:lang w:val="en-GB"/>
        </w:rPr>
        <w:t xml:space="preserve"> and how did they themselves interpret the charge of treason levelled against them? In the public imagination, ‘traitors’ are often stereotyped as men </w:t>
      </w:r>
      <w:r w:rsidR="003171D1">
        <w:rPr>
          <w:color w:val="000000"/>
          <w:lang w:val="en-GB"/>
        </w:rPr>
        <w:t xml:space="preserve">– and this was true in the Habsburg </w:t>
      </w:r>
      <w:proofErr w:type="gramStart"/>
      <w:r w:rsidR="003171D1">
        <w:rPr>
          <w:color w:val="000000"/>
          <w:lang w:val="en-GB"/>
        </w:rPr>
        <w:t>empire</w:t>
      </w:r>
      <w:proofErr w:type="gramEnd"/>
      <w:r w:rsidR="003171D1">
        <w:rPr>
          <w:color w:val="000000"/>
          <w:lang w:val="en-GB"/>
        </w:rPr>
        <w:t xml:space="preserve"> where female traitors such as the Hungarian hero</w:t>
      </w:r>
      <w:r w:rsidR="00A71F41">
        <w:rPr>
          <w:color w:val="000000"/>
          <w:lang w:val="en-GB"/>
        </w:rPr>
        <w:t>ine</w:t>
      </w:r>
      <w:r w:rsidR="003171D1">
        <w:rPr>
          <w:color w:val="000000"/>
          <w:lang w:val="en-GB"/>
        </w:rPr>
        <w:t xml:space="preserve"> Blanka Teleki were a rarity.</w:t>
      </w:r>
      <w:r w:rsidR="000B13E0">
        <w:rPr>
          <w:rStyle w:val="FootnoteReference"/>
          <w:color w:val="000000"/>
          <w:lang w:val="en-GB"/>
        </w:rPr>
        <w:footnoteReference w:id="17"/>
      </w:r>
      <w:r w:rsidR="003171D1">
        <w:rPr>
          <w:color w:val="000000"/>
          <w:lang w:val="en-GB"/>
        </w:rPr>
        <w:t xml:space="preserve"> Often they are seen as </w:t>
      </w:r>
      <w:r w:rsidRPr="004F0559">
        <w:rPr>
          <w:color w:val="000000"/>
          <w:lang w:val="en-GB"/>
        </w:rPr>
        <w:t xml:space="preserve">flawed personalities who are prepared to take risks through some </w:t>
      </w:r>
      <w:r w:rsidR="003171D1">
        <w:rPr>
          <w:color w:val="000000"/>
          <w:lang w:val="en-GB"/>
        </w:rPr>
        <w:t xml:space="preserve">ideological </w:t>
      </w:r>
      <w:r w:rsidRPr="004F0559">
        <w:rPr>
          <w:color w:val="000000"/>
          <w:lang w:val="en-GB"/>
        </w:rPr>
        <w:t xml:space="preserve">obsession. Depending on one’s viewpoint, they are immoral or moral individuals: either they are </w:t>
      </w:r>
      <w:r w:rsidR="000B13E0">
        <w:rPr>
          <w:color w:val="000000"/>
          <w:lang w:val="en-GB"/>
        </w:rPr>
        <w:t xml:space="preserve">condemned </w:t>
      </w:r>
      <w:r w:rsidRPr="004F0559">
        <w:rPr>
          <w:color w:val="000000"/>
          <w:lang w:val="en-GB"/>
        </w:rPr>
        <w:t xml:space="preserve">as evil </w:t>
      </w:r>
      <w:r w:rsidR="00912600">
        <w:rPr>
          <w:color w:val="000000"/>
          <w:lang w:val="en-GB"/>
        </w:rPr>
        <w:t>aliens within</w:t>
      </w:r>
      <w:r w:rsidRPr="004F0559">
        <w:rPr>
          <w:color w:val="000000"/>
          <w:lang w:val="en-GB"/>
        </w:rPr>
        <w:t xml:space="preserve"> the community, or </w:t>
      </w:r>
      <w:r w:rsidR="000B13E0">
        <w:rPr>
          <w:color w:val="000000"/>
          <w:lang w:val="en-GB"/>
        </w:rPr>
        <w:t xml:space="preserve">lauded </w:t>
      </w:r>
      <w:r w:rsidRPr="004F0559">
        <w:rPr>
          <w:color w:val="000000"/>
          <w:lang w:val="en-GB"/>
        </w:rPr>
        <w:t xml:space="preserve">as idealists notable for their heroism and martyrdom. </w:t>
      </w:r>
    </w:p>
    <w:p w:rsidR="006E4050" w:rsidRPr="00405EC8" w:rsidRDefault="006E4050" w:rsidP="00257760">
      <w:pPr>
        <w:pStyle w:val="NormalWeb"/>
        <w:spacing w:before="0" w:beforeAutospacing="0" w:after="0" w:afterAutospacing="0" w:line="480" w:lineRule="auto"/>
        <w:ind w:firstLine="720"/>
        <w:rPr>
          <w:b/>
          <w:color w:val="000000"/>
          <w:lang w:val="en-GB"/>
        </w:rPr>
      </w:pPr>
      <w:r w:rsidRPr="004F0559">
        <w:rPr>
          <w:color w:val="000000"/>
          <w:lang w:val="en-GB"/>
        </w:rPr>
        <w:t xml:space="preserve">The most famous traitor in late Habsburg Austria was of course </w:t>
      </w:r>
      <w:r w:rsidRPr="003171D1">
        <w:rPr>
          <w:color w:val="000000"/>
          <w:lang w:val="en-GB"/>
        </w:rPr>
        <w:t>Colonel Alfred Redl.</w:t>
      </w:r>
      <w:r w:rsidRPr="004F0559">
        <w:rPr>
          <w:color w:val="000000"/>
          <w:lang w:val="en-GB"/>
        </w:rPr>
        <w:t xml:space="preserve"> In 1913 this former head of Habsburg counter-espionage, a decorated general-staff office</w:t>
      </w:r>
      <w:r w:rsidR="00635667">
        <w:rPr>
          <w:color w:val="000000"/>
          <w:lang w:val="en-GB"/>
        </w:rPr>
        <w:t>r</w:t>
      </w:r>
      <w:r w:rsidRPr="004F0559">
        <w:rPr>
          <w:color w:val="000000"/>
          <w:lang w:val="en-GB"/>
        </w:rPr>
        <w:t xml:space="preserve">, </w:t>
      </w:r>
      <w:r w:rsidRPr="004F0559">
        <w:rPr>
          <w:color w:val="000000"/>
          <w:lang w:val="en-GB"/>
        </w:rPr>
        <w:lastRenderedPageBreak/>
        <w:t xml:space="preserve">was suddenly exposed as a wolf in sheep’s clothing who for a decade had been betraying official secrets to the Russians. Recent research has </w:t>
      </w:r>
      <w:r w:rsidR="00635667">
        <w:rPr>
          <w:color w:val="000000"/>
          <w:lang w:val="en-GB"/>
        </w:rPr>
        <w:t xml:space="preserve">confirmed </w:t>
      </w:r>
      <w:r w:rsidRPr="004F0559">
        <w:rPr>
          <w:color w:val="000000"/>
          <w:lang w:val="en-GB"/>
        </w:rPr>
        <w:t xml:space="preserve">that not even Russia knew </w:t>
      </w:r>
      <w:r w:rsidR="00635667">
        <w:rPr>
          <w:color w:val="000000"/>
          <w:lang w:val="en-GB"/>
        </w:rPr>
        <w:t xml:space="preserve">Colonel </w:t>
      </w:r>
      <w:r w:rsidRPr="004F0559">
        <w:rPr>
          <w:color w:val="000000"/>
          <w:lang w:val="en-GB"/>
        </w:rPr>
        <w:t>Redl’s identity</w:t>
      </w:r>
      <w:r w:rsidR="00635667">
        <w:rPr>
          <w:color w:val="000000"/>
          <w:lang w:val="en-GB"/>
        </w:rPr>
        <w:t>,</w:t>
      </w:r>
      <w:r w:rsidRPr="004F0559">
        <w:rPr>
          <w:color w:val="000000"/>
          <w:lang w:val="en-GB"/>
        </w:rPr>
        <w:t xml:space="preserve"> for he was extremely astute with his anonymity</w:t>
      </w:r>
      <w:r w:rsidR="006A583D">
        <w:rPr>
          <w:color w:val="000000"/>
          <w:lang w:val="en-GB"/>
        </w:rPr>
        <w:t xml:space="preserve"> and something of a loner despite his army collegiality</w:t>
      </w:r>
      <w:r w:rsidRPr="004F0559">
        <w:rPr>
          <w:color w:val="000000"/>
          <w:lang w:val="en-GB"/>
        </w:rPr>
        <w:t>.</w:t>
      </w:r>
      <w:r w:rsidRPr="004F0559">
        <w:rPr>
          <w:rStyle w:val="FootnoteReference"/>
          <w:color w:val="000000"/>
          <w:lang w:val="en-GB"/>
        </w:rPr>
        <w:footnoteReference w:id="18"/>
      </w:r>
      <w:r w:rsidRPr="004F0559">
        <w:rPr>
          <w:color w:val="000000"/>
          <w:lang w:val="en-GB"/>
        </w:rPr>
        <w:t xml:space="preserve"> He also undoubtedly did untold damage to Habsburg security interests, especially through betraying his own country’s agents to the Russian enemy.</w:t>
      </w:r>
      <w:r w:rsidR="006A583D">
        <w:rPr>
          <w:color w:val="000000"/>
          <w:lang w:val="en-GB"/>
        </w:rPr>
        <w:t xml:space="preserve"> By the eve of the First World War he seems to have helped destroy the </w:t>
      </w:r>
      <w:r w:rsidR="00620CDD">
        <w:rPr>
          <w:color w:val="000000"/>
          <w:lang w:val="en-GB"/>
        </w:rPr>
        <w:t xml:space="preserve">Austro-Hungarian </w:t>
      </w:r>
      <w:r w:rsidR="006A583D">
        <w:rPr>
          <w:color w:val="000000"/>
          <w:lang w:val="en-GB"/>
        </w:rPr>
        <w:t xml:space="preserve">network of </w:t>
      </w:r>
      <w:r w:rsidR="00620CDD">
        <w:rPr>
          <w:color w:val="000000"/>
          <w:lang w:val="en-GB"/>
        </w:rPr>
        <w:t>spies</w:t>
      </w:r>
      <w:r w:rsidR="006A583D">
        <w:rPr>
          <w:color w:val="000000"/>
          <w:lang w:val="en-GB"/>
        </w:rPr>
        <w:t xml:space="preserve"> operating in Russia. </w:t>
      </w:r>
      <w:r w:rsidR="00405EC8">
        <w:rPr>
          <w:b/>
          <w:color w:val="000000"/>
          <w:lang w:val="en-GB"/>
        </w:rPr>
        <w:t>[Figure 4]</w:t>
      </w:r>
    </w:p>
    <w:p w:rsidR="006E4050" w:rsidRPr="004F0559"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 xml:space="preserve">Yet despite his notoriety – not least through a series of vivid portrayals </w:t>
      </w:r>
      <w:r w:rsidR="00620CDD">
        <w:rPr>
          <w:color w:val="000000"/>
          <w:lang w:val="en-GB"/>
        </w:rPr>
        <w:t>i</w:t>
      </w:r>
      <w:r w:rsidRPr="004F0559">
        <w:rPr>
          <w:color w:val="000000"/>
          <w:lang w:val="en-GB"/>
        </w:rPr>
        <w:t>n film</w:t>
      </w:r>
      <w:r w:rsidR="005B4D6A">
        <w:rPr>
          <w:color w:val="000000"/>
          <w:lang w:val="en-GB"/>
        </w:rPr>
        <w:t>s</w:t>
      </w:r>
      <w:r w:rsidR="00620CDD">
        <w:rPr>
          <w:color w:val="000000"/>
          <w:lang w:val="en-GB"/>
        </w:rPr>
        <w:t xml:space="preserve"> and plays </w:t>
      </w:r>
      <w:r w:rsidRPr="004F0559">
        <w:rPr>
          <w:color w:val="000000"/>
          <w:lang w:val="en-GB"/>
        </w:rPr>
        <w:t xml:space="preserve">– Colonel Redl was not at all the typical Habsburg traitor. Certainly he fitted the trope of the immoral outsider, someone prepared to take risks, and also a ‘flawed personality’. But in many ways he was unusual in terms of the history of treason in Austria-Hungary. He was </w:t>
      </w:r>
      <w:r w:rsidR="0082625D">
        <w:rPr>
          <w:color w:val="000000"/>
          <w:lang w:val="en-GB"/>
        </w:rPr>
        <w:t xml:space="preserve">aged 49, </w:t>
      </w:r>
      <w:r w:rsidRPr="004F0559">
        <w:rPr>
          <w:color w:val="000000"/>
          <w:lang w:val="en-GB"/>
        </w:rPr>
        <w:t>not a young man like most traitors</w:t>
      </w:r>
      <w:r w:rsidR="0082625D">
        <w:rPr>
          <w:color w:val="000000"/>
          <w:lang w:val="en-GB"/>
        </w:rPr>
        <w:t>; and</w:t>
      </w:r>
      <w:r w:rsidRPr="004F0559">
        <w:rPr>
          <w:color w:val="000000"/>
          <w:lang w:val="en-GB"/>
        </w:rPr>
        <w:t xml:space="preserve"> his was </w:t>
      </w:r>
      <w:r w:rsidR="0082625D">
        <w:rPr>
          <w:color w:val="000000"/>
          <w:lang w:val="en-GB"/>
        </w:rPr>
        <w:t xml:space="preserve">not an idealistic cause. Rather, he was </w:t>
      </w:r>
      <w:r w:rsidRPr="004F0559">
        <w:rPr>
          <w:color w:val="000000"/>
          <w:lang w:val="en-GB"/>
        </w:rPr>
        <w:t xml:space="preserve">motivated by greed </w:t>
      </w:r>
      <w:r w:rsidR="000B13E0">
        <w:rPr>
          <w:color w:val="000000"/>
          <w:lang w:val="en-GB"/>
        </w:rPr>
        <w:t xml:space="preserve">in order </w:t>
      </w:r>
      <w:r w:rsidRPr="004F0559">
        <w:rPr>
          <w:color w:val="000000"/>
          <w:lang w:val="en-GB"/>
        </w:rPr>
        <w:t>to finance his homosexual tastes and life-style</w:t>
      </w:r>
      <w:r w:rsidR="0082625D">
        <w:rPr>
          <w:color w:val="000000"/>
          <w:lang w:val="en-GB"/>
        </w:rPr>
        <w:t>, constituting there</w:t>
      </w:r>
      <w:r w:rsidR="005B4D6A">
        <w:rPr>
          <w:color w:val="000000"/>
          <w:lang w:val="en-GB"/>
        </w:rPr>
        <w:t>by</w:t>
      </w:r>
      <w:r w:rsidR="0082625D">
        <w:rPr>
          <w:color w:val="000000"/>
          <w:lang w:val="en-GB"/>
        </w:rPr>
        <w:t xml:space="preserve"> the worst kind of traitor according to Rebecca West</w:t>
      </w:r>
      <w:r w:rsidRPr="004F0559">
        <w:rPr>
          <w:color w:val="000000"/>
          <w:lang w:val="en-GB"/>
        </w:rPr>
        <w:t>.</w:t>
      </w:r>
      <w:r w:rsidR="0082625D">
        <w:rPr>
          <w:rStyle w:val="FootnoteReference"/>
          <w:color w:val="000000"/>
          <w:lang w:val="en-GB"/>
        </w:rPr>
        <w:footnoteReference w:id="19"/>
      </w:r>
      <w:r w:rsidRPr="004F0559">
        <w:rPr>
          <w:color w:val="000000"/>
          <w:lang w:val="en-GB"/>
        </w:rPr>
        <w:t xml:space="preserve"> </w:t>
      </w:r>
      <w:r w:rsidR="0082625D">
        <w:rPr>
          <w:color w:val="000000"/>
          <w:lang w:val="en-GB"/>
        </w:rPr>
        <w:t>M</w:t>
      </w:r>
      <w:r w:rsidRPr="004F0559">
        <w:rPr>
          <w:color w:val="000000"/>
          <w:lang w:val="en-GB"/>
        </w:rPr>
        <w:t xml:space="preserve">ost importantly, </w:t>
      </w:r>
      <w:r w:rsidR="008F65A7">
        <w:rPr>
          <w:color w:val="000000"/>
          <w:lang w:val="en-GB"/>
        </w:rPr>
        <w:t>he</w:t>
      </w:r>
      <w:r w:rsidRPr="004F0559">
        <w:rPr>
          <w:color w:val="000000"/>
          <w:lang w:val="en-GB"/>
        </w:rPr>
        <w:t xml:space="preserve"> only part</w:t>
      </w:r>
      <w:r w:rsidR="008F65A7">
        <w:rPr>
          <w:color w:val="000000"/>
          <w:lang w:val="en-GB"/>
        </w:rPr>
        <w:t>ial</w:t>
      </w:r>
      <w:r w:rsidRPr="004F0559">
        <w:rPr>
          <w:color w:val="000000"/>
          <w:lang w:val="en-GB"/>
        </w:rPr>
        <w:t xml:space="preserve">ly qualified as a ‘traitor’ according to Austrian criminal law. If it had come to trial he would have been prosecuted for espionage not treason. Espionage as a crime was always codified separately from treason, falling under §321 of the military penal code; it </w:t>
      </w:r>
      <w:r w:rsidR="005B4D6A">
        <w:rPr>
          <w:color w:val="000000"/>
          <w:lang w:val="en-GB"/>
        </w:rPr>
        <w:t xml:space="preserve">too </w:t>
      </w:r>
      <w:r w:rsidRPr="004F0559">
        <w:rPr>
          <w:color w:val="000000"/>
          <w:lang w:val="en-GB"/>
        </w:rPr>
        <w:t>carried the ignominious penalty of death by hanging, not the honourable exit offered to Redl of shooting himself with a pistol</w:t>
      </w:r>
      <w:r w:rsidR="008F65A7">
        <w:rPr>
          <w:color w:val="000000"/>
          <w:lang w:val="en-GB"/>
        </w:rPr>
        <w:t xml:space="preserve"> in his Vienna hotel room</w:t>
      </w:r>
      <w:r w:rsidRPr="004F0559">
        <w:rPr>
          <w:color w:val="000000"/>
          <w:lang w:val="en-GB"/>
        </w:rPr>
        <w:t>.</w:t>
      </w:r>
      <w:r w:rsidR="008F65A7">
        <w:rPr>
          <w:color w:val="000000"/>
          <w:lang w:val="en-GB"/>
        </w:rPr>
        <w:t xml:space="preserve"> There is no doubt that Redl</w:t>
      </w:r>
      <w:r w:rsidR="000B13E0">
        <w:rPr>
          <w:color w:val="000000"/>
          <w:lang w:val="en-GB"/>
        </w:rPr>
        <w:t>,</w:t>
      </w:r>
      <w:r w:rsidR="008F65A7">
        <w:rPr>
          <w:color w:val="000000"/>
          <w:lang w:val="en-GB"/>
        </w:rPr>
        <w:t xml:space="preserve"> </w:t>
      </w:r>
      <w:r w:rsidR="00DC009A">
        <w:rPr>
          <w:color w:val="000000"/>
          <w:lang w:val="en-GB"/>
        </w:rPr>
        <w:t xml:space="preserve">labelled publicly </w:t>
      </w:r>
      <w:r w:rsidR="000B13E0">
        <w:rPr>
          <w:color w:val="000000"/>
          <w:lang w:val="en-GB"/>
        </w:rPr>
        <w:t xml:space="preserve">at the time </w:t>
      </w:r>
      <w:r w:rsidR="008F65A7">
        <w:rPr>
          <w:color w:val="000000"/>
          <w:lang w:val="en-GB"/>
        </w:rPr>
        <w:t xml:space="preserve">as a traitor, </w:t>
      </w:r>
      <w:r w:rsidR="000B13E0">
        <w:rPr>
          <w:color w:val="000000"/>
          <w:lang w:val="en-GB"/>
        </w:rPr>
        <w:t>was indeed one in the general sense of the word. B</w:t>
      </w:r>
      <w:r w:rsidR="008F65A7">
        <w:rPr>
          <w:color w:val="000000"/>
          <w:lang w:val="en-GB"/>
        </w:rPr>
        <w:t xml:space="preserve">ut essentially he was a ‘traitor-spy’ </w:t>
      </w:r>
      <w:r w:rsidR="00DC009A">
        <w:rPr>
          <w:color w:val="000000"/>
          <w:lang w:val="en-GB"/>
        </w:rPr>
        <w:t xml:space="preserve">and </w:t>
      </w:r>
      <w:r w:rsidR="005B4D6A">
        <w:rPr>
          <w:color w:val="000000"/>
          <w:lang w:val="en-GB"/>
        </w:rPr>
        <w:t xml:space="preserve">a </w:t>
      </w:r>
      <w:r w:rsidR="00DC009A">
        <w:rPr>
          <w:color w:val="000000"/>
          <w:lang w:val="en-GB"/>
        </w:rPr>
        <w:t xml:space="preserve">double agent </w:t>
      </w:r>
      <w:r w:rsidR="008F65A7">
        <w:rPr>
          <w:color w:val="000000"/>
          <w:lang w:val="en-GB"/>
        </w:rPr>
        <w:t>of the type so common later in the twentieth century</w:t>
      </w:r>
      <w:r w:rsidR="005B4D6A">
        <w:rPr>
          <w:color w:val="000000"/>
          <w:lang w:val="en-GB"/>
        </w:rPr>
        <w:t>; the actual idealism of the traitor-spy Kim Philby has often been questioned</w:t>
      </w:r>
      <w:r w:rsidR="008F65A7">
        <w:rPr>
          <w:color w:val="000000"/>
          <w:lang w:val="en-GB"/>
        </w:rPr>
        <w:t>.</w:t>
      </w:r>
    </w:p>
    <w:p w:rsidR="006E4050" w:rsidRPr="004F0559"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lastRenderedPageBreak/>
        <w:t xml:space="preserve">If we are looking for the typical traitors of the late Habsburg era, we must focus instead on how treason was </w:t>
      </w:r>
      <w:r w:rsidR="008F65A7">
        <w:rPr>
          <w:color w:val="000000"/>
          <w:lang w:val="en-GB"/>
        </w:rPr>
        <w:t xml:space="preserve">actually </w:t>
      </w:r>
      <w:r w:rsidRPr="004F0559">
        <w:rPr>
          <w:color w:val="000000"/>
          <w:lang w:val="en-GB"/>
        </w:rPr>
        <w:t xml:space="preserve">interpreted and prosecuted in law. Politicians might bandy about the insult of ‘traitor’, police and army officials might jump to a similar conclusion when making an arrest, especially in </w:t>
      </w:r>
      <w:r w:rsidR="00381D8A">
        <w:rPr>
          <w:color w:val="000000"/>
          <w:lang w:val="en-GB"/>
        </w:rPr>
        <w:t>periods of war and revolution</w:t>
      </w:r>
      <w:r w:rsidRPr="004F0559">
        <w:rPr>
          <w:color w:val="000000"/>
          <w:lang w:val="en-GB"/>
        </w:rPr>
        <w:t>. But for the authorities - the state prosecutors and the courts - what mattered most w</w:t>
      </w:r>
      <w:r w:rsidR="00F310B3">
        <w:rPr>
          <w:color w:val="000000"/>
          <w:lang w:val="en-GB"/>
        </w:rPr>
        <w:t>ere</w:t>
      </w:r>
      <w:r w:rsidRPr="004F0559">
        <w:rPr>
          <w:color w:val="000000"/>
          <w:lang w:val="en-GB"/>
        </w:rPr>
        <w:t xml:space="preserve"> the types of treason that could be mapped on to the criminal code in order to pursue a successful prosecution</w:t>
      </w:r>
      <w:r w:rsidR="00381D8A">
        <w:rPr>
          <w:color w:val="000000"/>
          <w:lang w:val="en-GB"/>
        </w:rPr>
        <w:t xml:space="preserve"> and conviction</w:t>
      </w:r>
      <w:r w:rsidRPr="004F0559">
        <w:rPr>
          <w:color w:val="000000"/>
          <w:lang w:val="en-GB"/>
        </w:rPr>
        <w:t xml:space="preserve">. </w:t>
      </w:r>
    </w:p>
    <w:p w:rsidR="000B13E0"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 xml:space="preserve">Mainly this meant the Austrian penal code of 1852, where </w:t>
      </w:r>
      <w:r w:rsidR="00381D8A">
        <w:rPr>
          <w:color w:val="000000"/>
          <w:lang w:val="en-GB"/>
        </w:rPr>
        <w:t>in paragraph</w:t>
      </w:r>
      <w:r w:rsidRPr="004F0559">
        <w:rPr>
          <w:color w:val="000000"/>
          <w:lang w:val="en-GB"/>
        </w:rPr>
        <w:t xml:space="preserve"> 58 </w:t>
      </w:r>
      <w:r w:rsidR="00224DFD">
        <w:rPr>
          <w:color w:val="000000"/>
          <w:lang w:val="en-GB"/>
        </w:rPr>
        <w:t xml:space="preserve">(a-c) </w:t>
      </w:r>
      <w:r w:rsidR="00381D8A">
        <w:rPr>
          <w:color w:val="000000"/>
          <w:lang w:val="en-GB"/>
        </w:rPr>
        <w:t xml:space="preserve">it </w:t>
      </w:r>
      <w:r w:rsidRPr="004F0559">
        <w:rPr>
          <w:color w:val="000000"/>
          <w:lang w:val="en-GB"/>
        </w:rPr>
        <w:t xml:space="preserve">described three types of treason </w:t>
      </w:r>
      <w:r w:rsidR="00224DFD">
        <w:rPr>
          <w:color w:val="000000"/>
          <w:lang w:val="en-GB"/>
        </w:rPr>
        <w:t xml:space="preserve">or </w:t>
      </w:r>
      <w:r w:rsidRPr="004F0559">
        <w:rPr>
          <w:i/>
          <w:color w:val="000000"/>
          <w:lang w:val="en-GB"/>
        </w:rPr>
        <w:t>Hochverrat</w:t>
      </w:r>
      <w:r w:rsidRPr="004F0559">
        <w:rPr>
          <w:color w:val="000000"/>
          <w:lang w:val="en-GB"/>
        </w:rPr>
        <w:t xml:space="preserve">, each of which carried the death penalty. </w:t>
      </w:r>
      <w:r w:rsidR="00405EC8">
        <w:rPr>
          <w:b/>
          <w:color w:val="000000"/>
          <w:lang w:val="en-GB"/>
        </w:rPr>
        <w:t xml:space="preserve">[Figure 5] </w:t>
      </w:r>
      <w:r w:rsidRPr="004F0559">
        <w:rPr>
          <w:color w:val="000000"/>
          <w:lang w:val="en-GB"/>
        </w:rPr>
        <w:t xml:space="preserve">The later Hungarian penal code of 1878 </w:t>
      </w:r>
      <w:r w:rsidR="009C1961">
        <w:rPr>
          <w:color w:val="000000"/>
          <w:lang w:val="en-GB"/>
        </w:rPr>
        <w:t>brought in a much fuller definition of treason through its</w:t>
      </w:r>
      <w:r w:rsidRPr="004F0559">
        <w:rPr>
          <w:color w:val="000000"/>
          <w:lang w:val="en-GB"/>
        </w:rPr>
        <w:t xml:space="preserve"> </w:t>
      </w:r>
      <w:r>
        <w:rPr>
          <w:color w:val="000000"/>
          <w:lang w:val="en-GB"/>
        </w:rPr>
        <w:t xml:space="preserve">paragraphs on </w:t>
      </w:r>
      <w:r w:rsidRPr="004F0559">
        <w:rPr>
          <w:i/>
          <w:color w:val="000000"/>
          <w:lang w:val="en-GB"/>
        </w:rPr>
        <w:t>felségsértés</w:t>
      </w:r>
      <w:r w:rsidRPr="004F0559">
        <w:rPr>
          <w:color w:val="000000"/>
          <w:lang w:val="en-GB"/>
        </w:rPr>
        <w:t xml:space="preserve"> </w:t>
      </w:r>
      <w:r w:rsidR="009C1961">
        <w:rPr>
          <w:color w:val="000000"/>
          <w:lang w:val="en-GB"/>
        </w:rPr>
        <w:t xml:space="preserve">and </w:t>
      </w:r>
      <w:r w:rsidR="009C1961">
        <w:rPr>
          <w:i/>
          <w:color w:val="000000"/>
          <w:lang w:val="en-GB"/>
        </w:rPr>
        <w:t xml:space="preserve">hűtlenség </w:t>
      </w:r>
      <w:r w:rsidR="009C1961">
        <w:rPr>
          <w:color w:val="000000"/>
          <w:lang w:val="en-GB"/>
        </w:rPr>
        <w:t>(§126-7, 142-51)</w:t>
      </w:r>
      <w:r w:rsidRPr="004F0559">
        <w:rPr>
          <w:color w:val="000000"/>
          <w:lang w:val="en-GB"/>
        </w:rPr>
        <w:t>.</w:t>
      </w:r>
      <w:r w:rsidR="009C1961">
        <w:rPr>
          <w:rStyle w:val="FootnoteReference"/>
          <w:color w:val="000000"/>
          <w:lang w:val="en-GB"/>
        </w:rPr>
        <w:footnoteReference w:id="20"/>
      </w:r>
      <w:r w:rsidRPr="004F0559">
        <w:rPr>
          <w:color w:val="000000"/>
          <w:lang w:val="en-GB"/>
        </w:rPr>
        <w:t xml:space="preserve"> </w:t>
      </w:r>
      <w:r w:rsidR="009C1961">
        <w:rPr>
          <w:color w:val="000000"/>
          <w:lang w:val="en-GB"/>
        </w:rPr>
        <w:t>Yet, a</w:t>
      </w:r>
      <w:r w:rsidRPr="004F0559">
        <w:rPr>
          <w:color w:val="000000"/>
          <w:lang w:val="en-GB"/>
        </w:rPr>
        <w:t xml:space="preserve">s we will see, </w:t>
      </w:r>
      <w:r w:rsidR="009C1961">
        <w:rPr>
          <w:color w:val="000000"/>
          <w:lang w:val="en-GB"/>
        </w:rPr>
        <w:t xml:space="preserve">although many </w:t>
      </w:r>
      <w:r>
        <w:rPr>
          <w:color w:val="000000"/>
          <w:lang w:val="en-GB"/>
        </w:rPr>
        <w:t>treason</w:t>
      </w:r>
      <w:r w:rsidRPr="004F0559">
        <w:rPr>
          <w:color w:val="000000"/>
          <w:lang w:val="en-GB"/>
        </w:rPr>
        <w:t xml:space="preserve"> clauses might seem quite concrete, in fact they were sufficiently vague to allow for wide legal interpretation and abuse. In Hungarian law, moreover, these were not the only laws available to the state: older </w:t>
      </w:r>
      <w:r>
        <w:rPr>
          <w:color w:val="000000"/>
          <w:lang w:val="en-GB"/>
        </w:rPr>
        <w:t>historic</w:t>
      </w:r>
      <w:r w:rsidRPr="004F0559">
        <w:rPr>
          <w:color w:val="000000"/>
          <w:lang w:val="en-GB"/>
        </w:rPr>
        <w:t xml:space="preserve"> </w:t>
      </w:r>
      <w:r w:rsidR="009C1961">
        <w:rPr>
          <w:color w:val="000000"/>
          <w:lang w:val="en-GB"/>
        </w:rPr>
        <w:t xml:space="preserve">Hungarian </w:t>
      </w:r>
      <w:r w:rsidRPr="004F0559">
        <w:rPr>
          <w:color w:val="000000"/>
          <w:lang w:val="en-GB"/>
        </w:rPr>
        <w:t>law</w:t>
      </w:r>
      <w:r>
        <w:rPr>
          <w:color w:val="000000"/>
          <w:lang w:val="en-GB"/>
        </w:rPr>
        <w:t>s</w:t>
      </w:r>
      <w:r w:rsidRPr="004F0559">
        <w:rPr>
          <w:color w:val="000000"/>
          <w:lang w:val="en-GB"/>
        </w:rPr>
        <w:t xml:space="preserve"> on treason could be invoked if </w:t>
      </w:r>
      <w:r>
        <w:rPr>
          <w:color w:val="000000"/>
          <w:lang w:val="en-GB"/>
        </w:rPr>
        <w:t>necessary</w:t>
      </w:r>
      <w:r w:rsidR="009C1961">
        <w:rPr>
          <w:color w:val="000000"/>
          <w:lang w:val="en-GB"/>
        </w:rPr>
        <w:t xml:space="preserve"> before the 1878 code was operational</w:t>
      </w:r>
      <w:r w:rsidRPr="004F0559">
        <w:rPr>
          <w:color w:val="000000"/>
          <w:lang w:val="en-GB"/>
        </w:rPr>
        <w:t xml:space="preserve">. </w:t>
      </w:r>
    </w:p>
    <w:p w:rsidR="006E4050" w:rsidRPr="004F0559" w:rsidRDefault="009C1961" w:rsidP="00257760">
      <w:pPr>
        <w:pStyle w:val="NormalWeb"/>
        <w:spacing w:before="0" w:beforeAutospacing="0" w:after="0" w:afterAutospacing="0" w:line="480" w:lineRule="auto"/>
        <w:ind w:firstLine="720"/>
        <w:rPr>
          <w:color w:val="000000"/>
          <w:lang w:val="en-GB"/>
        </w:rPr>
      </w:pPr>
      <w:r>
        <w:rPr>
          <w:color w:val="000000"/>
          <w:lang w:val="en-GB"/>
        </w:rPr>
        <w:t>L</w:t>
      </w:r>
      <w:r w:rsidR="006E4050" w:rsidRPr="004F0559">
        <w:rPr>
          <w:color w:val="000000"/>
          <w:lang w:val="en-GB"/>
        </w:rPr>
        <w:t xml:space="preserve">astly, for the defendant on trial for treason, the whole legal process was in danger of being </w:t>
      </w:r>
      <w:proofErr w:type="spellStart"/>
      <w:r w:rsidR="006E4050" w:rsidRPr="004F0559">
        <w:rPr>
          <w:color w:val="000000"/>
          <w:lang w:val="en-GB"/>
        </w:rPr>
        <w:t>weighted</w:t>
      </w:r>
      <w:proofErr w:type="spellEnd"/>
      <w:r w:rsidR="006E4050" w:rsidRPr="004F0559">
        <w:rPr>
          <w:color w:val="000000"/>
          <w:lang w:val="en-GB"/>
        </w:rPr>
        <w:t xml:space="preserve"> against him through the powers of court procedure. </w:t>
      </w:r>
      <w:r>
        <w:rPr>
          <w:color w:val="000000"/>
          <w:lang w:val="en-GB"/>
        </w:rPr>
        <w:t xml:space="preserve">This whole subject has recently been analysed in the British context by the historian André Krischer, </w:t>
      </w:r>
      <w:r w:rsidR="000B13E0">
        <w:rPr>
          <w:color w:val="000000"/>
          <w:lang w:val="en-GB"/>
        </w:rPr>
        <w:t xml:space="preserve">who </w:t>
      </w:r>
      <w:r>
        <w:rPr>
          <w:color w:val="000000"/>
          <w:lang w:val="en-GB"/>
        </w:rPr>
        <w:t>reveal</w:t>
      </w:r>
      <w:r w:rsidR="000B13E0">
        <w:rPr>
          <w:color w:val="000000"/>
          <w:lang w:val="en-GB"/>
        </w:rPr>
        <w:t>s</w:t>
      </w:r>
      <w:r>
        <w:rPr>
          <w:color w:val="000000"/>
          <w:lang w:val="en-GB"/>
        </w:rPr>
        <w:t xml:space="preserve"> how </w:t>
      </w:r>
      <w:r w:rsidR="000B13E0">
        <w:rPr>
          <w:color w:val="000000"/>
          <w:lang w:val="en-GB"/>
        </w:rPr>
        <w:t xml:space="preserve">the introduction of </w:t>
      </w:r>
      <w:r>
        <w:rPr>
          <w:color w:val="000000"/>
          <w:lang w:val="en-GB"/>
        </w:rPr>
        <w:t>courtroom rules, protocol</w:t>
      </w:r>
      <w:r w:rsidR="000B13E0">
        <w:rPr>
          <w:color w:val="000000"/>
          <w:lang w:val="en-GB"/>
        </w:rPr>
        <w:t>,</w:t>
      </w:r>
      <w:r>
        <w:rPr>
          <w:color w:val="000000"/>
          <w:lang w:val="en-GB"/>
        </w:rPr>
        <w:t xml:space="preserve"> and space </w:t>
      </w:r>
      <w:r w:rsidR="00F310B3">
        <w:rPr>
          <w:color w:val="000000"/>
          <w:lang w:val="en-GB"/>
        </w:rPr>
        <w:t xml:space="preserve">tended to </w:t>
      </w:r>
      <w:r>
        <w:rPr>
          <w:color w:val="000000"/>
          <w:lang w:val="en-GB"/>
        </w:rPr>
        <w:t>privilege the prosecution.</w:t>
      </w:r>
      <w:r>
        <w:rPr>
          <w:rStyle w:val="FootnoteReference"/>
          <w:color w:val="000000"/>
          <w:lang w:val="en-GB"/>
        </w:rPr>
        <w:footnoteReference w:id="21"/>
      </w:r>
      <w:r>
        <w:rPr>
          <w:color w:val="000000"/>
          <w:lang w:val="en-GB"/>
        </w:rPr>
        <w:t xml:space="preserve"> Similarly in the Habsburg Monarchy, </w:t>
      </w:r>
      <w:r w:rsidR="009F4E1D">
        <w:rPr>
          <w:color w:val="000000"/>
          <w:lang w:val="en-GB"/>
        </w:rPr>
        <w:t>the voice of the defence could be very weak (especially in military trials)</w:t>
      </w:r>
      <w:r w:rsidR="00496C37">
        <w:rPr>
          <w:color w:val="000000"/>
          <w:lang w:val="en-GB"/>
        </w:rPr>
        <w:t>,</w:t>
      </w:r>
      <w:r w:rsidR="009F4E1D">
        <w:rPr>
          <w:color w:val="000000"/>
          <w:lang w:val="en-GB"/>
        </w:rPr>
        <w:t xml:space="preserve"> and all might depend on the final say of the judicial bench. </w:t>
      </w:r>
      <w:r>
        <w:rPr>
          <w:color w:val="000000"/>
          <w:lang w:val="en-GB"/>
        </w:rPr>
        <w:t xml:space="preserve">In Austria for example, </w:t>
      </w:r>
      <w:r w:rsidR="006E4050" w:rsidRPr="004F0559">
        <w:rPr>
          <w:color w:val="000000"/>
          <w:lang w:val="en-GB"/>
        </w:rPr>
        <w:t xml:space="preserve">jury trials </w:t>
      </w:r>
      <w:r>
        <w:rPr>
          <w:color w:val="000000"/>
          <w:lang w:val="en-GB"/>
        </w:rPr>
        <w:t xml:space="preserve">were </w:t>
      </w:r>
      <w:r w:rsidR="009F4E1D">
        <w:rPr>
          <w:color w:val="000000"/>
          <w:lang w:val="en-GB"/>
        </w:rPr>
        <w:t xml:space="preserve">only </w:t>
      </w:r>
      <w:r w:rsidR="006E4050" w:rsidRPr="004F0559">
        <w:rPr>
          <w:color w:val="000000"/>
          <w:lang w:val="en-GB"/>
        </w:rPr>
        <w:t xml:space="preserve">introduced for all serious crimes </w:t>
      </w:r>
      <w:r>
        <w:rPr>
          <w:color w:val="000000"/>
          <w:lang w:val="en-GB"/>
        </w:rPr>
        <w:t>in 1873</w:t>
      </w:r>
      <w:r w:rsidR="009F4E1D">
        <w:rPr>
          <w:color w:val="000000"/>
          <w:lang w:val="en-GB"/>
        </w:rPr>
        <w:t xml:space="preserve">; </w:t>
      </w:r>
      <w:r w:rsidR="009F4E1D">
        <w:rPr>
          <w:color w:val="000000"/>
          <w:lang w:val="en-GB"/>
        </w:rPr>
        <w:lastRenderedPageBreak/>
        <w:t>i</w:t>
      </w:r>
      <w:r w:rsidR="006E4050" w:rsidRPr="004F0559">
        <w:rPr>
          <w:color w:val="000000"/>
          <w:lang w:val="en-GB"/>
        </w:rPr>
        <w:t xml:space="preserve">n Hungary and Croatia they remained rare, and in military courts </w:t>
      </w:r>
      <w:r w:rsidR="00496C37">
        <w:rPr>
          <w:color w:val="000000"/>
          <w:lang w:val="en-GB"/>
        </w:rPr>
        <w:t xml:space="preserve">they were </w:t>
      </w:r>
      <w:r w:rsidR="006E4050" w:rsidRPr="004F0559">
        <w:rPr>
          <w:color w:val="000000"/>
          <w:lang w:val="en-GB"/>
        </w:rPr>
        <w:t>non-existent.</w:t>
      </w:r>
      <w:r w:rsidR="009F4E1D" w:rsidRPr="004F0559">
        <w:rPr>
          <w:rStyle w:val="FootnoteReference"/>
          <w:color w:val="000000"/>
          <w:lang w:val="en-GB"/>
        </w:rPr>
        <w:footnoteReference w:id="22"/>
      </w:r>
      <w:r w:rsidR="006E4050" w:rsidRPr="004F0559">
        <w:rPr>
          <w:color w:val="000000"/>
          <w:lang w:val="en-GB"/>
        </w:rPr>
        <w:t xml:space="preserve"> </w:t>
      </w:r>
      <w:r w:rsidR="00496C37">
        <w:rPr>
          <w:color w:val="000000"/>
          <w:lang w:val="en-GB"/>
        </w:rPr>
        <w:t>Moreover, s</w:t>
      </w:r>
      <w:r w:rsidR="006E4050">
        <w:rPr>
          <w:color w:val="000000"/>
          <w:lang w:val="en-GB"/>
        </w:rPr>
        <w:t xml:space="preserve">ince </w:t>
      </w:r>
      <w:r w:rsidR="006E4050" w:rsidRPr="004F0559">
        <w:rPr>
          <w:color w:val="000000"/>
          <w:lang w:val="en-GB"/>
        </w:rPr>
        <w:t>treason involv</w:t>
      </w:r>
      <w:r w:rsidR="006E4050">
        <w:rPr>
          <w:color w:val="000000"/>
          <w:lang w:val="en-GB"/>
        </w:rPr>
        <w:t>ed</w:t>
      </w:r>
      <w:r w:rsidR="006E4050" w:rsidRPr="004F0559">
        <w:rPr>
          <w:color w:val="000000"/>
          <w:lang w:val="en-GB"/>
        </w:rPr>
        <w:t xml:space="preserve"> a power struggle in the state, the </w:t>
      </w:r>
      <w:r w:rsidR="006E4050">
        <w:rPr>
          <w:color w:val="000000"/>
          <w:lang w:val="en-GB"/>
        </w:rPr>
        <w:t>regime</w:t>
      </w:r>
      <w:r w:rsidR="006E4050" w:rsidRPr="004F0559">
        <w:rPr>
          <w:color w:val="000000"/>
          <w:lang w:val="en-GB"/>
        </w:rPr>
        <w:t xml:space="preserve"> was determined to win if it </w:t>
      </w:r>
      <w:r w:rsidR="00D16A60">
        <w:rPr>
          <w:color w:val="000000"/>
          <w:lang w:val="en-GB"/>
        </w:rPr>
        <w:t xml:space="preserve">went down the path of </w:t>
      </w:r>
      <w:r w:rsidR="006E4050" w:rsidRPr="004F0559">
        <w:rPr>
          <w:color w:val="000000"/>
          <w:lang w:val="en-GB"/>
        </w:rPr>
        <w:t>prosecut</w:t>
      </w:r>
      <w:r w:rsidR="00D16A60">
        <w:rPr>
          <w:color w:val="000000"/>
          <w:lang w:val="en-GB"/>
        </w:rPr>
        <w:t>ing</w:t>
      </w:r>
      <w:r w:rsidR="006E4050" w:rsidRPr="004F0559">
        <w:rPr>
          <w:color w:val="000000"/>
          <w:lang w:val="en-GB"/>
        </w:rPr>
        <w:t xml:space="preserve"> </w:t>
      </w:r>
      <w:r w:rsidR="00D16A60">
        <w:rPr>
          <w:color w:val="000000"/>
          <w:lang w:val="en-GB"/>
        </w:rPr>
        <w:t>a</w:t>
      </w:r>
      <w:r w:rsidR="006E4050" w:rsidRPr="004F0559">
        <w:rPr>
          <w:color w:val="000000"/>
          <w:lang w:val="en-GB"/>
        </w:rPr>
        <w:t xml:space="preserve"> perpetrator. The result was many miscarriages of justice</w:t>
      </w:r>
      <w:r w:rsidR="006E4050">
        <w:rPr>
          <w:color w:val="000000"/>
          <w:lang w:val="en-GB"/>
        </w:rPr>
        <w:t xml:space="preserve">. </w:t>
      </w:r>
      <w:r w:rsidR="00496C37">
        <w:rPr>
          <w:color w:val="000000"/>
          <w:lang w:val="en-GB"/>
        </w:rPr>
        <w:t>Habsburg ca</w:t>
      </w:r>
      <w:r w:rsidR="006E4050" w:rsidRPr="004F0559">
        <w:rPr>
          <w:color w:val="000000"/>
          <w:lang w:val="en-GB"/>
        </w:rPr>
        <w:t>se studies also reveal well the danger</w:t>
      </w:r>
      <w:r w:rsidR="006E4050">
        <w:rPr>
          <w:color w:val="000000"/>
          <w:lang w:val="en-GB"/>
        </w:rPr>
        <w:t>s of</w:t>
      </w:r>
      <w:r w:rsidR="006E4050" w:rsidRPr="004F0559">
        <w:rPr>
          <w:color w:val="000000"/>
          <w:lang w:val="en-GB"/>
        </w:rPr>
        <w:t xml:space="preserve"> wielding this blunt instrument in a democratizing society. It could easily backfire if </w:t>
      </w:r>
      <w:r w:rsidR="006E4050">
        <w:rPr>
          <w:color w:val="000000"/>
          <w:lang w:val="en-GB"/>
        </w:rPr>
        <w:t xml:space="preserve">the state targeted </w:t>
      </w:r>
      <w:r w:rsidR="006E4050" w:rsidRPr="004F0559">
        <w:rPr>
          <w:color w:val="000000"/>
          <w:lang w:val="en-GB"/>
        </w:rPr>
        <w:t xml:space="preserve">popular leaders or large </w:t>
      </w:r>
      <w:r w:rsidR="00A71B2C">
        <w:rPr>
          <w:color w:val="000000"/>
          <w:lang w:val="en-GB"/>
        </w:rPr>
        <w:t xml:space="preserve">socio-political </w:t>
      </w:r>
      <w:r w:rsidR="006E4050" w:rsidRPr="004F0559">
        <w:rPr>
          <w:color w:val="000000"/>
          <w:lang w:val="en-GB"/>
        </w:rPr>
        <w:t>groups as traitors in the community.</w:t>
      </w:r>
      <w:r w:rsidR="00496C37">
        <w:rPr>
          <w:color w:val="000000"/>
          <w:lang w:val="en-GB"/>
        </w:rPr>
        <w:t xml:space="preserve"> Britain had discovered this in the 1790s during </w:t>
      </w:r>
      <w:r w:rsidR="00A71B2C">
        <w:rPr>
          <w:color w:val="000000"/>
          <w:lang w:val="en-GB"/>
        </w:rPr>
        <w:t>its</w:t>
      </w:r>
      <w:r w:rsidR="00496C37">
        <w:rPr>
          <w:color w:val="000000"/>
          <w:lang w:val="en-GB"/>
        </w:rPr>
        <w:t xml:space="preserve"> failed treason trials of radicals and reformers: then the </w:t>
      </w:r>
      <w:r w:rsidR="0089348B">
        <w:rPr>
          <w:color w:val="000000"/>
          <w:lang w:val="en-GB"/>
        </w:rPr>
        <w:t xml:space="preserve">British </w:t>
      </w:r>
      <w:r w:rsidR="00496C37">
        <w:rPr>
          <w:color w:val="000000"/>
          <w:lang w:val="en-GB"/>
        </w:rPr>
        <w:t xml:space="preserve">state had to take stock, adjusting its use </w:t>
      </w:r>
      <w:r w:rsidR="00A71B2C">
        <w:rPr>
          <w:color w:val="000000"/>
          <w:lang w:val="en-GB"/>
        </w:rPr>
        <w:t xml:space="preserve">and interpretation </w:t>
      </w:r>
      <w:r w:rsidR="00496C37">
        <w:rPr>
          <w:color w:val="000000"/>
          <w:lang w:val="en-GB"/>
        </w:rPr>
        <w:t>of treason law to suit the new democratic era.</w:t>
      </w:r>
      <w:r w:rsidR="00496C37">
        <w:rPr>
          <w:rStyle w:val="FootnoteReference"/>
          <w:color w:val="000000"/>
          <w:lang w:val="en-GB"/>
        </w:rPr>
        <w:footnoteReference w:id="23"/>
      </w:r>
    </w:p>
    <w:p w:rsidR="006E4050" w:rsidRDefault="006E4050" w:rsidP="00257760">
      <w:pPr>
        <w:pStyle w:val="NormalWeb"/>
        <w:spacing w:before="0" w:beforeAutospacing="0" w:after="0" w:afterAutospacing="0" w:line="480" w:lineRule="auto"/>
        <w:ind w:firstLine="720"/>
        <w:rPr>
          <w:color w:val="000000"/>
          <w:lang w:val="en-GB"/>
        </w:rPr>
      </w:pPr>
      <w:r w:rsidRPr="004F0559">
        <w:rPr>
          <w:color w:val="000000"/>
          <w:lang w:val="en-GB"/>
        </w:rPr>
        <w:t xml:space="preserve">Let us turn to examine </w:t>
      </w:r>
      <w:r w:rsidR="009F4E1D">
        <w:rPr>
          <w:color w:val="000000"/>
          <w:lang w:val="en-GB"/>
        </w:rPr>
        <w:t>three</w:t>
      </w:r>
      <w:r w:rsidRPr="004F0559">
        <w:rPr>
          <w:color w:val="000000"/>
          <w:lang w:val="en-GB"/>
        </w:rPr>
        <w:t xml:space="preserve"> types of traitor, each of which mapped onto the criminal codes</w:t>
      </w:r>
      <w:r w:rsidR="002154DF">
        <w:rPr>
          <w:color w:val="000000"/>
          <w:lang w:val="en-GB"/>
        </w:rPr>
        <w:t xml:space="preserve"> in the Habsburg Monarchy</w:t>
      </w:r>
      <w:r w:rsidRPr="004F0559">
        <w:rPr>
          <w:color w:val="000000"/>
          <w:lang w:val="en-GB"/>
        </w:rPr>
        <w:t xml:space="preserve">. Each </w:t>
      </w:r>
      <w:r>
        <w:rPr>
          <w:color w:val="000000"/>
          <w:lang w:val="en-GB"/>
        </w:rPr>
        <w:t>i</w:t>
      </w:r>
      <w:r w:rsidRPr="004F0559">
        <w:rPr>
          <w:color w:val="000000"/>
          <w:lang w:val="en-GB"/>
        </w:rPr>
        <w:t xml:space="preserve">lluminates </w:t>
      </w:r>
      <w:r>
        <w:rPr>
          <w:color w:val="000000"/>
          <w:lang w:val="en-GB"/>
        </w:rPr>
        <w:t xml:space="preserve">a different </w:t>
      </w:r>
      <w:r w:rsidRPr="004F0559">
        <w:rPr>
          <w:color w:val="000000"/>
          <w:lang w:val="en-GB"/>
        </w:rPr>
        <w:t>aspect</w:t>
      </w:r>
      <w:r>
        <w:rPr>
          <w:color w:val="000000"/>
          <w:lang w:val="en-GB"/>
        </w:rPr>
        <w:t xml:space="preserve"> </w:t>
      </w:r>
      <w:r w:rsidRPr="004F0559">
        <w:rPr>
          <w:color w:val="000000"/>
          <w:lang w:val="en-GB"/>
        </w:rPr>
        <w:t xml:space="preserve">of insecurity </w:t>
      </w:r>
      <w:r>
        <w:rPr>
          <w:color w:val="000000"/>
          <w:lang w:val="en-GB"/>
        </w:rPr>
        <w:t>for the authorities</w:t>
      </w:r>
      <w:r w:rsidR="002154DF">
        <w:rPr>
          <w:color w:val="000000"/>
          <w:lang w:val="en-GB"/>
        </w:rPr>
        <w:t>; each</w:t>
      </w:r>
      <w:r w:rsidR="009F4E1D">
        <w:rPr>
          <w:color w:val="000000"/>
          <w:lang w:val="en-GB"/>
        </w:rPr>
        <w:t xml:space="preserve"> uncovers too the </w:t>
      </w:r>
      <w:r w:rsidR="00E57CF3">
        <w:rPr>
          <w:color w:val="000000"/>
          <w:lang w:val="en-GB"/>
        </w:rPr>
        <w:t>subjective viewpoin</w:t>
      </w:r>
      <w:r w:rsidR="000B13E0">
        <w:rPr>
          <w:color w:val="000000"/>
          <w:lang w:val="en-GB"/>
        </w:rPr>
        <w:t>t</w:t>
      </w:r>
      <w:r w:rsidR="00E57CF3">
        <w:rPr>
          <w:color w:val="000000"/>
          <w:lang w:val="en-GB"/>
        </w:rPr>
        <w:t xml:space="preserve"> around so many treason trials</w:t>
      </w:r>
      <w:r w:rsidR="002154DF">
        <w:rPr>
          <w:color w:val="000000"/>
          <w:lang w:val="en-GB"/>
        </w:rPr>
        <w:t xml:space="preserve"> </w:t>
      </w:r>
      <w:r w:rsidR="00B4497D">
        <w:rPr>
          <w:color w:val="000000"/>
          <w:lang w:val="en-GB"/>
        </w:rPr>
        <w:t>that</w:t>
      </w:r>
      <w:r w:rsidR="002154DF">
        <w:rPr>
          <w:color w:val="000000"/>
          <w:lang w:val="en-GB"/>
        </w:rPr>
        <w:t xml:space="preserve"> made them so contentious</w:t>
      </w:r>
      <w:r>
        <w:rPr>
          <w:color w:val="000000"/>
          <w:lang w:val="en-GB"/>
        </w:rPr>
        <w:t xml:space="preserve">. </w:t>
      </w:r>
    </w:p>
    <w:p w:rsidR="006E4050" w:rsidRDefault="006E4050" w:rsidP="00257760">
      <w:pPr>
        <w:pStyle w:val="NormalWeb"/>
        <w:spacing w:before="0" w:beforeAutospacing="0" w:after="0" w:afterAutospacing="0" w:line="480" w:lineRule="auto"/>
        <w:ind w:firstLine="720"/>
        <w:rPr>
          <w:color w:val="000000"/>
          <w:lang w:val="en-GB"/>
        </w:rPr>
      </w:pPr>
    </w:p>
    <w:p w:rsidR="006E4050" w:rsidRPr="004F0559" w:rsidRDefault="00405F9C" w:rsidP="00405F9C">
      <w:pPr>
        <w:pStyle w:val="NormalWeb"/>
        <w:spacing w:before="0" w:beforeAutospacing="0" w:after="0" w:afterAutospacing="0" w:line="480" w:lineRule="auto"/>
        <w:rPr>
          <w:b/>
          <w:color w:val="000000"/>
          <w:lang w:val="en-GB"/>
        </w:rPr>
      </w:pPr>
      <w:r>
        <w:rPr>
          <w:b/>
          <w:color w:val="000000"/>
          <w:lang w:val="en-GB"/>
        </w:rPr>
        <w:t xml:space="preserve">1. </w:t>
      </w:r>
      <w:r w:rsidR="006E4050" w:rsidRPr="004F0559">
        <w:rPr>
          <w:b/>
          <w:color w:val="000000"/>
          <w:lang w:val="en-GB"/>
        </w:rPr>
        <w:t>The Assassin</w:t>
      </w:r>
    </w:p>
    <w:p w:rsidR="006E4050" w:rsidRPr="004F0559" w:rsidRDefault="006E4050" w:rsidP="0028536F">
      <w:pPr>
        <w:spacing w:line="480" w:lineRule="auto"/>
        <w:rPr>
          <w:color w:val="000000"/>
        </w:rPr>
      </w:pPr>
      <w:r w:rsidRPr="004F0559">
        <w:rPr>
          <w:color w:val="000000"/>
        </w:rPr>
        <w:t xml:space="preserve">Of the various manifestations of treason, </w:t>
      </w:r>
      <w:r w:rsidR="00284DF8">
        <w:rPr>
          <w:color w:val="000000"/>
        </w:rPr>
        <w:t xml:space="preserve">worst has always been to </w:t>
      </w:r>
      <w:r w:rsidRPr="00124CBF">
        <w:rPr>
          <w:color w:val="000000"/>
        </w:rPr>
        <w:t>attack</w:t>
      </w:r>
      <w:r w:rsidR="00124CBF">
        <w:rPr>
          <w:color w:val="000000"/>
        </w:rPr>
        <w:t>, injur</w:t>
      </w:r>
      <w:r w:rsidR="00284DF8">
        <w:rPr>
          <w:color w:val="000000"/>
        </w:rPr>
        <w:t>e</w:t>
      </w:r>
      <w:r w:rsidRPr="00124CBF">
        <w:rPr>
          <w:color w:val="000000"/>
        </w:rPr>
        <w:t xml:space="preserve"> or kill the monarch</w:t>
      </w:r>
      <w:r w:rsidRPr="004F0559">
        <w:rPr>
          <w:color w:val="000000"/>
        </w:rPr>
        <w:t xml:space="preserve">. From the early Roman </w:t>
      </w:r>
      <w:proofErr w:type="gramStart"/>
      <w:r w:rsidRPr="004F0559">
        <w:rPr>
          <w:color w:val="000000"/>
        </w:rPr>
        <w:t>empire</w:t>
      </w:r>
      <w:proofErr w:type="gramEnd"/>
      <w:r w:rsidRPr="004F0559">
        <w:rPr>
          <w:color w:val="000000"/>
        </w:rPr>
        <w:t xml:space="preserve"> it took special precedence, and this continued in European law down to the modern era. By the </w:t>
      </w:r>
      <w:r w:rsidR="00A24C9D">
        <w:rPr>
          <w:color w:val="000000"/>
        </w:rPr>
        <w:t>eighteenth</w:t>
      </w:r>
      <w:r w:rsidRPr="004F0559">
        <w:rPr>
          <w:color w:val="000000"/>
        </w:rPr>
        <w:t xml:space="preserve"> century in the Germanic world it was the real embodiment of </w:t>
      </w:r>
      <w:r w:rsidRPr="004F0559">
        <w:rPr>
          <w:i/>
          <w:color w:val="000000"/>
        </w:rPr>
        <w:t>Hochverrat</w:t>
      </w:r>
      <w:r w:rsidRPr="004F0559">
        <w:rPr>
          <w:color w:val="000000"/>
        </w:rPr>
        <w:t xml:space="preserve"> (and in English </w:t>
      </w:r>
      <w:r>
        <w:rPr>
          <w:color w:val="000000"/>
        </w:rPr>
        <w:t xml:space="preserve">treason </w:t>
      </w:r>
      <w:r w:rsidRPr="004F0559">
        <w:rPr>
          <w:color w:val="000000"/>
        </w:rPr>
        <w:t>law the total focus)</w:t>
      </w:r>
      <w:r w:rsidRPr="004F0559">
        <w:rPr>
          <w:i/>
          <w:color w:val="000000"/>
        </w:rPr>
        <w:t>.</w:t>
      </w:r>
      <w:r w:rsidRPr="004F0559">
        <w:rPr>
          <w:color w:val="000000"/>
        </w:rPr>
        <w:t xml:space="preserve"> In the Austrian penal code of 1852 it constituted the first clause in </w:t>
      </w:r>
      <w:r w:rsidRPr="00BF0BBE">
        <w:rPr>
          <w:color w:val="000000"/>
        </w:rPr>
        <w:t>paragraph 58</w:t>
      </w:r>
      <w:r w:rsidRPr="004F0559">
        <w:rPr>
          <w:color w:val="000000"/>
        </w:rPr>
        <w:t xml:space="preserve"> which described the crime of treason. </w:t>
      </w:r>
    </w:p>
    <w:p w:rsidR="006E4050" w:rsidRPr="004F0559" w:rsidRDefault="006E4050" w:rsidP="002D4830">
      <w:pPr>
        <w:spacing w:line="480" w:lineRule="auto"/>
        <w:ind w:firstLine="720"/>
        <w:rPr>
          <w:rFonts w:asciiTheme="majorBidi" w:hAnsiTheme="majorBidi" w:cstheme="majorBidi"/>
        </w:rPr>
      </w:pPr>
      <w:r w:rsidRPr="004F0559">
        <w:rPr>
          <w:color w:val="000000"/>
        </w:rPr>
        <w:lastRenderedPageBreak/>
        <w:t xml:space="preserve">In the wording of </w:t>
      </w:r>
      <w:r w:rsidRPr="001E2E27">
        <w:rPr>
          <w:color w:val="000000"/>
        </w:rPr>
        <w:t>§58a</w:t>
      </w:r>
      <w:r w:rsidRPr="004F0559">
        <w:rPr>
          <w:color w:val="000000"/>
        </w:rPr>
        <w:t xml:space="preserve">, the crime was committed </w:t>
      </w:r>
      <w:r w:rsidR="00284DF8">
        <w:rPr>
          <w:color w:val="000000"/>
        </w:rPr>
        <w:t>‘</w:t>
      </w:r>
      <w:r w:rsidRPr="004F0559">
        <w:rPr>
          <w:rFonts w:asciiTheme="majorBidi" w:hAnsiTheme="majorBidi" w:cstheme="majorBidi"/>
          <w:i/>
        </w:rPr>
        <w:t>where the person of the Emperor in his body, health or independence is violated or endangered, or where such action prevents the exercise of his rights of government</w:t>
      </w:r>
      <w:r w:rsidR="00284DF8">
        <w:rPr>
          <w:rFonts w:asciiTheme="majorBidi" w:hAnsiTheme="majorBidi" w:cstheme="majorBidi"/>
        </w:rPr>
        <w:t>’</w:t>
      </w:r>
      <w:r w:rsidRPr="004F0559">
        <w:rPr>
          <w:rFonts w:asciiTheme="majorBidi" w:hAnsiTheme="majorBidi" w:cstheme="majorBidi"/>
          <w:i/>
        </w:rPr>
        <w:t>.</w:t>
      </w:r>
      <w:r w:rsidRPr="004F0559">
        <w:rPr>
          <w:rFonts w:asciiTheme="majorBidi" w:hAnsiTheme="majorBidi" w:cstheme="majorBidi"/>
        </w:rPr>
        <w:t xml:space="preserve"> It is </w:t>
      </w:r>
      <w:r w:rsidR="00825433">
        <w:rPr>
          <w:rFonts w:asciiTheme="majorBidi" w:hAnsiTheme="majorBidi" w:cstheme="majorBidi"/>
        </w:rPr>
        <w:t>important</w:t>
      </w:r>
      <w:r w:rsidRPr="004F0559">
        <w:rPr>
          <w:rFonts w:asciiTheme="majorBidi" w:hAnsiTheme="majorBidi" w:cstheme="majorBidi"/>
        </w:rPr>
        <w:t xml:space="preserve"> to </w:t>
      </w:r>
      <w:r w:rsidR="00284DF8">
        <w:rPr>
          <w:rFonts w:asciiTheme="majorBidi" w:hAnsiTheme="majorBidi" w:cstheme="majorBidi"/>
        </w:rPr>
        <w:t>emphasize</w:t>
      </w:r>
      <w:r w:rsidRPr="004F0559">
        <w:rPr>
          <w:rFonts w:asciiTheme="majorBidi" w:hAnsiTheme="majorBidi" w:cstheme="majorBidi"/>
        </w:rPr>
        <w:t xml:space="preserve"> that this crime</w:t>
      </w:r>
      <w:r w:rsidR="00284DF8">
        <w:rPr>
          <w:rFonts w:asciiTheme="majorBidi" w:hAnsiTheme="majorBidi" w:cstheme="majorBidi"/>
        </w:rPr>
        <w:t xml:space="preserve">, </w:t>
      </w:r>
      <w:r w:rsidRPr="004F0559">
        <w:rPr>
          <w:rFonts w:asciiTheme="majorBidi" w:hAnsiTheme="majorBidi" w:cstheme="majorBidi"/>
        </w:rPr>
        <w:t>in any of its varieties could be committed not only in deed but also through intent or incitement</w:t>
      </w:r>
      <w:r w:rsidR="00284DF8">
        <w:rPr>
          <w:rFonts w:asciiTheme="majorBidi" w:hAnsiTheme="majorBidi" w:cstheme="majorBidi"/>
        </w:rPr>
        <w:t>. S</w:t>
      </w:r>
      <w:r w:rsidRPr="004F0559">
        <w:rPr>
          <w:rFonts w:asciiTheme="majorBidi" w:hAnsiTheme="majorBidi" w:cstheme="majorBidi"/>
        </w:rPr>
        <w:t>o it was open to legal interpretation whether the emperor’s life or powers had actually been threatened. We should also note that the crime was limited to the emperor – it did not cover other members of the imperial family. The anarchist who murdered Empress Eli</w:t>
      </w:r>
      <w:r w:rsidR="00284DF8">
        <w:rPr>
          <w:rFonts w:asciiTheme="majorBidi" w:hAnsiTheme="majorBidi" w:cstheme="majorBidi"/>
        </w:rPr>
        <w:t>s</w:t>
      </w:r>
      <w:r w:rsidRPr="004F0559">
        <w:rPr>
          <w:rFonts w:asciiTheme="majorBidi" w:hAnsiTheme="majorBidi" w:cstheme="majorBidi"/>
        </w:rPr>
        <w:t xml:space="preserve">abeth in 1898 </w:t>
      </w:r>
      <w:r w:rsidR="00284DF8">
        <w:rPr>
          <w:rFonts w:asciiTheme="majorBidi" w:hAnsiTheme="majorBidi" w:cstheme="majorBidi"/>
        </w:rPr>
        <w:t xml:space="preserve">in Geneva </w:t>
      </w:r>
      <w:r w:rsidRPr="004F0559">
        <w:rPr>
          <w:rFonts w:asciiTheme="majorBidi" w:hAnsiTheme="majorBidi" w:cstheme="majorBidi"/>
        </w:rPr>
        <w:t>could not have been tried for treason under §58a; nor could the assassins of Archduke Franz Ferdinand in 1914</w:t>
      </w:r>
      <w:r w:rsidR="00284DF8">
        <w:rPr>
          <w:rFonts w:asciiTheme="majorBidi" w:hAnsiTheme="majorBidi" w:cstheme="majorBidi"/>
        </w:rPr>
        <w:t>: a separate charge had to be constructed against them</w:t>
      </w:r>
      <w:r w:rsidRPr="004F0559">
        <w:rPr>
          <w:rFonts w:asciiTheme="majorBidi" w:hAnsiTheme="majorBidi" w:cstheme="majorBidi"/>
        </w:rPr>
        <w:t>.</w:t>
      </w:r>
      <w:r w:rsidR="00284DF8">
        <w:rPr>
          <w:rStyle w:val="FootnoteReference"/>
          <w:rFonts w:asciiTheme="majorBidi" w:hAnsiTheme="majorBidi" w:cstheme="majorBidi"/>
        </w:rPr>
        <w:footnoteReference w:id="24"/>
      </w:r>
      <w:r w:rsidRPr="004F0559">
        <w:rPr>
          <w:rFonts w:asciiTheme="majorBidi" w:hAnsiTheme="majorBidi" w:cstheme="majorBidi"/>
        </w:rPr>
        <w:t xml:space="preserve"> Nor was it treason simply to abuse or denigrate the monarch in writing or speech. In 1787, Emperor Joseph II in his radical law code had downgraded the crime of </w:t>
      </w:r>
      <w:r w:rsidRPr="004F0559">
        <w:rPr>
          <w:rFonts w:asciiTheme="majorBidi" w:hAnsiTheme="majorBidi" w:cstheme="majorBidi"/>
          <w:i/>
        </w:rPr>
        <w:t xml:space="preserve">lèse-majesté </w:t>
      </w:r>
      <w:r w:rsidRPr="004F0559">
        <w:rPr>
          <w:rFonts w:asciiTheme="majorBidi" w:hAnsiTheme="majorBidi" w:cstheme="majorBidi"/>
        </w:rPr>
        <w:t xml:space="preserve">or </w:t>
      </w:r>
      <w:r w:rsidRPr="004F0559">
        <w:rPr>
          <w:rFonts w:asciiTheme="majorBidi" w:hAnsiTheme="majorBidi" w:cstheme="majorBidi"/>
          <w:i/>
        </w:rPr>
        <w:t>Majestätsbeleidigung</w:t>
      </w:r>
      <w:r w:rsidRPr="004F0559">
        <w:rPr>
          <w:rFonts w:asciiTheme="majorBidi" w:hAnsiTheme="majorBidi" w:cstheme="majorBidi"/>
        </w:rPr>
        <w:t>. Though still prosecuted as a political crime – quite substantially in the late Habsburg era – simpl</w:t>
      </w:r>
      <w:r w:rsidR="00A52EDF">
        <w:rPr>
          <w:rFonts w:asciiTheme="majorBidi" w:hAnsiTheme="majorBidi" w:cstheme="majorBidi"/>
        </w:rPr>
        <w:t xml:space="preserve">y to </w:t>
      </w:r>
      <w:r w:rsidRPr="004F0559">
        <w:rPr>
          <w:rFonts w:asciiTheme="majorBidi" w:hAnsiTheme="majorBidi" w:cstheme="majorBidi"/>
        </w:rPr>
        <w:t>abuse</w:t>
      </w:r>
      <w:r w:rsidR="00A52EDF">
        <w:rPr>
          <w:rFonts w:asciiTheme="majorBidi" w:hAnsiTheme="majorBidi" w:cstheme="majorBidi"/>
        </w:rPr>
        <w:t xml:space="preserve"> t</w:t>
      </w:r>
      <w:r w:rsidRPr="004F0559">
        <w:rPr>
          <w:rFonts w:asciiTheme="majorBidi" w:hAnsiTheme="majorBidi" w:cstheme="majorBidi"/>
        </w:rPr>
        <w:t>he emperor was no longer interpreted as a form of treason.</w:t>
      </w:r>
      <w:r w:rsidR="00A52EDF">
        <w:rPr>
          <w:rStyle w:val="FootnoteReference"/>
          <w:rFonts w:asciiTheme="majorBidi" w:hAnsiTheme="majorBidi" w:cstheme="majorBidi"/>
        </w:rPr>
        <w:footnoteReference w:id="25"/>
      </w:r>
      <w:r w:rsidRPr="004F0559">
        <w:rPr>
          <w:rFonts w:asciiTheme="majorBidi" w:hAnsiTheme="majorBidi" w:cstheme="majorBidi"/>
        </w:rPr>
        <w:t xml:space="preserve"> </w:t>
      </w:r>
    </w:p>
    <w:p w:rsidR="006E4050" w:rsidRPr="004F0559" w:rsidRDefault="006E4050" w:rsidP="002D4830">
      <w:pPr>
        <w:spacing w:line="480" w:lineRule="auto"/>
        <w:ind w:firstLine="720"/>
      </w:pPr>
      <w:r w:rsidRPr="004F0559">
        <w:rPr>
          <w:rFonts w:asciiTheme="majorBidi" w:hAnsiTheme="majorBidi" w:cstheme="majorBidi"/>
        </w:rPr>
        <w:t xml:space="preserve">For the Habsburg security services, threats to the life of Emperor Franz Joseph were a constant headache, and they gained the most publicity even if they were always a small minority of treason prosecutions. The way that the regime interpreted and punished </w:t>
      </w:r>
      <w:r w:rsidR="00A401BB">
        <w:rPr>
          <w:rFonts w:asciiTheme="majorBidi" w:hAnsiTheme="majorBidi" w:cstheme="majorBidi"/>
        </w:rPr>
        <w:t>this</w:t>
      </w:r>
      <w:r w:rsidRPr="004F0559">
        <w:rPr>
          <w:rFonts w:asciiTheme="majorBidi" w:hAnsiTheme="majorBidi" w:cstheme="majorBidi"/>
        </w:rPr>
        <w:t xml:space="preserve"> crime was set out early in the reign. </w:t>
      </w:r>
      <w:r w:rsidR="00A401BB">
        <w:rPr>
          <w:rFonts w:asciiTheme="majorBidi" w:hAnsiTheme="majorBidi" w:cstheme="majorBidi"/>
        </w:rPr>
        <w:t xml:space="preserve">On 18 February </w:t>
      </w:r>
      <w:r w:rsidRPr="004F0559">
        <w:rPr>
          <w:rFonts w:asciiTheme="majorBidi" w:hAnsiTheme="majorBidi" w:cstheme="majorBidi"/>
        </w:rPr>
        <w:t>1853</w:t>
      </w:r>
      <w:r w:rsidR="00A401BB">
        <w:rPr>
          <w:rFonts w:asciiTheme="majorBidi" w:hAnsiTheme="majorBidi" w:cstheme="majorBidi"/>
        </w:rPr>
        <w:t>,</w:t>
      </w:r>
      <w:r w:rsidRPr="004F0559">
        <w:rPr>
          <w:rFonts w:asciiTheme="majorBidi" w:hAnsiTheme="majorBidi" w:cstheme="majorBidi"/>
        </w:rPr>
        <w:t xml:space="preserve"> in the decade of </w:t>
      </w:r>
      <w:r w:rsidR="00A401BB">
        <w:rPr>
          <w:rFonts w:asciiTheme="majorBidi" w:hAnsiTheme="majorBidi" w:cstheme="majorBidi"/>
        </w:rPr>
        <w:t xml:space="preserve">Habsburg </w:t>
      </w:r>
      <w:r w:rsidRPr="004F0559">
        <w:rPr>
          <w:rFonts w:asciiTheme="majorBidi" w:hAnsiTheme="majorBidi" w:cstheme="majorBidi"/>
        </w:rPr>
        <w:t xml:space="preserve">neo-absolutism, Franz Joseph was taking a lunch-time stroll on Vienna’s city walls when he was attacked </w:t>
      </w:r>
      <w:r w:rsidR="00825433">
        <w:rPr>
          <w:rFonts w:asciiTheme="majorBidi" w:hAnsiTheme="majorBidi" w:cstheme="majorBidi"/>
        </w:rPr>
        <w:t xml:space="preserve">by a man wielding </w:t>
      </w:r>
      <w:r w:rsidRPr="004F0559">
        <w:rPr>
          <w:rFonts w:asciiTheme="majorBidi" w:hAnsiTheme="majorBidi" w:cstheme="majorBidi"/>
        </w:rPr>
        <w:t>a kitchen knife</w:t>
      </w:r>
      <w:r w:rsidR="00A401BB">
        <w:rPr>
          <w:rFonts w:asciiTheme="majorBidi" w:hAnsiTheme="majorBidi" w:cstheme="majorBidi"/>
        </w:rPr>
        <w:t>. The assailant was</w:t>
      </w:r>
      <w:r w:rsidRPr="004F0559">
        <w:rPr>
          <w:rFonts w:asciiTheme="majorBidi" w:hAnsiTheme="majorBidi" w:cstheme="majorBidi"/>
        </w:rPr>
        <w:t xml:space="preserve"> </w:t>
      </w:r>
      <w:r w:rsidR="00A401BB" w:rsidRPr="004F0559">
        <w:rPr>
          <w:rFonts w:asciiTheme="majorBidi" w:hAnsiTheme="majorBidi" w:cstheme="majorBidi"/>
        </w:rPr>
        <w:t>a young Hungarian tailor</w:t>
      </w:r>
      <w:r w:rsidR="00A401BB">
        <w:rPr>
          <w:rFonts w:asciiTheme="majorBidi" w:hAnsiTheme="majorBidi" w:cstheme="majorBidi"/>
        </w:rPr>
        <w:t>,</w:t>
      </w:r>
      <w:r w:rsidR="00A401BB" w:rsidRPr="00A401BB">
        <w:rPr>
          <w:rFonts w:asciiTheme="majorBidi" w:hAnsiTheme="majorBidi" w:cstheme="majorBidi"/>
        </w:rPr>
        <w:t xml:space="preserve"> </w:t>
      </w:r>
      <w:r w:rsidRPr="00A401BB">
        <w:rPr>
          <w:rFonts w:asciiTheme="majorBidi" w:hAnsiTheme="majorBidi" w:cstheme="majorBidi"/>
        </w:rPr>
        <w:t>János Libényi</w:t>
      </w:r>
      <w:r w:rsidRPr="004F0559">
        <w:rPr>
          <w:rFonts w:asciiTheme="majorBidi" w:hAnsiTheme="majorBidi" w:cstheme="majorBidi"/>
        </w:rPr>
        <w:t xml:space="preserve">. The emperor was left concussed and bleeding but </w:t>
      </w:r>
      <w:r w:rsidR="00A401BB">
        <w:rPr>
          <w:rFonts w:asciiTheme="majorBidi" w:hAnsiTheme="majorBidi" w:cstheme="majorBidi"/>
        </w:rPr>
        <w:t>would recover after a few weeks. That</w:t>
      </w:r>
      <w:r w:rsidRPr="004F0559">
        <w:rPr>
          <w:rFonts w:asciiTheme="majorBidi" w:hAnsiTheme="majorBidi" w:cstheme="majorBidi"/>
        </w:rPr>
        <w:t xml:space="preserve"> evening in Stephanskirche</w:t>
      </w:r>
      <w:r w:rsidR="00A401BB">
        <w:rPr>
          <w:rFonts w:asciiTheme="majorBidi" w:hAnsiTheme="majorBidi" w:cstheme="majorBidi"/>
        </w:rPr>
        <w:t>,</w:t>
      </w:r>
      <w:r w:rsidRPr="004F0559">
        <w:rPr>
          <w:rFonts w:asciiTheme="majorBidi" w:hAnsiTheme="majorBidi" w:cstheme="majorBidi"/>
        </w:rPr>
        <w:t xml:space="preserve"> a </w:t>
      </w:r>
      <w:proofErr w:type="spellStart"/>
      <w:r w:rsidRPr="004F0559">
        <w:rPr>
          <w:rFonts w:asciiTheme="majorBidi" w:hAnsiTheme="majorBidi" w:cstheme="majorBidi"/>
          <w:i/>
        </w:rPr>
        <w:t>Te</w:t>
      </w:r>
      <w:proofErr w:type="spellEnd"/>
      <w:r w:rsidRPr="004F0559">
        <w:rPr>
          <w:rFonts w:asciiTheme="majorBidi" w:hAnsiTheme="majorBidi" w:cstheme="majorBidi"/>
          <w:i/>
        </w:rPr>
        <w:t xml:space="preserve"> Deum </w:t>
      </w:r>
      <w:r w:rsidRPr="004F0559">
        <w:rPr>
          <w:rFonts w:asciiTheme="majorBidi" w:hAnsiTheme="majorBidi" w:cstheme="majorBidi"/>
        </w:rPr>
        <w:t xml:space="preserve">mass was sung, to thank </w:t>
      </w:r>
      <w:r w:rsidR="00A401BB">
        <w:rPr>
          <w:rFonts w:asciiTheme="majorBidi" w:hAnsiTheme="majorBidi" w:cstheme="majorBidi"/>
        </w:rPr>
        <w:t>‘</w:t>
      </w:r>
      <w:r w:rsidRPr="004F0559">
        <w:rPr>
          <w:rFonts w:asciiTheme="majorBidi" w:hAnsiTheme="majorBidi" w:cstheme="majorBidi"/>
        </w:rPr>
        <w:t xml:space="preserve">divine </w:t>
      </w:r>
      <w:r w:rsidRPr="004F0559">
        <w:rPr>
          <w:rFonts w:asciiTheme="majorBidi" w:hAnsiTheme="majorBidi" w:cstheme="majorBidi"/>
        </w:rPr>
        <w:lastRenderedPageBreak/>
        <w:t>providence</w:t>
      </w:r>
      <w:r w:rsidR="00A401BB">
        <w:rPr>
          <w:rFonts w:asciiTheme="majorBidi" w:hAnsiTheme="majorBidi" w:cstheme="majorBidi"/>
        </w:rPr>
        <w:t>’</w:t>
      </w:r>
      <w:r w:rsidRPr="004F0559">
        <w:rPr>
          <w:rFonts w:asciiTheme="majorBidi" w:hAnsiTheme="majorBidi" w:cstheme="majorBidi"/>
        </w:rPr>
        <w:t xml:space="preserve"> for </w:t>
      </w:r>
      <w:r w:rsidR="00A401BB">
        <w:rPr>
          <w:rFonts w:asciiTheme="majorBidi" w:hAnsiTheme="majorBidi" w:cstheme="majorBidi"/>
        </w:rPr>
        <w:t xml:space="preserve">the </w:t>
      </w:r>
      <w:r w:rsidRPr="004F0559">
        <w:rPr>
          <w:rFonts w:asciiTheme="majorBidi" w:hAnsiTheme="majorBidi" w:cstheme="majorBidi"/>
        </w:rPr>
        <w:t>happy deliverance of His Majesty.</w:t>
      </w:r>
      <w:r w:rsidRPr="004F0559">
        <w:rPr>
          <w:rStyle w:val="FootnoteReference"/>
          <w:rFonts w:asciiTheme="majorBidi" w:hAnsiTheme="majorBidi" w:cstheme="majorBidi"/>
        </w:rPr>
        <w:footnoteReference w:id="26"/>
      </w:r>
      <w:r>
        <w:rPr>
          <w:rFonts w:asciiTheme="majorBidi" w:hAnsiTheme="majorBidi" w:cstheme="majorBidi"/>
        </w:rPr>
        <w:t xml:space="preserve"> </w:t>
      </w:r>
      <w:r w:rsidRPr="004F0559">
        <w:rPr>
          <w:rFonts w:asciiTheme="majorBidi" w:hAnsiTheme="majorBidi" w:cstheme="majorBidi"/>
        </w:rPr>
        <w:t>Indeed</w:t>
      </w:r>
      <w:r>
        <w:rPr>
          <w:rFonts w:asciiTheme="majorBidi" w:hAnsiTheme="majorBidi" w:cstheme="majorBidi"/>
        </w:rPr>
        <w:t>,</w:t>
      </w:r>
      <w:r w:rsidRPr="004F0559">
        <w:rPr>
          <w:rFonts w:asciiTheme="majorBidi" w:hAnsiTheme="majorBidi" w:cstheme="majorBidi"/>
        </w:rPr>
        <w:t xml:space="preserve"> the regime encouraged the public to view such treason as a moral struggle</w:t>
      </w:r>
      <w:r w:rsidR="00A401BB">
        <w:rPr>
          <w:rFonts w:asciiTheme="majorBidi" w:hAnsiTheme="majorBidi" w:cstheme="majorBidi"/>
        </w:rPr>
        <w:t xml:space="preserve"> and an attack on the natural order</w:t>
      </w:r>
      <w:r w:rsidRPr="004F0559">
        <w:rPr>
          <w:rFonts w:asciiTheme="majorBidi" w:hAnsiTheme="majorBidi" w:cstheme="majorBidi"/>
        </w:rPr>
        <w:t>. One loyal citizen duly commissioned a painting of the outrage</w:t>
      </w:r>
      <w:r w:rsidR="00A401BB">
        <w:rPr>
          <w:rFonts w:asciiTheme="majorBidi" w:hAnsiTheme="majorBidi" w:cstheme="majorBidi"/>
        </w:rPr>
        <w:t xml:space="preserve"> which is now in the Wien Museum</w:t>
      </w:r>
      <w:r w:rsidRPr="004F0559">
        <w:rPr>
          <w:rFonts w:asciiTheme="majorBidi" w:hAnsiTheme="majorBidi" w:cstheme="majorBidi"/>
        </w:rPr>
        <w:t>. It shows how Libényi was thwarted</w:t>
      </w:r>
      <w:r w:rsidR="004874C6">
        <w:rPr>
          <w:rFonts w:asciiTheme="majorBidi" w:hAnsiTheme="majorBidi" w:cstheme="majorBidi"/>
        </w:rPr>
        <w:t xml:space="preserve"> through the swift intervention of the emperor’s aide-de-camp</w:t>
      </w:r>
      <w:r w:rsidR="00DC26D9">
        <w:rPr>
          <w:rFonts w:asciiTheme="majorBidi" w:hAnsiTheme="majorBidi" w:cstheme="majorBidi"/>
        </w:rPr>
        <w:t xml:space="preserve"> and a loyal passer-by</w:t>
      </w:r>
      <w:r w:rsidR="004874C6">
        <w:rPr>
          <w:rFonts w:asciiTheme="majorBidi" w:hAnsiTheme="majorBidi" w:cstheme="majorBidi"/>
        </w:rPr>
        <w:t>; in the dramatic scene</w:t>
      </w:r>
      <w:r w:rsidRPr="004F0559">
        <w:rPr>
          <w:rFonts w:asciiTheme="majorBidi" w:hAnsiTheme="majorBidi" w:cstheme="majorBidi"/>
        </w:rPr>
        <w:t xml:space="preserve"> the monarch’s boyish face is a stark contrast to the assassin’s feral demeanour. Yet something is missing from the original painting, and </w:t>
      </w:r>
      <w:r w:rsidR="004874C6">
        <w:rPr>
          <w:rFonts w:asciiTheme="majorBidi" w:hAnsiTheme="majorBidi" w:cstheme="majorBidi"/>
        </w:rPr>
        <w:t xml:space="preserve">is </w:t>
      </w:r>
      <w:r w:rsidRPr="004F0559">
        <w:rPr>
          <w:rFonts w:asciiTheme="majorBidi" w:hAnsiTheme="majorBidi" w:cstheme="majorBidi"/>
        </w:rPr>
        <w:t xml:space="preserve">only revealed in the copies </w:t>
      </w:r>
      <w:r w:rsidR="004874C6">
        <w:rPr>
          <w:rFonts w:asciiTheme="majorBidi" w:hAnsiTheme="majorBidi" w:cstheme="majorBidi"/>
        </w:rPr>
        <w:t xml:space="preserve">that were </w:t>
      </w:r>
      <w:r w:rsidRPr="004F0559">
        <w:rPr>
          <w:rFonts w:asciiTheme="majorBidi" w:hAnsiTheme="majorBidi" w:cstheme="majorBidi"/>
        </w:rPr>
        <w:t>made.</w:t>
      </w:r>
      <w:r w:rsidR="004874C6">
        <w:rPr>
          <w:rStyle w:val="FootnoteReference"/>
          <w:rFonts w:asciiTheme="majorBidi" w:hAnsiTheme="majorBidi" w:cstheme="majorBidi"/>
        </w:rPr>
        <w:footnoteReference w:id="27"/>
      </w:r>
      <w:r w:rsidRPr="004F0559">
        <w:rPr>
          <w:rFonts w:asciiTheme="majorBidi" w:hAnsiTheme="majorBidi" w:cstheme="majorBidi"/>
        </w:rPr>
        <w:t xml:space="preserve"> </w:t>
      </w:r>
      <w:r w:rsidR="00405EC8">
        <w:rPr>
          <w:rFonts w:asciiTheme="majorBidi" w:hAnsiTheme="majorBidi" w:cstheme="majorBidi"/>
          <w:b/>
        </w:rPr>
        <w:t xml:space="preserve">[Figure 6] </w:t>
      </w:r>
      <w:r w:rsidRPr="004F0559">
        <w:t xml:space="preserve">At the top </w:t>
      </w:r>
      <w:r w:rsidR="004874C6">
        <w:t xml:space="preserve">of the painting </w:t>
      </w:r>
      <w:r w:rsidRPr="004F0559">
        <w:t xml:space="preserve">had been an image of the Holy Trinity – God the Father, the Son and </w:t>
      </w:r>
      <w:r w:rsidR="00E735D5">
        <w:t xml:space="preserve">the </w:t>
      </w:r>
      <w:r w:rsidRPr="004F0559">
        <w:t xml:space="preserve">Holy Spirit </w:t>
      </w:r>
      <w:r w:rsidR="004874C6">
        <w:t>–</w:t>
      </w:r>
      <w:r w:rsidRPr="004F0559">
        <w:t xml:space="preserve"> </w:t>
      </w:r>
      <w:r w:rsidR="004874C6">
        <w:t xml:space="preserve">who were </w:t>
      </w:r>
      <w:r w:rsidRPr="004F0559">
        <w:t xml:space="preserve">surveying all and ensuring the failure of the treachery. This was a moral narrative that the regime soon pushed further. The emperor’s brother Archduke Maximilian began a campaign to </w:t>
      </w:r>
      <w:r w:rsidR="00E735D5">
        <w:t xml:space="preserve">fund and </w:t>
      </w:r>
      <w:r w:rsidRPr="004F0559">
        <w:t xml:space="preserve">build a special church in </w:t>
      </w:r>
      <w:r w:rsidR="00E735D5">
        <w:t xml:space="preserve">Vienna in </w:t>
      </w:r>
      <w:r w:rsidRPr="004F0559">
        <w:t>commemoration. Twenty</w:t>
      </w:r>
      <w:r w:rsidR="00E735D5">
        <w:t>-</w:t>
      </w:r>
      <w:r w:rsidRPr="004F0559">
        <w:t>five years later the Votivkirche, with its spires rising to heaven, was dedicated on the anniversary of Franz Joseph’s silver wedding.</w:t>
      </w:r>
    </w:p>
    <w:p w:rsidR="00E31578" w:rsidRDefault="006E4050" w:rsidP="00EB18B5">
      <w:pPr>
        <w:spacing w:line="480" w:lineRule="auto"/>
        <w:ind w:firstLine="720"/>
        <w:rPr>
          <w:rFonts w:asciiTheme="majorBidi" w:hAnsiTheme="majorBidi" w:cstheme="majorBidi"/>
        </w:rPr>
      </w:pPr>
      <w:r w:rsidRPr="004F0559">
        <w:rPr>
          <w:rFonts w:asciiTheme="majorBidi" w:hAnsiTheme="majorBidi" w:cstheme="majorBidi"/>
        </w:rPr>
        <w:t xml:space="preserve">Inherent in this whole incident was both a moral and a power struggle. For some in society certainly saw Franz Joseph as the real traitor, </w:t>
      </w:r>
      <w:r w:rsidR="009D5844">
        <w:rPr>
          <w:rFonts w:asciiTheme="majorBidi" w:hAnsiTheme="majorBidi" w:cstheme="majorBidi"/>
        </w:rPr>
        <w:t>a</w:t>
      </w:r>
      <w:r w:rsidRPr="004F0559">
        <w:rPr>
          <w:rFonts w:asciiTheme="majorBidi" w:hAnsiTheme="majorBidi" w:cstheme="majorBidi"/>
        </w:rPr>
        <w:t xml:space="preserve"> </w:t>
      </w:r>
      <w:r w:rsidR="009D5844">
        <w:rPr>
          <w:rFonts w:asciiTheme="majorBidi" w:hAnsiTheme="majorBidi" w:cstheme="majorBidi"/>
        </w:rPr>
        <w:t>ruler</w:t>
      </w:r>
      <w:r w:rsidRPr="004F0559">
        <w:rPr>
          <w:rFonts w:asciiTheme="majorBidi" w:hAnsiTheme="majorBidi" w:cstheme="majorBidi"/>
        </w:rPr>
        <w:t xml:space="preserve"> who was using his power tyrannically to oppress </w:t>
      </w:r>
      <w:r w:rsidR="009D5844">
        <w:rPr>
          <w:rFonts w:asciiTheme="majorBidi" w:hAnsiTheme="majorBidi" w:cstheme="majorBidi"/>
        </w:rPr>
        <w:t>the Italian provinces of Lombardy-Venetia.</w:t>
      </w:r>
      <w:r w:rsidR="009D5844" w:rsidRPr="009D5844">
        <w:t xml:space="preserve"> </w:t>
      </w:r>
      <w:r w:rsidR="009D5844">
        <w:t xml:space="preserve">The emperor himself </w:t>
      </w:r>
      <w:r w:rsidR="00E776D3">
        <w:t xml:space="preserve">had </w:t>
      </w:r>
      <w:r w:rsidR="009D5844">
        <w:t>at first exclaimed that it must be an Italian act of revenge, for a fortnight earlier in Milan, Austrian troops had put down a chaotic revolt.</w:t>
      </w:r>
      <w:r w:rsidR="009D5844">
        <w:rPr>
          <w:rFonts w:asciiTheme="majorBidi" w:hAnsiTheme="majorBidi" w:cstheme="majorBidi"/>
        </w:rPr>
        <w:t xml:space="preserve"> A</w:t>
      </w:r>
      <w:r w:rsidR="009D5844" w:rsidRPr="009D5844">
        <w:t>n anonymous letter was duly sent in to Vienna by ‘an Italian’ regretting that Libényi too had failed</w:t>
      </w:r>
      <w:r w:rsidR="009D5844">
        <w:t>,</w:t>
      </w:r>
      <w:r w:rsidR="009D5844" w:rsidRPr="009D5844">
        <w:t xml:space="preserve"> for he could have removed ‘a barbarian who was tyrannizing Italy’.</w:t>
      </w:r>
      <w:r w:rsidR="009D5844">
        <w:rPr>
          <w:rStyle w:val="FootnoteReference"/>
        </w:rPr>
        <w:footnoteReference w:id="28"/>
      </w:r>
      <w:r w:rsidR="009D5844">
        <w:t xml:space="preserve"> Others judged more accurately that the Hungarian Libényi had acted </w:t>
      </w:r>
      <w:r w:rsidR="00611729">
        <w:t xml:space="preserve">in response to Habsburg oppression in Hungary; to many </w:t>
      </w:r>
      <w:r w:rsidR="00E776D3">
        <w:t xml:space="preserve">people </w:t>
      </w:r>
      <w:r w:rsidR="00611729">
        <w:t>he</w:t>
      </w:r>
      <w:r w:rsidRPr="004F0559">
        <w:rPr>
          <w:rFonts w:asciiTheme="majorBidi" w:hAnsiTheme="majorBidi" w:cstheme="majorBidi"/>
        </w:rPr>
        <w:t xml:space="preserve"> was not a deranged </w:t>
      </w:r>
      <w:r w:rsidR="00611729">
        <w:rPr>
          <w:rFonts w:asciiTheme="majorBidi" w:hAnsiTheme="majorBidi" w:cstheme="majorBidi"/>
        </w:rPr>
        <w:t xml:space="preserve">or </w:t>
      </w:r>
      <w:r w:rsidRPr="004F0559">
        <w:rPr>
          <w:rFonts w:asciiTheme="majorBidi" w:hAnsiTheme="majorBidi" w:cstheme="majorBidi"/>
        </w:rPr>
        <w:t xml:space="preserve">violent individual but a Hungarian </w:t>
      </w:r>
      <w:r w:rsidR="00611729">
        <w:rPr>
          <w:rFonts w:asciiTheme="majorBidi" w:hAnsiTheme="majorBidi" w:cstheme="majorBidi"/>
        </w:rPr>
        <w:t>hero</w:t>
      </w:r>
      <w:r w:rsidRPr="004F0559">
        <w:rPr>
          <w:rFonts w:asciiTheme="majorBidi" w:hAnsiTheme="majorBidi" w:cstheme="majorBidi"/>
        </w:rPr>
        <w:t xml:space="preserve">, </w:t>
      </w:r>
      <w:r w:rsidR="00611729">
        <w:rPr>
          <w:rFonts w:asciiTheme="majorBidi" w:hAnsiTheme="majorBidi" w:cstheme="majorBidi"/>
        </w:rPr>
        <w:t>pursuing</w:t>
      </w:r>
      <w:r w:rsidRPr="004F0559">
        <w:rPr>
          <w:rFonts w:asciiTheme="majorBidi" w:hAnsiTheme="majorBidi" w:cstheme="majorBidi"/>
        </w:rPr>
        <w:t xml:space="preserve"> a</w:t>
      </w:r>
      <w:r w:rsidR="00494C56">
        <w:rPr>
          <w:rFonts w:asciiTheme="majorBidi" w:hAnsiTheme="majorBidi" w:cstheme="majorBidi"/>
        </w:rPr>
        <w:t>n ethical</w:t>
      </w:r>
      <w:r w:rsidRPr="004F0559">
        <w:rPr>
          <w:rFonts w:asciiTheme="majorBidi" w:hAnsiTheme="majorBidi" w:cstheme="majorBidi"/>
        </w:rPr>
        <w:t xml:space="preserve"> agenda.</w:t>
      </w:r>
      <w:r w:rsidR="00DB0055">
        <w:rPr>
          <w:rFonts w:asciiTheme="majorBidi" w:hAnsiTheme="majorBidi" w:cstheme="majorBidi"/>
        </w:rPr>
        <w:t xml:space="preserve"> He was avenging those like the former Hungarian </w:t>
      </w:r>
      <w:proofErr w:type="gramStart"/>
      <w:r w:rsidR="00DB0055">
        <w:rPr>
          <w:rFonts w:asciiTheme="majorBidi" w:hAnsiTheme="majorBidi" w:cstheme="majorBidi"/>
        </w:rPr>
        <w:t>prime minister</w:t>
      </w:r>
      <w:proofErr w:type="gramEnd"/>
      <w:r w:rsidR="00DB0055">
        <w:rPr>
          <w:rFonts w:asciiTheme="majorBidi" w:hAnsiTheme="majorBidi" w:cstheme="majorBidi"/>
        </w:rPr>
        <w:t xml:space="preserve"> Lajos Batthyány who in 1849 </w:t>
      </w:r>
      <w:r w:rsidR="00DB0055">
        <w:rPr>
          <w:rFonts w:asciiTheme="majorBidi" w:hAnsiTheme="majorBidi" w:cstheme="majorBidi"/>
        </w:rPr>
        <w:lastRenderedPageBreak/>
        <w:t>had been tried and executed by vengeful Habsburg authorities and whose heroic martyrdom lived on in the public imagination.</w:t>
      </w:r>
      <w:r w:rsidR="00774C86">
        <w:rPr>
          <w:rStyle w:val="FootnoteReference"/>
          <w:rFonts w:asciiTheme="majorBidi" w:hAnsiTheme="majorBidi" w:cstheme="majorBidi"/>
        </w:rPr>
        <w:footnoteReference w:id="29"/>
      </w:r>
      <w:r w:rsidRPr="004F0559">
        <w:rPr>
          <w:rFonts w:asciiTheme="majorBidi" w:hAnsiTheme="majorBidi" w:cstheme="majorBidi"/>
        </w:rPr>
        <w:t xml:space="preserve"> </w:t>
      </w:r>
    </w:p>
    <w:p w:rsidR="006E4050" w:rsidRPr="00405EC8" w:rsidRDefault="00611729" w:rsidP="00EB18B5">
      <w:pPr>
        <w:spacing w:line="480" w:lineRule="auto"/>
        <w:ind w:firstLine="720"/>
        <w:rPr>
          <w:b/>
        </w:rPr>
      </w:pPr>
      <w:r>
        <w:rPr>
          <w:rFonts w:asciiTheme="majorBidi" w:hAnsiTheme="majorBidi" w:cstheme="majorBidi"/>
        </w:rPr>
        <w:t xml:space="preserve">In this case however it </w:t>
      </w:r>
      <w:r w:rsidR="006E4050" w:rsidRPr="004F0559">
        <w:rPr>
          <w:rFonts w:asciiTheme="majorBidi" w:hAnsiTheme="majorBidi" w:cstheme="majorBidi"/>
        </w:rPr>
        <w:t xml:space="preserve">was the state </w:t>
      </w:r>
      <w:r>
        <w:rPr>
          <w:rFonts w:asciiTheme="majorBidi" w:hAnsiTheme="majorBidi" w:cstheme="majorBidi"/>
        </w:rPr>
        <w:t xml:space="preserve">that managed successfully to </w:t>
      </w:r>
      <w:r w:rsidR="006E4050" w:rsidRPr="004F0559">
        <w:rPr>
          <w:rFonts w:asciiTheme="majorBidi" w:hAnsiTheme="majorBidi" w:cstheme="majorBidi"/>
        </w:rPr>
        <w:t xml:space="preserve">dominate the </w:t>
      </w:r>
      <w:r>
        <w:rPr>
          <w:rFonts w:asciiTheme="majorBidi" w:hAnsiTheme="majorBidi" w:cstheme="majorBidi"/>
        </w:rPr>
        <w:t>public</w:t>
      </w:r>
      <w:r w:rsidR="006E4050" w:rsidRPr="004F0559">
        <w:rPr>
          <w:rFonts w:asciiTheme="majorBidi" w:hAnsiTheme="majorBidi" w:cstheme="majorBidi"/>
        </w:rPr>
        <w:t xml:space="preserve"> </w:t>
      </w:r>
      <w:r>
        <w:rPr>
          <w:rFonts w:asciiTheme="majorBidi" w:hAnsiTheme="majorBidi" w:cstheme="majorBidi"/>
        </w:rPr>
        <w:t>discourse and mete out due punishment</w:t>
      </w:r>
      <w:r w:rsidR="006E4050" w:rsidRPr="004F0559">
        <w:rPr>
          <w:rFonts w:asciiTheme="majorBidi" w:hAnsiTheme="majorBidi" w:cstheme="majorBidi"/>
        </w:rPr>
        <w:t>. Since the city of Vienna was still under martial law</w:t>
      </w:r>
      <w:r>
        <w:rPr>
          <w:rFonts w:asciiTheme="majorBidi" w:hAnsiTheme="majorBidi" w:cstheme="majorBidi"/>
        </w:rPr>
        <w:t xml:space="preserve"> in the wake of the 1848 revolutions</w:t>
      </w:r>
      <w:r w:rsidR="006E4050" w:rsidRPr="004F0559">
        <w:rPr>
          <w:rFonts w:asciiTheme="majorBidi" w:hAnsiTheme="majorBidi" w:cstheme="majorBidi"/>
        </w:rPr>
        <w:t xml:space="preserve">, Libényi was given summary justice by a military court. The press </w:t>
      </w:r>
      <w:r w:rsidR="00E31578">
        <w:rPr>
          <w:rFonts w:asciiTheme="majorBidi" w:hAnsiTheme="majorBidi" w:cstheme="majorBidi"/>
        </w:rPr>
        <w:t xml:space="preserve">also </w:t>
      </w:r>
      <w:r w:rsidR="006E4050" w:rsidRPr="004F0559">
        <w:rPr>
          <w:rFonts w:asciiTheme="majorBidi" w:hAnsiTheme="majorBidi" w:cstheme="majorBidi"/>
        </w:rPr>
        <w:t>reported that he had fully repented at the end</w:t>
      </w:r>
      <w:r w:rsidR="008475E7">
        <w:rPr>
          <w:rFonts w:asciiTheme="majorBidi" w:hAnsiTheme="majorBidi" w:cstheme="majorBidi"/>
        </w:rPr>
        <w:t xml:space="preserve">. </w:t>
      </w:r>
      <w:r w:rsidR="00DC26D9">
        <w:rPr>
          <w:rFonts w:asciiTheme="majorBidi" w:hAnsiTheme="majorBidi" w:cstheme="majorBidi"/>
        </w:rPr>
        <w:t>Under military escort, he was t</w:t>
      </w:r>
      <w:r w:rsidR="008475E7">
        <w:rPr>
          <w:rFonts w:asciiTheme="majorBidi" w:hAnsiTheme="majorBidi" w:cstheme="majorBidi"/>
        </w:rPr>
        <w:t xml:space="preserve">aken out </w:t>
      </w:r>
      <w:r w:rsidR="00E31578">
        <w:rPr>
          <w:rFonts w:asciiTheme="majorBidi" w:hAnsiTheme="majorBidi" w:cstheme="majorBidi"/>
        </w:rPr>
        <w:t xml:space="preserve">in a snow storm </w:t>
      </w:r>
      <w:r w:rsidR="008475E7">
        <w:rPr>
          <w:rFonts w:asciiTheme="majorBidi" w:hAnsiTheme="majorBidi" w:cstheme="majorBidi"/>
        </w:rPr>
        <w:t>to his place of execution at</w:t>
      </w:r>
      <w:r w:rsidR="00E31578">
        <w:rPr>
          <w:rFonts w:asciiTheme="majorBidi" w:hAnsiTheme="majorBidi" w:cstheme="majorBidi"/>
        </w:rPr>
        <w:t xml:space="preserve"> </w:t>
      </w:r>
      <w:r w:rsidR="008475E7">
        <w:rPr>
          <w:rFonts w:asciiTheme="majorBidi" w:hAnsiTheme="majorBidi" w:cstheme="majorBidi"/>
        </w:rPr>
        <w:t>‘</w:t>
      </w:r>
      <w:proofErr w:type="spellStart"/>
      <w:r w:rsidR="008475E7">
        <w:rPr>
          <w:rFonts w:asciiTheme="majorBidi" w:hAnsiTheme="majorBidi" w:cstheme="majorBidi"/>
        </w:rPr>
        <w:t>Spinnerin</w:t>
      </w:r>
      <w:proofErr w:type="spellEnd"/>
      <w:r w:rsidR="008475E7">
        <w:rPr>
          <w:rFonts w:asciiTheme="majorBidi" w:hAnsiTheme="majorBidi" w:cstheme="majorBidi"/>
        </w:rPr>
        <w:t xml:space="preserve"> am </w:t>
      </w:r>
      <w:proofErr w:type="spellStart"/>
      <w:r w:rsidR="008475E7">
        <w:rPr>
          <w:rFonts w:asciiTheme="majorBidi" w:hAnsiTheme="majorBidi" w:cstheme="majorBidi"/>
        </w:rPr>
        <w:t>Kreuz</w:t>
      </w:r>
      <w:proofErr w:type="spellEnd"/>
      <w:r w:rsidR="008475E7">
        <w:rPr>
          <w:rFonts w:asciiTheme="majorBidi" w:hAnsiTheme="majorBidi" w:cstheme="majorBidi"/>
        </w:rPr>
        <w:t>’ overlooking the city</w:t>
      </w:r>
      <w:r w:rsidR="00340758">
        <w:rPr>
          <w:rFonts w:asciiTheme="majorBidi" w:hAnsiTheme="majorBidi" w:cstheme="majorBidi"/>
        </w:rPr>
        <w:t>; a small crowd gathered to hear his</w:t>
      </w:r>
      <w:r w:rsidR="00E31578">
        <w:rPr>
          <w:rFonts w:asciiTheme="majorBidi" w:hAnsiTheme="majorBidi" w:cstheme="majorBidi"/>
        </w:rPr>
        <w:t xml:space="preserve"> </w:t>
      </w:r>
      <w:r w:rsidR="008475E7">
        <w:rPr>
          <w:rFonts w:asciiTheme="majorBidi" w:hAnsiTheme="majorBidi" w:cstheme="majorBidi"/>
        </w:rPr>
        <w:t>final words</w:t>
      </w:r>
      <w:r w:rsidR="00340758">
        <w:rPr>
          <w:rFonts w:asciiTheme="majorBidi" w:hAnsiTheme="majorBidi" w:cstheme="majorBidi"/>
        </w:rPr>
        <w:t>, spoken in Hungarian</w:t>
      </w:r>
      <w:r w:rsidR="008475E7">
        <w:rPr>
          <w:rFonts w:asciiTheme="majorBidi" w:hAnsiTheme="majorBidi" w:cstheme="majorBidi"/>
        </w:rPr>
        <w:t xml:space="preserve"> </w:t>
      </w:r>
      <w:r w:rsidR="00E31578">
        <w:rPr>
          <w:rFonts w:asciiTheme="majorBidi" w:hAnsiTheme="majorBidi" w:cstheme="majorBidi"/>
        </w:rPr>
        <w:t xml:space="preserve">with great sighs: </w:t>
      </w:r>
      <w:r w:rsidR="006E4050" w:rsidRPr="004F0559">
        <w:rPr>
          <w:rFonts w:asciiTheme="majorBidi" w:hAnsiTheme="majorBidi" w:cstheme="majorBidi"/>
        </w:rPr>
        <w:t xml:space="preserve">‘My God, my God’. </w:t>
      </w:r>
      <w:r w:rsidR="00847929">
        <w:rPr>
          <w:rFonts w:asciiTheme="majorBidi" w:hAnsiTheme="majorBidi" w:cstheme="majorBidi"/>
        </w:rPr>
        <w:t>T</w:t>
      </w:r>
      <w:r w:rsidR="006E4050" w:rsidRPr="004F0559">
        <w:rPr>
          <w:rFonts w:asciiTheme="majorBidi" w:hAnsiTheme="majorBidi" w:cstheme="majorBidi"/>
        </w:rPr>
        <w:t xml:space="preserve">he theatre of </w:t>
      </w:r>
      <w:r w:rsidR="00847929">
        <w:rPr>
          <w:rFonts w:asciiTheme="majorBidi" w:hAnsiTheme="majorBidi" w:cstheme="majorBidi"/>
        </w:rPr>
        <w:t>the</w:t>
      </w:r>
      <w:r w:rsidR="006E4050" w:rsidRPr="004F0559">
        <w:rPr>
          <w:rFonts w:asciiTheme="majorBidi" w:hAnsiTheme="majorBidi" w:cstheme="majorBidi"/>
        </w:rPr>
        <w:t xml:space="preserve"> execution </w:t>
      </w:r>
      <w:r w:rsidR="006E4050">
        <w:rPr>
          <w:rFonts w:asciiTheme="majorBidi" w:hAnsiTheme="majorBidi" w:cstheme="majorBidi"/>
        </w:rPr>
        <w:t xml:space="preserve">was </w:t>
      </w:r>
      <w:r w:rsidR="006E4050" w:rsidRPr="004F0559">
        <w:rPr>
          <w:rFonts w:asciiTheme="majorBidi" w:hAnsiTheme="majorBidi" w:cstheme="majorBidi"/>
        </w:rPr>
        <w:t xml:space="preserve">also </w:t>
      </w:r>
      <w:r w:rsidR="006E4050">
        <w:rPr>
          <w:rFonts w:asciiTheme="majorBidi" w:hAnsiTheme="majorBidi" w:cstheme="majorBidi"/>
        </w:rPr>
        <w:t xml:space="preserve">used to </w:t>
      </w:r>
      <w:r w:rsidR="006E4050" w:rsidRPr="004F0559">
        <w:rPr>
          <w:rFonts w:asciiTheme="majorBidi" w:hAnsiTheme="majorBidi" w:cstheme="majorBidi"/>
        </w:rPr>
        <w:t>sen</w:t>
      </w:r>
      <w:r w:rsidR="006E4050">
        <w:rPr>
          <w:rFonts w:asciiTheme="majorBidi" w:hAnsiTheme="majorBidi" w:cstheme="majorBidi"/>
        </w:rPr>
        <w:t>d</w:t>
      </w:r>
      <w:r w:rsidR="006E4050" w:rsidRPr="004F0559">
        <w:rPr>
          <w:rFonts w:asciiTheme="majorBidi" w:hAnsiTheme="majorBidi" w:cstheme="majorBidi"/>
        </w:rPr>
        <w:t xml:space="preserve"> </w:t>
      </w:r>
      <w:r w:rsidR="00F91C3B">
        <w:rPr>
          <w:rFonts w:asciiTheme="majorBidi" w:hAnsiTheme="majorBidi" w:cstheme="majorBidi"/>
        </w:rPr>
        <w:t xml:space="preserve">out </w:t>
      </w:r>
      <w:r w:rsidR="006E4050" w:rsidRPr="004F0559">
        <w:rPr>
          <w:rFonts w:asciiTheme="majorBidi" w:hAnsiTheme="majorBidi" w:cstheme="majorBidi"/>
        </w:rPr>
        <w:t>a public warning</w:t>
      </w:r>
      <w:r w:rsidR="00E31578">
        <w:rPr>
          <w:rFonts w:asciiTheme="majorBidi" w:hAnsiTheme="majorBidi" w:cstheme="majorBidi"/>
        </w:rPr>
        <w:t>;</w:t>
      </w:r>
      <w:r w:rsidR="006E4050" w:rsidRPr="004F0559">
        <w:rPr>
          <w:rFonts w:asciiTheme="majorBidi" w:hAnsiTheme="majorBidi" w:cstheme="majorBidi"/>
        </w:rPr>
        <w:t xml:space="preserve"> </w:t>
      </w:r>
      <w:r w:rsidR="006E4050" w:rsidRPr="004F0559">
        <w:t>the gallows were built higher than usual</w:t>
      </w:r>
      <w:r w:rsidR="00847929">
        <w:t xml:space="preserve"> so that</w:t>
      </w:r>
      <w:r w:rsidR="006E4050" w:rsidRPr="004F0559">
        <w:t xml:space="preserve"> the corpse </w:t>
      </w:r>
      <w:r w:rsidR="006E4050">
        <w:t xml:space="preserve">would be </w:t>
      </w:r>
      <w:r w:rsidR="006E4050" w:rsidRPr="004F0559">
        <w:t>fac</w:t>
      </w:r>
      <w:r w:rsidR="006E4050">
        <w:t>ing</w:t>
      </w:r>
      <w:r w:rsidR="006E4050" w:rsidRPr="004F0559">
        <w:t xml:space="preserve"> the city, </w:t>
      </w:r>
      <w:r w:rsidR="00F91C3B">
        <w:t xml:space="preserve">visible from a distance and </w:t>
      </w:r>
      <w:r w:rsidR="006E4050" w:rsidRPr="004F0559">
        <w:t>emphasiz</w:t>
      </w:r>
      <w:r w:rsidR="006E4050">
        <w:t>ing</w:t>
      </w:r>
      <w:r w:rsidR="006E4050" w:rsidRPr="004F0559">
        <w:t xml:space="preserve"> his treason to the imperial community.</w:t>
      </w:r>
      <w:r w:rsidR="006E4050" w:rsidRPr="004F0559">
        <w:rPr>
          <w:vertAlign w:val="superscript"/>
        </w:rPr>
        <w:footnoteReference w:id="30"/>
      </w:r>
      <w:r w:rsidR="006E4050" w:rsidRPr="004F0559">
        <w:t xml:space="preserve">  </w:t>
      </w:r>
      <w:r w:rsidR="00405EC8">
        <w:rPr>
          <w:b/>
        </w:rPr>
        <w:t>[Figure 7]</w:t>
      </w:r>
    </w:p>
    <w:p w:rsidR="0089474B" w:rsidRDefault="006E4050" w:rsidP="002D4830">
      <w:pPr>
        <w:spacing w:line="480" w:lineRule="auto"/>
        <w:ind w:firstLine="720"/>
        <w:rPr>
          <w:rFonts w:asciiTheme="majorBidi" w:hAnsiTheme="majorBidi" w:cstheme="majorBidi"/>
        </w:rPr>
      </w:pPr>
      <w:r w:rsidRPr="004F0559">
        <w:rPr>
          <w:rFonts w:asciiTheme="majorBidi" w:hAnsiTheme="majorBidi" w:cstheme="majorBidi"/>
        </w:rPr>
        <w:t>In later decades - what we might call the early years of modern terrorism – fears for the emperor’s safety naturally increased. With nihilists finally successful in murdering Tsar Alexander II in 1881, the Habsburg authorities were regularly warned about assassins at large</w:t>
      </w:r>
      <w:r w:rsidR="000F7178">
        <w:rPr>
          <w:rFonts w:asciiTheme="majorBidi" w:hAnsiTheme="majorBidi" w:cstheme="majorBidi"/>
        </w:rPr>
        <w:t xml:space="preserve">. In 1884 for example, rumours arrived of </w:t>
      </w:r>
      <w:r w:rsidR="000F7178" w:rsidRPr="004F0559">
        <w:rPr>
          <w:rFonts w:asciiTheme="majorBidi" w:hAnsiTheme="majorBidi" w:cstheme="majorBidi"/>
        </w:rPr>
        <w:t>a planned attack on the royal family at Gödöllö</w:t>
      </w:r>
      <w:r w:rsidR="008F31A2">
        <w:rPr>
          <w:rFonts w:asciiTheme="majorBidi" w:hAnsiTheme="majorBidi" w:cstheme="majorBidi"/>
        </w:rPr>
        <w:t>, which never materialized</w:t>
      </w:r>
      <w:r w:rsidR="000F7178" w:rsidRPr="004F0559">
        <w:rPr>
          <w:rFonts w:asciiTheme="majorBidi" w:hAnsiTheme="majorBidi" w:cstheme="majorBidi"/>
        </w:rPr>
        <w:t>.</w:t>
      </w:r>
      <w:r w:rsidR="000F7178" w:rsidRPr="004F0559">
        <w:rPr>
          <w:rStyle w:val="FootnoteReference"/>
          <w:rFonts w:asciiTheme="majorBidi" w:hAnsiTheme="majorBidi" w:cstheme="majorBidi"/>
        </w:rPr>
        <w:footnoteReference w:id="31"/>
      </w:r>
      <w:r w:rsidR="000F7178" w:rsidRPr="004F0559">
        <w:rPr>
          <w:rFonts w:asciiTheme="majorBidi" w:hAnsiTheme="majorBidi" w:cstheme="majorBidi"/>
        </w:rPr>
        <w:t xml:space="preserve"> </w:t>
      </w:r>
      <w:r w:rsidR="008F31A2">
        <w:rPr>
          <w:rFonts w:asciiTheme="majorBidi" w:hAnsiTheme="majorBidi" w:cstheme="majorBidi"/>
        </w:rPr>
        <w:t xml:space="preserve">The year 1884 was </w:t>
      </w:r>
      <w:r w:rsidR="0089474B">
        <w:rPr>
          <w:rFonts w:asciiTheme="majorBidi" w:hAnsiTheme="majorBidi" w:cstheme="majorBidi"/>
        </w:rPr>
        <w:t xml:space="preserve">a </w:t>
      </w:r>
      <w:r w:rsidR="000F7178">
        <w:rPr>
          <w:rFonts w:asciiTheme="majorBidi" w:hAnsiTheme="majorBidi" w:cstheme="majorBidi"/>
        </w:rPr>
        <w:t xml:space="preserve">particularly tense year </w:t>
      </w:r>
      <w:r w:rsidR="008F31A2">
        <w:rPr>
          <w:rFonts w:asciiTheme="majorBidi" w:hAnsiTheme="majorBidi" w:cstheme="majorBidi"/>
        </w:rPr>
        <w:t>for the security services (with a</w:t>
      </w:r>
      <w:r w:rsidR="008F3DBF">
        <w:rPr>
          <w:rFonts w:asciiTheme="majorBidi" w:hAnsiTheme="majorBidi" w:cstheme="majorBidi"/>
        </w:rPr>
        <w:t xml:space="preserve">n accompanying </w:t>
      </w:r>
      <w:r w:rsidR="008F31A2">
        <w:rPr>
          <w:rFonts w:asciiTheme="majorBidi" w:hAnsiTheme="majorBidi" w:cstheme="majorBidi"/>
        </w:rPr>
        <w:t>spike in Austrian treason trials), for</w:t>
      </w:r>
      <w:r w:rsidR="000F7178">
        <w:rPr>
          <w:rFonts w:asciiTheme="majorBidi" w:hAnsiTheme="majorBidi" w:cstheme="majorBidi"/>
        </w:rPr>
        <w:t xml:space="preserve"> radical socialists or anarchists </w:t>
      </w:r>
      <w:r w:rsidR="0089474B">
        <w:rPr>
          <w:rFonts w:asciiTheme="majorBidi" w:hAnsiTheme="majorBidi" w:cstheme="majorBidi"/>
        </w:rPr>
        <w:t xml:space="preserve">had been </w:t>
      </w:r>
      <w:r w:rsidR="000F7178">
        <w:rPr>
          <w:rFonts w:asciiTheme="majorBidi" w:hAnsiTheme="majorBidi" w:cstheme="majorBidi"/>
        </w:rPr>
        <w:t xml:space="preserve">resorting to </w:t>
      </w:r>
      <w:r w:rsidR="0089474B">
        <w:rPr>
          <w:rFonts w:asciiTheme="majorBidi" w:hAnsiTheme="majorBidi" w:cstheme="majorBidi"/>
        </w:rPr>
        <w:t xml:space="preserve">the </w:t>
      </w:r>
      <w:r w:rsidR="000F7178">
        <w:rPr>
          <w:rFonts w:asciiTheme="majorBidi" w:hAnsiTheme="majorBidi" w:cstheme="majorBidi"/>
        </w:rPr>
        <w:t xml:space="preserve">murder </w:t>
      </w:r>
      <w:r w:rsidR="008F31A2">
        <w:rPr>
          <w:rFonts w:asciiTheme="majorBidi" w:hAnsiTheme="majorBidi" w:cstheme="majorBidi"/>
        </w:rPr>
        <w:t xml:space="preserve">of prominent individuals </w:t>
      </w:r>
      <w:r w:rsidR="000F7178">
        <w:rPr>
          <w:rFonts w:asciiTheme="majorBidi" w:hAnsiTheme="majorBidi" w:cstheme="majorBidi"/>
        </w:rPr>
        <w:t xml:space="preserve">– </w:t>
      </w:r>
      <w:r w:rsidR="008F31A2">
        <w:rPr>
          <w:rFonts w:asciiTheme="majorBidi" w:hAnsiTheme="majorBidi" w:cstheme="majorBidi"/>
        </w:rPr>
        <w:t xml:space="preserve">their </w:t>
      </w:r>
      <w:r w:rsidR="008F3DBF">
        <w:rPr>
          <w:rFonts w:asciiTheme="majorBidi" w:hAnsiTheme="majorBidi" w:cstheme="majorBidi"/>
        </w:rPr>
        <w:t xml:space="preserve">notorious </w:t>
      </w:r>
      <w:r w:rsidR="000F7178">
        <w:rPr>
          <w:rFonts w:asciiTheme="majorBidi" w:hAnsiTheme="majorBidi" w:cstheme="majorBidi"/>
        </w:rPr>
        <w:t xml:space="preserve">‘propaganda of the deed’ – and this led the Austrian government </w:t>
      </w:r>
      <w:r w:rsidR="008F3DBF">
        <w:rPr>
          <w:rFonts w:asciiTheme="majorBidi" w:hAnsiTheme="majorBidi" w:cstheme="majorBidi"/>
        </w:rPr>
        <w:t xml:space="preserve">temporarily </w:t>
      </w:r>
      <w:r w:rsidR="008F31A2">
        <w:rPr>
          <w:rFonts w:asciiTheme="majorBidi" w:hAnsiTheme="majorBidi" w:cstheme="majorBidi"/>
        </w:rPr>
        <w:t xml:space="preserve">to </w:t>
      </w:r>
      <w:r w:rsidR="000F7178">
        <w:rPr>
          <w:rFonts w:asciiTheme="majorBidi" w:hAnsiTheme="majorBidi" w:cstheme="majorBidi"/>
        </w:rPr>
        <w:t>introduc</w:t>
      </w:r>
      <w:r w:rsidR="008F31A2">
        <w:rPr>
          <w:rFonts w:asciiTheme="majorBidi" w:hAnsiTheme="majorBidi" w:cstheme="majorBidi"/>
        </w:rPr>
        <w:t>e</w:t>
      </w:r>
      <w:r w:rsidR="000F7178">
        <w:rPr>
          <w:rFonts w:asciiTheme="majorBidi" w:hAnsiTheme="majorBidi" w:cstheme="majorBidi"/>
        </w:rPr>
        <w:t xml:space="preserve"> a state of emergency in Vienna.</w:t>
      </w:r>
      <w:r w:rsidR="008F31A2">
        <w:rPr>
          <w:rStyle w:val="FootnoteReference"/>
          <w:rFonts w:asciiTheme="majorBidi" w:hAnsiTheme="majorBidi" w:cstheme="majorBidi"/>
        </w:rPr>
        <w:footnoteReference w:id="32"/>
      </w:r>
      <w:r w:rsidR="000F7178">
        <w:rPr>
          <w:rFonts w:asciiTheme="majorBidi" w:hAnsiTheme="majorBidi" w:cstheme="majorBidi"/>
        </w:rPr>
        <w:t xml:space="preserve"> </w:t>
      </w:r>
    </w:p>
    <w:p w:rsidR="006E4050" w:rsidRPr="004F0559" w:rsidRDefault="000F7178" w:rsidP="002D4830">
      <w:pPr>
        <w:spacing w:line="480" w:lineRule="auto"/>
        <w:ind w:firstLine="720"/>
        <w:rPr>
          <w:rFonts w:asciiTheme="majorBidi" w:hAnsiTheme="majorBidi" w:cstheme="majorBidi"/>
        </w:rPr>
      </w:pPr>
      <w:r>
        <w:rPr>
          <w:rFonts w:asciiTheme="majorBidi" w:hAnsiTheme="majorBidi" w:cstheme="majorBidi"/>
        </w:rPr>
        <w:lastRenderedPageBreak/>
        <w:t>In the courts at</w:t>
      </w:r>
      <w:r w:rsidR="006E4050" w:rsidRPr="004F0559">
        <w:rPr>
          <w:rFonts w:asciiTheme="majorBidi" w:hAnsiTheme="majorBidi" w:cstheme="majorBidi"/>
        </w:rPr>
        <w:t xml:space="preserve"> this time, Austrian public prosecutors would often suggest </w:t>
      </w:r>
      <w:r w:rsidR="008F31A2">
        <w:rPr>
          <w:rFonts w:asciiTheme="majorBidi" w:hAnsiTheme="majorBidi" w:cstheme="majorBidi"/>
        </w:rPr>
        <w:t xml:space="preserve">that </w:t>
      </w:r>
      <w:r w:rsidR="006E4050" w:rsidRPr="004F0559">
        <w:rPr>
          <w:rFonts w:asciiTheme="majorBidi" w:hAnsiTheme="majorBidi" w:cstheme="majorBidi"/>
        </w:rPr>
        <w:t xml:space="preserve">a crime had been committed under §58a if </w:t>
      </w:r>
      <w:r w:rsidR="008F31A2">
        <w:rPr>
          <w:rFonts w:asciiTheme="majorBidi" w:hAnsiTheme="majorBidi" w:cstheme="majorBidi"/>
        </w:rPr>
        <w:t xml:space="preserve">the individual’s </w:t>
      </w:r>
      <w:r w:rsidR="006E4050" w:rsidRPr="004F0559">
        <w:rPr>
          <w:rFonts w:asciiTheme="majorBidi" w:hAnsiTheme="majorBidi" w:cstheme="majorBidi"/>
        </w:rPr>
        <w:t xml:space="preserve">behaviour implied </w:t>
      </w:r>
      <w:r w:rsidR="0089474B">
        <w:rPr>
          <w:rFonts w:asciiTheme="majorBidi" w:hAnsiTheme="majorBidi" w:cstheme="majorBidi"/>
        </w:rPr>
        <w:t>some</w:t>
      </w:r>
      <w:r w:rsidR="006E4050" w:rsidRPr="004F0559">
        <w:rPr>
          <w:rFonts w:asciiTheme="majorBidi" w:hAnsiTheme="majorBidi" w:cstheme="majorBidi"/>
        </w:rPr>
        <w:t xml:space="preserve"> violent threat to the emperor. This </w:t>
      </w:r>
      <w:r w:rsidR="008F31A2">
        <w:rPr>
          <w:rFonts w:asciiTheme="majorBidi" w:hAnsiTheme="majorBidi" w:cstheme="majorBidi"/>
        </w:rPr>
        <w:t>could amount to ‘</w:t>
      </w:r>
      <w:r w:rsidR="006E4050" w:rsidRPr="00A353AE">
        <w:rPr>
          <w:rFonts w:asciiTheme="majorBidi" w:hAnsiTheme="majorBidi" w:cstheme="majorBidi"/>
        </w:rPr>
        <w:t>constructed treason’</w:t>
      </w:r>
      <w:r w:rsidR="006E4050" w:rsidRPr="004F0559">
        <w:rPr>
          <w:rFonts w:asciiTheme="majorBidi" w:hAnsiTheme="majorBidi" w:cstheme="majorBidi"/>
        </w:rPr>
        <w:t xml:space="preserve">, by which I mean the </w:t>
      </w:r>
      <w:r w:rsidR="00DE3545">
        <w:rPr>
          <w:rFonts w:asciiTheme="majorBidi" w:hAnsiTheme="majorBidi" w:cstheme="majorBidi"/>
        </w:rPr>
        <w:t xml:space="preserve">court </w:t>
      </w:r>
      <w:r w:rsidR="006E4050" w:rsidRPr="004F0559">
        <w:rPr>
          <w:rFonts w:asciiTheme="majorBidi" w:hAnsiTheme="majorBidi" w:cstheme="majorBidi"/>
        </w:rPr>
        <w:t>prosecutor inferr</w:t>
      </w:r>
      <w:r w:rsidR="0089348B">
        <w:rPr>
          <w:rFonts w:asciiTheme="majorBidi" w:hAnsiTheme="majorBidi" w:cstheme="majorBidi"/>
        </w:rPr>
        <w:t>ed</w:t>
      </w:r>
      <w:r w:rsidR="006E4050" w:rsidRPr="004F0559">
        <w:rPr>
          <w:rFonts w:asciiTheme="majorBidi" w:hAnsiTheme="majorBidi" w:cstheme="majorBidi"/>
        </w:rPr>
        <w:t xml:space="preserve"> guilt</w:t>
      </w:r>
      <w:r w:rsidR="0039712F">
        <w:rPr>
          <w:rFonts w:asciiTheme="majorBidi" w:hAnsiTheme="majorBidi" w:cstheme="majorBidi"/>
        </w:rPr>
        <w:t xml:space="preserve"> and</w:t>
      </w:r>
      <w:r w:rsidR="006E4050" w:rsidRPr="004F0559">
        <w:rPr>
          <w:rFonts w:asciiTheme="majorBidi" w:hAnsiTheme="majorBidi" w:cstheme="majorBidi"/>
        </w:rPr>
        <w:t xml:space="preserve"> often group</w:t>
      </w:r>
      <w:r w:rsidR="0089348B">
        <w:rPr>
          <w:rFonts w:asciiTheme="majorBidi" w:hAnsiTheme="majorBidi" w:cstheme="majorBidi"/>
        </w:rPr>
        <w:t>ed</w:t>
      </w:r>
      <w:r w:rsidR="006E4050" w:rsidRPr="004F0559">
        <w:rPr>
          <w:rFonts w:asciiTheme="majorBidi" w:hAnsiTheme="majorBidi" w:cstheme="majorBidi"/>
        </w:rPr>
        <w:t xml:space="preserve"> together </w:t>
      </w:r>
      <w:r w:rsidR="006E4050">
        <w:rPr>
          <w:rFonts w:asciiTheme="majorBidi" w:hAnsiTheme="majorBidi" w:cstheme="majorBidi"/>
        </w:rPr>
        <w:t xml:space="preserve">pieces of </w:t>
      </w:r>
      <w:r w:rsidR="006E4050" w:rsidRPr="004F0559">
        <w:rPr>
          <w:rFonts w:asciiTheme="majorBidi" w:hAnsiTheme="majorBidi" w:cstheme="majorBidi"/>
        </w:rPr>
        <w:t xml:space="preserve">circumstantial evidence </w:t>
      </w:r>
      <w:r w:rsidR="0039712F">
        <w:rPr>
          <w:rFonts w:asciiTheme="majorBidi" w:hAnsiTheme="majorBidi" w:cstheme="majorBidi"/>
        </w:rPr>
        <w:t xml:space="preserve">in order </w:t>
      </w:r>
      <w:r w:rsidR="008F31A2">
        <w:rPr>
          <w:rFonts w:asciiTheme="majorBidi" w:hAnsiTheme="majorBidi" w:cstheme="majorBidi"/>
        </w:rPr>
        <w:t>to prove the crime</w:t>
      </w:r>
      <w:r w:rsidR="006E4050" w:rsidRPr="004F0559">
        <w:rPr>
          <w:rFonts w:asciiTheme="majorBidi" w:hAnsiTheme="majorBidi" w:cstheme="majorBidi"/>
        </w:rPr>
        <w:t>.</w:t>
      </w:r>
      <w:r w:rsidR="008F31A2">
        <w:rPr>
          <w:rStyle w:val="FootnoteReference"/>
          <w:rFonts w:asciiTheme="majorBidi" w:hAnsiTheme="majorBidi" w:cstheme="majorBidi"/>
        </w:rPr>
        <w:footnoteReference w:id="33"/>
      </w:r>
      <w:r w:rsidR="006E4050" w:rsidRPr="004F0559">
        <w:rPr>
          <w:rFonts w:asciiTheme="majorBidi" w:hAnsiTheme="majorBidi" w:cstheme="majorBidi"/>
        </w:rPr>
        <w:t xml:space="preserve"> </w:t>
      </w:r>
      <w:r w:rsidR="00DE3545">
        <w:rPr>
          <w:rFonts w:asciiTheme="majorBidi" w:hAnsiTheme="majorBidi" w:cstheme="majorBidi"/>
        </w:rPr>
        <w:t>At other times, simple threats were interpreted as treason. Thus</w:t>
      </w:r>
      <w:r w:rsidR="00600DEE">
        <w:rPr>
          <w:rFonts w:asciiTheme="majorBidi" w:hAnsiTheme="majorBidi" w:cstheme="majorBidi"/>
        </w:rPr>
        <w:t xml:space="preserve"> in 1869</w:t>
      </w:r>
      <w:r w:rsidR="005E6296">
        <w:rPr>
          <w:rFonts w:asciiTheme="majorBidi" w:hAnsiTheme="majorBidi" w:cstheme="majorBidi"/>
        </w:rPr>
        <w:t>,</w:t>
      </w:r>
      <w:r w:rsidR="00600DEE">
        <w:rPr>
          <w:rFonts w:asciiTheme="majorBidi" w:hAnsiTheme="majorBidi" w:cstheme="majorBidi"/>
        </w:rPr>
        <w:t xml:space="preserve"> two men in a Prague prison</w:t>
      </w:r>
      <w:r w:rsidR="0089348B">
        <w:rPr>
          <w:rFonts w:asciiTheme="majorBidi" w:hAnsiTheme="majorBidi" w:cstheme="majorBidi"/>
        </w:rPr>
        <w:t>,</w:t>
      </w:r>
      <w:r w:rsidR="00600DEE">
        <w:rPr>
          <w:rFonts w:asciiTheme="majorBidi" w:hAnsiTheme="majorBidi" w:cstheme="majorBidi"/>
        </w:rPr>
        <w:t xml:space="preserve"> who were heard crying out </w:t>
      </w:r>
      <w:r w:rsidR="00600DEE" w:rsidRPr="00BE51D3">
        <w:t xml:space="preserve">‘Long live the republic…kill the Germans, death to the </w:t>
      </w:r>
      <w:r w:rsidR="008F3DBF">
        <w:t>e</w:t>
      </w:r>
      <w:r w:rsidR="00600DEE" w:rsidRPr="00BE51D3">
        <w:t>mperor</w:t>
      </w:r>
      <w:r w:rsidR="00600DEE">
        <w:t>’</w:t>
      </w:r>
      <w:r w:rsidR="0089348B">
        <w:t>,</w:t>
      </w:r>
      <w:r w:rsidR="00600DEE">
        <w:t xml:space="preserve"> were prosecuted for treason</w:t>
      </w:r>
      <w:r w:rsidR="00DE3545">
        <w:rPr>
          <w:rFonts w:asciiTheme="majorBidi" w:hAnsiTheme="majorBidi" w:cstheme="majorBidi"/>
        </w:rPr>
        <w:t>.</w:t>
      </w:r>
      <w:r w:rsidR="00600DEE">
        <w:rPr>
          <w:rFonts w:asciiTheme="majorBidi" w:hAnsiTheme="majorBidi" w:cstheme="majorBidi"/>
        </w:rPr>
        <w:t xml:space="preserve"> In the same year another</w:t>
      </w:r>
      <w:r w:rsidR="006E4050" w:rsidRPr="004F0559">
        <w:rPr>
          <w:rFonts w:asciiTheme="majorBidi" w:hAnsiTheme="majorBidi" w:cstheme="majorBidi"/>
        </w:rPr>
        <w:t xml:space="preserve"> two young men were </w:t>
      </w:r>
      <w:r w:rsidR="00600DEE">
        <w:rPr>
          <w:rFonts w:asciiTheme="majorBidi" w:hAnsiTheme="majorBidi" w:cstheme="majorBidi"/>
        </w:rPr>
        <w:t>discovered</w:t>
      </w:r>
      <w:r w:rsidR="006E4050" w:rsidRPr="004F0559">
        <w:rPr>
          <w:rFonts w:asciiTheme="majorBidi" w:hAnsiTheme="majorBidi" w:cstheme="majorBidi"/>
        </w:rPr>
        <w:t xml:space="preserve"> spreading Czech nationalist leaflets around Prague </w:t>
      </w:r>
      <w:r w:rsidR="00600DEE">
        <w:rPr>
          <w:rFonts w:asciiTheme="majorBidi" w:hAnsiTheme="majorBidi" w:cstheme="majorBidi"/>
        </w:rPr>
        <w:t>i</w:t>
      </w:r>
      <w:r w:rsidR="008F3DBF">
        <w:rPr>
          <w:rFonts w:asciiTheme="majorBidi" w:hAnsiTheme="majorBidi" w:cstheme="majorBidi"/>
        </w:rPr>
        <w:t xml:space="preserve">nscribed with </w:t>
      </w:r>
      <w:r w:rsidR="006E4050" w:rsidRPr="004F0559">
        <w:rPr>
          <w:rFonts w:asciiTheme="majorBidi" w:hAnsiTheme="majorBidi" w:cstheme="majorBidi"/>
        </w:rPr>
        <w:t xml:space="preserve">‘death to the </w:t>
      </w:r>
      <w:r w:rsidR="008F3DBF">
        <w:rPr>
          <w:rFonts w:asciiTheme="majorBidi" w:hAnsiTheme="majorBidi" w:cstheme="majorBidi"/>
        </w:rPr>
        <w:t>e</w:t>
      </w:r>
      <w:r w:rsidR="006E4050" w:rsidRPr="004F0559">
        <w:rPr>
          <w:rFonts w:asciiTheme="majorBidi" w:hAnsiTheme="majorBidi" w:cstheme="majorBidi"/>
        </w:rPr>
        <w:t>mperor’</w:t>
      </w:r>
      <w:r w:rsidR="00600DEE">
        <w:rPr>
          <w:rFonts w:asciiTheme="majorBidi" w:hAnsiTheme="majorBidi" w:cstheme="majorBidi"/>
        </w:rPr>
        <w:t xml:space="preserve">. </w:t>
      </w:r>
      <w:r w:rsidR="00405EC8">
        <w:rPr>
          <w:rFonts w:asciiTheme="majorBidi" w:hAnsiTheme="majorBidi" w:cstheme="majorBidi"/>
          <w:b/>
        </w:rPr>
        <w:t xml:space="preserve">[Figures 8a &amp; 8b] </w:t>
      </w:r>
      <w:r w:rsidR="00600DEE">
        <w:rPr>
          <w:rFonts w:asciiTheme="majorBidi" w:hAnsiTheme="majorBidi" w:cstheme="majorBidi"/>
        </w:rPr>
        <w:t>In both these cases, the initial charge was under</w:t>
      </w:r>
      <w:r w:rsidR="006E4050" w:rsidRPr="004F0559">
        <w:rPr>
          <w:rFonts w:asciiTheme="majorBidi" w:hAnsiTheme="majorBidi" w:cstheme="majorBidi"/>
        </w:rPr>
        <w:t xml:space="preserve"> §58a</w:t>
      </w:r>
      <w:r w:rsidR="00600DEE">
        <w:rPr>
          <w:rFonts w:asciiTheme="majorBidi" w:hAnsiTheme="majorBidi" w:cstheme="majorBidi"/>
        </w:rPr>
        <w:t xml:space="preserve"> – almost as a </w:t>
      </w:r>
      <w:r w:rsidR="00721647">
        <w:rPr>
          <w:rFonts w:asciiTheme="majorBidi" w:hAnsiTheme="majorBidi" w:cstheme="majorBidi"/>
        </w:rPr>
        <w:t xml:space="preserve">reflex action - </w:t>
      </w:r>
      <w:r w:rsidR="006E4050" w:rsidRPr="004F0559">
        <w:rPr>
          <w:rFonts w:asciiTheme="majorBidi" w:hAnsiTheme="majorBidi" w:cstheme="majorBidi"/>
        </w:rPr>
        <w:t xml:space="preserve">but finally </w:t>
      </w:r>
      <w:r w:rsidR="00721647">
        <w:rPr>
          <w:rFonts w:asciiTheme="majorBidi" w:hAnsiTheme="majorBidi" w:cstheme="majorBidi"/>
        </w:rPr>
        <w:t xml:space="preserve">all were </w:t>
      </w:r>
      <w:r w:rsidR="006E4050" w:rsidRPr="004F0559">
        <w:rPr>
          <w:rFonts w:asciiTheme="majorBidi" w:hAnsiTheme="majorBidi" w:cstheme="majorBidi"/>
        </w:rPr>
        <w:t>convicted under the lesser crime of disturbing public order</w:t>
      </w:r>
      <w:r w:rsidR="008F3DBF">
        <w:rPr>
          <w:rFonts w:asciiTheme="majorBidi" w:hAnsiTheme="majorBidi" w:cstheme="majorBidi"/>
        </w:rPr>
        <w:t xml:space="preserve"> and given prison sentences of up to two years</w:t>
      </w:r>
      <w:r w:rsidR="006E4050" w:rsidRPr="004F0559">
        <w:rPr>
          <w:rFonts w:asciiTheme="majorBidi" w:hAnsiTheme="majorBidi" w:cstheme="majorBidi"/>
        </w:rPr>
        <w:t>.</w:t>
      </w:r>
      <w:r w:rsidR="006E4050" w:rsidRPr="004F0559">
        <w:rPr>
          <w:rStyle w:val="FootnoteReference"/>
          <w:rFonts w:asciiTheme="majorBidi" w:hAnsiTheme="majorBidi" w:cstheme="majorBidi"/>
        </w:rPr>
        <w:footnoteReference w:id="34"/>
      </w:r>
      <w:r w:rsidR="006E4050" w:rsidRPr="004F0559">
        <w:rPr>
          <w:rFonts w:asciiTheme="majorBidi" w:hAnsiTheme="majorBidi" w:cstheme="majorBidi"/>
        </w:rPr>
        <w:t xml:space="preserve"> In </w:t>
      </w:r>
      <w:r w:rsidR="008F3DBF">
        <w:rPr>
          <w:rFonts w:asciiTheme="majorBidi" w:hAnsiTheme="majorBidi" w:cstheme="majorBidi"/>
        </w:rPr>
        <w:t xml:space="preserve">the </w:t>
      </w:r>
      <w:r w:rsidR="006E4050" w:rsidRPr="004F0559">
        <w:rPr>
          <w:rFonts w:asciiTheme="majorBidi" w:hAnsiTheme="majorBidi" w:cstheme="majorBidi"/>
        </w:rPr>
        <w:t xml:space="preserve">years </w:t>
      </w:r>
      <w:r w:rsidR="008F3DBF">
        <w:rPr>
          <w:rFonts w:asciiTheme="majorBidi" w:hAnsiTheme="majorBidi" w:cstheme="majorBidi"/>
        </w:rPr>
        <w:t xml:space="preserve">of anarchism </w:t>
      </w:r>
      <w:r w:rsidR="006E4050" w:rsidRPr="004F0559">
        <w:rPr>
          <w:rFonts w:asciiTheme="majorBidi" w:hAnsiTheme="majorBidi" w:cstheme="majorBidi"/>
        </w:rPr>
        <w:t xml:space="preserve">the threat of violence </w:t>
      </w:r>
      <w:r w:rsidR="008F3DBF">
        <w:rPr>
          <w:rFonts w:asciiTheme="majorBidi" w:hAnsiTheme="majorBidi" w:cstheme="majorBidi"/>
        </w:rPr>
        <w:t>was far more justified</w:t>
      </w:r>
      <w:r w:rsidR="006E4050" w:rsidRPr="004F0559">
        <w:rPr>
          <w:rFonts w:asciiTheme="majorBidi" w:hAnsiTheme="majorBidi" w:cstheme="majorBidi"/>
        </w:rPr>
        <w:t xml:space="preserve">. </w:t>
      </w:r>
      <w:r w:rsidR="008F3DBF">
        <w:rPr>
          <w:rFonts w:asciiTheme="majorBidi" w:hAnsiTheme="majorBidi" w:cstheme="majorBidi"/>
        </w:rPr>
        <w:t>I</w:t>
      </w:r>
      <w:r w:rsidR="006E4050" w:rsidRPr="004F0559">
        <w:rPr>
          <w:rFonts w:asciiTheme="majorBidi" w:hAnsiTheme="majorBidi" w:cstheme="majorBidi"/>
        </w:rPr>
        <w:t>n 1894, two Czech teenagers, who were members of a secret society seeking violently to overthrow the monarchy, were convicted of treason. Their indirect threat to the emperor was prove</w:t>
      </w:r>
      <w:r w:rsidR="008F3DBF">
        <w:rPr>
          <w:rFonts w:asciiTheme="majorBidi" w:hAnsiTheme="majorBidi" w:cstheme="majorBidi"/>
        </w:rPr>
        <w:t>n</w:t>
      </w:r>
      <w:r w:rsidR="006E4050" w:rsidRPr="004F0559">
        <w:rPr>
          <w:rFonts w:asciiTheme="majorBidi" w:hAnsiTheme="majorBidi" w:cstheme="majorBidi"/>
        </w:rPr>
        <w:t xml:space="preserve"> under §58a, and both traitors received harsh sentences of twelve years.</w:t>
      </w:r>
      <w:r w:rsidR="006E4050" w:rsidRPr="004F0559">
        <w:rPr>
          <w:rStyle w:val="FootnoteReference"/>
          <w:rFonts w:asciiTheme="majorBidi" w:hAnsiTheme="majorBidi" w:cstheme="majorBidi"/>
        </w:rPr>
        <w:footnoteReference w:id="35"/>
      </w:r>
      <w:r w:rsidR="006E4050" w:rsidRPr="004F0559">
        <w:rPr>
          <w:rFonts w:asciiTheme="majorBidi" w:hAnsiTheme="majorBidi" w:cstheme="majorBidi"/>
        </w:rPr>
        <w:t xml:space="preserve"> </w:t>
      </w:r>
      <w:r w:rsidR="006E4050">
        <w:rPr>
          <w:rFonts w:asciiTheme="majorBidi" w:hAnsiTheme="majorBidi" w:cstheme="majorBidi"/>
        </w:rPr>
        <w:t>Thus</w:t>
      </w:r>
      <w:r w:rsidR="00394E06">
        <w:rPr>
          <w:rFonts w:asciiTheme="majorBidi" w:hAnsiTheme="majorBidi" w:cstheme="majorBidi"/>
        </w:rPr>
        <w:t>, in contrast to crimes like murder or robbery,</w:t>
      </w:r>
      <w:r w:rsidR="006E4050">
        <w:rPr>
          <w:rFonts w:asciiTheme="majorBidi" w:hAnsiTheme="majorBidi" w:cstheme="majorBidi"/>
        </w:rPr>
        <w:t xml:space="preserve"> </w:t>
      </w:r>
      <w:r w:rsidR="00394E06">
        <w:rPr>
          <w:rFonts w:asciiTheme="majorBidi" w:hAnsiTheme="majorBidi" w:cstheme="majorBidi"/>
        </w:rPr>
        <w:t xml:space="preserve">in cases of treason </w:t>
      </w:r>
      <w:r w:rsidR="006E4050">
        <w:rPr>
          <w:rFonts w:asciiTheme="majorBidi" w:hAnsiTheme="majorBidi" w:cstheme="majorBidi"/>
        </w:rPr>
        <w:t>t</w:t>
      </w:r>
      <w:r w:rsidR="006E4050" w:rsidRPr="004F0559">
        <w:rPr>
          <w:rFonts w:asciiTheme="majorBidi" w:hAnsiTheme="majorBidi" w:cstheme="majorBidi"/>
        </w:rPr>
        <w:t>he intent</w:t>
      </w:r>
      <w:r w:rsidR="00394E06">
        <w:rPr>
          <w:rFonts w:asciiTheme="majorBidi" w:hAnsiTheme="majorBidi" w:cstheme="majorBidi"/>
        </w:rPr>
        <w:t>ion</w:t>
      </w:r>
      <w:r w:rsidR="006E4050" w:rsidRPr="004F0559">
        <w:rPr>
          <w:rFonts w:asciiTheme="majorBidi" w:hAnsiTheme="majorBidi" w:cstheme="majorBidi"/>
        </w:rPr>
        <w:t xml:space="preserve"> behind </w:t>
      </w:r>
      <w:r w:rsidR="00394E06">
        <w:rPr>
          <w:rFonts w:asciiTheme="majorBidi" w:hAnsiTheme="majorBidi" w:cstheme="majorBidi"/>
        </w:rPr>
        <w:t>a treacherous act</w:t>
      </w:r>
      <w:r w:rsidR="006E4050" w:rsidRPr="004F0559">
        <w:rPr>
          <w:rFonts w:asciiTheme="majorBidi" w:hAnsiTheme="majorBidi" w:cstheme="majorBidi"/>
        </w:rPr>
        <w:t xml:space="preserve"> was </w:t>
      </w:r>
      <w:r w:rsidR="00394E06">
        <w:rPr>
          <w:rFonts w:asciiTheme="majorBidi" w:hAnsiTheme="majorBidi" w:cstheme="majorBidi"/>
        </w:rPr>
        <w:t xml:space="preserve">equivalent to </w:t>
      </w:r>
      <w:r w:rsidR="006E4050" w:rsidRPr="004F0559">
        <w:rPr>
          <w:rFonts w:asciiTheme="majorBidi" w:hAnsiTheme="majorBidi" w:cstheme="majorBidi"/>
        </w:rPr>
        <w:t>actually carrying out the deed.</w:t>
      </w:r>
    </w:p>
    <w:p w:rsidR="006E4050" w:rsidRPr="004F0559" w:rsidRDefault="006E4050" w:rsidP="002D4830">
      <w:pPr>
        <w:spacing w:line="480" w:lineRule="auto"/>
        <w:ind w:firstLine="720"/>
        <w:rPr>
          <w:rFonts w:asciiTheme="majorBidi" w:hAnsiTheme="majorBidi" w:cstheme="majorBidi"/>
        </w:rPr>
      </w:pPr>
      <w:r w:rsidRPr="004F0559">
        <w:rPr>
          <w:rFonts w:asciiTheme="majorBidi" w:hAnsiTheme="majorBidi" w:cstheme="majorBidi"/>
        </w:rPr>
        <w:t xml:space="preserve">Although we do find cases where a jury acquitted an individual charged under </w:t>
      </w:r>
      <w:r w:rsidR="00A26EAD">
        <w:rPr>
          <w:rFonts w:asciiTheme="majorBidi" w:hAnsiTheme="majorBidi" w:cstheme="majorBidi"/>
        </w:rPr>
        <w:t>§</w:t>
      </w:r>
      <w:r w:rsidRPr="004F0559">
        <w:rPr>
          <w:rFonts w:asciiTheme="majorBidi" w:hAnsiTheme="majorBidi" w:cstheme="majorBidi"/>
        </w:rPr>
        <w:t>58a, serious assassins were likely to receive no mercy</w:t>
      </w:r>
      <w:r w:rsidR="00353DD3">
        <w:rPr>
          <w:rFonts w:asciiTheme="majorBidi" w:hAnsiTheme="majorBidi" w:cstheme="majorBidi"/>
        </w:rPr>
        <w:t xml:space="preserve"> and would be executed</w:t>
      </w:r>
      <w:r w:rsidRPr="004F0559">
        <w:rPr>
          <w:rFonts w:asciiTheme="majorBidi" w:hAnsiTheme="majorBidi" w:cstheme="majorBidi"/>
        </w:rPr>
        <w:t xml:space="preserve">. The most notorious example of this was </w:t>
      </w:r>
      <w:r w:rsidRPr="00A26EAD">
        <w:rPr>
          <w:rFonts w:asciiTheme="majorBidi" w:hAnsiTheme="majorBidi" w:cstheme="majorBidi"/>
        </w:rPr>
        <w:t>Guglielmo Oberdan,</w:t>
      </w:r>
      <w:r w:rsidRPr="004F0559">
        <w:rPr>
          <w:rFonts w:asciiTheme="majorBidi" w:hAnsiTheme="majorBidi" w:cstheme="majorBidi"/>
        </w:rPr>
        <w:t xml:space="preserve"> the young Italian </w:t>
      </w:r>
      <w:r>
        <w:rPr>
          <w:rFonts w:asciiTheme="majorBidi" w:hAnsiTheme="majorBidi" w:cstheme="majorBidi"/>
        </w:rPr>
        <w:t>nationalist</w:t>
      </w:r>
      <w:r w:rsidRPr="004F0559">
        <w:rPr>
          <w:rFonts w:asciiTheme="majorBidi" w:hAnsiTheme="majorBidi" w:cstheme="majorBidi"/>
        </w:rPr>
        <w:t xml:space="preserve"> who in </w:t>
      </w:r>
      <w:r w:rsidR="00405EC8">
        <w:rPr>
          <w:rFonts w:asciiTheme="majorBidi" w:hAnsiTheme="majorBidi" w:cstheme="majorBidi"/>
        </w:rPr>
        <w:t xml:space="preserve">late </w:t>
      </w:r>
      <w:r w:rsidRPr="004F0559">
        <w:rPr>
          <w:rFonts w:asciiTheme="majorBidi" w:hAnsiTheme="majorBidi" w:cstheme="majorBidi"/>
        </w:rPr>
        <w:t xml:space="preserve">1882 plotted to kill Franz Joseph with a bomb during his </w:t>
      </w:r>
      <w:r w:rsidR="00A26EAD">
        <w:rPr>
          <w:rFonts w:asciiTheme="majorBidi" w:hAnsiTheme="majorBidi" w:cstheme="majorBidi"/>
        </w:rPr>
        <w:t xml:space="preserve">official </w:t>
      </w:r>
      <w:r w:rsidRPr="004F0559">
        <w:rPr>
          <w:rFonts w:asciiTheme="majorBidi" w:hAnsiTheme="majorBidi" w:cstheme="majorBidi"/>
        </w:rPr>
        <w:t xml:space="preserve">visit to Trieste. After his arrest and interrogation, Oberdan was tried by a military court, thereby treated as a soldier since a </w:t>
      </w:r>
      <w:r w:rsidRPr="004F0559">
        <w:rPr>
          <w:rFonts w:asciiTheme="majorBidi" w:hAnsiTheme="majorBidi" w:cstheme="majorBidi"/>
        </w:rPr>
        <w:lastRenderedPageBreak/>
        <w:t>few years earlier he had deserted from the army to Italy. While the treason charges levelled against him were no different to those of a civilian court, the draconian military procedure amounted to summary justice.</w:t>
      </w:r>
      <w:r w:rsidRPr="004F0559">
        <w:rPr>
          <w:rStyle w:val="FootnoteReference"/>
          <w:rFonts w:asciiTheme="majorBidi" w:hAnsiTheme="majorBidi" w:cstheme="majorBidi"/>
        </w:rPr>
        <w:footnoteReference w:id="36"/>
      </w:r>
      <w:r w:rsidRPr="004F0559">
        <w:rPr>
          <w:rFonts w:asciiTheme="majorBidi" w:hAnsiTheme="majorBidi" w:cstheme="majorBidi"/>
        </w:rPr>
        <w:t xml:space="preserve"> His trial was held </w:t>
      </w:r>
      <w:r w:rsidRPr="004F0559">
        <w:rPr>
          <w:rFonts w:asciiTheme="majorBidi" w:hAnsiTheme="majorBidi" w:cstheme="majorBidi"/>
          <w:i/>
        </w:rPr>
        <w:t>in camera</w:t>
      </w:r>
      <w:r w:rsidRPr="004F0559">
        <w:rPr>
          <w:rFonts w:asciiTheme="majorBidi" w:hAnsiTheme="majorBidi" w:cstheme="majorBidi"/>
        </w:rPr>
        <w:t xml:space="preserve">, dominated wholly by the </w:t>
      </w:r>
      <w:r w:rsidR="00A26EAD">
        <w:rPr>
          <w:rFonts w:asciiTheme="majorBidi" w:hAnsiTheme="majorBidi" w:cstheme="majorBidi"/>
        </w:rPr>
        <w:t xml:space="preserve">military </w:t>
      </w:r>
      <w:r w:rsidRPr="004F0559">
        <w:rPr>
          <w:rFonts w:asciiTheme="majorBidi" w:hAnsiTheme="majorBidi" w:cstheme="majorBidi"/>
        </w:rPr>
        <w:t xml:space="preserve">prosecutor, and without the presence of the defendant himself. No defence counsel and no witnesses were provided: instead the conviction was based largely on Oberdan’s own deposition together with vague circumstantial evidence. A unanimous guilty verdict was inevitable, and Oberdan was secretly </w:t>
      </w:r>
      <w:r w:rsidR="00353DD3">
        <w:rPr>
          <w:rFonts w:asciiTheme="majorBidi" w:hAnsiTheme="majorBidi" w:cstheme="majorBidi"/>
        </w:rPr>
        <w:t>hanged</w:t>
      </w:r>
      <w:r w:rsidRPr="004F0559">
        <w:rPr>
          <w:rFonts w:asciiTheme="majorBidi" w:hAnsiTheme="majorBidi" w:cstheme="majorBidi"/>
        </w:rPr>
        <w:t xml:space="preserve"> two days later.</w:t>
      </w:r>
    </w:p>
    <w:p w:rsidR="006E4050" w:rsidRDefault="006E4050" w:rsidP="002D4830">
      <w:pPr>
        <w:spacing w:line="480" w:lineRule="auto"/>
        <w:ind w:firstLine="720"/>
        <w:rPr>
          <w:rFonts w:asciiTheme="majorBidi" w:hAnsiTheme="majorBidi" w:cstheme="majorBidi"/>
        </w:rPr>
      </w:pPr>
      <w:r w:rsidRPr="004F0559">
        <w:rPr>
          <w:rFonts w:asciiTheme="majorBidi" w:hAnsiTheme="majorBidi" w:cstheme="majorBidi"/>
        </w:rPr>
        <w:t xml:space="preserve">So in this case </w:t>
      </w:r>
      <w:r w:rsidR="00A26EAD">
        <w:rPr>
          <w:rFonts w:asciiTheme="majorBidi" w:hAnsiTheme="majorBidi" w:cstheme="majorBidi"/>
        </w:rPr>
        <w:t xml:space="preserve">again, </w:t>
      </w:r>
      <w:r w:rsidRPr="004F0559">
        <w:rPr>
          <w:rFonts w:asciiTheme="majorBidi" w:hAnsiTheme="majorBidi" w:cstheme="majorBidi"/>
        </w:rPr>
        <w:t xml:space="preserve">the Habsburg state superficially seemed to dominate in the power struggle. Yet in contrast to Libényi thirty years earlier, </w:t>
      </w:r>
      <w:r w:rsidR="0089348B">
        <w:rPr>
          <w:rFonts w:asciiTheme="majorBidi" w:hAnsiTheme="majorBidi" w:cstheme="majorBidi"/>
        </w:rPr>
        <w:t>the authorities</w:t>
      </w:r>
      <w:r w:rsidRPr="004F0559">
        <w:rPr>
          <w:rFonts w:asciiTheme="majorBidi" w:hAnsiTheme="majorBidi" w:cstheme="majorBidi"/>
        </w:rPr>
        <w:t xml:space="preserve"> lost control of the moral narrative, for Oberdan quickly became the personification of Italian martyrdom.</w:t>
      </w:r>
      <w:r w:rsidR="002572D7">
        <w:rPr>
          <w:rFonts w:asciiTheme="majorBidi" w:hAnsiTheme="majorBidi" w:cstheme="majorBidi"/>
        </w:rPr>
        <w:t xml:space="preserve"> As images in Italian newspapers vividly exposed this bloody ‘crime of Trieste’, de</w:t>
      </w:r>
      <w:r w:rsidRPr="004F0559">
        <w:rPr>
          <w:rFonts w:asciiTheme="majorBidi" w:hAnsiTheme="majorBidi" w:cstheme="majorBidi"/>
        </w:rPr>
        <w:t>tails were soon circulating of his stoicism and self-sacrifice in the face of Austrian tyranny</w:t>
      </w:r>
      <w:r w:rsidR="002572D7">
        <w:rPr>
          <w:rFonts w:asciiTheme="majorBidi" w:hAnsiTheme="majorBidi" w:cstheme="majorBidi"/>
        </w:rPr>
        <w:t xml:space="preserve">. </w:t>
      </w:r>
      <w:r w:rsidR="000E4F38">
        <w:rPr>
          <w:rFonts w:asciiTheme="majorBidi" w:hAnsiTheme="majorBidi" w:cstheme="majorBidi"/>
          <w:b/>
        </w:rPr>
        <w:t>[Figure 9]</w:t>
      </w:r>
      <w:r w:rsidR="002572D7">
        <w:rPr>
          <w:rFonts w:asciiTheme="majorBidi" w:hAnsiTheme="majorBidi" w:cstheme="majorBidi"/>
        </w:rPr>
        <w:t xml:space="preserve"> For</w:t>
      </w:r>
      <w:r w:rsidRPr="004F0559">
        <w:rPr>
          <w:rFonts w:asciiTheme="majorBidi" w:hAnsiTheme="majorBidi" w:cstheme="majorBidi"/>
        </w:rPr>
        <w:t xml:space="preserve"> on the scaffold he – the traitor - had </w:t>
      </w:r>
      <w:r w:rsidR="0089348B">
        <w:rPr>
          <w:rFonts w:asciiTheme="majorBidi" w:hAnsiTheme="majorBidi" w:cstheme="majorBidi"/>
        </w:rPr>
        <w:t xml:space="preserve">supposedly </w:t>
      </w:r>
      <w:r w:rsidRPr="004F0559">
        <w:rPr>
          <w:rFonts w:asciiTheme="majorBidi" w:hAnsiTheme="majorBidi" w:cstheme="majorBidi"/>
        </w:rPr>
        <w:t>taken control of the theatre, shouting out ‘</w:t>
      </w:r>
      <w:proofErr w:type="spellStart"/>
      <w:r w:rsidRPr="00562A26">
        <w:rPr>
          <w:rFonts w:asciiTheme="majorBidi" w:hAnsiTheme="majorBidi" w:cstheme="majorBidi"/>
        </w:rPr>
        <w:t>Eviva</w:t>
      </w:r>
      <w:proofErr w:type="spellEnd"/>
      <w:r w:rsidRPr="00562A26">
        <w:rPr>
          <w:rFonts w:asciiTheme="majorBidi" w:hAnsiTheme="majorBidi" w:cstheme="majorBidi"/>
        </w:rPr>
        <w:t xml:space="preserve"> </w:t>
      </w:r>
      <w:proofErr w:type="spellStart"/>
      <w:r w:rsidRPr="00562A26">
        <w:rPr>
          <w:rFonts w:asciiTheme="majorBidi" w:hAnsiTheme="majorBidi" w:cstheme="majorBidi"/>
        </w:rPr>
        <w:t>l’Italia</w:t>
      </w:r>
      <w:proofErr w:type="spellEnd"/>
      <w:r w:rsidRPr="00562A26">
        <w:rPr>
          <w:rFonts w:asciiTheme="majorBidi" w:hAnsiTheme="majorBidi" w:cstheme="majorBidi"/>
        </w:rPr>
        <w:t>!</w:t>
      </w:r>
      <w:r w:rsidRPr="004F0559">
        <w:rPr>
          <w:rFonts w:asciiTheme="majorBidi" w:hAnsiTheme="majorBidi" w:cstheme="majorBidi"/>
        </w:rPr>
        <w:t>’ before the hangman throttled him. Typical</w:t>
      </w:r>
      <w:r w:rsidR="00562A26">
        <w:rPr>
          <w:rFonts w:asciiTheme="majorBidi" w:hAnsiTheme="majorBidi" w:cstheme="majorBidi"/>
        </w:rPr>
        <w:t>ly</w:t>
      </w:r>
      <w:r w:rsidRPr="004F0559">
        <w:rPr>
          <w:rFonts w:asciiTheme="majorBidi" w:hAnsiTheme="majorBidi" w:cstheme="majorBidi"/>
        </w:rPr>
        <w:t xml:space="preserve"> too, compared to </w:t>
      </w:r>
      <w:r w:rsidR="00562A26">
        <w:rPr>
          <w:rFonts w:asciiTheme="majorBidi" w:hAnsiTheme="majorBidi" w:cstheme="majorBidi"/>
        </w:rPr>
        <w:t xml:space="preserve">Habsburg </w:t>
      </w:r>
      <w:r w:rsidRPr="004F0559">
        <w:rPr>
          <w:rFonts w:asciiTheme="majorBidi" w:hAnsiTheme="majorBidi" w:cstheme="majorBidi"/>
        </w:rPr>
        <w:t xml:space="preserve">traitors of the 1850s, Oberdan’s moral compass </w:t>
      </w:r>
      <w:r w:rsidR="00562A26">
        <w:rPr>
          <w:rFonts w:asciiTheme="majorBidi" w:hAnsiTheme="majorBidi" w:cstheme="majorBidi"/>
        </w:rPr>
        <w:t xml:space="preserve">in the 1880s </w:t>
      </w:r>
      <w:r w:rsidRPr="004F0559">
        <w:rPr>
          <w:rFonts w:asciiTheme="majorBidi" w:hAnsiTheme="majorBidi" w:cstheme="majorBidi"/>
        </w:rPr>
        <w:t>was nationalist and secular, not divine</w:t>
      </w:r>
      <w:r w:rsidR="00562A26">
        <w:rPr>
          <w:rFonts w:asciiTheme="majorBidi" w:hAnsiTheme="majorBidi" w:cstheme="majorBidi"/>
        </w:rPr>
        <w:t>,</w:t>
      </w:r>
      <w:r w:rsidRPr="004F0559">
        <w:rPr>
          <w:rFonts w:asciiTheme="majorBidi" w:hAnsiTheme="majorBidi" w:cstheme="majorBidi"/>
        </w:rPr>
        <w:t xml:space="preserve"> </w:t>
      </w:r>
      <w:r w:rsidR="00562A26">
        <w:rPr>
          <w:rFonts w:asciiTheme="majorBidi" w:hAnsiTheme="majorBidi" w:cstheme="majorBidi"/>
        </w:rPr>
        <w:t xml:space="preserve">for </w:t>
      </w:r>
      <w:r w:rsidRPr="004F0559">
        <w:rPr>
          <w:rFonts w:asciiTheme="majorBidi" w:hAnsiTheme="majorBidi" w:cstheme="majorBidi"/>
        </w:rPr>
        <w:t>he rejected religion. The result over the next half century was a very public Oberdan cult that inspired young Italian nationalists in Austria</w:t>
      </w:r>
      <w:r w:rsidR="0089348B">
        <w:rPr>
          <w:rFonts w:asciiTheme="majorBidi" w:hAnsiTheme="majorBidi" w:cstheme="majorBidi"/>
        </w:rPr>
        <w:t>,</w:t>
      </w:r>
      <w:r w:rsidRPr="004F0559">
        <w:rPr>
          <w:rFonts w:asciiTheme="majorBidi" w:hAnsiTheme="majorBidi" w:cstheme="majorBidi"/>
        </w:rPr>
        <w:t xml:space="preserve"> and undermined any state narrative of treason. </w:t>
      </w:r>
      <w:r w:rsidR="00562A26">
        <w:rPr>
          <w:rFonts w:asciiTheme="majorBidi" w:hAnsiTheme="majorBidi" w:cstheme="majorBidi"/>
        </w:rPr>
        <w:t>While</w:t>
      </w:r>
      <w:r w:rsidRPr="004F0559">
        <w:rPr>
          <w:rFonts w:asciiTheme="majorBidi" w:hAnsiTheme="majorBidi" w:cstheme="majorBidi"/>
        </w:rPr>
        <w:t xml:space="preserve"> Oberdan’s intent had been clearly criminal, his idealism resonated with a swathe of public opinion</w:t>
      </w:r>
      <w:r w:rsidR="00562A26">
        <w:rPr>
          <w:rFonts w:asciiTheme="majorBidi" w:hAnsiTheme="majorBidi" w:cstheme="majorBidi"/>
        </w:rPr>
        <w:t xml:space="preserve">. It was </w:t>
      </w:r>
      <w:r w:rsidRPr="004F0559">
        <w:rPr>
          <w:rFonts w:asciiTheme="majorBidi" w:hAnsiTheme="majorBidi" w:cstheme="majorBidi"/>
        </w:rPr>
        <w:t xml:space="preserve">something the Habsburg </w:t>
      </w:r>
      <w:r w:rsidR="00562A26">
        <w:rPr>
          <w:rFonts w:asciiTheme="majorBidi" w:hAnsiTheme="majorBidi" w:cstheme="majorBidi"/>
        </w:rPr>
        <w:t>authorities</w:t>
      </w:r>
      <w:r w:rsidRPr="004F0559">
        <w:rPr>
          <w:rFonts w:asciiTheme="majorBidi" w:hAnsiTheme="majorBidi" w:cstheme="majorBidi"/>
        </w:rPr>
        <w:t xml:space="preserve"> could not control</w:t>
      </w:r>
      <w:r w:rsidR="00562A26">
        <w:rPr>
          <w:rFonts w:asciiTheme="majorBidi" w:hAnsiTheme="majorBidi" w:cstheme="majorBidi"/>
        </w:rPr>
        <w:t>, although they registered its impact – as is clear from the large amount of documentation they preserved on the subject</w:t>
      </w:r>
      <w:r w:rsidRPr="004F0559">
        <w:rPr>
          <w:rFonts w:asciiTheme="majorBidi" w:hAnsiTheme="majorBidi" w:cstheme="majorBidi"/>
        </w:rPr>
        <w:t>.</w:t>
      </w:r>
      <w:r w:rsidR="00562A26">
        <w:rPr>
          <w:rStyle w:val="FootnoteReference"/>
          <w:rFonts w:asciiTheme="majorBidi" w:hAnsiTheme="majorBidi" w:cstheme="majorBidi"/>
        </w:rPr>
        <w:footnoteReference w:id="37"/>
      </w:r>
      <w:r w:rsidR="00562A26">
        <w:rPr>
          <w:rFonts w:asciiTheme="majorBidi" w:hAnsiTheme="majorBidi" w:cstheme="majorBidi"/>
        </w:rPr>
        <w:t xml:space="preserve"> This did not prevent them making the mistake again: they would repeat it when executing the Italian irredentist Cesare Battisti for treason in 1915.</w:t>
      </w:r>
      <w:r w:rsidR="00562A26">
        <w:rPr>
          <w:rStyle w:val="FootnoteReference"/>
          <w:rFonts w:asciiTheme="majorBidi" w:hAnsiTheme="majorBidi" w:cstheme="majorBidi"/>
        </w:rPr>
        <w:footnoteReference w:id="38"/>
      </w:r>
    </w:p>
    <w:p w:rsidR="006E4050" w:rsidRPr="004F0559" w:rsidRDefault="006E4050" w:rsidP="002D4830">
      <w:pPr>
        <w:spacing w:line="480" w:lineRule="auto"/>
        <w:ind w:firstLine="720"/>
        <w:rPr>
          <w:rFonts w:asciiTheme="majorBidi" w:hAnsiTheme="majorBidi" w:cstheme="majorBidi"/>
        </w:rPr>
      </w:pPr>
    </w:p>
    <w:p w:rsidR="006E4050" w:rsidRPr="004F0559" w:rsidRDefault="00AF7461" w:rsidP="00AF7461">
      <w:pPr>
        <w:pStyle w:val="NormalWeb"/>
        <w:spacing w:before="0" w:beforeAutospacing="0" w:after="0" w:afterAutospacing="0" w:line="480" w:lineRule="auto"/>
        <w:rPr>
          <w:b/>
          <w:color w:val="000000"/>
          <w:lang w:val="en-GB"/>
        </w:rPr>
      </w:pPr>
      <w:r>
        <w:rPr>
          <w:b/>
          <w:color w:val="000000"/>
          <w:lang w:val="en-GB"/>
        </w:rPr>
        <w:t xml:space="preserve">2. </w:t>
      </w:r>
      <w:r w:rsidR="006E4050" w:rsidRPr="004F0559">
        <w:rPr>
          <w:b/>
          <w:color w:val="000000"/>
          <w:lang w:val="en-GB"/>
        </w:rPr>
        <w:t>The Socialist</w:t>
      </w:r>
      <w:r w:rsidR="0089348B">
        <w:rPr>
          <w:b/>
          <w:color w:val="000000"/>
          <w:lang w:val="en-GB"/>
        </w:rPr>
        <w:t xml:space="preserve"> and </w:t>
      </w:r>
      <w:r w:rsidR="006E4050" w:rsidRPr="004F0559">
        <w:rPr>
          <w:b/>
          <w:color w:val="000000"/>
          <w:lang w:val="en-GB"/>
        </w:rPr>
        <w:t>Anarchist</w:t>
      </w:r>
    </w:p>
    <w:p w:rsidR="006E4050" w:rsidRPr="004F0559" w:rsidRDefault="0089348B" w:rsidP="0049225A">
      <w:pPr>
        <w:pStyle w:val="NormalWeb"/>
        <w:spacing w:before="0" w:beforeAutospacing="0" w:after="0" w:afterAutospacing="0" w:line="480" w:lineRule="auto"/>
        <w:rPr>
          <w:color w:val="000000"/>
          <w:lang w:val="en-GB"/>
        </w:rPr>
      </w:pPr>
      <w:r>
        <w:rPr>
          <w:color w:val="000000"/>
          <w:lang w:val="en-GB"/>
        </w:rPr>
        <w:t>D</w:t>
      </w:r>
      <w:r w:rsidR="006E4050" w:rsidRPr="004F0559">
        <w:rPr>
          <w:color w:val="000000"/>
          <w:lang w:val="en-GB"/>
        </w:rPr>
        <w:t xml:space="preserve">efining a potential assassin as a traitor was </w:t>
      </w:r>
      <w:r>
        <w:rPr>
          <w:color w:val="000000"/>
          <w:lang w:val="en-GB"/>
        </w:rPr>
        <w:t xml:space="preserve">therefore </w:t>
      </w:r>
      <w:r w:rsidR="006E4050" w:rsidRPr="004F0559">
        <w:rPr>
          <w:color w:val="000000"/>
          <w:lang w:val="en-GB"/>
        </w:rPr>
        <w:t xml:space="preserve">never as clear-cut as the Habsburg authorities suggested. </w:t>
      </w:r>
      <w:r w:rsidR="006E4050">
        <w:rPr>
          <w:color w:val="000000"/>
          <w:lang w:val="en-GB"/>
        </w:rPr>
        <w:t>E</w:t>
      </w:r>
      <w:r w:rsidR="006E4050" w:rsidRPr="004F0559">
        <w:rPr>
          <w:color w:val="000000"/>
          <w:lang w:val="en-GB"/>
        </w:rPr>
        <w:t>ven more of a legal ‘construction’ was required when it came to a second type of traitor, the socialist</w:t>
      </w:r>
      <w:r w:rsidR="006E4050">
        <w:rPr>
          <w:color w:val="000000"/>
          <w:lang w:val="en-GB"/>
        </w:rPr>
        <w:t>.</w:t>
      </w:r>
      <w:r w:rsidR="006E4050" w:rsidRPr="004F0559">
        <w:rPr>
          <w:color w:val="000000"/>
          <w:lang w:val="en-GB"/>
        </w:rPr>
        <w:t xml:space="preserve"> It was socialists or anarchists who dominated in treason prosecutions in the last third of the </w:t>
      </w:r>
      <w:r>
        <w:rPr>
          <w:color w:val="000000"/>
          <w:lang w:val="en-GB"/>
        </w:rPr>
        <w:t>nineteenth</w:t>
      </w:r>
      <w:r w:rsidR="006E4050" w:rsidRPr="004F0559">
        <w:rPr>
          <w:color w:val="000000"/>
          <w:lang w:val="en-GB"/>
        </w:rPr>
        <w:t xml:space="preserve"> century</w:t>
      </w:r>
      <w:r w:rsidR="00432E20">
        <w:rPr>
          <w:color w:val="000000"/>
          <w:lang w:val="en-GB"/>
        </w:rPr>
        <w:t xml:space="preserve">. This is </w:t>
      </w:r>
      <w:r w:rsidR="006E4050" w:rsidRPr="004F0559">
        <w:rPr>
          <w:color w:val="000000"/>
          <w:lang w:val="en-GB"/>
        </w:rPr>
        <w:t xml:space="preserve">clear from the </w:t>
      </w:r>
      <w:r w:rsidR="006E4050">
        <w:rPr>
          <w:color w:val="000000"/>
          <w:lang w:val="en-GB"/>
        </w:rPr>
        <w:t>rich s</w:t>
      </w:r>
      <w:r w:rsidR="006E4050" w:rsidRPr="004F0559">
        <w:rPr>
          <w:color w:val="000000"/>
          <w:lang w:val="en-GB"/>
        </w:rPr>
        <w:t xml:space="preserve">urviving material in the Vienna and Prague archives. </w:t>
      </w:r>
      <w:r w:rsidR="00432E20">
        <w:rPr>
          <w:color w:val="000000"/>
          <w:lang w:val="en-GB"/>
        </w:rPr>
        <w:t xml:space="preserve">A survey of the inventory of ‘completed trials’ </w:t>
      </w:r>
      <w:r w:rsidR="00F616B6">
        <w:rPr>
          <w:color w:val="000000"/>
          <w:lang w:val="en-GB"/>
        </w:rPr>
        <w:t>from</w:t>
      </w:r>
      <w:r w:rsidR="00432E20">
        <w:rPr>
          <w:color w:val="000000"/>
          <w:lang w:val="en-GB"/>
        </w:rPr>
        <w:t xml:space="preserve"> the Prague criminal court for 18</w:t>
      </w:r>
      <w:r w:rsidR="00F616B6">
        <w:rPr>
          <w:color w:val="000000"/>
          <w:lang w:val="en-GB"/>
        </w:rPr>
        <w:t>68-97</w:t>
      </w:r>
      <w:r w:rsidR="00432E20">
        <w:rPr>
          <w:color w:val="000000"/>
          <w:lang w:val="en-GB"/>
        </w:rPr>
        <w:t xml:space="preserve">, in the records surviving in the State Regional Archive, </w:t>
      </w:r>
      <w:r w:rsidR="000F01FF">
        <w:rPr>
          <w:color w:val="000000"/>
          <w:lang w:val="en-GB"/>
        </w:rPr>
        <w:t>shows</w:t>
      </w:r>
      <w:r w:rsidR="00432E20">
        <w:rPr>
          <w:color w:val="000000"/>
          <w:lang w:val="en-GB"/>
        </w:rPr>
        <w:t xml:space="preserve"> well over a hundred trials for treason. Many of them were against </w:t>
      </w:r>
      <w:r w:rsidR="00C14927">
        <w:rPr>
          <w:color w:val="000000"/>
          <w:lang w:val="en-GB"/>
        </w:rPr>
        <w:t xml:space="preserve">radical </w:t>
      </w:r>
      <w:r w:rsidR="00432E20">
        <w:rPr>
          <w:color w:val="000000"/>
          <w:lang w:val="en-GB"/>
        </w:rPr>
        <w:t>socialist</w:t>
      </w:r>
      <w:r w:rsidR="000F01FF">
        <w:rPr>
          <w:color w:val="000000"/>
          <w:lang w:val="en-GB"/>
        </w:rPr>
        <w:t xml:space="preserve">s or </w:t>
      </w:r>
      <w:r w:rsidR="00432E20">
        <w:rPr>
          <w:color w:val="000000"/>
          <w:lang w:val="en-GB"/>
        </w:rPr>
        <w:t>anarchist</w:t>
      </w:r>
      <w:r w:rsidR="000F01FF">
        <w:rPr>
          <w:color w:val="000000"/>
          <w:lang w:val="en-GB"/>
        </w:rPr>
        <w:t>s</w:t>
      </w:r>
      <w:r w:rsidR="00432E20">
        <w:rPr>
          <w:color w:val="000000"/>
          <w:lang w:val="en-GB"/>
        </w:rPr>
        <w:t xml:space="preserve"> and often involved multiple </w:t>
      </w:r>
      <w:r w:rsidR="00F616B6">
        <w:rPr>
          <w:color w:val="000000"/>
          <w:lang w:val="en-GB"/>
        </w:rPr>
        <w:t>perpetrators.</w:t>
      </w:r>
      <w:r w:rsidR="00F616B6">
        <w:rPr>
          <w:rStyle w:val="FootnoteReference"/>
          <w:color w:val="000000"/>
          <w:lang w:val="en-GB"/>
        </w:rPr>
        <w:footnoteReference w:id="39"/>
      </w:r>
    </w:p>
    <w:p w:rsidR="006E4050" w:rsidRPr="004F0559" w:rsidRDefault="006E4050" w:rsidP="0022343B">
      <w:pPr>
        <w:pStyle w:val="NormalWeb"/>
        <w:spacing w:before="0" w:beforeAutospacing="0" w:after="0" w:afterAutospacing="0" w:line="480" w:lineRule="auto"/>
        <w:ind w:firstLine="720"/>
        <w:rPr>
          <w:rFonts w:asciiTheme="majorBidi" w:hAnsiTheme="majorBidi" w:cstheme="majorBidi"/>
          <w:lang w:val="en-GB"/>
        </w:rPr>
      </w:pPr>
      <w:r w:rsidRPr="004F0559">
        <w:rPr>
          <w:color w:val="000000"/>
          <w:lang w:val="en-GB"/>
        </w:rPr>
        <w:t xml:space="preserve">For many years the Austrian authorities viewed these as the major revolutionary threat to the social and political order, and </w:t>
      </w:r>
      <w:r>
        <w:rPr>
          <w:color w:val="000000"/>
          <w:lang w:val="en-GB"/>
        </w:rPr>
        <w:t>used</w:t>
      </w:r>
      <w:r w:rsidRPr="004F0559">
        <w:rPr>
          <w:color w:val="000000"/>
          <w:lang w:val="en-GB"/>
        </w:rPr>
        <w:t xml:space="preserve"> </w:t>
      </w:r>
      <w:r w:rsidRPr="00F616B6">
        <w:rPr>
          <w:color w:val="000000"/>
          <w:lang w:val="en-GB"/>
        </w:rPr>
        <w:t>§58b</w:t>
      </w:r>
      <w:r w:rsidRPr="004F0559">
        <w:rPr>
          <w:color w:val="000000"/>
          <w:lang w:val="en-GB"/>
        </w:rPr>
        <w:t xml:space="preserve"> as one way of eliminating them. This clause in the 1852 penal code categorized as a traitor anyone who was </w:t>
      </w:r>
      <w:r w:rsidR="00F616B6">
        <w:rPr>
          <w:color w:val="000000"/>
          <w:lang w:val="en-GB"/>
        </w:rPr>
        <w:t>‘</w:t>
      </w:r>
      <w:r>
        <w:rPr>
          <w:i/>
          <w:color w:val="000000"/>
          <w:lang w:val="en-GB"/>
        </w:rPr>
        <w:t>aiming</w:t>
      </w:r>
      <w:r w:rsidRPr="004F0559">
        <w:rPr>
          <w:rFonts w:asciiTheme="majorBidi" w:hAnsiTheme="majorBidi" w:cstheme="majorBidi"/>
          <w:i/>
          <w:lang w:val="en-GB"/>
        </w:rPr>
        <w:t xml:space="preserve"> violently to change the form of government</w:t>
      </w:r>
      <w:r w:rsidR="00F616B6">
        <w:rPr>
          <w:rFonts w:asciiTheme="majorBidi" w:hAnsiTheme="majorBidi" w:cstheme="majorBidi"/>
          <w:lang w:val="en-GB"/>
        </w:rPr>
        <w:t>’</w:t>
      </w:r>
      <w:r w:rsidRPr="004F0559">
        <w:rPr>
          <w:rFonts w:asciiTheme="majorBidi" w:hAnsiTheme="majorBidi" w:cstheme="majorBidi"/>
          <w:i/>
          <w:lang w:val="en-GB"/>
        </w:rPr>
        <w:t xml:space="preserve">. </w:t>
      </w:r>
      <w:r w:rsidRPr="004F0559">
        <w:rPr>
          <w:rFonts w:asciiTheme="majorBidi" w:hAnsiTheme="majorBidi" w:cstheme="majorBidi"/>
          <w:lang w:val="en-GB"/>
        </w:rPr>
        <w:t>The wording had been set down in 1803 in the era of the French revolution</w:t>
      </w:r>
      <w:r>
        <w:rPr>
          <w:rFonts w:asciiTheme="majorBidi" w:hAnsiTheme="majorBidi" w:cstheme="majorBidi"/>
          <w:lang w:val="en-GB"/>
        </w:rPr>
        <w:t>,</w:t>
      </w:r>
      <w:r w:rsidRPr="004F0559">
        <w:rPr>
          <w:rFonts w:asciiTheme="majorBidi" w:hAnsiTheme="majorBidi" w:cstheme="majorBidi"/>
          <w:lang w:val="en-GB"/>
        </w:rPr>
        <w:t xml:space="preserve"> and was then copied into the 1852 code. For the 1848 revolutions had not only witnessed violent nationalist threats but also </w:t>
      </w:r>
      <w:r>
        <w:rPr>
          <w:rFonts w:asciiTheme="majorBidi" w:hAnsiTheme="majorBidi" w:cstheme="majorBidi"/>
          <w:lang w:val="en-GB"/>
        </w:rPr>
        <w:t xml:space="preserve">revealed </w:t>
      </w:r>
      <w:r w:rsidRPr="004F0559">
        <w:rPr>
          <w:rFonts w:asciiTheme="majorBidi" w:hAnsiTheme="majorBidi" w:cstheme="majorBidi"/>
          <w:lang w:val="en-GB"/>
        </w:rPr>
        <w:t xml:space="preserve">social </w:t>
      </w:r>
      <w:r w:rsidR="00433927">
        <w:rPr>
          <w:rFonts w:asciiTheme="majorBidi" w:hAnsiTheme="majorBidi" w:cstheme="majorBidi"/>
          <w:lang w:val="en-GB"/>
        </w:rPr>
        <w:t>radicals</w:t>
      </w:r>
      <w:r w:rsidR="00756BC3">
        <w:rPr>
          <w:rFonts w:asciiTheme="majorBidi" w:hAnsiTheme="majorBidi" w:cstheme="majorBidi"/>
          <w:lang w:val="en-GB"/>
        </w:rPr>
        <w:t xml:space="preserve"> or proto-socialists</w:t>
      </w:r>
      <w:r w:rsidRPr="004F0559">
        <w:rPr>
          <w:rFonts w:asciiTheme="majorBidi" w:hAnsiTheme="majorBidi" w:cstheme="majorBidi"/>
          <w:lang w:val="en-GB"/>
        </w:rPr>
        <w:t>, especially in Vienna</w:t>
      </w:r>
      <w:r w:rsidR="00433927">
        <w:rPr>
          <w:rFonts w:asciiTheme="majorBidi" w:hAnsiTheme="majorBidi" w:cstheme="majorBidi"/>
          <w:lang w:val="en-GB"/>
        </w:rPr>
        <w:t>, who were calling for a republic or at least for democratic social-political reforms in the state</w:t>
      </w:r>
      <w:r w:rsidRPr="004F0559">
        <w:rPr>
          <w:rFonts w:asciiTheme="majorBidi" w:hAnsiTheme="majorBidi" w:cstheme="majorBidi"/>
          <w:lang w:val="en-GB"/>
        </w:rPr>
        <w:t xml:space="preserve">. </w:t>
      </w:r>
      <w:r w:rsidR="00756BC3">
        <w:rPr>
          <w:rFonts w:asciiTheme="majorBidi" w:hAnsiTheme="majorBidi" w:cstheme="majorBidi"/>
          <w:lang w:val="en-GB"/>
        </w:rPr>
        <w:t>Prominent e</w:t>
      </w:r>
      <w:r w:rsidR="00433927">
        <w:rPr>
          <w:rFonts w:asciiTheme="majorBidi" w:hAnsiTheme="majorBidi" w:cstheme="majorBidi"/>
          <w:lang w:val="en-GB"/>
        </w:rPr>
        <w:t xml:space="preserve">xamples were Ernst Violand, who </w:t>
      </w:r>
      <w:r w:rsidR="0009350E">
        <w:rPr>
          <w:rFonts w:asciiTheme="majorBidi" w:hAnsiTheme="majorBidi" w:cstheme="majorBidi"/>
          <w:lang w:val="en-GB"/>
        </w:rPr>
        <w:t>w</w:t>
      </w:r>
      <w:r w:rsidR="00433927">
        <w:rPr>
          <w:rFonts w:asciiTheme="majorBidi" w:hAnsiTheme="majorBidi" w:cstheme="majorBidi"/>
          <w:lang w:val="en-GB"/>
        </w:rPr>
        <w:t>rote a vivid memoir of his experiences, and Josef Goldmark</w:t>
      </w:r>
      <w:r w:rsidR="0089348B">
        <w:rPr>
          <w:rFonts w:asciiTheme="majorBidi" w:hAnsiTheme="majorBidi" w:cstheme="majorBidi"/>
          <w:lang w:val="en-GB"/>
        </w:rPr>
        <w:t>,</w:t>
      </w:r>
      <w:r w:rsidR="00433927">
        <w:rPr>
          <w:rFonts w:asciiTheme="majorBidi" w:hAnsiTheme="majorBidi" w:cstheme="majorBidi"/>
          <w:lang w:val="en-GB"/>
        </w:rPr>
        <w:t xml:space="preserve"> a </w:t>
      </w:r>
      <w:r w:rsidRPr="004F0559">
        <w:rPr>
          <w:rFonts w:asciiTheme="majorBidi" w:hAnsiTheme="majorBidi" w:cstheme="majorBidi"/>
          <w:lang w:val="en-GB"/>
        </w:rPr>
        <w:t xml:space="preserve">Jewish </w:t>
      </w:r>
      <w:r w:rsidR="00433927">
        <w:rPr>
          <w:rFonts w:asciiTheme="majorBidi" w:hAnsiTheme="majorBidi" w:cstheme="majorBidi"/>
          <w:lang w:val="en-GB"/>
        </w:rPr>
        <w:t xml:space="preserve">doctor of medicine who in October 1848 seemed to be implicated in the murder of the War Minister, Count Latour. Both were </w:t>
      </w:r>
      <w:r w:rsidRPr="004F0559">
        <w:rPr>
          <w:rFonts w:asciiTheme="majorBidi" w:hAnsiTheme="majorBidi" w:cstheme="majorBidi"/>
          <w:lang w:val="en-GB"/>
        </w:rPr>
        <w:t xml:space="preserve">prosecuted </w:t>
      </w:r>
      <w:r w:rsidR="002A2A40">
        <w:rPr>
          <w:rFonts w:asciiTheme="majorBidi" w:hAnsiTheme="majorBidi" w:cstheme="majorBidi"/>
          <w:lang w:val="en-GB"/>
        </w:rPr>
        <w:t xml:space="preserve">for treason </w:t>
      </w:r>
      <w:r w:rsidR="00756BC3">
        <w:rPr>
          <w:rFonts w:asciiTheme="majorBidi" w:hAnsiTheme="majorBidi" w:cstheme="majorBidi"/>
          <w:lang w:val="en-GB"/>
        </w:rPr>
        <w:t xml:space="preserve">in 1856 </w:t>
      </w:r>
      <w:r w:rsidR="002A2A40">
        <w:rPr>
          <w:rFonts w:asciiTheme="majorBidi" w:hAnsiTheme="majorBidi" w:cstheme="majorBidi"/>
          <w:lang w:val="en-GB"/>
        </w:rPr>
        <w:t>and fou</w:t>
      </w:r>
      <w:r w:rsidRPr="004F0559">
        <w:rPr>
          <w:rFonts w:asciiTheme="majorBidi" w:hAnsiTheme="majorBidi" w:cstheme="majorBidi"/>
          <w:lang w:val="en-GB"/>
        </w:rPr>
        <w:t xml:space="preserve">nd guilty </w:t>
      </w:r>
      <w:r w:rsidRPr="004F0559">
        <w:rPr>
          <w:rFonts w:asciiTheme="majorBidi" w:hAnsiTheme="majorBidi" w:cstheme="majorBidi"/>
          <w:i/>
          <w:lang w:val="en-GB"/>
        </w:rPr>
        <w:t>in absentia</w:t>
      </w:r>
      <w:r w:rsidR="002A2A40">
        <w:rPr>
          <w:rFonts w:asciiTheme="majorBidi" w:hAnsiTheme="majorBidi" w:cstheme="majorBidi"/>
          <w:i/>
          <w:lang w:val="en-GB"/>
        </w:rPr>
        <w:t xml:space="preserve"> </w:t>
      </w:r>
      <w:r w:rsidR="002A2A40">
        <w:rPr>
          <w:rFonts w:asciiTheme="majorBidi" w:hAnsiTheme="majorBidi" w:cstheme="majorBidi"/>
          <w:lang w:val="en-GB"/>
        </w:rPr>
        <w:t>(both had fled to the USA); Goldmark was</w:t>
      </w:r>
      <w:r w:rsidRPr="004F0559">
        <w:rPr>
          <w:rFonts w:asciiTheme="majorBidi" w:hAnsiTheme="majorBidi" w:cstheme="majorBidi"/>
          <w:lang w:val="en-GB"/>
        </w:rPr>
        <w:t xml:space="preserve"> still petitioning twenty years later</w:t>
      </w:r>
      <w:r w:rsidR="002A2A40">
        <w:rPr>
          <w:rFonts w:asciiTheme="majorBidi" w:hAnsiTheme="majorBidi" w:cstheme="majorBidi"/>
          <w:lang w:val="en-GB"/>
        </w:rPr>
        <w:t xml:space="preserve"> to have his conviction overturned</w:t>
      </w:r>
      <w:r w:rsidRPr="004F0559">
        <w:rPr>
          <w:rFonts w:asciiTheme="majorBidi" w:hAnsiTheme="majorBidi" w:cstheme="majorBidi"/>
          <w:lang w:val="en-GB"/>
        </w:rPr>
        <w:t>.</w:t>
      </w:r>
      <w:r w:rsidRPr="004F0559">
        <w:rPr>
          <w:rStyle w:val="FootnoteReference"/>
          <w:rFonts w:asciiTheme="majorBidi" w:hAnsiTheme="majorBidi" w:cstheme="majorBidi"/>
          <w:lang w:val="en-GB"/>
        </w:rPr>
        <w:footnoteReference w:id="40"/>
      </w:r>
      <w:r w:rsidRPr="004F0559">
        <w:rPr>
          <w:rFonts w:asciiTheme="majorBidi" w:hAnsiTheme="majorBidi" w:cstheme="majorBidi"/>
          <w:lang w:val="en-GB"/>
        </w:rPr>
        <w:t xml:space="preserve"> </w:t>
      </w:r>
    </w:p>
    <w:p w:rsidR="006E4050" w:rsidRPr="004F0559" w:rsidRDefault="006E4050" w:rsidP="0022343B">
      <w:pPr>
        <w:pStyle w:val="NormalWeb"/>
        <w:spacing w:before="0" w:beforeAutospacing="0" w:after="0" w:afterAutospacing="0" w:line="480" w:lineRule="auto"/>
        <w:ind w:firstLine="720"/>
        <w:rPr>
          <w:rFonts w:asciiTheme="majorBidi" w:hAnsiTheme="majorBidi" w:cstheme="majorBidi"/>
          <w:lang w:val="en-GB"/>
        </w:rPr>
      </w:pPr>
      <w:r w:rsidRPr="004F0559">
        <w:rPr>
          <w:rFonts w:asciiTheme="majorBidi" w:hAnsiTheme="majorBidi" w:cstheme="majorBidi"/>
          <w:lang w:val="en-GB"/>
        </w:rPr>
        <w:lastRenderedPageBreak/>
        <w:t xml:space="preserve">Later in the century, §58b was normally used against anarchists or socialists, the terms often interchangeable in defining anyone </w:t>
      </w:r>
      <w:r>
        <w:rPr>
          <w:rFonts w:asciiTheme="majorBidi" w:hAnsiTheme="majorBidi" w:cstheme="majorBidi"/>
          <w:lang w:val="en-GB"/>
        </w:rPr>
        <w:t>trying</w:t>
      </w:r>
      <w:r w:rsidRPr="004F0559">
        <w:rPr>
          <w:rFonts w:asciiTheme="majorBidi" w:hAnsiTheme="majorBidi" w:cstheme="majorBidi"/>
          <w:lang w:val="en-GB"/>
        </w:rPr>
        <w:t xml:space="preserve"> to upset the social order through plots and propaganda. Some cases seemed fairly clear-cut. In 1886 for example, an </w:t>
      </w:r>
      <w:r w:rsidR="0009350E">
        <w:rPr>
          <w:rFonts w:asciiTheme="majorBidi" w:hAnsiTheme="majorBidi" w:cstheme="majorBidi"/>
          <w:lang w:val="en-GB"/>
        </w:rPr>
        <w:t>eighteen</w:t>
      </w:r>
      <w:r w:rsidRPr="004F0559">
        <w:rPr>
          <w:rFonts w:asciiTheme="majorBidi" w:hAnsiTheme="majorBidi" w:cstheme="majorBidi"/>
          <w:lang w:val="en-GB"/>
        </w:rPr>
        <w:t>-year old Viennese ‘bronze-worker’ Julius Ehinger was convicted under §58b.</w:t>
      </w:r>
      <w:r w:rsidRPr="004F0559">
        <w:rPr>
          <w:rStyle w:val="FootnoteReference"/>
          <w:rFonts w:asciiTheme="majorBidi" w:hAnsiTheme="majorBidi" w:cstheme="majorBidi"/>
          <w:lang w:val="en-GB"/>
        </w:rPr>
        <w:footnoteReference w:id="41"/>
      </w:r>
      <w:r w:rsidRPr="004F0559">
        <w:rPr>
          <w:rFonts w:asciiTheme="majorBidi" w:hAnsiTheme="majorBidi" w:cstheme="majorBidi"/>
          <w:lang w:val="en-GB"/>
        </w:rPr>
        <w:t xml:space="preserve"> According to </w:t>
      </w:r>
      <w:r w:rsidRPr="004F0559">
        <w:rPr>
          <w:rFonts w:asciiTheme="majorBidi" w:hAnsiTheme="majorBidi" w:cstheme="majorBidi"/>
          <w:i/>
          <w:lang w:val="en-GB"/>
        </w:rPr>
        <w:t xml:space="preserve">Die </w:t>
      </w:r>
      <w:proofErr w:type="spellStart"/>
      <w:r w:rsidRPr="004F0559">
        <w:rPr>
          <w:rFonts w:asciiTheme="majorBidi" w:hAnsiTheme="majorBidi" w:cstheme="majorBidi"/>
          <w:i/>
          <w:lang w:val="en-GB"/>
        </w:rPr>
        <w:t>Presse</w:t>
      </w:r>
      <w:proofErr w:type="spellEnd"/>
      <w:r w:rsidRPr="004F0559">
        <w:rPr>
          <w:rFonts w:asciiTheme="majorBidi" w:hAnsiTheme="majorBidi" w:cstheme="majorBidi"/>
          <w:lang w:val="en-GB"/>
        </w:rPr>
        <w:t xml:space="preserve">, he appeared in the dock as a </w:t>
      </w:r>
      <w:r w:rsidR="00756BC3">
        <w:rPr>
          <w:rFonts w:asciiTheme="majorBidi" w:hAnsiTheme="majorBidi" w:cstheme="majorBidi"/>
          <w:lang w:val="en-GB"/>
        </w:rPr>
        <w:t>‘</w:t>
      </w:r>
      <w:r w:rsidRPr="004F0559">
        <w:rPr>
          <w:rFonts w:asciiTheme="majorBidi" w:hAnsiTheme="majorBidi" w:cstheme="majorBidi"/>
          <w:lang w:val="en-GB"/>
        </w:rPr>
        <w:t>slender youth, dressed in a dark brown suit, with pleasant features and thick dark blond hair</w:t>
      </w:r>
      <w:r w:rsidR="00756BC3">
        <w:rPr>
          <w:rFonts w:asciiTheme="majorBidi" w:hAnsiTheme="majorBidi" w:cstheme="majorBidi"/>
          <w:lang w:val="en-GB"/>
        </w:rPr>
        <w:t>’</w:t>
      </w:r>
      <w:r w:rsidRPr="004F0559">
        <w:rPr>
          <w:rFonts w:asciiTheme="majorBidi" w:hAnsiTheme="majorBidi" w:cstheme="majorBidi"/>
          <w:lang w:val="en-GB"/>
        </w:rPr>
        <w:t xml:space="preserve">. But it was a </w:t>
      </w:r>
      <w:r>
        <w:rPr>
          <w:rFonts w:asciiTheme="majorBidi" w:hAnsiTheme="majorBidi" w:cstheme="majorBidi"/>
          <w:lang w:val="en-GB"/>
        </w:rPr>
        <w:t>misleading</w:t>
      </w:r>
      <w:r w:rsidRPr="004F0559">
        <w:rPr>
          <w:rFonts w:asciiTheme="majorBidi" w:hAnsiTheme="majorBidi" w:cstheme="majorBidi"/>
          <w:lang w:val="en-GB"/>
        </w:rPr>
        <w:t xml:space="preserve"> image</w:t>
      </w:r>
      <w:r w:rsidR="00C14927">
        <w:rPr>
          <w:rFonts w:asciiTheme="majorBidi" w:hAnsiTheme="majorBidi" w:cstheme="majorBidi"/>
          <w:lang w:val="en-GB"/>
        </w:rPr>
        <w:t>. The</w:t>
      </w:r>
      <w:r w:rsidR="0057754F">
        <w:rPr>
          <w:rFonts w:asciiTheme="majorBidi" w:hAnsiTheme="majorBidi" w:cstheme="majorBidi"/>
          <w:lang w:val="en-GB"/>
        </w:rPr>
        <w:t xml:space="preserve"> façade </w:t>
      </w:r>
      <w:r w:rsidR="00C14927">
        <w:rPr>
          <w:rFonts w:asciiTheme="majorBidi" w:hAnsiTheme="majorBidi" w:cstheme="majorBidi"/>
          <w:lang w:val="en-GB"/>
        </w:rPr>
        <w:t xml:space="preserve">– typical of a ‘devious traitor’ – </w:t>
      </w:r>
      <w:r w:rsidR="00423553">
        <w:rPr>
          <w:rFonts w:asciiTheme="majorBidi" w:hAnsiTheme="majorBidi" w:cstheme="majorBidi"/>
          <w:lang w:val="en-GB"/>
        </w:rPr>
        <w:t xml:space="preserve">concealed </w:t>
      </w:r>
      <w:r w:rsidR="000D76AC">
        <w:rPr>
          <w:rFonts w:asciiTheme="majorBidi" w:hAnsiTheme="majorBidi" w:cstheme="majorBidi"/>
          <w:lang w:val="en-GB"/>
        </w:rPr>
        <w:t>a man</w:t>
      </w:r>
      <w:r w:rsidR="0057754F">
        <w:rPr>
          <w:rFonts w:asciiTheme="majorBidi" w:hAnsiTheme="majorBidi" w:cstheme="majorBidi"/>
          <w:lang w:val="en-GB"/>
        </w:rPr>
        <w:t xml:space="preserve"> whom police considered one of Vienna’s ‘boldest and rashest anarchists’</w:t>
      </w:r>
      <w:r w:rsidR="000D76AC">
        <w:rPr>
          <w:rFonts w:asciiTheme="majorBidi" w:hAnsiTheme="majorBidi" w:cstheme="majorBidi"/>
          <w:lang w:val="en-GB"/>
        </w:rPr>
        <w:t>, somebody w</w:t>
      </w:r>
      <w:r w:rsidR="0057754F">
        <w:rPr>
          <w:rFonts w:asciiTheme="majorBidi" w:hAnsiTheme="majorBidi" w:cstheme="majorBidi"/>
          <w:lang w:val="en-GB"/>
        </w:rPr>
        <w:t xml:space="preserve">ho was well-connected with Vienna’s ‘revolutionary workers’ party’. </w:t>
      </w:r>
      <w:r w:rsidRPr="004F0559">
        <w:rPr>
          <w:rFonts w:asciiTheme="majorBidi" w:hAnsiTheme="majorBidi" w:cstheme="majorBidi"/>
          <w:lang w:val="en-GB"/>
        </w:rPr>
        <w:t xml:space="preserve">Ehinger had been </w:t>
      </w:r>
      <w:r w:rsidR="0057754F">
        <w:rPr>
          <w:rFonts w:asciiTheme="majorBidi" w:hAnsiTheme="majorBidi" w:cstheme="majorBidi"/>
          <w:lang w:val="en-GB"/>
        </w:rPr>
        <w:t xml:space="preserve">assiduously </w:t>
      </w:r>
      <w:r w:rsidRPr="004F0559">
        <w:rPr>
          <w:rFonts w:asciiTheme="majorBidi" w:hAnsiTheme="majorBidi" w:cstheme="majorBidi"/>
          <w:lang w:val="en-GB"/>
        </w:rPr>
        <w:t xml:space="preserve">printing and spreading small leaflets around the city </w:t>
      </w:r>
      <w:r w:rsidR="00AD0187">
        <w:rPr>
          <w:rFonts w:asciiTheme="majorBidi" w:hAnsiTheme="majorBidi" w:cstheme="majorBidi"/>
          <w:lang w:val="en-GB"/>
        </w:rPr>
        <w:t xml:space="preserve">that </w:t>
      </w:r>
      <w:r w:rsidRPr="004F0559">
        <w:rPr>
          <w:rFonts w:asciiTheme="majorBidi" w:hAnsiTheme="majorBidi" w:cstheme="majorBidi"/>
          <w:lang w:val="en-GB"/>
        </w:rPr>
        <w:t>proclaim</w:t>
      </w:r>
      <w:r w:rsidR="00AD0187">
        <w:rPr>
          <w:rFonts w:asciiTheme="majorBidi" w:hAnsiTheme="majorBidi" w:cstheme="majorBidi"/>
          <w:lang w:val="en-GB"/>
        </w:rPr>
        <w:t>ed</w:t>
      </w:r>
      <w:r w:rsidRPr="004F0559">
        <w:rPr>
          <w:rFonts w:asciiTheme="majorBidi" w:hAnsiTheme="majorBidi" w:cstheme="majorBidi"/>
          <w:lang w:val="en-GB"/>
        </w:rPr>
        <w:t>, ‘Down with the Church, State and Capitalism’.</w:t>
      </w:r>
      <w:r w:rsidR="00C2264B" w:rsidRPr="004F0559">
        <w:rPr>
          <w:rStyle w:val="FootnoteReference"/>
          <w:rFonts w:asciiTheme="majorBidi" w:hAnsiTheme="majorBidi" w:cstheme="majorBidi"/>
          <w:lang w:val="en-GB"/>
        </w:rPr>
        <w:footnoteReference w:id="42"/>
      </w:r>
      <w:r w:rsidRPr="004F0559">
        <w:rPr>
          <w:rFonts w:asciiTheme="majorBidi" w:hAnsiTheme="majorBidi" w:cstheme="majorBidi"/>
          <w:lang w:val="en-GB"/>
        </w:rPr>
        <w:t xml:space="preserve"> </w:t>
      </w:r>
      <w:r w:rsidR="001426C8">
        <w:rPr>
          <w:rFonts w:asciiTheme="majorBidi" w:hAnsiTheme="majorBidi" w:cstheme="majorBidi"/>
          <w:b/>
          <w:lang w:val="en-GB"/>
        </w:rPr>
        <w:t xml:space="preserve">[Figure 10] </w:t>
      </w:r>
      <w:r w:rsidR="00756BC3">
        <w:rPr>
          <w:rFonts w:asciiTheme="majorBidi" w:hAnsiTheme="majorBidi" w:cstheme="majorBidi"/>
          <w:lang w:val="en-GB"/>
        </w:rPr>
        <w:t xml:space="preserve">In terms of method, it was a foretaste of the </w:t>
      </w:r>
      <w:r w:rsidR="00340A7A">
        <w:rPr>
          <w:rFonts w:asciiTheme="majorBidi" w:hAnsiTheme="majorBidi" w:cstheme="majorBidi"/>
          <w:lang w:val="en-GB"/>
        </w:rPr>
        <w:t xml:space="preserve">subversive </w:t>
      </w:r>
      <w:r w:rsidR="0009350E">
        <w:rPr>
          <w:rFonts w:asciiTheme="majorBidi" w:hAnsiTheme="majorBidi" w:cstheme="majorBidi"/>
          <w:lang w:val="en-GB"/>
        </w:rPr>
        <w:t>methods</w:t>
      </w:r>
      <w:r w:rsidR="00756BC3">
        <w:rPr>
          <w:rFonts w:asciiTheme="majorBidi" w:hAnsiTheme="majorBidi" w:cstheme="majorBidi"/>
          <w:lang w:val="en-GB"/>
        </w:rPr>
        <w:t xml:space="preserve"> used by </w:t>
      </w:r>
      <w:r w:rsidR="0009350E">
        <w:rPr>
          <w:rFonts w:asciiTheme="majorBidi" w:hAnsiTheme="majorBidi" w:cstheme="majorBidi"/>
          <w:lang w:val="en-GB"/>
        </w:rPr>
        <w:t xml:space="preserve">some </w:t>
      </w:r>
      <w:r w:rsidR="00756BC3">
        <w:rPr>
          <w:rFonts w:asciiTheme="majorBidi" w:hAnsiTheme="majorBidi" w:cstheme="majorBidi"/>
          <w:lang w:val="en-GB"/>
        </w:rPr>
        <w:t>ordinary resisters</w:t>
      </w:r>
      <w:r w:rsidR="00340A7A">
        <w:rPr>
          <w:rFonts w:asciiTheme="majorBidi" w:hAnsiTheme="majorBidi" w:cstheme="majorBidi"/>
          <w:lang w:val="en-GB"/>
        </w:rPr>
        <w:t xml:space="preserve"> in wartime Nazi Germany</w:t>
      </w:r>
      <w:r w:rsidR="00756BC3">
        <w:rPr>
          <w:rFonts w:asciiTheme="majorBidi" w:hAnsiTheme="majorBidi" w:cstheme="majorBidi"/>
          <w:lang w:val="en-GB"/>
        </w:rPr>
        <w:t xml:space="preserve">, as pictured so graphically in the novel of Hans </w:t>
      </w:r>
      <w:proofErr w:type="spellStart"/>
      <w:r w:rsidR="00756BC3">
        <w:rPr>
          <w:rFonts w:asciiTheme="majorBidi" w:hAnsiTheme="majorBidi" w:cstheme="majorBidi"/>
          <w:lang w:val="en-GB"/>
        </w:rPr>
        <w:t>Fallada</w:t>
      </w:r>
      <w:proofErr w:type="spellEnd"/>
      <w:r w:rsidR="00756BC3">
        <w:rPr>
          <w:rFonts w:asciiTheme="majorBidi" w:hAnsiTheme="majorBidi" w:cstheme="majorBidi"/>
          <w:lang w:val="en-GB"/>
        </w:rPr>
        <w:t>.</w:t>
      </w:r>
      <w:r w:rsidR="00756BC3">
        <w:rPr>
          <w:rStyle w:val="FootnoteReference"/>
          <w:rFonts w:asciiTheme="majorBidi" w:hAnsiTheme="majorBidi" w:cstheme="majorBidi"/>
          <w:lang w:val="en-GB"/>
        </w:rPr>
        <w:footnoteReference w:id="43"/>
      </w:r>
      <w:r w:rsidR="00756BC3">
        <w:rPr>
          <w:rFonts w:asciiTheme="majorBidi" w:hAnsiTheme="majorBidi" w:cstheme="majorBidi"/>
          <w:lang w:val="en-GB"/>
        </w:rPr>
        <w:t xml:space="preserve"> </w:t>
      </w:r>
      <w:r w:rsidRPr="004F0559">
        <w:rPr>
          <w:rFonts w:asciiTheme="majorBidi" w:hAnsiTheme="majorBidi" w:cstheme="majorBidi"/>
          <w:lang w:val="en-GB"/>
        </w:rPr>
        <w:t xml:space="preserve">On searching </w:t>
      </w:r>
      <w:proofErr w:type="spellStart"/>
      <w:r w:rsidR="00756BC3">
        <w:rPr>
          <w:rFonts w:asciiTheme="majorBidi" w:hAnsiTheme="majorBidi" w:cstheme="majorBidi"/>
          <w:lang w:val="en-GB"/>
        </w:rPr>
        <w:t>Ehinger’s</w:t>
      </w:r>
      <w:proofErr w:type="spellEnd"/>
      <w:r w:rsidR="00756BC3">
        <w:rPr>
          <w:rFonts w:asciiTheme="majorBidi" w:hAnsiTheme="majorBidi" w:cstheme="majorBidi"/>
          <w:lang w:val="en-GB"/>
        </w:rPr>
        <w:t xml:space="preserve"> </w:t>
      </w:r>
      <w:r w:rsidRPr="004F0559">
        <w:rPr>
          <w:rFonts w:asciiTheme="majorBidi" w:hAnsiTheme="majorBidi" w:cstheme="majorBidi"/>
          <w:lang w:val="en-GB"/>
        </w:rPr>
        <w:t xml:space="preserve">flat, police </w:t>
      </w:r>
      <w:r w:rsidR="00C12EE4">
        <w:rPr>
          <w:rFonts w:asciiTheme="majorBidi" w:hAnsiTheme="majorBidi" w:cstheme="majorBidi"/>
          <w:lang w:val="en-GB"/>
        </w:rPr>
        <w:t xml:space="preserve">not only </w:t>
      </w:r>
      <w:r w:rsidR="00AD0187">
        <w:rPr>
          <w:rFonts w:asciiTheme="majorBidi" w:hAnsiTheme="majorBidi" w:cstheme="majorBidi"/>
          <w:lang w:val="en-GB"/>
        </w:rPr>
        <w:t xml:space="preserve">discovered </w:t>
      </w:r>
      <w:r w:rsidR="00C12EE4">
        <w:rPr>
          <w:rFonts w:asciiTheme="majorBidi" w:hAnsiTheme="majorBidi" w:cstheme="majorBidi"/>
          <w:lang w:val="en-GB"/>
        </w:rPr>
        <w:t>printing equipment but also</w:t>
      </w:r>
      <w:r w:rsidRPr="004F0559">
        <w:rPr>
          <w:rFonts w:asciiTheme="majorBidi" w:hAnsiTheme="majorBidi" w:cstheme="majorBidi"/>
          <w:lang w:val="en-GB"/>
        </w:rPr>
        <w:t xml:space="preserve"> two revolvers and </w:t>
      </w:r>
      <w:r w:rsidR="00C12EE4">
        <w:rPr>
          <w:rFonts w:asciiTheme="majorBidi" w:hAnsiTheme="majorBidi" w:cstheme="majorBidi"/>
          <w:lang w:val="en-GB"/>
        </w:rPr>
        <w:t xml:space="preserve">some </w:t>
      </w:r>
      <w:r w:rsidRPr="004F0559">
        <w:rPr>
          <w:rFonts w:asciiTheme="majorBidi" w:hAnsiTheme="majorBidi" w:cstheme="majorBidi"/>
          <w:lang w:val="en-GB"/>
        </w:rPr>
        <w:t>chemicals he had stolen from work in order to make a bomb. Ehinger was sentenced to three years in prison due to his youth and the fact that his actions so far had done minimal damage; he was then pardoned on the emperor’s birthday in 1888.</w:t>
      </w:r>
    </w:p>
    <w:p w:rsidR="006E4050" w:rsidRDefault="006E4050" w:rsidP="00D23D5E">
      <w:pPr>
        <w:pStyle w:val="NormalWeb"/>
        <w:spacing w:before="0" w:beforeAutospacing="0" w:after="0" w:afterAutospacing="0" w:line="480" w:lineRule="auto"/>
        <w:ind w:firstLine="720"/>
        <w:rPr>
          <w:rFonts w:asciiTheme="majorBidi" w:hAnsiTheme="majorBidi" w:cstheme="majorBidi"/>
          <w:lang w:val="en-GB"/>
        </w:rPr>
      </w:pPr>
      <w:r w:rsidRPr="004F0559">
        <w:rPr>
          <w:rFonts w:asciiTheme="majorBidi" w:hAnsiTheme="majorBidi" w:cstheme="majorBidi"/>
          <w:lang w:val="en-GB"/>
        </w:rPr>
        <w:t xml:space="preserve">This case </w:t>
      </w:r>
      <w:r>
        <w:rPr>
          <w:rFonts w:asciiTheme="majorBidi" w:hAnsiTheme="majorBidi" w:cstheme="majorBidi"/>
          <w:lang w:val="en-GB"/>
        </w:rPr>
        <w:t>might suggest</w:t>
      </w:r>
      <w:r w:rsidRPr="004F0559">
        <w:rPr>
          <w:rFonts w:asciiTheme="majorBidi" w:hAnsiTheme="majorBidi" w:cstheme="majorBidi"/>
          <w:lang w:val="en-GB"/>
        </w:rPr>
        <w:t xml:space="preserve"> </w:t>
      </w:r>
      <w:r>
        <w:rPr>
          <w:rFonts w:asciiTheme="majorBidi" w:hAnsiTheme="majorBidi" w:cstheme="majorBidi"/>
          <w:lang w:val="en-GB"/>
        </w:rPr>
        <w:t>a commitment to</w:t>
      </w:r>
      <w:r w:rsidRPr="004F0559">
        <w:rPr>
          <w:rFonts w:asciiTheme="majorBidi" w:hAnsiTheme="majorBidi" w:cstheme="majorBidi"/>
          <w:lang w:val="en-GB"/>
        </w:rPr>
        <w:t xml:space="preserve"> due legal process</w:t>
      </w:r>
      <w:r>
        <w:rPr>
          <w:rFonts w:asciiTheme="majorBidi" w:hAnsiTheme="majorBidi" w:cstheme="majorBidi"/>
          <w:lang w:val="en-GB"/>
        </w:rPr>
        <w:t xml:space="preserve"> by the </w:t>
      </w:r>
      <w:r w:rsidR="000D76AC">
        <w:rPr>
          <w:rFonts w:asciiTheme="majorBidi" w:hAnsiTheme="majorBidi" w:cstheme="majorBidi"/>
          <w:lang w:val="en-GB"/>
        </w:rPr>
        <w:t>Austrian</w:t>
      </w:r>
      <w:r w:rsidR="004D680D">
        <w:rPr>
          <w:rFonts w:asciiTheme="majorBidi" w:hAnsiTheme="majorBidi" w:cstheme="majorBidi"/>
          <w:lang w:val="en-GB"/>
        </w:rPr>
        <w:t xml:space="preserve"> </w:t>
      </w:r>
      <w:r>
        <w:rPr>
          <w:rFonts w:asciiTheme="majorBidi" w:hAnsiTheme="majorBidi" w:cstheme="majorBidi"/>
          <w:i/>
          <w:lang w:val="en-GB"/>
        </w:rPr>
        <w:t>Rechtsstaat</w:t>
      </w:r>
      <w:r w:rsidRPr="004F0559">
        <w:rPr>
          <w:rFonts w:asciiTheme="majorBidi" w:hAnsiTheme="majorBidi" w:cstheme="majorBidi"/>
          <w:lang w:val="en-GB"/>
        </w:rPr>
        <w:t xml:space="preserve">, </w:t>
      </w:r>
      <w:r>
        <w:rPr>
          <w:rFonts w:asciiTheme="majorBidi" w:hAnsiTheme="majorBidi" w:cstheme="majorBidi"/>
          <w:lang w:val="en-GB"/>
        </w:rPr>
        <w:t>with</w:t>
      </w:r>
      <w:r w:rsidRPr="004F0559">
        <w:rPr>
          <w:rFonts w:asciiTheme="majorBidi" w:hAnsiTheme="majorBidi" w:cstheme="majorBidi"/>
          <w:lang w:val="en-GB"/>
        </w:rPr>
        <w:t xml:space="preserve"> a surprising degree of leniency over the crime of treason. Yet a focus on one notorious </w:t>
      </w:r>
      <w:r w:rsidR="000718EC">
        <w:rPr>
          <w:rFonts w:asciiTheme="majorBidi" w:hAnsiTheme="majorBidi" w:cstheme="majorBidi"/>
          <w:lang w:val="en-GB"/>
        </w:rPr>
        <w:t xml:space="preserve">socialist </w:t>
      </w:r>
      <w:r w:rsidRPr="004F0559">
        <w:rPr>
          <w:rFonts w:asciiTheme="majorBidi" w:hAnsiTheme="majorBidi" w:cstheme="majorBidi"/>
          <w:lang w:val="en-GB"/>
        </w:rPr>
        <w:t xml:space="preserve">trial </w:t>
      </w:r>
      <w:r>
        <w:rPr>
          <w:rFonts w:asciiTheme="majorBidi" w:hAnsiTheme="majorBidi" w:cstheme="majorBidi"/>
          <w:lang w:val="en-GB"/>
        </w:rPr>
        <w:t xml:space="preserve">revels </w:t>
      </w:r>
      <w:r w:rsidRPr="004F0559">
        <w:rPr>
          <w:rFonts w:asciiTheme="majorBidi" w:hAnsiTheme="majorBidi" w:cstheme="majorBidi"/>
          <w:lang w:val="en-GB"/>
        </w:rPr>
        <w:t>how treason law could as easily be m</w:t>
      </w:r>
      <w:r>
        <w:rPr>
          <w:rFonts w:asciiTheme="majorBidi" w:hAnsiTheme="majorBidi" w:cstheme="majorBidi"/>
          <w:lang w:val="en-GB"/>
        </w:rPr>
        <w:t>anipulated</w:t>
      </w:r>
      <w:r w:rsidRPr="004F0559">
        <w:rPr>
          <w:rFonts w:asciiTheme="majorBidi" w:hAnsiTheme="majorBidi" w:cstheme="majorBidi"/>
          <w:lang w:val="en-GB"/>
        </w:rPr>
        <w:t xml:space="preserve"> when the regime wanted to crush its domestic enemies. </w:t>
      </w:r>
      <w:r w:rsidR="000718EC">
        <w:rPr>
          <w:rFonts w:asciiTheme="majorBidi" w:hAnsiTheme="majorBidi" w:cstheme="majorBidi"/>
          <w:lang w:val="en-GB"/>
        </w:rPr>
        <w:t>E</w:t>
      </w:r>
      <w:r w:rsidRPr="004F0559">
        <w:rPr>
          <w:rFonts w:asciiTheme="majorBidi" w:hAnsiTheme="majorBidi" w:cstheme="majorBidi"/>
          <w:lang w:val="en-GB"/>
        </w:rPr>
        <w:t xml:space="preserve">ven more than §58a, the vagueness of </w:t>
      </w:r>
      <w:r>
        <w:rPr>
          <w:rFonts w:asciiTheme="majorBidi" w:hAnsiTheme="majorBidi" w:cstheme="majorBidi"/>
          <w:lang w:val="en-GB"/>
        </w:rPr>
        <w:t>§</w:t>
      </w:r>
      <w:r w:rsidRPr="004F0559">
        <w:rPr>
          <w:rFonts w:asciiTheme="majorBidi" w:hAnsiTheme="majorBidi" w:cstheme="majorBidi"/>
          <w:lang w:val="en-GB"/>
        </w:rPr>
        <w:t>58b left it wide open to ‘construction’</w:t>
      </w:r>
      <w:r w:rsidR="000718EC">
        <w:rPr>
          <w:rFonts w:asciiTheme="majorBidi" w:hAnsiTheme="majorBidi" w:cstheme="majorBidi"/>
          <w:lang w:val="en-GB"/>
        </w:rPr>
        <w:t xml:space="preserve">; most notable was the intended treasonable act, for the perpetrator simply had to pursue an action that </w:t>
      </w:r>
      <w:r w:rsidR="000718EC" w:rsidRPr="000718EC">
        <w:rPr>
          <w:rFonts w:asciiTheme="majorBidi" w:hAnsiTheme="majorBidi" w:cstheme="majorBidi"/>
          <w:i/>
          <w:lang w:val="en-GB"/>
        </w:rPr>
        <w:t>might lead to a violent result</w:t>
      </w:r>
      <w:r w:rsidR="000718EC">
        <w:rPr>
          <w:rFonts w:asciiTheme="majorBidi" w:hAnsiTheme="majorBidi" w:cstheme="majorBidi"/>
          <w:lang w:val="en-GB"/>
        </w:rPr>
        <w:t xml:space="preserve"> such as revolution</w:t>
      </w:r>
      <w:r w:rsidRPr="004F0559">
        <w:rPr>
          <w:rFonts w:asciiTheme="majorBidi" w:hAnsiTheme="majorBidi" w:cstheme="majorBidi"/>
          <w:lang w:val="en-GB"/>
        </w:rPr>
        <w:t xml:space="preserve">. In July 1870 there took place at the Vienna </w:t>
      </w:r>
      <w:r w:rsidR="0009350E">
        <w:rPr>
          <w:rFonts w:asciiTheme="majorBidi" w:hAnsiTheme="majorBidi" w:cstheme="majorBidi"/>
          <w:lang w:val="en-GB"/>
        </w:rPr>
        <w:t xml:space="preserve">regional court or </w:t>
      </w:r>
      <w:r w:rsidRPr="004F0559">
        <w:rPr>
          <w:rFonts w:asciiTheme="majorBidi" w:hAnsiTheme="majorBidi" w:cstheme="majorBidi"/>
          <w:lang w:val="en-GB"/>
        </w:rPr>
        <w:t xml:space="preserve">Landesgericht the </w:t>
      </w:r>
      <w:r w:rsidRPr="004F0559">
        <w:rPr>
          <w:rFonts w:asciiTheme="majorBidi" w:hAnsiTheme="majorBidi" w:cstheme="majorBidi"/>
          <w:lang w:val="en-GB"/>
        </w:rPr>
        <w:lastRenderedPageBreak/>
        <w:t>first great political trial of Austria’s new constitutional era.</w:t>
      </w:r>
      <w:r w:rsidRPr="004F0559">
        <w:rPr>
          <w:rStyle w:val="FootnoteReference"/>
          <w:rFonts w:asciiTheme="majorBidi" w:hAnsiTheme="majorBidi" w:cstheme="majorBidi"/>
          <w:lang w:val="en-GB"/>
        </w:rPr>
        <w:footnoteReference w:id="44"/>
      </w:r>
      <w:r w:rsidRPr="004F0559">
        <w:rPr>
          <w:rFonts w:asciiTheme="majorBidi" w:hAnsiTheme="majorBidi" w:cstheme="majorBidi"/>
          <w:lang w:val="en-GB"/>
        </w:rPr>
        <w:t xml:space="preserve"> </w:t>
      </w:r>
      <w:r>
        <w:rPr>
          <w:rFonts w:asciiTheme="majorBidi" w:hAnsiTheme="majorBidi" w:cstheme="majorBidi"/>
          <w:lang w:val="en-GB"/>
        </w:rPr>
        <w:t xml:space="preserve">The context was the power struggle that had erupted from 1867 between the new Liberal regime and a suddenly expanding workers movement. </w:t>
      </w:r>
      <w:r w:rsidR="000C4BD9">
        <w:rPr>
          <w:rFonts w:asciiTheme="majorBidi" w:hAnsiTheme="majorBidi" w:cstheme="majorBidi"/>
          <w:lang w:val="en-GB"/>
        </w:rPr>
        <w:t xml:space="preserve">Austria’s </w:t>
      </w:r>
      <w:r>
        <w:rPr>
          <w:rFonts w:asciiTheme="majorBidi" w:hAnsiTheme="majorBidi" w:cstheme="majorBidi"/>
          <w:lang w:val="en-GB"/>
        </w:rPr>
        <w:t xml:space="preserve">Liberal government had </w:t>
      </w:r>
      <w:r w:rsidR="00423553">
        <w:rPr>
          <w:rFonts w:asciiTheme="majorBidi" w:hAnsiTheme="majorBidi" w:cstheme="majorBidi"/>
          <w:lang w:val="en-GB"/>
        </w:rPr>
        <w:t>conceded</w:t>
      </w:r>
      <w:r>
        <w:rPr>
          <w:rFonts w:asciiTheme="majorBidi" w:hAnsiTheme="majorBidi" w:cstheme="majorBidi"/>
          <w:lang w:val="en-GB"/>
        </w:rPr>
        <w:t xml:space="preserve"> a restricted right of assembly and tolerated workers associations as long as they had no political agenda. In 1869 however, Austria’s socialist leaders adopted the radical Eisenach programme of Germany’s new Social Democratic Party. This, with its call for energetically creating a ‘free people’s state [</w:t>
      </w:r>
      <w:r>
        <w:rPr>
          <w:rFonts w:asciiTheme="majorBidi" w:hAnsiTheme="majorBidi" w:cstheme="majorBidi"/>
          <w:i/>
          <w:lang w:val="en-GB"/>
        </w:rPr>
        <w:t>Volksstaat</w:t>
      </w:r>
      <w:r>
        <w:rPr>
          <w:rFonts w:asciiTheme="majorBidi" w:hAnsiTheme="majorBidi" w:cstheme="majorBidi"/>
          <w:lang w:val="en-GB"/>
        </w:rPr>
        <w:t xml:space="preserve">]’, was immediately deemed </w:t>
      </w:r>
      <w:r w:rsidR="000C4BD9">
        <w:rPr>
          <w:rFonts w:asciiTheme="majorBidi" w:hAnsiTheme="majorBidi" w:cstheme="majorBidi"/>
          <w:lang w:val="en-GB"/>
        </w:rPr>
        <w:t>‘</w:t>
      </w:r>
      <w:r w:rsidRPr="000D76AC">
        <w:rPr>
          <w:rFonts w:asciiTheme="majorBidi" w:hAnsiTheme="majorBidi" w:cstheme="majorBidi"/>
          <w:lang w:val="en-GB"/>
        </w:rPr>
        <w:t>staatsgefährlich</w:t>
      </w:r>
      <w:r w:rsidR="000C4BD9">
        <w:rPr>
          <w:rFonts w:asciiTheme="majorBidi" w:hAnsiTheme="majorBidi" w:cstheme="majorBidi"/>
          <w:lang w:val="en-GB"/>
        </w:rPr>
        <w:t>’</w:t>
      </w:r>
      <w:r>
        <w:rPr>
          <w:rFonts w:asciiTheme="majorBidi" w:hAnsiTheme="majorBidi" w:cstheme="majorBidi"/>
          <w:lang w:val="en-GB"/>
        </w:rPr>
        <w:t xml:space="preserve"> by the </w:t>
      </w:r>
      <w:r w:rsidR="00423553">
        <w:rPr>
          <w:rFonts w:asciiTheme="majorBidi" w:hAnsiTheme="majorBidi" w:cstheme="majorBidi"/>
          <w:lang w:val="en-GB"/>
        </w:rPr>
        <w:t xml:space="preserve">Austrian </w:t>
      </w:r>
      <w:r>
        <w:rPr>
          <w:rFonts w:asciiTheme="majorBidi" w:hAnsiTheme="majorBidi" w:cstheme="majorBidi"/>
          <w:lang w:val="en-GB"/>
        </w:rPr>
        <w:t>government</w:t>
      </w:r>
      <w:r w:rsidR="00F02FFB">
        <w:rPr>
          <w:rFonts w:asciiTheme="majorBidi" w:hAnsiTheme="majorBidi" w:cstheme="majorBidi"/>
          <w:lang w:val="en-GB"/>
        </w:rPr>
        <w:t>. T</w:t>
      </w:r>
      <w:r>
        <w:rPr>
          <w:rFonts w:asciiTheme="majorBidi" w:hAnsiTheme="majorBidi" w:cstheme="majorBidi"/>
          <w:lang w:val="en-GB"/>
        </w:rPr>
        <w:t xml:space="preserve">he </w:t>
      </w:r>
      <w:r w:rsidR="003845E9">
        <w:rPr>
          <w:rFonts w:asciiTheme="majorBidi" w:hAnsiTheme="majorBidi" w:cstheme="majorBidi"/>
          <w:lang w:val="en-GB"/>
        </w:rPr>
        <w:t>m</w:t>
      </w:r>
      <w:r>
        <w:rPr>
          <w:rFonts w:asciiTheme="majorBidi" w:hAnsiTheme="majorBidi" w:cstheme="majorBidi"/>
          <w:lang w:val="en-GB"/>
        </w:rPr>
        <w:t xml:space="preserve">inister of </w:t>
      </w:r>
      <w:r w:rsidR="003845E9">
        <w:rPr>
          <w:rFonts w:asciiTheme="majorBidi" w:hAnsiTheme="majorBidi" w:cstheme="majorBidi"/>
          <w:lang w:val="en-GB"/>
        </w:rPr>
        <w:t>i</w:t>
      </w:r>
      <w:r>
        <w:rPr>
          <w:rFonts w:asciiTheme="majorBidi" w:hAnsiTheme="majorBidi" w:cstheme="majorBidi"/>
          <w:lang w:val="en-GB"/>
        </w:rPr>
        <w:t xml:space="preserve">nterior, Carl Giskra, ordered the security forces to act against any political socialism that was </w:t>
      </w:r>
      <w:r w:rsidR="000C4BD9">
        <w:rPr>
          <w:rFonts w:asciiTheme="majorBidi" w:hAnsiTheme="majorBidi" w:cstheme="majorBidi"/>
          <w:lang w:val="en-GB"/>
        </w:rPr>
        <w:t>‘</w:t>
      </w:r>
      <w:r>
        <w:rPr>
          <w:rFonts w:asciiTheme="majorBidi" w:hAnsiTheme="majorBidi" w:cstheme="majorBidi"/>
          <w:lang w:val="en-GB"/>
        </w:rPr>
        <w:t xml:space="preserve">incompatible with the institutions of the Austrian </w:t>
      </w:r>
      <w:proofErr w:type="spellStart"/>
      <w:r>
        <w:rPr>
          <w:rFonts w:asciiTheme="majorBidi" w:hAnsiTheme="majorBidi" w:cstheme="majorBidi"/>
          <w:lang w:val="en-GB"/>
        </w:rPr>
        <w:t>Kaiserstaat</w:t>
      </w:r>
      <w:proofErr w:type="spellEnd"/>
      <w:r w:rsidR="000C4BD9">
        <w:rPr>
          <w:rFonts w:asciiTheme="majorBidi" w:hAnsiTheme="majorBidi" w:cstheme="majorBidi"/>
          <w:lang w:val="en-GB"/>
        </w:rPr>
        <w:t>’</w:t>
      </w:r>
      <w:r>
        <w:rPr>
          <w:rFonts w:asciiTheme="majorBidi" w:hAnsiTheme="majorBidi" w:cstheme="majorBidi"/>
          <w:lang w:val="en-GB"/>
        </w:rPr>
        <w:t>.</w:t>
      </w:r>
      <w:r>
        <w:rPr>
          <w:rStyle w:val="FootnoteReference"/>
          <w:rFonts w:asciiTheme="majorBidi" w:hAnsiTheme="majorBidi" w:cstheme="majorBidi"/>
          <w:lang w:val="en-GB"/>
        </w:rPr>
        <w:footnoteReference w:id="45"/>
      </w:r>
      <w:r>
        <w:rPr>
          <w:rFonts w:asciiTheme="majorBidi" w:hAnsiTheme="majorBidi" w:cstheme="majorBidi"/>
          <w:lang w:val="en-GB"/>
        </w:rPr>
        <w:t xml:space="preserve"> </w:t>
      </w:r>
    </w:p>
    <w:p w:rsidR="006E4050" w:rsidRPr="001426C8" w:rsidRDefault="006E4050" w:rsidP="00D23D5E">
      <w:pPr>
        <w:pStyle w:val="NormalWeb"/>
        <w:spacing w:before="0" w:beforeAutospacing="0" w:after="0" w:afterAutospacing="0" w:line="480" w:lineRule="auto"/>
        <w:ind w:firstLine="720"/>
        <w:rPr>
          <w:rFonts w:asciiTheme="majorBidi" w:hAnsiTheme="majorBidi" w:cstheme="majorBidi"/>
          <w:b/>
          <w:lang w:val="en-GB"/>
        </w:rPr>
      </w:pPr>
      <w:r>
        <w:rPr>
          <w:rFonts w:asciiTheme="majorBidi" w:hAnsiTheme="majorBidi" w:cstheme="majorBidi"/>
          <w:lang w:val="en-GB"/>
        </w:rPr>
        <w:t xml:space="preserve">The trigger for a real show-down was a great demonstration </w:t>
      </w:r>
      <w:r w:rsidR="000C4BD9">
        <w:rPr>
          <w:rFonts w:asciiTheme="majorBidi" w:hAnsiTheme="majorBidi" w:cstheme="majorBidi"/>
          <w:lang w:val="en-GB"/>
        </w:rPr>
        <w:t xml:space="preserve">of </w:t>
      </w:r>
      <w:r>
        <w:rPr>
          <w:rFonts w:asciiTheme="majorBidi" w:hAnsiTheme="majorBidi" w:cstheme="majorBidi"/>
          <w:lang w:val="en-GB"/>
        </w:rPr>
        <w:t xml:space="preserve">20,000 people which the socialists organized in central Vienna in December 1869. Although it was peaceful, and the </w:t>
      </w:r>
      <w:r w:rsidR="00771DF5">
        <w:rPr>
          <w:rFonts w:asciiTheme="majorBidi" w:hAnsiTheme="majorBidi" w:cstheme="majorBidi"/>
          <w:lang w:val="en-GB"/>
        </w:rPr>
        <w:t xml:space="preserve">Austrian </w:t>
      </w:r>
      <w:r>
        <w:rPr>
          <w:rFonts w:asciiTheme="majorBidi" w:hAnsiTheme="majorBidi" w:cstheme="majorBidi"/>
          <w:lang w:val="en-GB"/>
        </w:rPr>
        <w:t xml:space="preserve">prime minister even accepted a workers’ petition calling for universal suffrage, many in the establishment interpreted the rally as a threatening and violent display which should not be tolerated. Ten days later in the middle of the night, the police arrested some key socialist leaders. </w:t>
      </w:r>
      <w:r w:rsidR="00337BDB">
        <w:rPr>
          <w:rFonts w:asciiTheme="majorBidi" w:hAnsiTheme="majorBidi" w:cstheme="majorBidi"/>
          <w:lang w:val="en-GB"/>
        </w:rPr>
        <w:t>The left-Liberal press de</w:t>
      </w:r>
      <w:r w:rsidR="000D76AC">
        <w:rPr>
          <w:rFonts w:asciiTheme="majorBidi" w:hAnsiTheme="majorBidi" w:cstheme="majorBidi"/>
          <w:lang w:val="en-GB"/>
        </w:rPr>
        <w:t>scribed</w:t>
      </w:r>
      <w:r w:rsidR="00337BDB">
        <w:rPr>
          <w:rFonts w:asciiTheme="majorBidi" w:hAnsiTheme="majorBidi" w:cstheme="majorBidi"/>
          <w:lang w:val="en-GB"/>
        </w:rPr>
        <w:t xml:space="preserve"> this activity in detail, noting how the arrests were a ‘sad Christmas present’ for Vienna’s workers, and how one leader, Hermann Hartung</w:t>
      </w:r>
      <w:r w:rsidR="00423553">
        <w:rPr>
          <w:rFonts w:asciiTheme="majorBidi" w:hAnsiTheme="majorBidi" w:cstheme="majorBidi"/>
          <w:lang w:val="en-GB"/>
        </w:rPr>
        <w:t>,</w:t>
      </w:r>
      <w:r w:rsidR="00337BDB">
        <w:rPr>
          <w:rFonts w:asciiTheme="majorBidi" w:hAnsiTheme="majorBidi" w:cstheme="majorBidi"/>
          <w:lang w:val="en-GB"/>
        </w:rPr>
        <w:t xml:space="preserve"> had ingeniously managed to outwit the police and escape detention. </w:t>
      </w:r>
      <w:r w:rsidR="000D76AC">
        <w:rPr>
          <w:rFonts w:asciiTheme="majorBidi" w:hAnsiTheme="majorBidi" w:cstheme="majorBidi"/>
          <w:lang w:val="en-GB"/>
        </w:rPr>
        <w:t>While</w:t>
      </w:r>
      <w:r w:rsidR="00337BDB">
        <w:rPr>
          <w:rFonts w:asciiTheme="majorBidi" w:hAnsiTheme="majorBidi" w:cstheme="majorBidi"/>
          <w:lang w:val="en-GB"/>
        </w:rPr>
        <w:t xml:space="preserve"> such papers vigorously denied that the workers movement was directed against the existing state order, p</w:t>
      </w:r>
      <w:r>
        <w:rPr>
          <w:rFonts w:asciiTheme="majorBidi" w:hAnsiTheme="majorBidi" w:cstheme="majorBidi"/>
          <w:lang w:val="en-GB"/>
        </w:rPr>
        <w:t xml:space="preserve">reparations began for a major treason trial which the regime hoped would destroy or </w:t>
      </w:r>
      <w:r w:rsidR="00337BDB">
        <w:rPr>
          <w:rFonts w:asciiTheme="majorBidi" w:hAnsiTheme="majorBidi" w:cstheme="majorBidi"/>
          <w:lang w:val="en-GB"/>
        </w:rPr>
        <w:t xml:space="preserve">at least </w:t>
      </w:r>
      <w:r>
        <w:rPr>
          <w:rFonts w:asciiTheme="majorBidi" w:hAnsiTheme="majorBidi" w:cstheme="majorBidi"/>
          <w:lang w:val="en-GB"/>
        </w:rPr>
        <w:t>paralyse the socialist threat.</w:t>
      </w:r>
      <w:r w:rsidR="00FC7D58">
        <w:rPr>
          <w:rStyle w:val="FootnoteReference"/>
          <w:rFonts w:asciiTheme="majorBidi" w:hAnsiTheme="majorBidi" w:cstheme="majorBidi"/>
          <w:lang w:val="en-GB"/>
        </w:rPr>
        <w:footnoteReference w:id="46"/>
      </w:r>
      <w:r w:rsidR="001426C8">
        <w:rPr>
          <w:rFonts w:asciiTheme="majorBidi" w:hAnsiTheme="majorBidi" w:cstheme="majorBidi"/>
          <w:lang w:val="en-GB"/>
        </w:rPr>
        <w:t xml:space="preserve"> </w:t>
      </w:r>
      <w:r w:rsidR="001426C8">
        <w:rPr>
          <w:rFonts w:asciiTheme="majorBidi" w:hAnsiTheme="majorBidi" w:cstheme="majorBidi"/>
          <w:b/>
          <w:lang w:val="en-GB"/>
        </w:rPr>
        <w:t>[Figure 11]</w:t>
      </w:r>
    </w:p>
    <w:p w:rsidR="006E4050"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lastRenderedPageBreak/>
        <w:t>It is not clear who decided that treason had been committed or that treason law should be u</w:t>
      </w:r>
      <w:r w:rsidR="000D76AC">
        <w:rPr>
          <w:rFonts w:asciiTheme="majorBidi" w:hAnsiTheme="majorBidi" w:cstheme="majorBidi"/>
          <w:lang w:val="en-GB"/>
        </w:rPr>
        <w:t>sed</w:t>
      </w:r>
      <w:r w:rsidR="00FC7D58">
        <w:rPr>
          <w:rFonts w:asciiTheme="majorBidi" w:hAnsiTheme="majorBidi" w:cstheme="majorBidi"/>
          <w:lang w:val="en-GB"/>
        </w:rPr>
        <w:t xml:space="preserve"> against the socialists</w:t>
      </w:r>
      <w:r>
        <w:rPr>
          <w:rFonts w:asciiTheme="majorBidi" w:hAnsiTheme="majorBidi" w:cstheme="majorBidi"/>
          <w:lang w:val="en-GB"/>
        </w:rPr>
        <w:t xml:space="preserve">. Although the decision ultimately fell to Vienna’s </w:t>
      </w:r>
      <w:r w:rsidR="00423AF8">
        <w:rPr>
          <w:rFonts w:asciiTheme="majorBidi" w:hAnsiTheme="majorBidi" w:cstheme="majorBidi"/>
          <w:lang w:val="en-GB"/>
        </w:rPr>
        <w:t>public</w:t>
      </w:r>
      <w:r>
        <w:rPr>
          <w:rFonts w:asciiTheme="majorBidi" w:hAnsiTheme="majorBidi" w:cstheme="majorBidi"/>
          <w:lang w:val="en-GB"/>
        </w:rPr>
        <w:t xml:space="preserve"> prosecutor</w:t>
      </w:r>
      <w:r w:rsidR="003815A8">
        <w:rPr>
          <w:rFonts w:asciiTheme="majorBidi" w:hAnsiTheme="majorBidi" w:cstheme="majorBidi"/>
          <w:lang w:val="en-GB"/>
        </w:rPr>
        <w:t>,</w:t>
      </w:r>
      <w:r>
        <w:rPr>
          <w:rFonts w:asciiTheme="majorBidi" w:hAnsiTheme="majorBidi" w:cstheme="majorBidi"/>
          <w:lang w:val="en-GB"/>
        </w:rPr>
        <w:t xml:space="preserve"> </w:t>
      </w:r>
      <w:r w:rsidR="003815A8">
        <w:rPr>
          <w:rFonts w:asciiTheme="majorBidi" w:hAnsiTheme="majorBidi" w:cstheme="majorBidi"/>
          <w:lang w:val="en-GB"/>
        </w:rPr>
        <w:t xml:space="preserve">Karl Julius </w:t>
      </w:r>
      <w:r>
        <w:rPr>
          <w:rFonts w:asciiTheme="majorBidi" w:hAnsiTheme="majorBidi" w:cstheme="majorBidi"/>
          <w:lang w:val="en-GB"/>
        </w:rPr>
        <w:t>Schmeidel, the left-Liberal press at the time speculat</w:t>
      </w:r>
      <w:r w:rsidR="00FC7D58">
        <w:rPr>
          <w:rFonts w:asciiTheme="majorBidi" w:hAnsiTheme="majorBidi" w:cstheme="majorBidi"/>
          <w:lang w:val="en-GB"/>
        </w:rPr>
        <w:t>ed</w:t>
      </w:r>
      <w:r>
        <w:rPr>
          <w:rFonts w:asciiTheme="majorBidi" w:hAnsiTheme="majorBidi" w:cstheme="majorBidi"/>
          <w:lang w:val="en-GB"/>
        </w:rPr>
        <w:t xml:space="preserve"> that Schmeidel was not independent</w:t>
      </w:r>
      <w:r w:rsidR="00C96340">
        <w:rPr>
          <w:rFonts w:asciiTheme="majorBidi" w:hAnsiTheme="majorBidi" w:cstheme="majorBidi"/>
          <w:lang w:val="en-GB"/>
        </w:rPr>
        <w:t>, that</w:t>
      </w:r>
      <w:r>
        <w:rPr>
          <w:rFonts w:asciiTheme="majorBidi" w:hAnsiTheme="majorBidi" w:cstheme="majorBidi"/>
          <w:lang w:val="en-GB"/>
        </w:rPr>
        <w:t xml:space="preserve"> the Justice Ministry had put pressure on him to act</w:t>
      </w:r>
      <w:r w:rsidR="00536AD6">
        <w:rPr>
          <w:rFonts w:asciiTheme="majorBidi" w:hAnsiTheme="majorBidi" w:cstheme="majorBidi"/>
          <w:lang w:val="en-GB"/>
        </w:rPr>
        <w:t xml:space="preserve"> and make speedy arrests</w:t>
      </w:r>
      <w:r>
        <w:rPr>
          <w:rFonts w:asciiTheme="majorBidi" w:hAnsiTheme="majorBidi" w:cstheme="majorBidi"/>
          <w:lang w:val="en-GB"/>
        </w:rPr>
        <w:t>.</w:t>
      </w:r>
      <w:r>
        <w:rPr>
          <w:rStyle w:val="FootnoteReference"/>
          <w:rFonts w:asciiTheme="majorBidi" w:hAnsiTheme="majorBidi" w:cstheme="majorBidi"/>
          <w:lang w:val="en-GB"/>
        </w:rPr>
        <w:footnoteReference w:id="47"/>
      </w:r>
      <w:r>
        <w:rPr>
          <w:rFonts w:asciiTheme="majorBidi" w:hAnsiTheme="majorBidi" w:cstheme="majorBidi"/>
          <w:lang w:val="en-GB"/>
        </w:rPr>
        <w:t xml:space="preserve"> Over the next six months, the police investigation could turn up little concrete evidence of treason, but in the words of Heinrich Scheu, ‘if [the prosecutor] can find no crime, then he will construct one’.</w:t>
      </w:r>
      <w:r>
        <w:rPr>
          <w:rStyle w:val="FootnoteReference"/>
          <w:rFonts w:asciiTheme="majorBidi" w:hAnsiTheme="majorBidi" w:cstheme="majorBidi"/>
          <w:lang w:val="en-GB"/>
        </w:rPr>
        <w:footnoteReference w:id="48"/>
      </w:r>
      <w:r>
        <w:rPr>
          <w:rFonts w:asciiTheme="majorBidi" w:hAnsiTheme="majorBidi" w:cstheme="majorBidi"/>
          <w:lang w:val="en-GB"/>
        </w:rPr>
        <w:t xml:space="preserve"> The indictment which Schmeidel put together charged </w:t>
      </w:r>
      <w:r w:rsidR="003845E9">
        <w:rPr>
          <w:rFonts w:asciiTheme="majorBidi" w:hAnsiTheme="majorBidi" w:cstheme="majorBidi"/>
          <w:lang w:val="en-GB"/>
        </w:rPr>
        <w:t>fourteen</w:t>
      </w:r>
      <w:r>
        <w:rPr>
          <w:rFonts w:asciiTheme="majorBidi" w:hAnsiTheme="majorBidi" w:cstheme="majorBidi"/>
          <w:lang w:val="en-GB"/>
        </w:rPr>
        <w:t xml:space="preserve"> socialists – including Scheu’s brother Andreas - with treason or the lesser crime of public violence. </w:t>
      </w:r>
      <w:proofErr w:type="spellStart"/>
      <w:r w:rsidR="000D76AC">
        <w:rPr>
          <w:rFonts w:asciiTheme="majorBidi" w:hAnsiTheme="majorBidi" w:cstheme="majorBidi"/>
          <w:lang w:val="en-GB"/>
        </w:rPr>
        <w:t>Schmeidel’s</w:t>
      </w:r>
      <w:proofErr w:type="spellEnd"/>
      <w:r>
        <w:rPr>
          <w:rFonts w:asciiTheme="majorBidi" w:hAnsiTheme="majorBidi" w:cstheme="majorBidi"/>
          <w:lang w:val="en-GB"/>
        </w:rPr>
        <w:t xml:space="preserve"> main argument was that they were seeking to implement the Eisenach programme of a </w:t>
      </w:r>
      <w:r w:rsidRPr="00800616">
        <w:rPr>
          <w:rFonts w:asciiTheme="majorBidi" w:hAnsiTheme="majorBidi" w:cstheme="majorBidi"/>
          <w:i/>
          <w:lang w:val="en-GB"/>
        </w:rPr>
        <w:t>Volksstaat</w:t>
      </w:r>
      <w:r>
        <w:rPr>
          <w:rFonts w:asciiTheme="majorBidi" w:hAnsiTheme="majorBidi" w:cstheme="majorBidi"/>
          <w:lang w:val="en-GB"/>
        </w:rPr>
        <w:t xml:space="preserve"> </w:t>
      </w:r>
      <w:r w:rsidR="00536AD6">
        <w:rPr>
          <w:rFonts w:asciiTheme="majorBidi" w:hAnsiTheme="majorBidi" w:cstheme="majorBidi"/>
          <w:lang w:val="en-GB"/>
        </w:rPr>
        <w:t>- in other words,</w:t>
      </w:r>
      <w:r>
        <w:rPr>
          <w:rFonts w:asciiTheme="majorBidi" w:hAnsiTheme="majorBidi" w:cstheme="majorBidi"/>
          <w:lang w:val="en-GB"/>
        </w:rPr>
        <w:t xml:space="preserve"> a republic</w:t>
      </w:r>
      <w:r w:rsidR="00536AD6">
        <w:rPr>
          <w:rFonts w:asciiTheme="majorBidi" w:hAnsiTheme="majorBidi" w:cstheme="majorBidi"/>
          <w:lang w:val="en-GB"/>
        </w:rPr>
        <w:t xml:space="preserve"> -</w:t>
      </w:r>
      <w:r>
        <w:rPr>
          <w:rFonts w:asciiTheme="majorBidi" w:hAnsiTheme="majorBidi" w:cstheme="majorBidi"/>
          <w:lang w:val="en-GB"/>
        </w:rPr>
        <w:t xml:space="preserve"> which would overthrow the existing order</w:t>
      </w:r>
      <w:r w:rsidR="00536AD6">
        <w:rPr>
          <w:rFonts w:asciiTheme="majorBidi" w:hAnsiTheme="majorBidi" w:cstheme="majorBidi"/>
          <w:lang w:val="en-GB"/>
        </w:rPr>
        <w:t>. T</w:t>
      </w:r>
      <w:r>
        <w:rPr>
          <w:rFonts w:asciiTheme="majorBidi" w:hAnsiTheme="majorBidi" w:cstheme="majorBidi"/>
          <w:lang w:val="en-GB"/>
        </w:rPr>
        <w:t>heir goal was only achievable through violence, and the mass rally of December was supposedly the proof of that</w:t>
      </w:r>
      <w:r w:rsidR="00536AD6">
        <w:rPr>
          <w:rFonts w:asciiTheme="majorBidi" w:hAnsiTheme="majorBidi" w:cstheme="majorBidi"/>
          <w:lang w:val="en-GB"/>
        </w:rPr>
        <w:t xml:space="preserve"> intended end-result</w:t>
      </w:r>
      <w:r>
        <w:rPr>
          <w:rFonts w:asciiTheme="majorBidi" w:hAnsiTheme="majorBidi" w:cstheme="majorBidi"/>
          <w:lang w:val="en-GB"/>
        </w:rPr>
        <w:t xml:space="preserve">. </w:t>
      </w:r>
    </w:p>
    <w:p w:rsidR="006E4050"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When the case </w:t>
      </w:r>
      <w:r w:rsidR="00536AD6">
        <w:rPr>
          <w:rFonts w:asciiTheme="majorBidi" w:hAnsiTheme="majorBidi" w:cstheme="majorBidi"/>
          <w:lang w:val="en-GB"/>
        </w:rPr>
        <w:t xml:space="preserve">eventually </w:t>
      </w:r>
      <w:r>
        <w:rPr>
          <w:rFonts w:asciiTheme="majorBidi" w:hAnsiTheme="majorBidi" w:cstheme="majorBidi"/>
          <w:lang w:val="en-GB"/>
        </w:rPr>
        <w:t xml:space="preserve">came to trial in July 1870, </w:t>
      </w:r>
      <w:r w:rsidR="00536AD6">
        <w:rPr>
          <w:rFonts w:asciiTheme="majorBidi" w:hAnsiTheme="majorBidi" w:cstheme="majorBidi"/>
          <w:lang w:val="en-GB"/>
        </w:rPr>
        <w:t>state pow</w:t>
      </w:r>
      <w:r>
        <w:rPr>
          <w:rFonts w:asciiTheme="majorBidi" w:hAnsiTheme="majorBidi" w:cstheme="majorBidi"/>
          <w:lang w:val="en-GB"/>
        </w:rPr>
        <w:t>er was fully on display</w:t>
      </w:r>
      <w:r w:rsidR="00536AD6">
        <w:rPr>
          <w:rFonts w:asciiTheme="majorBidi" w:hAnsiTheme="majorBidi" w:cstheme="majorBidi"/>
          <w:lang w:val="en-GB"/>
        </w:rPr>
        <w:t>. T</w:t>
      </w:r>
      <w:r>
        <w:rPr>
          <w:rFonts w:asciiTheme="majorBidi" w:hAnsiTheme="majorBidi" w:cstheme="majorBidi"/>
          <w:lang w:val="en-GB"/>
        </w:rPr>
        <w:t xml:space="preserve">he Landesgericht </w:t>
      </w:r>
      <w:r w:rsidR="00536AD6">
        <w:rPr>
          <w:rFonts w:asciiTheme="majorBidi" w:hAnsiTheme="majorBidi" w:cstheme="majorBidi"/>
          <w:lang w:val="en-GB"/>
        </w:rPr>
        <w:t xml:space="preserve">was </w:t>
      </w:r>
      <w:r>
        <w:rPr>
          <w:rFonts w:asciiTheme="majorBidi" w:hAnsiTheme="majorBidi" w:cstheme="majorBidi"/>
          <w:lang w:val="en-GB"/>
        </w:rPr>
        <w:t>heavily guarded</w:t>
      </w:r>
      <w:r w:rsidR="00554E9F">
        <w:rPr>
          <w:rFonts w:asciiTheme="majorBidi" w:hAnsiTheme="majorBidi" w:cstheme="majorBidi"/>
          <w:lang w:val="en-GB"/>
        </w:rPr>
        <w:t xml:space="preserve">; </w:t>
      </w:r>
      <w:r>
        <w:rPr>
          <w:rFonts w:asciiTheme="majorBidi" w:hAnsiTheme="majorBidi" w:cstheme="majorBidi"/>
          <w:lang w:val="en-GB"/>
        </w:rPr>
        <w:t xml:space="preserve">the defendants </w:t>
      </w:r>
      <w:r w:rsidR="00536AD6">
        <w:rPr>
          <w:rFonts w:asciiTheme="majorBidi" w:hAnsiTheme="majorBidi" w:cstheme="majorBidi"/>
          <w:lang w:val="en-GB"/>
        </w:rPr>
        <w:t xml:space="preserve">and public </w:t>
      </w:r>
      <w:r w:rsidR="00554E9F">
        <w:rPr>
          <w:rFonts w:asciiTheme="majorBidi" w:hAnsiTheme="majorBidi" w:cstheme="majorBidi"/>
          <w:lang w:val="en-GB"/>
        </w:rPr>
        <w:t xml:space="preserve">were </w:t>
      </w:r>
      <w:r>
        <w:rPr>
          <w:rFonts w:asciiTheme="majorBidi" w:hAnsiTheme="majorBidi" w:cstheme="majorBidi"/>
          <w:lang w:val="en-GB"/>
        </w:rPr>
        <w:t>given limited space in a</w:t>
      </w:r>
      <w:r w:rsidR="000D76AC">
        <w:rPr>
          <w:rFonts w:asciiTheme="majorBidi" w:hAnsiTheme="majorBidi" w:cstheme="majorBidi"/>
          <w:lang w:val="en-GB"/>
        </w:rPr>
        <w:t>n arena</w:t>
      </w:r>
      <w:r>
        <w:rPr>
          <w:rFonts w:asciiTheme="majorBidi" w:hAnsiTheme="majorBidi" w:cstheme="majorBidi"/>
          <w:lang w:val="en-GB"/>
        </w:rPr>
        <w:t xml:space="preserve"> dominated by five judges and other officials</w:t>
      </w:r>
      <w:r w:rsidR="00536AD6">
        <w:rPr>
          <w:rFonts w:asciiTheme="majorBidi" w:hAnsiTheme="majorBidi" w:cstheme="majorBidi"/>
          <w:lang w:val="en-GB"/>
        </w:rPr>
        <w:t xml:space="preserve"> in order to assert the power of the courtroom</w:t>
      </w:r>
      <w:r>
        <w:rPr>
          <w:rFonts w:asciiTheme="majorBidi" w:hAnsiTheme="majorBidi" w:cstheme="majorBidi"/>
          <w:lang w:val="en-GB"/>
        </w:rPr>
        <w:t xml:space="preserve">. </w:t>
      </w:r>
      <w:r w:rsidR="00536AD6">
        <w:rPr>
          <w:rFonts w:asciiTheme="majorBidi" w:hAnsiTheme="majorBidi" w:cstheme="majorBidi"/>
          <w:lang w:val="en-GB"/>
        </w:rPr>
        <w:t>Even so, the defendants according to eye-witnesses were uncowed. Despite their long imprisonment, they appeared confident with their bright eyes and long hair a</w:t>
      </w:r>
      <w:r w:rsidR="000D76AC">
        <w:rPr>
          <w:rFonts w:asciiTheme="majorBidi" w:hAnsiTheme="majorBidi" w:cstheme="majorBidi"/>
          <w:lang w:val="en-GB"/>
        </w:rPr>
        <w:t>n outward</w:t>
      </w:r>
      <w:r w:rsidR="00536AD6">
        <w:rPr>
          <w:rFonts w:asciiTheme="majorBidi" w:hAnsiTheme="majorBidi" w:cstheme="majorBidi"/>
          <w:lang w:val="en-GB"/>
        </w:rPr>
        <w:t xml:space="preserve"> sign of </w:t>
      </w:r>
      <w:r w:rsidR="000D76AC">
        <w:rPr>
          <w:rFonts w:asciiTheme="majorBidi" w:hAnsiTheme="majorBidi" w:cstheme="majorBidi"/>
          <w:lang w:val="en-GB"/>
        </w:rPr>
        <w:t>defiant</w:t>
      </w:r>
      <w:r w:rsidR="00536AD6">
        <w:rPr>
          <w:rFonts w:asciiTheme="majorBidi" w:hAnsiTheme="majorBidi" w:cstheme="majorBidi"/>
          <w:lang w:val="en-GB"/>
        </w:rPr>
        <w:t xml:space="preserve"> idealism</w:t>
      </w:r>
      <w:r w:rsidR="000D76AC">
        <w:rPr>
          <w:rFonts w:asciiTheme="majorBidi" w:hAnsiTheme="majorBidi" w:cstheme="majorBidi"/>
          <w:lang w:val="en-GB"/>
        </w:rPr>
        <w:t>.</w:t>
      </w:r>
      <w:r w:rsidR="00536AD6">
        <w:rPr>
          <w:rStyle w:val="FootnoteReference"/>
          <w:rFonts w:asciiTheme="majorBidi" w:hAnsiTheme="majorBidi" w:cstheme="majorBidi"/>
          <w:lang w:val="en-GB"/>
        </w:rPr>
        <w:footnoteReference w:id="49"/>
      </w:r>
      <w:r w:rsidR="00536AD6">
        <w:rPr>
          <w:rFonts w:asciiTheme="majorBidi" w:hAnsiTheme="majorBidi" w:cstheme="majorBidi"/>
          <w:lang w:val="en-GB"/>
        </w:rPr>
        <w:t xml:space="preserve"> </w:t>
      </w:r>
      <w:r>
        <w:rPr>
          <w:rFonts w:asciiTheme="majorBidi" w:hAnsiTheme="majorBidi" w:cstheme="majorBidi"/>
          <w:lang w:val="en-GB"/>
        </w:rPr>
        <w:t xml:space="preserve">Schmeidel, </w:t>
      </w:r>
      <w:r w:rsidR="00536AD6">
        <w:rPr>
          <w:rFonts w:asciiTheme="majorBidi" w:hAnsiTheme="majorBidi" w:cstheme="majorBidi"/>
          <w:lang w:val="en-GB"/>
        </w:rPr>
        <w:t xml:space="preserve">with his grey moustache and hair offsetting his green uniform, now set out his case of </w:t>
      </w:r>
      <w:r>
        <w:rPr>
          <w:rFonts w:asciiTheme="majorBidi" w:hAnsiTheme="majorBidi" w:cstheme="majorBidi"/>
          <w:lang w:val="en-GB"/>
        </w:rPr>
        <w:t>‘constructed treason’</w:t>
      </w:r>
      <w:r w:rsidR="00536AD6">
        <w:rPr>
          <w:rFonts w:asciiTheme="majorBidi" w:hAnsiTheme="majorBidi" w:cstheme="majorBidi"/>
          <w:lang w:val="en-GB"/>
        </w:rPr>
        <w:t xml:space="preserve">. He </w:t>
      </w:r>
      <w:r>
        <w:rPr>
          <w:rFonts w:asciiTheme="majorBidi" w:hAnsiTheme="majorBidi" w:cstheme="majorBidi"/>
          <w:lang w:val="en-GB"/>
        </w:rPr>
        <w:t xml:space="preserve">speculated </w:t>
      </w:r>
      <w:r w:rsidR="00683C8C">
        <w:rPr>
          <w:rFonts w:asciiTheme="majorBidi" w:hAnsiTheme="majorBidi" w:cstheme="majorBidi"/>
          <w:lang w:val="en-GB"/>
        </w:rPr>
        <w:t xml:space="preserve">wildly about the treasonable intent, asserting that the traitors </w:t>
      </w:r>
      <w:r>
        <w:rPr>
          <w:rFonts w:asciiTheme="majorBidi" w:hAnsiTheme="majorBidi" w:cstheme="majorBidi"/>
          <w:lang w:val="en-GB"/>
        </w:rPr>
        <w:t xml:space="preserve">had even planned to attack the </w:t>
      </w:r>
      <w:r w:rsidR="00EA5075">
        <w:rPr>
          <w:rFonts w:asciiTheme="majorBidi" w:hAnsiTheme="majorBidi" w:cstheme="majorBidi"/>
          <w:lang w:val="en-GB"/>
        </w:rPr>
        <w:t xml:space="preserve">imperial palace, the </w:t>
      </w:r>
      <w:r>
        <w:rPr>
          <w:rFonts w:asciiTheme="majorBidi" w:hAnsiTheme="majorBidi" w:cstheme="majorBidi"/>
          <w:lang w:val="en-GB"/>
        </w:rPr>
        <w:t>Hofburg</w:t>
      </w:r>
      <w:r w:rsidR="00EA5075">
        <w:rPr>
          <w:rFonts w:asciiTheme="majorBidi" w:hAnsiTheme="majorBidi" w:cstheme="majorBidi"/>
          <w:lang w:val="en-GB"/>
        </w:rPr>
        <w:t>,</w:t>
      </w:r>
      <w:r>
        <w:rPr>
          <w:rFonts w:asciiTheme="majorBidi" w:hAnsiTheme="majorBidi" w:cstheme="majorBidi"/>
          <w:lang w:val="en-GB"/>
        </w:rPr>
        <w:t xml:space="preserve"> and take the emperor hostage</w:t>
      </w:r>
      <w:r w:rsidR="00683C8C">
        <w:rPr>
          <w:rFonts w:asciiTheme="majorBidi" w:hAnsiTheme="majorBidi" w:cstheme="majorBidi"/>
          <w:lang w:val="en-GB"/>
        </w:rPr>
        <w:t xml:space="preserve"> (a hint of §58</w:t>
      </w:r>
      <w:r w:rsidR="00EF5ECB">
        <w:rPr>
          <w:rFonts w:asciiTheme="majorBidi" w:hAnsiTheme="majorBidi" w:cstheme="majorBidi"/>
          <w:lang w:val="en-GB"/>
        </w:rPr>
        <w:t>a</w:t>
      </w:r>
      <w:r w:rsidR="00683C8C">
        <w:rPr>
          <w:rFonts w:asciiTheme="majorBidi" w:hAnsiTheme="majorBidi" w:cstheme="majorBidi"/>
          <w:lang w:val="en-GB"/>
        </w:rPr>
        <w:t>). He</w:t>
      </w:r>
      <w:r>
        <w:rPr>
          <w:rFonts w:asciiTheme="majorBidi" w:hAnsiTheme="majorBidi" w:cstheme="majorBidi"/>
          <w:lang w:val="en-GB"/>
        </w:rPr>
        <w:t xml:space="preserve"> also re</w:t>
      </w:r>
      <w:r w:rsidR="00BE090C">
        <w:rPr>
          <w:rFonts w:asciiTheme="majorBidi" w:hAnsiTheme="majorBidi" w:cstheme="majorBidi"/>
          <w:lang w:val="en-GB"/>
        </w:rPr>
        <w:t xml:space="preserve">lied heavily on </w:t>
      </w:r>
      <w:r>
        <w:rPr>
          <w:rFonts w:asciiTheme="majorBidi" w:hAnsiTheme="majorBidi" w:cstheme="majorBidi"/>
          <w:lang w:val="en-GB"/>
        </w:rPr>
        <w:t>the</w:t>
      </w:r>
      <w:r w:rsidR="00CE7D91">
        <w:rPr>
          <w:rFonts w:asciiTheme="majorBidi" w:hAnsiTheme="majorBidi" w:cstheme="majorBidi"/>
          <w:lang w:val="en-GB"/>
        </w:rPr>
        <w:t xml:space="preserve"> </w:t>
      </w:r>
      <w:r>
        <w:rPr>
          <w:rFonts w:asciiTheme="majorBidi" w:hAnsiTheme="majorBidi" w:cstheme="majorBidi"/>
          <w:lang w:val="en-GB"/>
        </w:rPr>
        <w:t xml:space="preserve">hearsay of </w:t>
      </w:r>
      <w:proofErr w:type="spellStart"/>
      <w:r w:rsidR="00683C8C">
        <w:rPr>
          <w:rFonts w:asciiTheme="majorBidi" w:hAnsiTheme="majorBidi" w:cstheme="majorBidi"/>
          <w:lang w:val="en-GB"/>
        </w:rPr>
        <w:t>Hartung’s</w:t>
      </w:r>
      <w:proofErr w:type="spellEnd"/>
      <w:r w:rsidR="00683C8C">
        <w:rPr>
          <w:rFonts w:asciiTheme="majorBidi" w:hAnsiTheme="majorBidi" w:cstheme="majorBidi"/>
          <w:lang w:val="en-GB"/>
        </w:rPr>
        <w:t xml:space="preserve"> ex-</w:t>
      </w:r>
      <w:r>
        <w:rPr>
          <w:rFonts w:asciiTheme="majorBidi" w:hAnsiTheme="majorBidi" w:cstheme="majorBidi"/>
          <w:lang w:val="en-GB"/>
        </w:rPr>
        <w:t>girlfriend</w:t>
      </w:r>
      <w:r w:rsidR="00683C8C">
        <w:rPr>
          <w:rFonts w:asciiTheme="majorBidi" w:hAnsiTheme="majorBidi" w:cstheme="majorBidi"/>
          <w:lang w:val="en-GB"/>
        </w:rPr>
        <w:t>,</w:t>
      </w:r>
      <w:r w:rsidR="00302851">
        <w:rPr>
          <w:rFonts w:asciiTheme="majorBidi" w:hAnsiTheme="majorBidi" w:cstheme="majorBidi"/>
          <w:lang w:val="en-GB"/>
        </w:rPr>
        <w:t xml:space="preserve"> Marie Podany,</w:t>
      </w:r>
      <w:r w:rsidR="00683C8C">
        <w:rPr>
          <w:rFonts w:asciiTheme="majorBidi" w:hAnsiTheme="majorBidi" w:cstheme="majorBidi"/>
          <w:lang w:val="en-GB"/>
        </w:rPr>
        <w:t xml:space="preserve"> </w:t>
      </w:r>
      <w:r>
        <w:rPr>
          <w:rFonts w:asciiTheme="majorBidi" w:hAnsiTheme="majorBidi" w:cstheme="majorBidi"/>
          <w:lang w:val="en-GB"/>
        </w:rPr>
        <w:t xml:space="preserve">a woman </w:t>
      </w:r>
      <w:r w:rsidR="00CE7D91">
        <w:rPr>
          <w:rFonts w:asciiTheme="majorBidi" w:hAnsiTheme="majorBidi" w:cstheme="majorBidi"/>
          <w:lang w:val="en-GB"/>
        </w:rPr>
        <w:t xml:space="preserve">whom onlookers </w:t>
      </w:r>
      <w:r>
        <w:rPr>
          <w:rFonts w:asciiTheme="majorBidi" w:hAnsiTheme="majorBidi" w:cstheme="majorBidi"/>
          <w:lang w:val="en-GB"/>
        </w:rPr>
        <w:t xml:space="preserve">typically </w:t>
      </w:r>
      <w:r>
        <w:rPr>
          <w:rFonts w:asciiTheme="majorBidi" w:hAnsiTheme="majorBidi" w:cstheme="majorBidi"/>
          <w:lang w:val="en-GB"/>
        </w:rPr>
        <w:lastRenderedPageBreak/>
        <w:t xml:space="preserve">mocked as ‘hysterical’ </w:t>
      </w:r>
      <w:r w:rsidR="00CE7D91">
        <w:rPr>
          <w:rFonts w:asciiTheme="majorBidi" w:hAnsiTheme="majorBidi" w:cstheme="majorBidi"/>
          <w:lang w:val="en-GB"/>
        </w:rPr>
        <w:t xml:space="preserve">or as only </w:t>
      </w:r>
      <w:r w:rsidR="00EF5ECB">
        <w:rPr>
          <w:rFonts w:asciiTheme="majorBidi" w:hAnsiTheme="majorBidi" w:cstheme="majorBidi"/>
          <w:lang w:val="en-GB"/>
        </w:rPr>
        <w:t>attached</w:t>
      </w:r>
      <w:r w:rsidR="00CE7D91">
        <w:rPr>
          <w:rFonts w:asciiTheme="majorBidi" w:hAnsiTheme="majorBidi" w:cstheme="majorBidi"/>
          <w:lang w:val="en-GB"/>
        </w:rPr>
        <w:t xml:space="preserve"> to the </w:t>
      </w:r>
      <w:r w:rsidR="00BE090C">
        <w:rPr>
          <w:rFonts w:asciiTheme="majorBidi" w:hAnsiTheme="majorBidi" w:cstheme="majorBidi"/>
          <w:lang w:val="en-GB"/>
        </w:rPr>
        <w:t>workers movement</w:t>
      </w:r>
      <w:r w:rsidR="00CE7D91">
        <w:rPr>
          <w:rFonts w:asciiTheme="majorBidi" w:hAnsiTheme="majorBidi" w:cstheme="majorBidi"/>
          <w:lang w:val="en-GB"/>
        </w:rPr>
        <w:t xml:space="preserve"> </w:t>
      </w:r>
      <w:r w:rsidR="00BE090C">
        <w:rPr>
          <w:rFonts w:asciiTheme="majorBidi" w:hAnsiTheme="majorBidi" w:cstheme="majorBidi"/>
          <w:lang w:val="en-GB"/>
        </w:rPr>
        <w:t>for sexual purposes</w:t>
      </w:r>
      <w:r>
        <w:rPr>
          <w:rFonts w:asciiTheme="majorBidi" w:hAnsiTheme="majorBidi" w:cstheme="majorBidi"/>
          <w:lang w:val="en-GB"/>
        </w:rPr>
        <w:t>.</w:t>
      </w:r>
      <w:r>
        <w:rPr>
          <w:rStyle w:val="FootnoteReference"/>
          <w:rFonts w:asciiTheme="majorBidi" w:hAnsiTheme="majorBidi" w:cstheme="majorBidi"/>
          <w:lang w:val="en-GB"/>
        </w:rPr>
        <w:footnoteReference w:id="50"/>
      </w:r>
      <w:r>
        <w:rPr>
          <w:rFonts w:asciiTheme="majorBidi" w:hAnsiTheme="majorBidi" w:cstheme="majorBidi"/>
          <w:lang w:val="en-GB"/>
        </w:rPr>
        <w:t xml:space="preserve"> </w:t>
      </w:r>
      <w:r w:rsidR="001C44C1">
        <w:rPr>
          <w:rFonts w:asciiTheme="majorBidi" w:hAnsiTheme="majorBidi" w:cstheme="majorBidi"/>
          <w:b/>
          <w:lang w:val="en-GB"/>
        </w:rPr>
        <w:t>[Figure 1</w:t>
      </w:r>
      <w:r w:rsidR="001426C8">
        <w:rPr>
          <w:rFonts w:asciiTheme="majorBidi" w:hAnsiTheme="majorBidi" w:cstheme="majorBidi"/>
          <w:b/>
          <w:lang w:val="en-GB"/>
        </w:rPr>
        <w:t>2</w:t>
      </w:r>
      <w:r w:rsidR="001C44C1">
        <w:rPr>
          <w:rFonts w:asciiTheme="majorBidi" w:hAnsiTheme="majorBidi" w:cstheme="majorBidi"/>
          <w:b/>
          <w:lang w:val="en-GB"/>
        </w:rPr>
        <w:t xml:space="preserve">] </w:t>
      </w:r>
      <w:r>
        <w:rPr>
          <w:rFonts w:asciiTheme="majorBidi" w:hAnsiTheme="majorBidi" w:cstheme="majorBidi"/>
          <w:lang w:val="en-GB"/>
        </w:rPr>
        <w:t xml:space="preserve">In response, the defence lawyers tried to argue that no violence had been intended, </w:t>
      </w:r>
      <w:r w:rsidR="00930CE4">
        <w:rPr>
          <w:rFonts w:asciiTheme="majorBidi" w:hAnsiTheme="majorBidi" w:cstheme="majorBidi"/>
          <w:lang w:val="en-GB"/>
        </w:rPr>
        <w:t>let alone</w:t>
      </w:r>
      <w:r>
        <w:rPr>
          <w:rFonts w:asciiTheme="majorBidi" w:hAnsiTheme="majorBidi" w:cstheme="majorBidi"/>
          <w:lang w:val="en-GB"/>
        </w:rPr>
        <w:t xml:space="preserve"> a republic; but they never felt bold enough to state </w:t>
      </w:r>
      <w:r w:rsidR="00BE090C">
        <w:rPr>
          <w:rFonts w:asciiTheme="majorBidi" w:hAnsiTheme="majorBidi" w:cstheme="majorBidi"/>
          <w:lang w:val="en-GB"/>
        </w:rPr>
        <w:t xml:space="preserve">publicly </w:t>
      </w:r>
      <w:r>
        <w:rPr>
          <w:rFonts w:asciiTheme="majorBidi" w:hAnsiTheme="majorBidi" w:cstheme="majorBidi"/>
          <w:lang w:val="en-GB"/>
        </w:rPr>
        <w:t xml:space="preserve">that the whole trial was tendentious and political. To many observers, the verdict was inevitable: </w:t>
      </w:r>
      <w:r w:rsidR="00BE090C">
        <w:rPr>
          <w:rFonts w:asciiTheme="majorBidi" w:hAnsiTheme="majorBidi" w:cstheme="majorBidi"/>
          <w:lang w:val="en-GB"/>
        </w:rPr>
        <w:t>four</w:t>
      </w:r>
      <w:r>
        <w:rPr>
          <w:rFonts w:asciiTheme="majorBidi" w:hAnsiTheme="majorBidi" w:cstheme="majorBidi"/>
          <w:lang w:val="en-GB"/>
        </w:rPr>
        <w:t xml:space="preserve"> of the socialists were found guilty under §58b and given what was deemed a severe sentence</w:t>
      </w:r>
      <w:r w:rsidR="00C37891">
        <w:rPr>
          <w:rFonts w:asciiTheme="majorBidi" w:hAnsiTheme="majorBidi" w:cstheme="majorBidi"/>
          <w:lang w:val="en-GB"/>
        </w:rPr>
        <w:t xml:space="preserve">. This was </w:t>
      </w:r>
      <w:r w:rsidR="00930CE4">
        <w:rPr>
          <w:rFonts w:asciiTheme="majorBidi" w:hAnsiTheme="majorBidi" w:cstheme="majorBidi"/>
          <w:lang w:val="en-GB"/>
        </w:rPr>
        <w:t xml:space="preserve">five or six </w:t>
      </w:r>
      <w:proofErr w:type="gramStart"/>
      <w:r>
        <w:rPr>
          <w:rFonts w:asciiTheme="majorBidi" w:hAnsiTheme="majorBidi" w:cstheme="majorBidi"/>
          <w:lang w:val="en-GB"/>
        </w:rPr>
        <w:t>years</w:t>
      </w:r>
      <w:proofErr w:type="gramEnd"/>
      <w:r>
        <w:rPr>
          <w:rFonts w:asciiTheme="majorBidi" w:hAnsiTheme="majorBidi" w:cstheme="majorBidi"/>
          <w:lang w:val="en-GB"/>
        </w:rPr>
        <w:t xml:space="preserve"> imprisonment with hard labour</w:t>
      </w:r>
      <w:r w:rsidR="00554E9F">
        <w:rPr>
          <w:rFonts w:asciiTheme="majorBidi" w:hAnsiTheme="majorBidi" w:cstheme="majorBidi"/>
          <w:lang w:val="en-GB"/>
        </w:rPr>
        <w:t xml:space="preserve">. For we should note, from the 1850s </w:t>
      </w:r>
      <w:r w:rsidR="00C37891">
        <w:rPr>
          <w:rFonts w:asciiTheme="majorBidi" w:hAnsiTheme="majorBidi" w:cstheme="majorBidi"/>
          <w:lang w:val="en-GB"/>
        </w:rPr>
        <w:t xml:space="preserve">the death penalty was very rarely imposed for ‘treason’ unless the </w:t>
      </w:r>
      <w:r w:rsidR="002501D3">
        <w:rPr>
          <w:rFonts w:asciiTheme="majorBidi" w:hAnsiTheme="majorBidi" w:cstheme="majorBidi"/>
          <w:lang w:val="en-GB"/>
        </w:rPr>
        <w:t xml:space="preserve">crime (as with Oberdan) consciously aimed at or resulted in </w:t>
      </w:r>
      <w:r w:rsidR="00554E9F">
        <w:rPr>
          <w:rFonts w:asciiTheme="majorBidi" w:hAnsiTheme="majorBidi" w:cstheme="majorBidi"/>
          <w:lang w:val="en-GB"/>
        </w:rPr>
        <w:t>murder</w:t>
      </w:r>
      <w:r>
        <w:rPr>
          <w:rFonts w:asciiTheme="majorBidi" w:hAnsiTheme="majorBidi" w:cstheme="majorBidi"/>
          <w:lang w:val="en-GB"/>
        </w:rPr>
        <w:t>.</w:t>
      </w:r>
    </w:p>
    <w:p w:rsidR="006E4050"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Yet this very public treason trial did not fulfil the regime’s objective. In fact, it back-fired badly, with the socialists emerging as the real moral victors</w:t>
      </w:r>
      <w:r w:rsidR="00FF33B7">
        <w:rPr>
          <w:rFonts w:asciiTheme="majorBidi" w:hAnsiTheme="majorBidi" w:cstheme="majorBidi"/>
          <w:lang w:val="en-GB"/>
        </w:rPr>
        <w:t>,</w:t>
      </w:r>
      <w:r>
        <w:rPr>
          <w:rFonts w:asciiTheme="majorBidi" w:hAnsiTheme="majorBidi" w:cstheme="majorBidi"/>
          <w:lang w:val="en-GB"/>
        </w:rPr>
        <w:t xml:space="preserve"> and treason law coming in for critical scrutiny</w:t>
      </w:r>
      <w:r w:rsidR="00FF33B7">
        <w:rPr>
          <w:rFonts w:asciiTheme="majorBidi" w:hAnsiTheme="majorBidi" w:cstheme="majorBidi"/>
          <w:lang w:val="en-GB"/>
        </w:rPr>
        <w:t xml:space="preserve"> under Austria’s constitutional system</w:t>
      </w:r>
      <w:r>
        <w:rPr>
          <w:rFonts w:asciiTheme="majorBidi" w:hAnsiTheme="majorBidi" w:cstheme="majorBidi"/>
          <w:lang w:val="en-GB"/>
        </w:rPr>
        <w:t xml:space="preserve">. Straight after the verdict the press attacks began. According to </w:t>
      </w:r>
      <w:r>
        <w:rPr>
          <w:rFonts w:asciiTheme="majorBidi" w:hAnsiTheme="majorBidi" w:cstheme="majorBidi"/>
          <w:i/>
          <w:lang w:val="en-GB"/>
        </w:rPr>
        <w:t xml:space="preserve">Die </w:t>
      </w:r>
      <w:proofErr w:type="spellStart"/>
      <w:r>
        <w:rPr>
          <w:rFonts w:asciiTheme="majorBidi" w:hAnsiTheme="majorBidi" w:cstheme="majorBidi"/>
          <w:i/>
          <w:lang w:val="en-GB"/>
        </w:rPr>
        <w:t>Presse</w:t>
      </w:r>
      <w:proofErr w:type="spellEnd"/>
      <w:r>
        <w:rPr>
          <w:rFonts w:asciiTheme="majorBidi" w:hAnsiTheme="majorBidi" w:cstheme="majorBidi"/>
          <w:lang w:val="en-GB"/>
        </w:rPr>
        <w:t xml:space="preserve">, the socialist programme was indeed illegal and violent, guaranteed to return people to </w:t>
      </w:r>
      <w:r w:rsidR="00AF035A">
        <w:rPr>
          <w:rFonts w:asciiTheme="majorBidi" w:hAnsiTheme="majorBidi" w:cstheme="majorBidi"/>
          <w:lang w:val="en-GB"/>
        </w:rPr>
        <w:t>‘</w:t>
      </w:r>
      <w:r>
        <w:rPr>
          <w:rFonts w:asciiTheme="majorBidi" w:hAnsiTheme="majorBidi" w:cstheme="majorBidi"/>
          <w:lang w:val="en-GB"/>
        </w:rPr>
        <w:t>a state of brutality and barbarism</w:t>
      </w:r>
      <w:r w:rsidR="00AF035A">
        <w:rPr>
          <w:rFonts w:asciiTheme="majorBidi" w:hAnsiTheme="majorBidi" w:cstheme="majorBidi"/>
          <w:lang w:val="en-GB"/>
        </w:rPr>
        <w:t>’</w:t>
      </w:r>
      <w:r>
        <w:rPr>
          <w:rFonts w:asciiTheme="majorBidi" w:hAnsiTheme="majorBidi" w:cstheme="majorBidi"/>
          <w:lang w:val="en-GB"/>
        </w:rPr>
        <w:t>; however, th</w:t>
      </w:r>
      <w:r w:rsidR="00AF035A">
        <w:rPr>
          <w:rFonts w:asciiTheme="majorBidi" w:hAnsiTheme="majorBidi" w:cstheme="majorBidi"/>
          <w:lang w:val="en-GB"/>
        </w:rPr>
        <w:t>is respectable</w:t>
      </w:r>
      <w:r>
        <w:rPr>
          <w:rFonts w:asciiTheme="majorBidi" w:hAnsiTheme="majorBidi" w:cstheme="majorBidi"/>
          <w:lang w:val="en-GB"/>
        </w:rPr>
        <w:t xml:space="preserve"> paper </w:t>
      </w:r>
      <w:r w:rsidR="00AF035A">
        <w:rPr>
          <w:rFonts w:asciiTheme="majorBidi" w:hAnsiTheme="majorBidi" w:cstheme="majorBidi"/>
          <w:lang w:val="en-GB"/>
        </w:rPr>
        <w:t xml:space="preserve">also </w:t>
      </w:r>
      <w:r>
        <w:rPr>
          <w:rFonts w:asciiTheme="majorBidi" w:hAnsiTheme="majorBidi" w:cstheme="majorBidi"/>
          <w:lang w:val="en-GB"/>
        </w:rPr>
        <w:t xml:space="preserve">noted, the </w:t>
      </w:r>
      <w:r w:rsidR="005237F7">
        <w:rPr>
          <w:rFonts w:asciiTheme="majorBidi" w:hAnsiTheme="majorBidi" w:cstheme="majorBidi"/>
          <w:lang w:val="en-GB"/>
        </w:rPr>
        <w:t>government</w:t>
      </w:r>
      <w:r>
        <w:rPr>
          <w:rFonts w:asciiTheme="majorBidi" w:hAnsiTheme="majorBidi" w:cstheme="majorBidi"/>
          <w:lang w:val="en-GB"/>
        </w:rPr>
        <w:t xml:space="preserve"> had made a major mistake in launching the trial, revealing its own weakness while lending undue moral worth to socialist demands.</w:t>
      </w:r>
      <w:r>
        <w:rPr>
          <w:rStyle w:val="FootnoteReference"/>
          <w:rFonts w:asciiTheme="majorBidi" w:hAnsiTheme="majorBidi" w:cstheme="majorBidi"/>
          <w:lang w:val="en-GB"/>
        </w:rPr>
        <w:footnoteReference w:id="51"/>
      </w:r>
      <w:r>
        <w:rPr>
          <w:rFonts w:asciiTheme="majorBidi" w:hAnsiTheme="majorBidi" w:cstheme="majorBidi"/>
          <w:lang w:val="en-GB"/>
        </w:rPr>
        <w:t xml:space="preserve">  Other papers were even more damning, asserting that </w:t>
      </w:r>
      <w:r w:rsidR="00AF035A">
        <w:rPr>
          <w:rFonts w:asciiTheme="majorBidi" w:hAnsiTheme="majorBidi" w:cstheme="majorBidi"/>
          <w:lang w:val="en-GB"/>
        </w:rPr>
        <w:t>‘</w:t>
      </w:r>
      <w:r>
        <w:rPr>
          <w:rFonts w:asciiTheme="majorBidi" w:hAnsiTheme="majorBidi" w:cstheme="majorBidi"/>
          <w:lang w:val="en-GB"/>
        </w:rPr>
        <w:t>we are stuck deep in the mud of absolutist traditions</w:t>
      </w:r>
      <w:r w:rsidR="00AF035A">
        <w:rPr>
          <w:rFonts w:asciiTheme="majorBidi" w:hAnsiTheme="majorBidi" w:cstheme="majorBidi"/>
          <w:lang w:val="en-GB"/>
        </w:rPr>
        <w:t>’</w:t>
      </w:r>
      <w:r>
        <w:rPr>
          <w:rFonts w:asciiTheme="majorBidi" w:hAnsiTheme="majorBidi" w:cstheme="majorBidi"/>
          <w:lang w:val="en-GB"/>
        </w:rPr>
        <w:t xml:space="preserve">, worthy of the </w:t>
      </w:r>
      <w:r w:rsidR="00AF035A">
        <w:rPr>
          <w:rFonts w:asciiTheme="majorBidi" w:hAnsiTheme="majorBidi" w:cstheme="majorBidi"/>
          <w:lang w:val="en-GB"/>
        </w:rPr>
        <w:t xml:space="preserve">pre-1848 </w:t>
      </w:r>
      <w:r>
        <w:rPr>
          <w:rFonts w:asciiTheme="majorBidi" w:hAnsiTheme="majorBidi" w:cstheme="majorBidi"/>
          <w:lang w:val="en-GB"/>
        </w:rPr>
        <w:t xml:space="preserve">Metternich era. The trial had laid bare how divorced Austria’s criminal code was from the new constitutional era; in short, the antiquated law on </w:t>
      </w:r>
      <w:r w:rsidRPr="00841EFF">
        <w:rPr>
          <w:rFonts w:asciiTheme="majorBidi" w:hAnsiTheme="majorBidi" w:cstheme="majorBidi"/>
          <w:i/>
          <w:lang w:val="en-GB"/>
        </w:rPr>
        <w:t>Hochverrat</w:t>
      </w:r>
      <w:r>
        <w:rPr>
          <w:rFonts w:asciiTheme="majorBidi" w:hAnsiTheme="majorBidi" w:cstheme="majorBidi"/>
          <w:lang w:val="en-GB"/>
        </w:rPr>
        <w:t xml:space="preserve"> must be reformed.</w:t>
      </w:r>
      <w:r>
        <w:rPr>
          <w:rStyle w:val="FootnoteReference"/>
          <w:rFonts w:asciiTheme="majorBidi" w:hAnsiTheme="majorBidi" w:cstheme="majorBidi"/>
          <w:lang w:val="en-GB"/>
        </w:rPr>
        <w:footnoteReference w:id="52"/>
      </w:r>
      <w:r>
        <w:rPr>
          <w:rFonts w:asciiTheme="majorBidi" w:hAnsiTheme="majorBidi" w:cstheme="majorBidi"/>
          <w:lang w:val="en-GB"/>
        </w:rPr>
        <w:t xml:space="preserve"> </w:t>
      </w:r>
    </w:p>
    <w:p w:rsidR="006E4050"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Partly due to this barrage of press criticism, the trial verdict became untenable. For later in the year, one newspaper editor (Heinrich Scheu) was prosecuted for attacking the verdict</w:t>
      </w:r>
      <w:r w:rsidR="0006798A">
        <w:rPr>
          <w:rFonts w:asciiTheme="majorBidi" w:hAnsiTheme="majorBidi" w:cstheme="majorBidi"/>
          <w:lang w:val="en-GB"/>
        </w:rPr>
        <w:t xml:space="preserve"> in his </w:t>
      </w:r>
      <w:r w:rsidR="006F404A">
        <w:rPr>
          <w:rFonts w:asciiTheme="majorBidi" w:hAnsiTheme="majorBidi" w:cstheme="majorBidi"/>
          <w:lang w:val="en-GB"/>
        </w:rPr>
        <w:t xml:space="preserve">socialist </w:t>
      </w:r>
      <w:r w:rsidR="0006798A">
        <w:rPr>
          <w:rFonts w:asciiTheme="majorBidi" w:hAnsiTheme="majorBidi" w:cstheme="majorBidi"/>
          <w:lang w:val="en-GB"/>
        </w:rPr>
        <w:t>paper. H</w:t>
      </w:r>
      <w:r>
        <w:rPr>
          <w:rFonts w:asciiTheme="majorBidi" w:hAnsiTheme="majorBidi" w:cstheme="majorBidi"/>
          <w:lang w:val="en-GB"/>
        </w:rPr>
        <w:t xml:space="preserve">e was found not guilty </w:t>
      </w:r>
      <w:r w:rsidR="0006798A">
        <w:rPr>
          <w:rFonts w:asciiTheme="majorBidi" w:hAnsiTheme="majorBidi" w:cstheme="majorBidi"/>
          <w:lang w:val="en-GB"/>
        </w:rPr>
        <w:t xml:space="preserve">in a press trial where </w:t>
      </w:r>
      <w:r>
        <w:rPr>
          <w:rFonts w:asciiTheme="majorBidi" w:hAnsiTheme="majorBidi" w:cstheme="majorBidi"/>
          <w:lang w:val="en-GB"/>
        </w:rPr>
        <w:t xml:space="preserve">juries </w:t>
      </w:r>
      <w:r w:rsidR="006F404A">
        <w:rPr>
          <w:rFonts w:asciiTheme="majorBidi" w:hAnsiTheme="majorBidi" w:cstheme="majorBidi"/>
          <w:lang w:val="en-GB"/>
        </w:rPr>
        <w:t xml:space="preserve">(unlike in </w:t>
      </w:r>
      <w:r w:rsidR="00EF5ECB">
        <w:rPr>
          <w:rFonts w:asciiTheme="majorBidi" w:hAnsiTheme="majorBidi" w:cstheme="majorBidi"/>
          <w:lang w:val="en-GB"/>
        </w:rPr>
        <w:lastRenderedPageBreak/>
        <w:t>t</w:t>
      </w:r>
      <w:r w:rsidR="006F404A">
        <w:rPr>
          <w:rFonts w:asciiTheme="majorBidi" w:hAnsiTheme="majorBidi" w:cstheme="majorBidi"/>
          <w:lang w:val="en-GB"/>
        </w:rPr>
        <w:t xml:space="preserve">reason trials) </w:t>
      </w:r>
      <w:r w:rsidR="0006798A">
        <w:rPr>
          <w:rFonts w:asciiTheme="majorBidi" w:hAnsiTheme="majorBidi" w:cstheme="majorBidi"/>
          <w:lang w:val="en-GB"/>
        </w:rPr>
        <w:t xml:space="preserve">were </w:t>
      </w:r>
      <w:r>
        <w:rPr>
          <w:rFonts w:asciiTheme="majorBidi" w:hAnsiTheme="majorBidi" w:cstheme="majorBidi"/>
          <w:lang w:val="en-GB"/>
        </w:rPr>
        <w:t xml:space="preserve">now </w:t>
      </w:r>
      <w:r w:rsidR="0006798A">
        <w:rPr>
          <w:rFonts w:asciiTheme="majorBidi" w:hAnsiTheme="majorBidi" w:cstheme="majorBidi"/>
          <w:lang w:val="en-GB"/>
        </w:rPr>
        <w:t>obligatory</w:t>
      </w:r>
      <w:r w:rsidR="006F404A">
        <w:rPr>
          <w:rFonts w:asciiTheme="majorBidi" w:hAnsiTheme="majorBidi" w:cstheme="majorBidi"/>
          <w:lang w:val="en-GB"/>
        </w:rPr>
        <w:t xml:space="preserve"> in </w:t>
      </w:r>
      <w:r w:rsidR="00706181">
        <w:rPr>
          <w:rFonts w:asciiTheme="majorBidi" w:hAnsiTheme="majorBidi" w:cstheme="majorBidi"/>
          <w:lang w:val="en-GB"/>
        </w:rPr>
        <w:t xml:space="preserve">order to </w:t>
      </w:r>
      <w:r w:rsidR="006F404A">
        <w:rPr>
          <w:rFonts w:asciiTheme="majorBidi" w:hAnsiTheme="majorBidi" w:cstheme="majorBidi"/>
          <w:lang w:val="en-GB"/>
        </w:rPr>
        <w:t>balanc</w:t>
      </w:r>
      <w:r w:rsidR="00706181">
        <w:rPr>
          <w:rFonts w:asciiTheme="majorBidi" w:hAnsiTheme="majorBidi" w:cstheme="majorBidi"/>
          <w:lang w:val="en-GB"/>
        </w:rPr>
        <w:t>e</w:t>
      </w:r>
      <w:r w:rsidR="006F404A">
        <w:rPr>
          <w:rFonts w:asciiTheme="majorBidi" w:hAnsiTheme="majorBidi" w:cstheme="majorBidi"/>
          <w:lang w:val="en-GB"/>
        </w:rPr>
        <w:t xml:space="preserve"> the adjudication</w:t>
      </w:r>
      <w:r>
        <w:rPr>
          <w:rFonts w:asciiTheme="majorBidi" w:hAnsiTheme="majorBidi" w:cstheme="majorBidi"/>
          <w:lang w:val="en-GB"/>
        </w:rPr>
        <w:t xml:space="preserve">. </w:t>
      </w:r>
      <w:r w:rsidR="0006798A">
        <w:rPr>
          <w:rFonts w:asciiTheme="majorBidi" w:hAnsiTheme="majorBidi" w:cstheme="majorBidi"/>
          <w:lang w:val="en-GB"/>
        </w:rPr>
        <w:t>This</w:t>
      </w:r>
      <w:r>
        <w:rPr>
          <w:rFonts w:asciiTheme="majorBidi" w:hAnsiTheme="majorBidi" w:cstheme="majorBidi"/>
          <w:lang w:val="en-GB"/>
        </w:rPr>
        <w:t xml:space="preserve"> paved the way for the convicted socialists to be released through an imperial pardon in early 1871.</w:t>
      </w:r>
      <w:r>
        <w:rPr>
          <w:rStyle w:val="FootnoteReference"/>
          <w:rFonts w:asciiTheme="majorBidi" w:hAnsiTheme="majorBidi" w:cstheme="majorBidi"/>
          <w:lang w:val="en-GB"/>
        </w:rPr>
        <w:footnoteReference w:id="53"/>
      </w:r>
      <w:r>
        <w:rPr>
          <w:rFonts w:asciiTheme="majorBidi" w:hAnsiTheme="majorBidi" w:cstheme="majorBidi"/>
          <w:lang w:val="en-GB"/>
        </w:rPr>
        <w:t xml:space="preserve"> In terms of regime tactics</w:t>
      </w:r>
      <w:r w:rsidR="005D0AF6" w:rsidRPr="005D0AF6">
        <w:rPr>
          <w:rFonts w:asciiTheme="majorBidi" w:hAnsiTheme="majorBidi" w:cstheme="majorBidi"/>
          <w:lang w:val="en-GB"/>
        </w:rPr>
        <w:t xml:space="preserve"> </w:t>
      </w:r>
      <w:r w:rsidR="005D0AF6">
        <w:rPr>
          <w:rFonts w:asciiTheme="majorBidi" w:hAnsiTheme="majorBidi" w:cstheme="majorBidi"/>
          <w:lang w:val="en-GB"/>
        </w:rPr>
        <w:t xml:space="preserve">this was </w:t>
      </w:r>
      <w:r w:rsidR="00706181">
        <w:rPr>
          <w:rFonts w:asciiTheme="majorBidi" w:hAnsiTheme="majorBidi" w:cstheme="majorBidi"/>
          <w:lang w:val="en-GB"/>
        </w:rPr>
        <w:t xml:space="preserve">not </w:t>
      </w:r>
      <w:r w:rsidR="005D0AF6">
        <w:rPr>
          <w:rFonts w:asciiTheme="majorBidi" w:hAnsiTheme="majorBidi" w:cstheme="majorBidi"/>
          <w:lang w:val="en-GB"/>
        </w:rPr>
        <w:t>in fact something radical or transformative</w:t>
      </w:r>
      <w:r w:rsidR="00706181">
        <w:rPr>
          <w:rFonts w:asciiTheme="majorBidi" w:hAnsiTheme="majorBidi" w:cstheme="majorBidi"/>
          <w:lang w:val="en-GB"/>
        </w:rPr>
        <w:t xml:space="preserve">; rather, it was </w:t>
      </w:r>
      <w:r>
        <w:rPr>
          <w:rFonts w:asciiTheme="majorBidi" w:hAnsiTheme="majorBidi" w:cstheme="majorBidi"/>
          <w:lang w:val="en-GB"/>
        </w:rPr>
        <w:t>a traditional Habsburg response</w:t>
      </w:r>
      <w:r w:rsidR="00706181">
        <w:rPr>
          <w:rFonts w:asciiTheme="majorBidi" w:hAnsiTheme="majorBidi" w:cstheme="majorBidi"/>
          <w:lang w:val="en-GB"/>
        </w:rPr>
        <w:t>.</w:t>
      </w:r>
      <w:r>
        <w:rPr>
          <w:rFonts w:asciiTheme="majorBidi" w:hAnsiTheme="majorBidi" w:cstheme="majorBidi"/>
          <w:lang w:val="en-GB"/>
        </w:rPr>
        <w:t xml:space="preserve"> </w:t>
      </w:r>
      <w:r w:rsidR="00706181">
        <w:rPr>
          <w:rFonts w:asciiTheme="majorBidi" w:hAnsiTheme="majorBidi" w:cstheme="majorBidi"/>
          <w:lang w:val="en-GB"/>
        </w:rPr>
        <w:t>Since 1850 i</w:t>
      </w:r>
      <w:r>
        <w:rPr>
          <w:rFonts w:asciiTheme="majorBidi" w:hAnsiTheme="majorBidi" w:cstheme="majorBidi"/>
          <w:lang w:val="en-GB"/>
        </w:rPr>
        <w:t xml:space="preserve">t had been quite common to punish </w:t>
      </w:r>
      <w:r w:rsidR="005D0AF6">
        <w:rPr>
          <w:rFonts w:asciiTheme="majorBidi" w:hAnsiTheme="majorBidi" w:cstheme="majorBidi"/>
          <w:lang w:val="en-GB"/>
        </w:rPr>
        <w:t xml:space="preserve">or sentence </w:t>
      </w:r>
      <w:r>
        <w:rPr>
          <w:rFonts w:asciiTheme="majorBidi" w:hAnsiTheme="majorBidi" w:cstheme="majorBidi"/>
          <w:lang w:val="en-GB"/>
        </w:rPr>
        <w:t>traitors harshly, then to amnesty them a few years later</w:t>
      </w:r>
      <w:r w:rsidR="005D0AF6">
        <w:rPr>
          <w:rFonts w:asciiTheme="majorBidi" w:hAnsiTheme="majorBidi" w:cstheme="majorBidi"/>
          <w:lang w:val="en-GB"/>
        </w:rPr>
        <w:t xml:space="preserve"> at the time of dynastic births, birthdays or marriages</w:t>
      </w:r>
      <w:r>
        <w:rPr>
          <w:rFonts w:asciiTheme="majorBidi" w:hAnsiTheme="majorBidi" w:cstheme="majorBidi"/>
          <w:lang w:val="en-GB"/>
        </w:rPr>
        <w:t xml:space="preserve">. </w:t>
      </w:r>
      <w:r w:rsidR="00554E9F">
        <w:rPr>
          <w:rFonts w:asciiTheme="majorBidi" w:hAnsiTheme="majorBidi" w:cstheme="majorBidi"/>
          <w:lang w:val="en-GB"/>
        </w:rPr>
        <w:t>T</w:t>
      </w:r>
      <w:r>
        <w:rPr>
          <w:rFonts w:asciiTheme="majorBidi" w:hAnsiTheme="majorBidi" w:cstheme="majorBidi"/>
          <w:lang w:val="en-GB"/>
        </w:rPr>
        <w:t>he authorities in Austria had now learnt not to resort to large</w:t>
      </w:r>
      <w:r w:rsidR="00706181">
        <w:rPr>
          <w:rFonts w:asciiTheme="majorBidi" w:hAnsiTheme="majorBidi" w:cstheme="majorBidi"/>
          <w:lang w:val="en-GB"/>
        </w:rPr>
        <w:t xml:space="preserve">-scale </w:t>
      </w:r>
      <w:r>
        <w:rPr>
          <w:rFonts w:asciiTheme="majorBidi" w:hAnsiTheme="majorBidi" w:cstheme="majorBidi"/>
          <w:lang w:val="en-GB"/>
        </w:rPr>
        <w:t xml:space="preserve">socialist show-trials, yet the broader lessons about invoking treason law had </w:t>
      </w:r>
      <w:r w:rsidR="00706181">
        <w:rPr>
          <w:rFonts w:asciiTheme="majorBidi" w:hAnsiTheme="majorBidi" w:cstheme="majorBidi"/>
          <w:lang w:val="en-GB"/>
        </w:rPr>
        <w:t xml:space="preserve">really </w:t>
      </w:r>
      <w:r>
        <w:rPr>
          <w:rFonts w:asciiTheme="majorBidi" w:hAnsiTheme="majorBidi" w:cstheme="majorBidi"/>
          <w:lang w:val="en-GB"/>
        </w:rPr>
        <w:t xml:space="preserve">not been learnt. For </w:t>
      </w:r>
      <w:r w:rsidR="00706181">
        <w:rPr>
          <w:rFonts w:asciiTheme="majorBidi" w:hAnsiTheme="majorBidi" w:cstheme="majorBidi"/>
          <w:lang w:val="en-GB"/>
        </w:rPr>
        <w:t xml:space="preserve">in </w:t>
      </w:r>
      <w:r>
        <w:rPr>
          <w:rFonts w:asciiTheme="majorBidi" w:hAnsiTheme="majorBidi" w:cstheme="majorBidi"/>
          <w:lang w:val="en-GB"/>
        </w:rPr>
        <w:t xml:space="preserve">this era of international unrest – notably the </w:t>
      </w:r>
      <w:r w:rsidR="00706181">
        <w:rPr>
          <w:rFonts w:asciiTheme="majorBidi" w:hAnsiTheme="majorBidi" w:cstheme="majorBidi"/>
          <w:lang w:val="en-GB"/>
        </w:rPr>
        <w:t xml:space="preserve">1870 </w:t>
      </w:r>
      <w:r>
        <w:rPr>
          <w:rFonts w:asciiTheme="majorBidi" w:hAnsiTheme="majorBidi" w:cstheme="majorBidi"/>
          <w:lang w:val="en-GB"/>
        </w:rPr>
        <w:t>Paris Commune - the revolutionary threat seem</w:t>
      </w:r>
      <w:r w:rsidR="00706181">
        <w:rPr>
          <w:rFonts w:asciiTheme="majorBidi" w:hAnsiTheme="majorBidi" w:cstheme="majorBidi"/>
          <w:lang w:val="en-GB"/>
        </w:rPr>
        <w:t>ed</w:t>
      </w:r>
      <w:r>
        <w:rPr>
          <w:rFonts w:asciiTheme="majorBidi" w:hAnsiTheme="majorBidi" w:cstheme="majorBidi"/>
          <w:lang w:val="en-GB"/>
        </w:rPr>
        <w:t xml:space="preserve"> very real; thus in Hungary in 1872, a treason trial of </w:t>
      </w:r>
      <w:r w:rsidR="00706181">
        <w:rPr>
          <w:rFonts w:asciiTheme="majorBidi" w:hAnsiTheme="majorBidi" w:cstheme="majorBidi"/>
          <w:lang w:val="en-GB"/>
        </w:rPr>
        <w:t xml:space="preserve">several </w:t>
      </w:r>
      <w:r>
        <w:rPr>
          <w:rFonts w:asciiTheme="majorBidi" w:hAnsiTheme="majorBidi" w:cstheme="majorBidi"/>
          <w:lang w:val="en-GB"/>
        </w:rPr>
        <w:t>socialist leaders also took place, with a similar outcome.</w:t>
      </w:r>
      <w:r>
        <w:rPr>
          <w:rStyle w:val="FootnoteReference"/>
          <w:rFonts w:asciiTheme="majorBidi" w:hAnsiTheme="majorBidi" w:cstheme="majorBidi"/>
          <w:lang w:val="en-GB"/>
        </w:rPr>
        <w:footnoteReference w:id="54"/>
      </w:r>
      <w:r>
        <w:rPr>
          <w:rFonts w:asciiTheme="majorBidi" w:hAnsiTheme="majorBidi" w:cstheme="majorBidi"/>
          <w:lang w:val="en-GB"/>
        </w:rPr>
        <w:t xml:space="preserve"> Above all, despite the criticisms levelled in 1870, Austria’s criminal code would never thereafter be revised. Paragraph §58</w:t>
      </w:r>
      <w:r w:rsidR="00484315">
        <w:rPr>
          <w:rFonts w:asciiTheme="majorBidi" w:hAnsiTheme="majorBidi" w:cstheme="majorBidi"/>
          <w:lang w:val="en-GB"/>
        </w:rPr>
        <w:t>,</w:t>
      </w:r>
      <w:r>
        <w:rPr>
          <w:rFonts w:asciiTheme="majorBidi" w:hAnsiTheme="majorBidi" w:cstheme="majorBidi"/>
          <w:lang w:val="en-GB"/>
        </w:rPr>
        <w:t xml:space="preserve"> </w:t>
      </w:r>
      <w:r w:rsidR="00706181">
        <w:rPr>
          <w:rFonts w:asciiTheme="majorBidi" w:hAnsiTheme="majorBidi" w:cstheme="majorBidi"/>
          <w:lang w:val="en-GB"/>
        </w:rPr>
        <w:t xml:space="preserve">which had its origins in the reactionary aftermath of the 1848 revolutions, </w:t>
      </w:r>
      <w:r>
        <w:rPr>
          <w:rFonts w:asciiTheme="majorBidi" w:hAnsiTheme="majorBidi" w:cstheme="majorBidi"/>
          <w:lang w:val="en-GB"/>
        </w:rPr>
        <w:t>remained in force</w:t>
      </w:r>
      <w:r w:rsidR="00484315">
        <w:rPr>
          <w:rFonts w:asciiTheme="majorBidi" w:hAnsiTheme="majorBidi" w:cstheme="majorBidi"/>
          <w:lang w:val="en-GB"/>
        </w:rPr>
        <w:t>,</w:t>
      </w:r>
      <w:r w:rsidR="00706181">
        <w:rPr>
          <w:rFonts w:asciiTheme="majorBidi" w:hAnsiTheme="majorBidi" w:cstheme="majorBidi"/>
          <w:lang w:val="en-GB"/>
        </w:rPr>
        <w:t xml:space="preserve"> </w:t>
      </w:r>
      <w:r w:rsidR="00484315">
        <w:rPr>
          <w:rFonts w:asciiTheme="majorBidi" w:hAnsiTheme="majorBidi" w:cstheme="majorBidi"/>
          <w:lang w:val="en-GB"/>
        </w:rPr>
        <w:t>a</w:t>
      </w:r>
      <w:r>
        <w:rPr>
          <w:rFonts w:asciiTheme="majorBidi" w:hAnsiTheme="majorBidi" w:cstheme="majorBidi"/>
          <w:lang w:val="en-GB"/>
        </w:rPr>
        <w:t xml:space="preserve">nd the Austrian regime went on using it to target not just individuals but also </w:t>
      </w:r>
      <w:r w:rsidR="00706181">
        <w:rPr>
          <w:rFonts w:asciiTheme="majorBidi" w:hAnsiTheme="majorBidi" w:cstheme="majorBidi"/>
          <w:lang w:val="en-GB"/>
        </w:rPr>
        <w:t xml:space="preserve">whole </w:t>
      </w:r>
      <w:r>
        <w:rPr>
          <w:rFonts w:asciiTheme="majorBidi" w:hAnsiTheme="majorBidi" w:cstheme="majorBidi"/>
          <w:lang w:val="en-GB"/>
        </w:rPr>
        <w:t xml:space="preserve">groups </w:t>
      </w:r>
      <w:r w:rsidR="00706181">
        <w:rPr>
          <w:rFonts w:asciiTheme="majorBidi" w:hAnsiTheme="majorBidi" w:cstheme="majorBidi"/>
          <w:lang w:val="en-GB"/>
        </w:rPr>
        <w:t xml:space="preserve">who were </w:t>
      </w:r>
      <w:r>
        <w:rPr>
          <w:rFonts w:asciiTheme="majorBidi" w:hAnsiTheme="majorBidi" w:cstheme="majorBidi"/>
          <w:lang w:val="en-GB"/>
        </w:rPr>
        <w:t>deemed dangerous to the empire.</w:t>
      </w:r>
      <w:r w:rsidR="00706181">
        <w:rPr>
          <w:rFonts w:asciiTheme="majorBidi" w:hAnsiTheme="majorBidi" w:cstheme="majorBidi"/>
          <w:lang w:val="en-GB"/>
        </w:rPr>
        <w:t xml:space="preserve"> Only with </w:t>
      </w:r>
      <w:r w:rsidR="00EF5ECB">
        <w:rPr>
          <w:rFonts w:asciiTheme="majorBidi" w:hAnsiTheme="majorBidi" w:cstheme="majorBidi"/>
          <w:lang w:val="en-GB"/>
        </w:rPr>
        <w:t xml:space="preserve">the </w:t>
      </w:r>
      <w:r w:rsidR="00706181">
        <w:rPr>
          <w:rFonts w:asciiTheme="majorBidi" w:hAnsiTheme="majorBidi" w:cstheme="majorBidi"/>
          <w:lang w:val="en-GB"/>
        </w:rPr>
        <w:t>socialist</w:t>
      </w:r>
      <w:r w:rsidR="00EF5ECB">
        <w:rPr>
          <w:rFonts w:asciiTheme="majorBidi" w:hAnsiTheme="majorBidi" w:cstheme="majorBidi"/>
          <w:lang w:val="en-GB"/>
        </w:rPr>
        <w:t xml:space="preserve"> movement</w:t>
      </w:r>
      <w:r w:rsidR="00706181">
        <w:rPr>
          <w:rFonts w:asciiTheme="majorBidi" w:hAnsiTheme="majorBidi" w:cstheme="majorBidi"/>
          <w:lang w:val="en-GB"/>
        </w:rPr>
        <w:t>, the large-scale trials were over since</w:t>
      </w:r>
      <w:r w:rsidR="00EF5ECB">
        <w:rPr>
          <w:rFonts w:asciiTheme="majorBidi" w:hAnsiTheme="majorBidi" w:cstheme="majorBidi"/>
          <w:lang w:val="en-GB"/>
        </w:rPr>
        <w:t>,</w:t>
      </w:r>
      <w:r w:rsidR="00706181">
        <w:rPr>
          <w:rFonts w:asciiTheme="majorBidi" w:hAnsiTheme="majorBidi" w:cstheme="majorBidi"/>
          <w:lang w:val="en-GB"/>
        </w:rPr>
        <w:t xml:space="preserve"> </w:t>
      </w:r>
      <w:r w:rsidR="00EF5ECB">
        <w:rPr>
          <w:rFonts w:asciiTheme="majorBidi" w:hAnsiTheme="majorBidi" w:cstheme="majorBidi"/>
          <w:lang w:val="en-GB"/>
        </w:rPr>
        <w:t xml:space="preserve">with moderate </w:t>
      </w:r>
      <w:r w:rsidR="00706181">
        <w:rPr>
          <w:rFonts w:asciiTheme="majorBidi" w:hAnsiTheme="majorBidi" w:cstheme="majorBidi"/>
          <w:lang w:val="en-GB"/>
        </w:rPr>
        <w:t>socialist</w:t>
      </w:r>
      <w:r w:rsidR="00EF5ECB">
        <w:rPr>
          <w:rFonts w:asciiTheme="majorBidi" w:hAnsiTheme="majorBidi" w:cstheme="majorBidi"/>
          <w:lang w:val="en-GB"/>
        </w:rPr>
        <w:t xml:space="preserve">s rejecting violence as a route to </w:t>
      </w:r>
      <w:r w:rsidR="00DD0817">
        <w:rPr>
          <w:rFonts w:asciiTheme="majorBidi" w:hAnsiTheme="majorBidi" w:cstheme="majorBidi"/>
          <w:lang w:val="en-GB"/>
        </w:rPr>
        <w:t>revolution</w:t>
      </w:r>
      <w:r w:rsidR="00EF5ECB">
        <w:rPr>
          <w:rFonts w:asciiTheme="majorBidi" w:hAnsiTheme="majorBidi" w:cstheme="majorBidi"/>
          <w:lang w:val="en-GB"/>
        </w:rPr>
        <w:t xml:space="preserve">, socialist </w:t>
      </w:r>
      <w:r w:rsidR="00706181">
        <w:rPr>
          <w:rFonts w:asciiTheme="majorBidi" w:hAnsiTheme="majorBidi" w:cstheme="majorBidi"/>
          <w:lang w:val="en-GB"/>
        </w:rPr>
        <w:t>politics slowly became integrated into Austria</w:t>
      </w:r>
      <w:r w:rsidR="00EF5ECB">
        <w:rPr>
          <w:rFonts w:asciiTheme="majorBidi" w:hAnsiTheme="majorBidi" w:cstheme="majorBidi"/>
          <w:lang w:val="en-GB"/>
        </w:rPr>
        <w:t>’s</w:t>
      </w:r>
      <w:r w:rsidR="00706181">
        <w:rPr>
          <w:rFonts w:asciiTheme="majorBidi" w:hAnsiTheme="majorBidi" w:cstheme="majorBidi"/>
          <w:lang w:val="en-GB"/>
        </w:rPr>
        <w:t xml:space="preserve"> political system.</w:t>
      </w:r>
      <w:r w:rsidR="00C04744">
        <w:rPr>
          <w:rFonts w:asciiTheme="majorBidi" w:hAnsiTheme="majorBidi" w:cstheme="majorBidi"/>
          <w:lang w:val="en-GB"/>
        </w:rPr>
        <w:t xml:space="preserve"> By 1907, socialists would be a formidable force in the Austrian parliament.</w:t>
      </w:r>
    </w:p>
    <w:p w:rsidR="006E4050" w:rsidRDefault="006E4050" w:rsidP="0022343B">
      <w:pPr>
        <w:pStyle w:val="NormalWeb"/>
        <w:spacing w:before="0" w:beforeAutospacing="0" w:after="0" w:afterAutospacing="0" w:line="480" w:lineRule="auto"/>
        <w:ind w:firstLine="720"/>
        <w:rPr>
          <w:rFonts w:asciiTheme="majorBidi" w:hAnsiTheme="majorBidi" w:cstheme="majorBidi"/>
          <w:lang w:val="en-GB"/>
        </w:rPr>
      </w:pPr>
    </w:p>
    <w:p w:rsidR="006E4050" w:rsidRDefault="00FD06AA" w:rsidP="00FD06AA">
      <w:pPr>
        <w:pStyle w:val="NormalWeb"/>
        <w:spacing w:before="0" w:beforeAutospacing="0" w:after="0" w:afterAutospacing="0" w:line="480" w:lineRule="auto"/>
        <w:rPr>
          <w:rFonts w:asciiTheme="majorBidi" w:hAnsiTheme="majorBidi" w:cstheme="majorBidi"/>
          <w:b/>
          <w:lang w:val="en-GB"/>
        </w:rPr>
      </w:pPr>
      <w:r>
        <w:rPr>
          <w:rFonts w:asciiTheme="majorBidi" w:hAnsiTheme="majorBidi" w:cstheme="majorBidi"/>
          <w:b/>
          <w:lang w:val="en-GB"/>
        </w:rPr>
        <w:t xml:space="preserve">3. </w:t>
      </w:r>
      <w:r w:rsidR="006E4050" w:rsidRPr="00FC19BF">
        <w:rPr>
          <w:rFonts w:asciiTheme="majorBidi" w:hAnsiTheme="majorBidi" w:cstheme="majorBidi"/>
          <w:b/>
          <w:lang w:val="en-GB"/>
        </w:rPr>
        <w:t xml:space="preserve">The </w:t>
      </w:r>
      <w:r w:rsidR="006E4050">
        <w:rPr>
          <w:rFonts w:asciiTheme="majorBidi" w:hAnsiTheme="majorBidi" w:cstheme="majorBidi"/>
          <w:b/>
          <w:lang w:val="en-GB"/>
        </w:rPr>
        <w:t>Nationalist</w:t>
      </w:r>
      <w:r w:rsidR="006E4050" w:rsidRPr="00FC19BF">
        <w:rPr>
          <w:rFonts w:asciiTheme="majorBidi" w:hAnsiTheme="majorBidi" w:cstheme="majorBidi"/>
          <w:b/>
          <w:lang w:val="en-GB"/>
        </w:rPr>
        <w:t xml:space="preserve"> </w:t>
      </w:r>
    </w:p>
    <w:p w:rsidR="006E4050" w:rsidRDefault="006E4050" w:rsidP="00FC19BF">
      <w:pPr>
        <w:pStyle w:val="NormalWeb"/>
        <w:spacing w:before="0" w:beforeAutospacing="0" w:after="0" w:afterAutospacing="0" w:line="480" w:lineRule="auto"/>
        <w:rPr>
          <w:rFonts w:asciiTheme="majorBidi" w:hAnsiTheme="majorBidi" w:cstheme="majorBidi"/>
        </w:rPr>
      </w:pPr>
      <w:r>
        <w:rPr>
          <w:rFonts w:asciiTheme="majorBidi" w:hAnsiTheme="majorBidi" w:cstheme="majorBidi"/>
          <w:lang w:val="en-GB"/>
        </w:rPr>
        <w:t xml:space="preserve">A final category of traitor </w:t>
      </w:r>
      <w:r w:rsidR="00E52F1C">
        <w:rPr>
          <w:rFonts w:asciiTheme="majorBidi" w:hAnsiTheme="majorBidi" w:cstheme="majorBidi"/>
          <w:lang w:val="en-GB"/>
        </w:rPr>
        <w:t xml:space="preserve">to consider </w:t>
      </w:r>
      <w:r>
        <w:rPr>
          <w:rFonts w:asciiTheme="majorBidi" w:hAnsiTheme="majorBidi" w:cstheme="majorBidi"/>
          <w:lang w:val="en-GB"/>
        </w:rPr>
        <w:t>is the nationalist, and specifically the irredentist. As</w:t>
      </w:r>
      <w:r w:rsidR="0057680F">
        <w:rPr>
          <w:rFonts w:asciiTheme="majorBidi" w:hAnsiTheme="majorBidi" w:cstheme="majorBidi"/>
          <w:lang w:val="en-GB"/>
        </w:rPr>
        <w:t xml:space="preserve"> a form of </w:t>
      </w:r>
      <w:r>
        <w:rPr>
          <w:rFonts w:asciiTheme="majorBidi" w:hAnsiTheme="majorBidi" w:cstheme="majorBidi"/>
          <w:lang w:val="en-GB"/>
        </w:rPr>
        <w:t xml:space="preserve">treason </w:t>
      </w:r>
      <w:r w:rsidR="00746D32">
        <w:rPr>
          <w:rFonts w:asciiTheme="majorBidi" w:hAnsiTheme="majorBidi" w:cstheme="majorBidi"/>
          <w:lang w:val="en-GB"/>
        </w:rPr>
        <w:t xml:space="preserve">this </w:t>
      </w:r>
      <w:r>
        <w:rPr>
          <w:rFonts w:asciiTheme="majorBidi" w:hAnsiTheme="majorBidi" w:cstheme="majorBidi"/>
          <w:lang w:val="en-GB"/>
        </w:rPr>
        <w:t>introduces us to the foreign security threats of the empire</w:t>
      </w:r>
      <w:r w:rsidR="0057680F">
        <w:rPr>
          <w:rFonts w:asciiTheme="majorBidi" w:hAnsiTheme="majorBidi" w:cstheme="majorBidi"/>
          <w:lang w:val="en-GB"/>
        </w:rPr>
        <w:t>,</w:t>
      </w:r>
      <w:r>
        <w:rPr>
          <w:rFonts w:asciiTheme="majorBidi" w:hAnsiTheme="majorBidi" w:cstheme="majorBidi"/>
          <w:lang w:val="en-GB"/>
        </w:rPr>
        <w:t xml:space="preserve"> even if the socialist danger </w:t>
      </w:r>
      <w:r w:rsidR="00746D32">
        <w:rPr>
          <w:rFonts w:asciiTheme="majorBidi" w:hAnsiTheme="majorBidi" w:cstheme="majorBidi"/>
          <w:lang w:val="en-GB"/>
        </w:rPr>
        <w:t>often</w:t>
      </w:r>
      <w:r>
        <w:rPr>
          <w:rFonts w:asciiTheme="majorBidi" w:hAnsiTheme="majorBidi" w:cstheme="majorBidi"/>
          <w:lang w:val="en-GB"/>
        </w:rPr>
        <w:t xml:space="preserve"> had international dimensions too</w:t>
      </w:r>
      <w:r w:rsidR="00746D32">
        <w:rPr>
          <w:rFonts w:asciiTheme="majorBidi" w:hAnsiTheme="majorBidi" w:cstheme="majorBidi"/>
          <w:lang w:val="en-GB"/>
        </w:rPr>
        <w:t xml:space="preserve"> in the </w:t>
      </w:r>
      <w:r w:rsidR="00710492">
        <w:rPr>
          <w:rFonts w:asciiTheme="majorBidi" w:hAnsiTheme="majorBidi" w:cstheme="majorBidi"/>
          <w:lang w:val="en-GB"/>
        </w:rPr>
        <w:t>security</w:t>
      </w:r>
      <w:r w:rsidR="00746D32">
        <w:rPr>
          <w:rFonts w:asciiTheme="majorBidi" w:hAnsiTheme="majorBidi" w:cstheme="majorBidi"/>
          <w:lang w:val="en-GB"/>
        </w:rPr>
        <w:t xml:space="preserve"> mindset</w:t>
      </w:r>
      <w:r>
        <w:rPr>
          <w:rFonts w:asciiTheme="majorBidi" w:hAnsiTheme="majorBidi" w:cstheme="majorBidi"/>
          <w:lang w:val="en-GB"/>
        </w:rPr>
        <w:t xml:space="preserve">. By </w:t>
      </w:r>
      <w:r w:rsidR="00710492">
        <w:rPr>
          <w:rFonts w:asciiTheme="majorBidi" w:hAnsiTheme="majorBidi" w:cstheme="majorBidi"/>
          <w:lang w:val="en-GB"/>
        </w:rPr>
        <w:t>nationalist</w:t>
      </w:r>
      <w:r>
        <w:rPr>
          <w:rFonts w:asciiTheme="majorBidi" w:hAnsiTheme="majorBidi" w:cstheme="majorBidi"/>
          <w:lang w:val="en-GB"/>
        </w:rPr>
        <w:t xml:space="preserve"> traitors I mean those idealists who were stirring unrest </w:t>
      </w:r>
      <w:r w:rsidR="00F72014">
        <w:rPr>
          <w:rFonts w:asciiTheme="majorBidi" w:hAnsiTheme="majorBidi" w:cstheme="majorBidi"/>
          <w:lang w:val="en-GB"/>
        </w:rPr>
        <w:t xml:space="preserve">domestically </w:t>
      </w:r>
      <w:r>
        <w:rPr>
          <w:rFonts w:asciiTheme="majorBidi" w:hAnsiTheme="majorBidi" w:cstheme="majorBidi"/>
          <w:lang w:val="en-GB"/>
        </w:rPr>
        <w:t>with the aim</w:t>
      </w:r>
      <w:r w:rsidR="00746D32">
        <w:rPr>
          <w:rFonts w:asciiTheme="majorBidi" w:hAnsiTheme="majorBidi" w:cstheme="majorBidi"/>
          <w:lang w:val="en-GB"/>
        </w:rPr>
        <w:t>, supposedly,</w:t>
      </w:r>
      <w:r>
        <w:rPr>
          <w:rFonts w:asciiTheme="majorBidi" w:hAnsiTheme="majorBidi" w:cstheme="majorBidi"/>
          <w:lang w:val="en-GB"/>
        </w:rPr>
        <w:t xml:space="preserve"> </w:t>
      </w:r>
      <w:r>
        <w:rPr>
          <w:rFonts w:asciiTheme="majorBidi" w:hAnsiTheme="majorBidi" w:cstheme="majorBidi"/>
          <w:lang w:val="en-GB"/>
        </w:rPr>
        <w:lastRenderedPageBreak/>
        <w:t xml:space="preserve">of breaking off their nation from the Habsburg </w:t>
      </w:r>
      <w:proofErr w:type="gramStart"/>
      <w:r w:rsidR="0057680F">
        <w:rPr>
          <w:rFonts w:asciiTheme="majorBidi" w:hAnsiTheme="majorBidi" w:cstheme="majorBidi"/>
          <w:lang w:val="en-GB"/>
        </w:rPr>
        <w:t>empire</w:t>
      </w:r>
      <w:proofErr w:type="gramEnd"/>
      <w:r>
        <w:rPr>
          <w:rFonts w:asciiTheme="majorBidi" w:hAnsiTheme="majorBidi" w:cstheme="majorBidi"/>
          <w:lang w:val="en-GB"/>
        </w:rPr>
        <w:t xml:space="preserve">. </w:t>
      </w:r>
      <w:r w:rsidR="0057680F">
        <w:rPr>
          <w:rFonts w:asciiTheme="majorBidi" w:hAnsiTheme="majorBidi" w:cstheme="majorBidi"/>
          <w:lang w:val="en-GB"/>
        </w:rPr>
        <w:t>This</w:t>
      </w:r>
      <w:r>
        <w:rPr>
          <w:rFonts w:asciiTheme="majorBidi" w:hAnsiTheme="majorBidi" w:cstheme="majorBidi"/>
          <w:lang w:val="en-GB"/>
        </w:rPr>
        <w:t xml:space="preserve"> </w:t>
      </w:r>
      <w:r w:rsidR="0057680F">
        <w:rPr>
          <w:rFonts w:asciiTheme="majorBidi" w:hAnsiTheme="majorBidi" w:cstheme="majorBidi"/>
          <w:lang w:val="en-GB"/>
        </w:rPr>
        <w:t>type</w:t>
      </w:r>
      <w:r>
        <w:rPr>
          <w:rFonts w:asciiTheme="majorBidi" w:hAnsiTheme="majorBidi" w:cstheme="majorBidi"/>
          <w:lang w:val="en-GB"/>
        </w:rPr>
        <w:t xml:space="preserve"> of treason w</w:t>
      </w:r>
      <w:r w:rsidR="00F72014">
        <w:rPr>
          <w:rFonts w:asciiTheme="majorBidi" w:hAnsiTheme="majorBidi" w:cstheme="majorBidi"/>
          <w:lang w:val="en-GB"/>
        </w:rPr>
        <w:t>ould especially be</w:t>
      </w:r>
      <w:r>
        <w:rPr>
          <w:rFonts w:asciiTheme="majorBidi" w:hAnsiTheme="majorBidi" w:cstheme="majorBidi"/>
          <w:lang w:val="en-GB"/>
        </w:rPr>
        <w:t xml:space="preserve"> prosecuted </w:t>
      </w:r>
      <w:r w:rsidR="00746D32">
        <w:rPr>
          <w:rFonts w:asciiTheme="majorBidi" w:hAnsiTheme="majorBidi" w:cstheme="majorBidi"/>
          <w:lang w:val="en-GB"/>
        </w:rPr>
        <w:t xml:space="preserve">by the authorities </w:t>
      </w:r>
      <w:r>
        <w:rPr>
          <w:rFonts w:asciiTheme="majorBidi" w:hAnsiTheme="majorBidi" w:cstheme="majorBidi"/>
          <w:lang w:val="en-GB"/>
        </w:rPr>
        <w:t xml:space="preserve">in the Monarchy’s final years – </w:t>
      </w:r>
      <w:r w:rsidR="00D41F85">
        <w:rPr>
          <w:rFonts w:asciiTheme="majorBidi" w:hAnsiTheme="majorBidi" w:cstheme="majorBidi"/>
          <w:lang w:val="en-GB"/>
        </w:rPr>
        <w:t>f</w:t>
      </w:r>
      <w:r w:rsidR="00021F49">
        <w:rPr>
          <w:rFonts w:asciiTheme="majorBidi" w:hAnsiTheme="majorBidi" w:cstheme="majorBidi"/>
          <w:lang w:val="en-GB"/>
        </w:rPr>
        <w:t>or example,</w:t>
      </w:r>
      <w:r>
        <w:rPr>
          <w:rFonts w:asciiTheme="majorBidi" w:hAnsiTheme="majorBidi" w:cstheme="majorBidi"/>
          <w:lang w:val="en-GB"/>
        </w:rPr>
        <w:t xml:space="preserve"> the Italian Battisti in 191</w:t>
      </w:r>
      <w:r w:rsidR="00746D32">
        <w:rPr>
          <w:rFonts w:asciiTheme="majorBidi" w:hAnsiTheme="majorBidi" w:cstheme="majorBidi"/>
          <w:lang w:val="en-GB"/>
        </w:rPr>
        <w:t>5</w:t>
      </w:r>
      <w:r>
        <w:rPr>
          <w:rFonts w:asciiTheme="majorBidi" w:hAnsiTheme="majorBidi" w:cstheme="majorBidi"/>
          <w:lang w:val="en-GB"/>
        </w:rPr>
        <w:t xml:space="preserve">, </w:t>
      </w:r>
      <w:r w:rsidR="00746D32">
        <w:rPr>
          <w:rFonts w:asciiTheme="majorBidi" w:hAnsiTheme="majorBidi" w:cstheme="majorBidi"/>
          <w:lang w:val="en-GB"/>
        </w:rPr>
        <w:t xml:space="preserve">the Czech Karel Kramář in 1916, </w:t>
      </w:r>
      <w:r>
        <w:rPr>
          <w:rFonts w:asciiTheme="majorBidi" w:hAnsiTheme="majorBidi" w:cstheme="majorBidi"/>
          <w:lang w:val="en-GB"/>
        </w:rPr>
        <w:t xml:space="preserve">or the </w:t>
      </w:r>
      <w:r w:rsidR="00D41F85">
        <w:rPr>
          <w:rFonts w:asciiTheme="majorBidi" w:hAnsiTheme="majorBidi" w:cstheme="majorBidi"/>
          <w:lang w:val="en-GB"/>
        </w:rPr>
        <w:t>notorious Zagreb treason trial against Serbs in 1909</w:t>
      </w:r>
      <w:r>
        <w:rPr>
          <w:rFonts w:asciiTheme="majorBidi" w:hAnsiTheme="majorBidi" w:cstheme="majorBidi"/>
          <w:lang w:val="en-GB"/>
        </w:rPr>
        <w:t>.</w:t>
      </w:r>
      <w:r w:rsidR="00D41F85">
        <w:rPr>
          <w:rStyle w:val="FootnoteReference"/>
          <w:rFonts w:asciiTheme="majorBidi" w:hAnsiTheme="majorBidi" w:cstheme="majorBidi"/>
          <w:lang w:val="en-GB"/>
        </w:rPr>
        <w:footnoteReference w:id="55"/>
      </w:r>
      <w:r>
        <w:rPr>
          <w:rFonts w:asciiTheme="majorBidi" w:hAnsiTheme="majorBidi" w:cstheme="majorBidi"/>
          <w:lang w:val="en-GB"/>
        </w:rPr>
        <w:t xml:space="preserve"> But there was already a long history of what we can term this</w:t>
      </w:r>
      <w:r w:rsidR="00B82288">
        <w:rPr>
          <w:rFonts w:asciiTheme="majorBidi" w:hAnsiTheme="majorBidi" w:cstheme="majorBidi"/>
          <w:lang w:val="en-GB"/>
        </w:rPr>
        <w:t xml:space="preserve"> </w:t>
      </w:r>
      <w:r>
        <w:rPr>
          <w:rFonts w:asciiTheme="majorBidi" w:hAnsiTheme="majorBidi" w:cstheme="majorBidi"/>
          <w:i/>
          <w:lang w:val="en-GB"/>
        </w:rPr>
        <w:t xml:space="preserve">Landesverrat </w:t>
      </w:r>
      <w:r>
        <w:rPr>
          <w:rFonts w:asciiTheme="majorBidi" w:hAnsiTheme="majorBidi" w:cstheme="majorBidi"/>
          <w:lang w:val="en-GB"/>
        </w:rPr>
        <w:t xml:space="preserve">– betrayal of the state, often in collusion with a foreign power. In the </w:t>
      </w:r>
      <w:r w:rsidR="00B82288">
        <w:rPr>
          <w:rFonts w:asciiTheme="majorBidi" w:hAnsiTheme="majorBidi" w:cstheme="majorBidi"/>
          <w:lang w:val="en-GB"/>
        </w:rPr>
        <w:t>eighteenth</w:t>
      </w:r>
      <w:r>
        <w:rPr>
          <w:rFonts w:asciiTheme="majorBidi" w:hAnsiTheme="majorBidi" w:cstheme="majorBidi"/>
          <w:lang w:val="en-GB"/>
        </w:rPr>
        <w:t xml:space="preserve"> century it </w:t>
      </w:r>
      <w:r w:rsidR="00B82288">
        <w:rPr>
          <w:rFonts w:asciiTheme="majorBidi" w:hAnsiTheme="majorBidi" w:cstheme="majorBidi"/>
          <w:lang w:val="en-GB"/>
        </w:rPr>
        <w:t>had been</w:t>
      </w:r>
      <w:r>
        <w:rPr>
          <w:rFonts w:asciiTheme="majorBidi" w:hAnsiTheme="majorBidi" w:cstheme="majorBidi"/>
          <w:lang w:val="en-GB"/>
        </w:rPr>
        <w:t xml:space="preserve"> singled out as a crime in the law codes of both Maria Theresa and Joseph II.</w:t>
      </w:r>
      <w:r w:rsidR="00D41F85">
        <w:rPr>
          <w:rStyle w:val="FootnoteReference"/>
          <w:rFonts w:asciiTheme="majorBidi" w:hAnsiTheme="majorBidi" w:cstheme="majorBidi"/>
          <w:lang w:val="en-GB"/>
        </w:rPr>
        <w:footnoteReference w:id="56"/>
      </w:r>
      <w:r>
        <w:rPr>
          <w:rFonts w:asciiTheme="majorBidi" w:hAnsiTheme="majorBidi" w:cstheme="majorBidi"/>
          <w:lang w:val="en-GB"/>
        </w:rPr>
        <w:t xml:space="preserve"> It then gained </w:t>
      </w:r>
      <w:r w:rsidR="00746D32">
        <w:rPr>
          <w:rFonts w:asciiTheme="majorBidi" w:hAnsiTheme="majorBidi" w:cstheme="majorBidi"/>
          <w:lang w:val="en-GB"/>
        </w:rPr>
        <w:t xml:space="preserve">concrete </w:t>
      </w:r>
      <w:r>
        <w:rPr>
          <w:rFonts w:asciiTheme="majorBidi" w:hAnsiTheme="majorBidi" w:cstheme="majorBidi"/>
          <w:lang w:val="en-GB"/>
        </w:rPr>
        <w:t xml:space="preserve">substance </w:t>
      </w:r>
      <w:r w:rsidR="000F013E">
        <w:rPr>
          <w:rFonts w:asciiTheme="majorBidi" w:hAnsiTheme="majorBidi" w:cstheme="majorBidi"/>
          <w:lang w:val="en-GB"/>
        </w:rPr>
        <w:t>due</w:t>
      </w:r>
      <w:r>
        <w:rPr>
          <w:rFonts w:asciiTheme="majorBidi" w:hAnsiTheme="majorBidi" w:cstheme="majorBidi"/>
          <w:lang w:val="en-GB"/>
        </w:rPr>
        <w:t xml:space="preserve"> to the 1848 revolutions, when the empire </w:t>
      </w:r>
      <w:r w:rsidR="000F013E">
        <w:rPr>
          <w:rFonts w:asciiTheme="majorBidi" w:hAnsiTheme="majorBidi" w:cstheme="majorBidi"/>
          <w:lang w:val="en-GB"/>
        </w:rPr>
        <w:t>was</w:t>
      </w:r>
      <w:r>
        <w:rPr>
          <w:rFonts w:asciiTheme="majorBidi" w:hAnsiTheme="majorBidi" w:cstheme="majorBidi"/>
          <w:lang w:val="en-GB"/>
        </w:rPr>
        <w:t xml:space="preserve"> almost fatally threatened by </w:t>
      </w:r>
      <w:r w:rsidR="000F013E">
        <w:rPr>
          <w:rFonts w:asciiTheme="majorBidi" w:hAnsiTheme="majorBidi" w:cstheme="majorBidi"/>
          <w:lang w:val="en-GB"/>
        </w:rPr>
        <w:t xml:space="preserve">a </w:t>
      </w:r>
      <w:r>
        <w:rPr>
          <w:rFonts w:asciiTheme="majorBidi" w:hAnsiTheme="majorBidi" w:cstheme="majorBidi"/>
          <w:lang w:val="en-GB"/>
        </w:rPr>
        <w:t xml:space="preserve">secession of Hungarian and Italian territory. Thus in the 1852 Austrian penal code, </w:t>
      </w:r>
      <w:r w:rsidR="000F013E">
        <w:rPr>
          <w:rFonts w:asciiTheme="majorBidi" w:hAnsiTheme="majorBidi" w:cstheme="majorBidi"/>
          <w:lang w:val="en-GB"/>
        </w:rPr>
        <w:t>the l</w:t>
      </w:r>
      <w:r w:rsidR="00F72014">
        <w:rPr>
          <w:rFonts w:asciiTheme="majorBidi" w:hAnsiTheme="majorBidi" w:cstheme="majorBidi"/>
          <w:lang w:val="en-GB"/>
        </w:rPr>
        <w:t>aw</w:t>
      </w:r>
      <w:r w:rsidR="000F013E">
        <w:rPr>
          <w:rFonts w:asciiTheme="majorBidi" w:hAnsiTheme="majorBidi" w:cstheme="majorBidi"/>
          <w:lang w:val="en-GB"/>
        </w:rPr>
        <w:t xml:space="preserve"> academic Anton von Hye added </w:t>
      </w:r>
      <w:r>
        <w:rPr>
          <w:rFonts w:asciiTheme="majorBidi" w:hAnsiTheme="majorBidi" w:cstheme="majorBidi"/>
          <w:lang w:val="en-GB"/>
        </w:rPr>
        <w:t xml:space="preserve">a special </w:t>
      </w:r>
      <w:r w:rsidR="00710492">
        <w:rPr>
          <w:rFonts w:asciiTheme="majorBidi" w:hAnsiTheme="majorBidi" w:cstheme="majorBidi"/>
          <w:lang w:val="en-GB"/>
        </w:rPr>
        <w:t xml:space="preserve">new </w:t>
      </w:r>
      <w:r>
        <w:rPr>
          <w:rFonts w:asciiTheme="majorBidi" w:hAnsiTheme="majorBidi" w:cstheme="majorBidi"/>
          <w:lang w:val="en-GB"/>
        </w:rPr>
        <w:t xml:space="preserve">clause to the crime of treason. Paragraph </w:t>
      </w:r>
      <w:r w:rsidRPr="00746D32">
        <w:rPr>
          <w:rFonts w:asciiTheme="majorBidi" w:hAnsiTheme="majorBidi" w:cstheme="majorBidi"/>
          <w:lang w:val="en-GB"/>
        </w:rPr>
        <w:t xml:space="preserve">58c </w:t>
      </w:r>
      <w:r>
        <w:rPr>
          <w:rFonts w:asciiTheme="majorBidi" w:hAnsiTheme="majorBidi" w:cstheme="majorBidi"/>
          <w:lang w:val="en-GB"/>
        </w:rPr>
        <w:t xml:space="preserve">criminalized anyone </w:t>
      </w:r>
      <w:r w:rsidR="000F013E">
        <w:rPr>
          <w:rFonts w:asciiTheme="majorBidi" w:hAnsiTheme="majorBidi" w:cstheme="majorBidi"/>
          <w:lang w:val="en-GB"/>
        </w:rPr>
        <w:t>‘</w:t>
      </w:r>
      <w:r>
        <w:rPr>
          <w:rFonts w:asciiTheme="majorBidi" w:hAnsiTheme="majorBidi" w:cstheme="majorBidi"/>
          <w:i/>
          <w:lang w:val="en-GB"/>
        </w:rPr>
        <w:t>aiming</w:t>
      </w:r>
      <w:r w:rsidRPr="009D239C">
        <w:rPr>
          <w:rFonts w:asciiTheme="majorBidi" w:hAnsiTheme="majorBidi" w:cstheme="majorBidi"/>
          <w:i/>
        </w:rPr>
        <w:t xml:space="preserve"> to break-off a part of the </w:t>
      </w:r>
      <w:r>
        <w:rPr>
          <w:rFonts w:asciiTheme="majorBidi" w:hAnsiTheme="majorBidi" w:cstheme="majorBidi"/>
          <w:i/>
        </w:rPr>
        <w:t xml:space="preserve">unitary </w:t>
      </w:r>
      <w:r w:rsidRPr="009D239C">
        <w:rPr>
          <w:rFonts w:asciiTheme="majorBidi" w:hAnsiTheme="majorBidi" w:cstheme="majorBidi"/>
          <w:i/>
        </w:rPr>
        <w:t>state or lands of the Austrian Empire</w:t>
      </w:r>
      <w:r w:rsidR="000F013E">
        <w:rPr>
          <w:rFonts w:asciiTheme="majorBidi" w:hAnsiTheme="majorBidi" w:cstheme="majorBidi"/>
        </w:rPr>
        <w:t>’,</w:t>
      </w:r>
      <w:r>
        <w:rPr>
          <w:rFonts w:asciiTheme="majorBidi" w:hAnsiTheme="majorBidi" w:cstheme="majorBidi"/>
          <w:i/>
        </w:rPr>
        <w:t xml:space="preserve"> </w:t>
      </w:r>
      <w:r w:rsidR="00C04744">
        <w:rPr>
          <w:rFonts w:asciiTheme="majorBidi" w:hAnsiTheme="majorBidi" w:cstheme="majorBidi"/>
        </w:rPr>
        <w:t xml:space="preserve">as well as anyone </w:t>
      </w:r>
      <w:r w:rsidR="00F72014">
        <w:rPr>
          <w:rFonts w:asciiTheme="majorBidi" w:hAnsiTheme="majorBidi" w:cstheme="majorBidi"/>
        </w:rPr>
        <w:t>foment</w:t>
      </w:r>
      <w:r w:rsidR="00C04744">
        <w:rPr>
          <w:rFonts w:asciiTheme="majorBidi" w:hAnsiTheme="majorBidi" w:cstheme="majorBidi"/>
        </w:rPr>
        <w:t>ing</w:t>
      </w:r>
      <w:r w:rsidR="00F72014">
        <w:rPr>
          <w:rFonts w:asciiTheme="majorBidi" w:hAnsiTheme="majorBidi" w:cstheme="majorBidi"/>
        </w:rPr>
        <w:t xml:space="preserve"> civil war</w:t>
      </w:r>
      <w:r w:rsidR="00C04744">
        <w:rPr>
          <w:rFonts w:asciiTheme="majorBidi" w:hAnsiTheme="majorBidi" w:cstheme="majorBidi"/>
        </w:rPr>
        <w:t>,</w:t>
      </w:r>
      <w:r w:rsidR="00F72014">
        <w:rPr>
          <w:rFonts w:asciiTheme="majorBidi" w:hAnsiTheme="majorBidi" w:cstheme="majorBidi"/>
        </w:rPr>
        <w:t xml:space="preserve"> </w:t>
      </w:r>
      <w:r>
        <w:rPr>
          <w:rFonts w:asciiTheme="majorBidi" w:hAnsiTheme="majorBidi" w:cstheme="majorBidi"/>
        </w:rPr>
        <w:t xml:space="preserve">or whose activity endangered </w:t>
      </w:r>
      <w:r w:rsidR="00F72014">
        <w:rPr>
          <w:rFonts w:asciiTheme="majorBidi" w:hAnsiTheme="majorBidi" w:cstheme="majorBidi"/>
        </w:rPr>
        <w:t>the empire</w:t>
      </w:r>
      <w:r w:rsidR="00925451">
        <w:rPr>
          <w:rFonts w:asciiTheme="majorBidi" w:hAnsiTheme="majorBidi" w:cstheme="majorBidi"/>
        </w:rPr>
        <w:t>’</w:t>
      </w:r>
      <w:r w:rsidR="00F72014">
        <w:rPr>
          <w:rFonts w:asciiTheme="majorBidi" w:hAnsiTheme="majorBidi" w:cstheme="majorBidi"/>
        </w:rPr>
        <w:t xml:space="preserve">s </w:t>
      </w:r>
      <w:r>
        <w:rPr>
          <w:rFonts w:asciiTheme="majorBidi" w:hAnsiTheme="majorBidi" w:cstheme="majorBidi"/>
        </w:rPr>
        <w:t xml:space="preserve">foreign security. </w:t>
      </w:r>
    </w:p>
    <w:p w:rsidR="00342575"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 Although the Monarchy’s Hungarian and Italian questions never went away, by the 1870s they were diminishing as security threats, thanks to Franz Joseph’s 1867 Compromise with Hungary and the loss of most of his Italian territory. Instead, the most likely centres of secessionist treason moved to the empire’s eastern and Balkan </w:t>
      </w:r>
      <w:r w:rsidR="000E563E">
        <w:rPr>
          <w:rFonts w:asciiTheme="majorBidi" w:hAnsiTheme="majorBidi" w:cstheme="majorBidi"/>
          <w:lang w:val="en-GB"/>
        </w:rPr>
        <w:t>frontiers</w:t>
      </w:r>
      <w:r>
        <w:rPr>
          <w:rFonts w:asciiTheme="majorBidi" w:hAnsiTheme="majorBidi" w:cstheme="majorBidi"/>
          <w:lang w:val="en-GB"/>
        </w:rPr>
        <w:t xml:space="preserve">: exactly where Vienna had the worst security fears in the decades before the First World War. As with the prosecution of socialist traitors, treason under §58c could be constructed in many ways, sometimes arbitrarily but often reflecting direct political interference in the </w:t>
      </w:r>
      <w:r>
        <w:rPr>
          <w:rFonts w:asciiTheme="majorBidi" w:hAnsiTheme="majorBidi" w:cstheme="majorBidi"/>
          <w:i/>
          <w:lang w:val="en-GB"/>
        </w:rPr>
        <w:t>Rechtsstaat</w:t>
      </w:r>
      <w:r>
        <w:rPr>
          <w:rFonts w:asciiTheme="majorBidi" w:hAnsiTheme="majorBidi" w:cstheme="majorBidi"/>
          <w:lang w:val="en-GB"/>
        </w:rPr>
        <w:t xml:space="preserve">. Thus in 1882 </w:t>
      </w:r>
      <w:r w:rsidR="0048588E">
        <w:rPr>
          <w:rFonts w:asciiTheme="majorBidi" w:hAnsiTheme="majorBidi" w:cstheme="majorBidi"/>
          <w:lang w:val="en-GB"/>
        </w:rPr>
        <w:t>a minor incident in eastern Galicia</w:t>
      </w:r>
      <w:r w:rsidR="000E563E">
        <w:rPr>
          <w:rFonts w:asciiTheme="majorBidi" w:hAnsiTheme="majorBidi" w:cstheme="majorBidi"/>
          <w:lang w:val="en-GB"/>
        </w:rPr>
        <w:t>,</w:t>
      </w:r>
      <w:r w:rsidR="0048588E">
        <w:rPr>
          <w:rFonts w:asciiTheme="majorBidi" w:hAnsiTheme="majorBidi" w:cstheme="majorBidi"/>
          <w:lang w:val="en-GB"/>
        </w:rPr>
        <w:t xml:space="preserve"> whe</w:t>
      </w:r>
      <w:r w:rsidR="00342575">
        <w:rPr>
          <w:rFonts w:asciiTheme="majorBidi" w:hAnsiTheme="majorBidi" w:cstheme="majorBidi"/>
          <w:lang w:val="en-GB"/>
        </w:rPr>
        <w:t>n</w:t>
      </w:r>
      <w:r w:rsidR="0048588E">
        <w:rPr>
          <w:rFonts w:asciiTheme="majorBidi" w:hAnsiTheme="majorBidi" w:cstheme="majorBidi"/>
          <w:lang w:val="en-GB"/>
        </w:rPr>
        <w:t xml:space="preserve"> some Ruthene </w:t>
      </w:r>
      <w:r w:rsidR="000E563E">
        <w:rPr>
          <w:rFonts w:asciiTheme="majorBidi" w:hAnsiTheme="majorBidi" w:cstheme="majorBidi"/>
          <w:lang w:val="en-GB"/>
        </w:rPr>
        <w:t>villagers</w:t>
      </w:r>
      <w:r w:rsidR="0048588E">
        <w:rPr>
          <w:rFonts w:asciiTheme="majorBidi" w:hAnsiTheme="majorBidi" w:cstheme="majorBidi"/>
          <w:lang w:val="en-GB"/>
        </w:rPr>
        <w:t xml:space="preserve"> wished to convert to the Orthodox faith</w:t>
      </w:r>
      <w:r w:rsidR="000E563E">
        <w:rPr>
          <w:rFonts w:asciiTheme="majorBidi" w:hAnsiTheme="majorBidi" w:cstheme="majorBidi"/>
          <w:lang w:val="en-GB"/>
        </w:rPr>
        <w:t>,</w:t>
      </w:r>
      <w:r w:rsidR="0048588E">
        <w:rPr>
          <w:rFonts w:asciiTheme="majorBidi" w:hAnsiTheme="majorBidi" w:cstheme="majorBidi"/>
          <w:lang w:val="en-GB"/>
        </w:rPr>
        <w:t xml:space="preserve"> was blown up out of all proportion by the </w:t>
      </w:r>
      <w:r w:rsidR="000E563E">
        <w:rPr>
          <w:rFonts w:asciiTheme="majorBidi" w:hAnsiTheme="majorBidi" w:cstheme="majorBidi"/>
          <w:lang w:val="en-GB"/>
        </w:rPr>
        <w:t xml:space="preserve">Galician </w:t>
      </w:r>
      <w:r w:rsidR="0048588E">
        <w:rPr>
          <w:rFonts w:asciiTheme="majorBidi" w:hAnsiTheme="majorBidi" w:cstheme="majorBidi"/>
          <w:lang w:val="en-GB"/>
        </w:rPr>
        <w:t>authorities. The</w:t>
      </w:r>
      <w:r w:rsidR="00342575">
        <w:rPr>
          <w:rFonts w:asciiTheme="majorBidi" w:hAnsiTheme="majorBidi" w:cstheme="majorBidi"/>
          <w:lang w:val="en-GB"/>
        </w:rPr>
        <w:t>y suspected that</w:t>
      </w:r>
      <w:r w:rsidR="0048588E">
        <w:rPr>
          <w:rFonts w:asciiTheme="majorBidi" w:hAnsiTheme="majorBidi" w:cstheme="majorBidi"/>
          <w:lang w:val="en-GB"/>
        </w:rPr>
        <w:t xml:space="preserve"> some well-known agitators were at work with a pro-Russian agenda, most </w:t>
      </w:r>
      <w:r w:rsidR="0048588E">
        <w:rPr>
          <w:rFonts w:asciiTheme="majorBidi" w:hAnsiTheme="majorBidi" w:cstheme="majorBidi"/>
          <w:lang w:val="en-GB"/>
        </w:rPr>
        <w:lastRenderedPageBreak/>
        <w:t xml:space="preserve">notably the vehemently anti-Catholic priest Ioann Naumovych. The result was that a dozen so-called </w:t>
      </w:r>
      <w:r>
        <w:rPr>
          <w:rFonts w:asciiTheme="majorBidi" w:hAnsiTheme="majorBidi" w:cstheme="majorBidi"/>
          <w:lang w:val="en-GB"/>
        </w:rPr>
        <w:t xml:space="preserve">Russophile activists </w:t>
      </w:r>
      <w:r w:rsidR="00342575">
        <w:rPr>
          <w:rFonts w:asciiTheme="majorBidi" w:hAnsiTheme="majorBidi" w:cstheme="majorBidi"/>
          <w:lang w:val="en-GB"/>
        </w:rPr>
        <w:t xml:space="preserve">including Naumovych </w:t>
      </w:r>
      <w:r w:rsidR="0048588E">
        <w:rPr>
          <w:rFonts w:asciiTheme="majorBidi" w:hAnsiTheme="majorBidi" w:cstheme="majorBidi"/>
          <w:lang w:val="en-GB"/>
        </w:rPr>
        <w:t xml:space="preserve">were prosecuted for high treason </w:t>
      </w:r>
      <w:r>
        <w:rPr>
          <w:rFonts w:asciiTheme="majorBidi" w:hAnsiTheme="majorBidi" w:cstheme="majorBidi"/>
          <w:lang w:val="en-GB"/>
        </w:rPr>
        <w:t xml:space="preserve">in Lviv, </w:t>
      </w:r>
      <w:r w:rsidR="0048588E">
        <w:rPr>
          <w:rFonts w:asciiTheme="majorBidi" w:hAnsiTheme="majorBidi" w:cstheme="majorBidi"/>
          <w:lang w:val="en-GB"/>
        </w:rPr>
        <w:t xml:space="preserve">accused of a Pan-Slav plot to convert </w:t>
      </w:r>
      <w:r w:rsidR="00342575">
        <w:rPr>
          <w:rFonts w:asciiTheme="majorBidi" w:hAnsiTheme="majorBidi" w:cstheme="majorBidi"/>
          <w:lang w:val="en-GB"/>
        </w:rPr>
        <w:t xml:space="preserve">the </w:t>
      </w:r>
      <w:r w:rsidR="0048588E">
        <w:rPr>
          <w:rFonts w:asciiTheme="majorBidi" w:hAnsiTheme="majorBidi" w:cstheme="majorBidi"/>
          <w:lang w:val="en-GB"/>
        </w:rPr>
        <w:t xml:space="preserve">peasantry </w:t>
      </w:r>
      <w:proofErr w:type="spellStart"/>
      <w:r w:rsidR="0048588E" w:rsidRPr="0048588E">
        <w:rPr>
          <w:rFonts w:asciiTheme="majorBidi" w:hAnsiTheme="majorBidi" w:cstheme="majorBidi"/>
          <w:i/>
          <w:lang w:val="en-GB"/>
        </w:rPr>
        <w:t>en</w:t>
      </w:r>
      <w:proofErr w:type="spellEnd"/>
      <w:r w:rsidR="0048588E" w:rsidRPr="0048588E">
        <w:rPr>
          <w:rFonts w:asciiTheme="majorBidi" w:hAnsiTheme="majorBidi" w:cstheme="majorBidi"/>
          <w:i/>
          <w:lang w:val="en-GB"/>
        </w:rPr>
        <w:t xml:space="preserve"> masse</w:t>
      </w:r>
      <w:r w:rsidR="00342575">
        <w:rPr>
          <w:rFonts w:asciiTheme="majorBidi" w:hAnsiTheme="majorBidi" w:cstheme="majorBidi"/>
          <w:i/>
          <w:lang w:val="en-GB"/>
        </w:rPr>
        <w:t xml:space="preserve"> </w:t>
      </w:r>
      <w:r w:rsidR="00342575">
        <w:rPr>
          <w:rFonts w:asciiTheme="majorBidi" w:hAnsiTheme="majorBidi" w:cstheme="majorBidi"/>
          <w:lang w:val="en-GB"/>
        </w:rPr>
        <w:t xml:space="preserve">to </w:t>
      </w:r>
      <w:r w:rsidR="00554E9F">
        <w:rPr>
          <w:rFonts w:asciiTheme="majorBidi" w:hAnsiTheme="majorBidi" w:cstheme="majorBidi"/>
          <w:lang w:val="en-GB"/>
        </w:rPr>
        <w:t xml:space="preserve">Russian </w:t>
      </w:r>
      <w:r w:rsidR="00342575">
        <w:rPr>
          <w:rFonts w:asciiTheme="majorBidi" w:hAnsiTheme="majorBidi" w:cstheme="majorBidi"/>
          <w:lang w:val="en-GB"/>
        </w:rPr>
        <w:t>Orthodoxy</w:t>
      </w:r>
      <w:r w:rsidR="0048588E">
        <w:rPr>
          <w:rFonts w:asciiTheme="majorBidi" w:hAnsiTheme="majorBidi" w:cstheme="majorBidi"/>
          <w:lang w:val="en-GB"/>
        </w:rPr>
        <w:t xml:space="preserve">. A jury court </w:t>
      </w:r>
      <w:r w:rsidR="00342575">
        <w:rPr>
          <w:rFonts w:asciiTheme="majorBidi" w:hAnsiTheme="majorBidi" w:cstheme="majorBidi"/>
          <w:lang w:val="en-GB"/>
        </w:rPr>
        <w:t xml:space="preserve">then </w:t>
      </w:r>
      <w:r w:rsidR="0048588E">
        <w:rPr>
          <w:rFonts w:asciiTheme="majorBidi" w:hAnsiTheme="majorBidi" w:cstheme="majorBidi"/>
          <w:lang w:val="en-GB"/>
        </w:rPr>
        <w:t xml:space="preserve">acquitted all of them in the summer of 1882 since the charges were so far-fetched, but Naumovych thereafter would remain a </w:t>
      </w:r>
      <w:r w:rsidR="00342575">
        <w:rPr>
          <w:rFonts w:asciiTheme="majorBidi" w:hAnsiTheme="majorBidi" w:cstheme="majorBidi"/>
          <w:lang w:val="en-GB"/>
        </w:rPr>
        <w:t xml:space="preserve">marked </w:t>
      </w:r>
      <w:r w:rsidR="0048588E">
        <w:rPr>
          <w:rFonts w:asciiTheme="majorBidi" w:hAnsiTheme="majorBidi" w:cstheme="majorBidi"/>
          <w:lang w:val="en-GB"/>
        </w:rPr>
        <w:t>man</w:t>
      </w:r>
      <w:r w:rsidR="00342575">
        <w:rPr>
          <w:rFonts w:asciiTheme="majorBidi" w:hAnsiTheme="majorBidi" w:cstheme="majorBidi"/>
          <w:lang w:val="en-GB"/>
        </w:rPr>
        <w:t xml:space="preserve"> for</w:t>
      </w:r>
      <w:r w:rsidR="0048588E">
        <w:rPr>
          <w:rFonts w:asciiTheme="majorBidi" w:hAnsiTheme="majorBidi" w:cstheme="majorBidi"/>
          <w:lang w:val="en-GB"/>
        </w:rPr>
        <w:t xml:space="preserve"> the </w:t>
      </w:r>
      <w:r w:rsidR="006E62E2">
        <w:rPr>
          <w:rFonts w:asciiTheme="majorBidi" w:hAnsiTheme="majorBidi" w:cstheme="majorBidi"/>
          <w:lang w:val="en-GB"/>
        </w:rPr>
        <w:t xml:space="preserve">Habsburg </w:t>
      </w:r>
      <w:r w:rsidR="0048588E">
        <w:rPr>
          <w:rFonts w:asciiTheme="majorBidi" w:hAnsiTheme="majorBidi" w:cstheme="majorBidi"/>
          <w:lang w:val="en-GB"/>
        </w:rPr>
        <w:t>security services.</w:t>
      </w:r>
      <w:r>
        <w:rPr>
          <w:rStyle w:val="FootnoteReference"/>
          <w:rFonts w:asciiTheme="majorBidi" w:hAnsiTheme="majorBidi" w:cstheme="majorBidi"/>
          <w:lang w:val="en-GB"/>
        </w:rPr>
        <w:footnoteReference w:id="57"/>
      </w:r>
      <w:r>
        <w:rPr>
          <w:rFonts w:asciiTheme="majorBidi" w:hAnsiTheme="majorBidi" w:cstheme="majorBidi"/>
          <w:lang w:val="en-GB"/>
        </w:rPr>
        <w:t xml:space="preserve"> </w:t>
      </w:r>
    </w:p>
    <w:p w:rsidR="006D2CB7" w:rsidRDefault="006E4050"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Five years later in Zagreb, the Croatian poet August Harambašić also fell </w:t>
      </w:r>
      <w:proofErr w:type="spellStart"/>
      <w:r>
        <w:rPr>
          <w:rFonts w:asciiTheme="majorBidi" w:hAnsiTheme="majorBidi" w:cstheme="majorBidi"/>
          <w:lang w:val="en-GB"/>
        </w:rPr>
        <w:t>foul</w:t>
      </w:r>
      <w:proofErr w:type="spellEnd"/>
      <w:r>
        <w:rPr>
          <w:rFonts w:asciiTheme="majorBidi" w:hAnsiTheme="majorBidi" w:cstheme="majorBidi"/>
          <w:lang w:val="en-GB"/>
        </w:rPr>
        <w:t xml:space="preserve"> of the treason law</w:t>
      </w:r>
      <w:r w:rsidR="0048588E">
        <w:rPr>
          <w:rFonts w:asciiTheme="majorBidi" w:hAnsiTheme="majorBidi" w:cstheme="majorBidi"/>
          <w:lang w:val="en-GB"/>
        </w:rPr>
        <w:t xml:space="preserve">. </w:t>
      </w:r>
      <w:r w:rsidR="001C44C1">
        <w:rPr>
          <w:rFonts w:asciiTheme="majorBidi" w:hAnsiTheme="majorBidi" w:cstheme="majorBidi"/>
          <w:b/>
          <w:lang w:val="en-GB"/>
        </w:rPr>
        <w:t>[Figure 1</w:t>
      </w:r>
      <w:r w:rsidR="001426C8">
        <w:rPr>
          <w:rFonts w:asciiTheme="majorBidi" w:hAnsiTheme="majorBidi" w:cstheme="majorBidi"/>
          <w:b/>
          <w:lang w:val="en-GB"/>
        </w:rPr>
        <w:t>3</w:t>
      </w:r>
      <w:r w:rsidR="001C44C1">
        <w:rPr>
          <w:rFonts w:asciiTheme="majorBidi" w:hAnsiTheme="majorBidi" w:cstheme="majorBidi"/>
          <w:b/>
          <w:lang w:val="en-GB"/>
        </w:rPr>
        <w:t xml:space="preserve">] </w:t>
      </w:r>
      <w:r w:rsidR="00625060">
        <w:rPr>
          <w:rFonts w:asciiTheme="majorBidi" w:hAnsiTheme="majorBidi" w:cstheme="majorBidi"/>
          <w:lang w:val="en-GB"/>
        </w:rPr>
        <w:t xml:space="preserve">Croatia was </w:t>
      </w:r>
      <w:r w:rsidR="00D64558">
        <w:rPr>
          <w:rFonts w:asciiTheme="majorBidi" w:hAnsiTheme="majorBidi" w:cstheme="majorBidi"/>
          <w:lang w:val="en-GB"/>
        </w:rPr>
        <w:t xml:space="preserve">not only </w:t>
      </w:r>
      <w:r w:rsidR="0073302A">
        <w:rPr>
          <w:rFonts w:asciiTheme="majorBidi" w:hAnsiTheme="majorBidi" w:cstheme="majorBidi"/>
          <w:lang w:val="en-GB"/>
        </w:rPr>
        <w:t xml:space="preserve">closest to </w:t>
      </w:r>
      <w:r w:rsidR="00C04744">
        <w:rPr>
          <w:rFonts w:asciiTheme="majorBidi" w:hAnsiTheme="majorBidi" w:cstheme="majorBidi"/>
          <w:lang w:val="en-GB"/>
        </w:rPr>
        <w:t xml:space="preserve">the </w:t>
      </w:r>
      <w:r w:rsidR="00554E9F">
        <w:rPr>
          <w:rFonts w:asciiTheme="majorBidi" w:hAnsiTheme="majorBidi" w:cstheme="majorBidi"/>
          <w:lang w:val="en-GB"/>
        </w:rPr>
        <w:t>unstable B</w:t>
      </w:r>
      <w:r w:rsidR="0073302A">
        <w:rPr>
          <w:rFonts w:asciiTheme="majorBidi" w:hAnsiTheme="majorBidi" w:cstheme="majorBidi"/>
          <w:lang w:val="en-GB"/>
        </w:rPr>
        <w:t xml:space="preserve">alkan </w:t>
      </w:r>
      <w:r w:rsidR="00554E9F">
        <w:rPr>
          <w:rFonts w:asciiTheme="majorBidi" w:hAnsiTheme="majorBidi" w:cstheme="majorBidi"/>
          <w:lang w:val="en-GB"/>
        </w:rPr>
        <w:t>peninsula</w:t>
      </w:r>
      <w:r w:rsidR="0073302A">
        <w:rPr>
          <w:rFonts w:asciiTheme="majorBidi" w:hAnsiTheme="majorBidi" w:cstheme="majorBidi"/>
          <w:lang w:val="en-GB"/>
        </w:rPr>
        <w:t xml:space="preserve"> in terms of </w:t>
      </w:r>
      <w:r w:rsidR="00554E9F">
        <w:rPr>
          <w:rFonts w:asciiTheme="majorBidi" w:hAnsiTheme="majorBidi" w:cstheme="majorBidi"/>
          <w:lang w:val="en-GB"/>
        </w:rPr>
        <w:t xml:space="preserve">the </w:t>
      </w:r>
      <w:r w:rsidR="00925451">
        <w:rPr>
          <w:rFonts w:asciiTheme="majorBidi" w:hAnsiTheme="majorBidi" w:cstheme="majorBidi"/>
          <w:lang w:val="en-GB"/>
        </w:rPr>
        <w:t>old</w:t>
      </w:r>
      <w:r w:rsidR="0048588E">
        <w:rPr>
          <w:rFonts w:asciiTheme="majorBidi" w:hAnsiTheme="majorBidi" w:cstheme="majorBidi"/>
          <w:lang w:val="en-GB"/>
        </w:rPr>
        <w:t xml:space="preserve"> region</w:t>
      </w:r>
      <w:r w:rsidR="0073302A">
        <w:rPr>
          <w:rFonts w:asciiTheme="majorBidi" w:hAnsiTheme="majorBidi" w:cstheme="majorBidi"/>
          <w:lang w:val="en-GB"/>
        </w:rPr>
        <w:t>s</w:t>
      </w:r>
      <w:r w:rsidR="0048588E">
        <w:rPr>
          <w:rFonts w:asciiTheme="majorBidi" w:hAnsiTheme="majorBidi" w:cstheme="majorBidi"/>
          <w:lang w:val="en-GB"/>
        </w:rPr>
        <w:t xml:space="preserve"> of the Monarchy</w:t>
      </w:r>
      <w:r w:rsidR="00F72014">
        <w:rPr>
          <w:rFonts w:asciiTheme="majorBidi" w:hAnsiTheme="majorBidi" w:cstheme="majorBidi"/>
          <w:lang w:val="en-GB"/>
        </w:rPr>
        <w:t>,</w:t>
      </w:r>
      <w:r w:rsidR="00D64558">
        <w:rPr>
          <w:rFonts w:asciiTheme="majorBidi" w:hAnsiTheme="majorBidi" w:cstheme="majorBidi"/>
          <w:lang w:val="en-GB"/>
        </w:rPr>
        <w:t xml:space="preserve"> but </w:t>
      </w:r>
      <w:r w:rsidR="00554E9F">
        <w:rPr>
          <w:rFonts w:asciiTheme="majorBidi" w:hAnsiTheme="majorBidi" w:cstheme="majorBidi"/>
          <w:lang w:val="en-GB"/>
        </w:rPr>
        <w:t xml:space="preserve">a territory </w:t>
      </w:r>
      <w:r w:rsidR="0048588E">
        <w:rPr>
          <w:rFonts w:asciiTheme="majorBidi" w:hAnsiTheme="majorBidi" w:cstheme="majorBidi"/>
          <w:lang w:val="en-GB"/>
        </w:rPr>
        <w:t xml:space="preserve">where </w:t>
      </w:r>
      <w:r w:rsidR="006E62E2">
        <w:rPr>
          <w:rFonts w:asciiTheme="majorBidi" w:hAnsiTheme="majorBidi" w:cstheme="majorBidi"/>
          <w:lang w:val="en-GB"/>
        </w:rPr>
        <w:t xml:space="preserve">politics was always in flux and </w:t>
      </w:r>
      <w:r w:rsidR="0048588E">
        <w:rPr>
          <w:rFonts w:asciiTheme="majorBidi" w:hAnsiTheme="majorBidi" w:cstheme="majorBidi"/>
          <w:lang w:val="en-GB"/>
        </w:rPr>
        <w:t>treason law was regularly invoked</w:t>
      </w:r>
      <w:r w:rsidR="00625060">
        <w:rPr>
          <w:rFonts w:asciiTheme="majorBidi" w:hAnsiTheme="majorBidi" w:cstheme="majorBidi"/>
          <w:lang w:val="en-GB"/>
        </w:rPr>
        <w:t xml:space="preserve"> – one newspaper in 1887 called it ‘the centre of treason’.</w:t>
      </w:r>
      <w:r w:rsidR="00625060">
        <w:rPr>
          <w:rStyle w:val="FootnoteReference"/>
          <w:rFonts w:asciiTheme="majorBidi" w:hAnsiTheme="majorBidi" w:cstheme="majorBidi"/>
          <w:lang w:val="en-GB"/>
        </w:rPr>
        <w:footnoteReference w:id="58"/>
      </w:r>
      <w:r w:rsidR="0048588E">
        <w:rPr>
          <w:rFonts w:asciiTheme="majorBidi" w:hAnsiTheme="majorBidi" w:cstheme="majorBidi"/>
          <w:lang w:val="en-GB"/>
        </w:rPr>
        <w:t xml:space="preserve"> Harambašić </w:t>
      </w:r>
      <w:r w:rsidR="00F72014">
        <w:rPr>
          <w:rFonts w:asciiTheme="majorBidi" w:hAnsiTheme="majorBidi" w:cstheme="majorBidi"/>
          <w:lang w:val="en-GB"/>
        </w:rPr>
        <w:t xml:space="preserve">in the journal </w:t>
      </w:r>
      <w:r w:rsidR="00F72014">
        <w:rPr>
          <w:rFonts w:asciiTheme="majorBidi" w:hAnsiTheme="majorBidi" w:cstheme="majorBidi"/>
          <w:i/>
          <w:lang w:val="en-GB"/>
        </w:rPr>
        <w:t xml:space="preserve">Balkan </w:t>
      </w:r>
      <w:r w:rsidR="0073302A">
        <w:rPr>
          <w:rFonts w:asciiTheme="majorBidi" w:hAnsiTheme="majorBidi" w:cstheme="majorBidi"/>
          <w:lang w:val="en-GB"/>
        </w:rPr>
        <w:t>had written a prose poem which</w:t>
      </w:r>
      <w:r w:rsidR="0048588E">
        <w:rPr>
          <w:rFonts w:asciiTheme="majorBidi" w:hAnsiTheme="majorBidi" w:cstheme="majorBidi"/>
          <w:lang w:val="en-GB"/>
        </w:rPr>
        <w:t xml:space="preserve"> </w:t>
      </w:r>
      <w:r w:rsidR="00D64558">
        <w:rPr>
          <w:rFonts w:asciiTheme="majorBidi" w:hAnsiTheme="majorBidi" w:cstheme="majorBidi"/>
          <w:lang w:val="en-GB"/>
        </w:rPr>
        <w:t>seemed to criticize the Habsburg army</w:t>
      </w:r>
      <w:r w:rsidR="00554E9F">
        <w:rPr>
          <w:rFonts w:asciiTheme="majorBidi" w:hAnsiTheme="majorBidi" w:cstheme="majorBidi"/>
          <w:lang w:val="en-GB"/>
        </w:rPr>
        <w:t>; it</w:t>
      </w:r>
      <w:r w:rsidR="00D64558">
        <w:rPr>
          <w:rFonts w:asciiTheme="majorBidi" w:hAnsiTheme="majorBidi" w:cstheme="majorBidi"/>
          <w:lang w:val="en-GB"/>
        </w:rPr>
        <w:t xml:space="preserve"> </w:t>
      </w:r>
      <w:r w:rsidR="0048588E">
        <w:rPr>
          <w:rFonts w:asciiTheme="majorBidi" w:hAnsiTheme="majorBidi" w:cstheme="majorBidi"/>
          <w:lang w:val="en-GB"/>
        </w:rPr>
        <w:t xml:space="preserve">was </w:t>
      </w:r>
      <w:r>
        <w:rPr>
          <w:rFonts w:asciiTheme="majorBidi" w:hAnsiTheme="majorBidi" w:cstheme="majorBidi"/>
          <w:lang w:val="en-GB"/>
        </w:rPr>
        <w:t xml:space="preserve">interpreted </w:t>
      </w:r>
      <w:r w:rsidR="00625060">
        <w:rPr>
          <w:rFonts w:asciiTheme="majorBidi" w:hAnsiTheme="majorBidi" w:cstheme="majorBidi"/>
          <w:lang w:val="en-GB"/>
        </w:rPr>
        <w:t xml:space="preserve">by the Zagreb authorities </w:t>
      </w:r>
      <w:r>
        <w:rPr>
          <w:rFonts w:asciiTheme="majorBidi" w:hAnsiTheme="majorBidi" w:cstheme="majorBidi"/>
          <w:lang w:val="en-GB"/>
        </w:rPr>
        <w:t xml:space="preserve">as a call to Croats to revolt against </w:t>
      </w:r>
      <w:r w:rsidR="00F72014">
        <w:rPr>
          <w:rFonts w:asciiTheme="majorBidi" w:hAnsiTheme="majorBidi" w:cstheme="majorBidi"/>
          <w:lang w:val="en-GB"/>
        </w:rPr>
        <w:t xml:space="preserve">Habsburg </w:t>
      </w:r>
      <w:r>
        <w:rPr>
          <w:rFonts w:asciiTheme="majorBidi" w:hAnsiTheme="majorBidi" w:cstheme="majorBidi"/>
          <w:lang w:val="en-GB"/>
        </w:rPr>
        <w:t>oppressi</w:t>
      </w:r>
      <w:r w:rsidR="00F72014">
        <w:rPr>
          <w:rFonts w:asciiTheme="majorBidi" w:hAnsiTheme="majorBidi" w:cstheme="majorBidi"/>
          <w:lang w:val="en-GB"/>
        </w:rPr>
        <w:t>on</w:t>
      </w:r>
      <w:r w:rsidR="00A0465D">
        <w:rPr>
          <w:rFonts w:asciiTheme="majorBidi" w:hAnsiTheme="majorBidi" w:cstheme="majorBidi"/>
          <w:lang w:val="en-GB"/>
        </w:rPr>
        <w:t xml:space="preserve">. </w:t>
      </w:r>
      <w:r w:rsidR="00D64558">
        <w:rPr>
          <w:rFonts w:asciiTheme="majorBidi" w:hAnsiTheme="majorBidi" w:cstheme="majorBidi"/>
          <w:lang w:val="en-GB"/>
        </w:rPr>
        <w:t xml:space="preserve">At the trial in February 1887 </w:t>
      </w:r>
      <w:r w:rsidR="00554E9F">
        <w:rPr>
          <w:rFonts w:asciiTheme="majorBidi" w:hAnsiTheme="majorBidi" w:cstheme="majorBidi"/>
          <w:lang w:val="en-GB"/>
        </w:rPr>
        <w:t xml:space="preserve">Harambašić </w:t>
      </w:r>
      <w:r w:rsidR="00D64558">
        <w:rPr>
          <w:rFonts w:asciiTheme="majorBidi" w:hAnsiTheme="majorBidi" w:cstheme="majorBidi"/>
          <w:lang w:val="en-GB"/>
        </w:rPr>
        <w:t xml:space="preserve">denied this interpretation, stressing that </w:t>
      </w:r>
      <w:r w:rsidR="00F72014">
        <w:rPr>
          <w:rFonts w:asciiTheme="majorBidi" w:hAnsiTheme="majorBidi" w:cstheme="majorBidi"/>
          <w:lang w:val="en-GB"/>
        </w:rPr>
        <w:t xml:space="preserve">in </w:t>
      </w:r>
      <w:r w:rsidR="00D64558">
        <w:rPr>
          <w:rFonts w:asciiTheme="majorBidi" w:hAnsiTheme="majorBidi" w:cstheme="majorBidi"/>
          <w:lang w:val="en-GB"/>
        </w:rPr>
        <w:t xml:space="preserve">his article </w:t>
      </w:r>
      <w:r w:rsidR="00F72014">
        <w:rPr>
          <w:rFonts w:asciiTheme="majorBidi" w:hAnsiTheme="majorBidi" w:cstheme="majorBidi"/>
          <w:lang w:val="en-GB"/>
        </w:rPr>
        <w:t xml:space="preserve">he was </w:t>
      </w:r>
      <w:r w:rsidR="00D64558">
        <w:rPr>
          <w:rFonts w:asciiTheme="majorBidi" w:hAnsiTheme="majorBidi" w:cstheme="majorBidi"/>
          <w:lang w:val="en-GB"/>
        </w:rPr>
        <w:t>show</w:t>
      </w:r>
      <w:r w:rsidR="00F72014">
        <w:rPr>
          <w:rFonts w:asciiTheme="majorBidi" w:hAnsiTheme="majorBidi" w:cstheme="majorBidi"/>
          <w:lang w:val="en-GB"/>
        </w:rPr>
        <w:t>ing</w:t>
      </w:r>
      <w:r w:rsidR="00D64558">
        <w:rPr>
          <w:rFonts w:asciiTheme="majorBidi" w:hAnsiTheme="majorBidi" w:cstheme="majorBidi"/>
          <w:lang w:val="en-GB"/>
        </w:rPr>
        <w:t xml:space="preserve"> ‘devout emotion’ rather than any hatred or contempt. His </w:t>
      </w:r>
      <w:r w:rsidR="00403E90">
        <w:rPr>
          <w:rFonts w:asciiTheme="majorBidi" w:hAnsiTheme="majorBidi" w:cstheme="majorBidi"/>
          <w:lang w:val="en-GB"/>
        </w:rPr>
        <w:t xml:space="preserve">distinguished </w:t>
      </w:r>
      <w:r w:rsidR="00D64558">
        <w:rPr>
          <w:rFonts w:asciiTheme="majorBidi" w:hAnsiTheme="majorBidi" w:cstheme="majorBidi"/>
          <w:lang w:val="en-GB"/>
        </w:rPr>
        <w:t xml:space="preserve">lawyer, </w:t>
      </w:r>
      <w:proofErr w:type="spellStart"/>
      <w:r w:rsidR="00D64558">
        <w:rPr>
          <w:rFonts w:asciiTheme="majorBidi" w:hAnsiTheme="majorBidi" w:cstheme="majorBidi"/>
          <w:lang w:val="en-GB"/>
        </w:rPr>
        <w:t>Marijan</w:t>
      </w:r>
      <w:proofErr w:type="spellEnd"/>
      <w:r w:rsidR="00D64558">
        <w:rPr>
          <w:rFonts w:asciiTheme="majorBidi" w:hAnsiTheme="majorBidi" w:cstheme="majorBidi"/>
          <w:lang w:val="en-GB"/>
        </w:rPr>
        <w:t xml:space="preserve"> Derenčin agreed</w:t>
      </w:r>
      <w:r w:rsidR="00403E90">
        <w:rPr>
          <w:rStyle w:val="FootnoteReference"/>
          <w:rFonts w:asciiTheme="majorBidi" w:hAnsiTheme="majorBidi" w:cstheme="majorBidi"/>
          <w:lang w:val="en-GB"/>
        </w:rPr>
        <w:footnoteReference w:id="59"/>
      </w:r>
      <w:r w:rsidR="00D64558">
        <w:rPr>
          <w:rFonts w:asciiTheme="majorBidi" w:hAnsiTheme="majorBidi" w:cstheme="majorBidi"/>
          <w:lang w:val="en-GB"/>
        </w:rPr>
        <w:t xml:space="preserve">, noting that </w:t>
      </w:r>
      <w:r w:rsidR="00F72014">
        <w:rPr>
          <w:rFonts w:asciiTheme="majorBidi" w:hAnsiTheme="majorBidi" w:cstheme="majorBidi"/>
          <w:lang w:val="en-GB"/>
        </w:rPr>
        <w:t xml:space="preserve">the prosecutor was trying to politicize the incident </w:t>
      </w:r>
      <w:r w:rsidR="004F0CDC">
        <w:rPr>
          <w:rFonts w:asciiTheme="majorBidi" w:hAnsiTheme="majorBidi" w:cstheme="majorBidi"/>
          <w:lang w:val="en-GB"/>
        </w:rPr>
        <w:t xml:space="preserve">with reference to </w:t>
      </w:r>
      <w:r w:rsidR="00403E90">
        <w:rPr>
          <w:rFonts w:asciiTheme="majorBidi" w:hAnsiTheme="majorBidi" w:cstheme="majorBidi"/>
          <w:lang w:val="en-GB"/>
        </w:rPr>
        <w:t xml:space="preserve">recent </w:t>
      </w:r>
      <w:r w:rsidR="004F0CDC">
        <w:rPr>
          <w:rFonts w:asciiTheme="majorBidi" w:hAnsiTheme="majorBidi" w:cstheme="majorBidi"/>
          <w:lang w:val="en-GB"/>
        </w:rPr>
        <w:t xml:space="preserve">Balkan instability, </w:t>
      </w:r>
      <w:r w:rsidR="00F72014">
        <w:rPr>
          <w:rFonts w:asciiTheme="majorBidi" w:hAnsiTheme="majorBidi" w:cstheme="majorBidi"/>
          <w:lang w:val="en-GB"/>
        </w:rPr>
        <w:t>and that §</w:t>
      </w:r>
      <w:r w:rsidR="00D64558">
        <w:rPr>
          <w:rFonts w:asciiTheme="majorBidi" w:hAnsiTheme="majorBidi" w:cstheme="majorBidi"/>
          <w:lang w:val="en-GB"/>
        </w:rPr>
        <w:t xml:space="preserve">58c </w:t>
      </w:r>
      <w:r w:rsidR="00BD618C">
        <w:rPr>
          <w:rFonts w:asciiTheme="majorBidi" w:hAnsiTheme="majorBidi" w:cstheme="majorBidi"/>
          <w:lang w:val="en-GB"/>
        </w:rPr>
        <w:t xml:space="preserve">anyway </w:t>
      </w:r>
      <w:r w:rsidR="00D64558">
        <w:rPr>
          <w:rFonts w:asciiTheme="majorBidi" w:hAnsiTheme="majorBidi" w:cstheme="majorBidi"/>
          <w:lang w:val="en-GB"/>
        </w:rPr>
        <w:t xml:space="preserve">required </w:t>
      </w:r>
      <w:r w:rsidR="00BD618C">
        <w:rPr>
          <w:rFonts w:asciiTheme="majorBidi" w:hAnsiTheme="majorBidi" w:cstheme="majorBidi"/>
          <w:lang w:val="en-GB"/>
        </w:rPr>
        <w:t xml:space="preserve">evidence of </w:t>
      </w:r>
      <w:r w:rsidR="00F72014">
        <w:rPr>
          <w:rFonts w:asciiTheme="majorBidi" w:hAnsiTheme="majorBidi" w:cstheme="majorBidi"/>
          <w:lang w:val="en-GB"/>
        </w:rPr>
        <w:t xml:space="preserve">intended </w:t>
      </w:r>
      <w:r w:rsidR="00D64558">
        <w:rPr>
          <w:rFonts w:asciiTheme="majorBidi" w:hAnsiTheme="majorBidi" w:cstheme="majorBidi"/>
          <w:lang w:val="en-GB"/>
        </w:rPr>
        <w:t>violence</w:t>
      </w:r>
      <w:r w:rsidR="00F72014">
        <w:rPr>
          <w:rFonts w:asciiTheme="majorBidi" w:hAnsiTheme="majorBidi" w:cstheme="majorBidi"/>
          <w:lang w:val="en-GB"/>
        </w:rPr>
        <w:t xml:space="preserve"> in order</w:t>
      </w:r>
      <w:r w:rsidR="00D64558">
        <w:rPr>
          <w:rFonts w:asciiTheme="majorBidi" w:hAnsiTheme="majorBidi" w:cstheme="majorBidi"/>
          <w:lang w:val="en-GB"/>
        </w:rPr>
        <w:t xml:space="preserve"> to qualify as treason; Harambašić, aged 25, had simply displayed youthful enthusiasm rather than any treason</w:t>
      </w:r>
      <w:r w:rsidR="00BD618C">
        <w:rPr>
          <w:rFonts w:asciiTheme="majorBidi" w:hAnsiTheme="majorBidi" w:cstheme="majorBidi"/>
          <w:lang w:val="en-GB"/>
        </w:rPr>
        <w:t>able intent</w:t>
      </w:r>
      <w:r w:rsidR="00D64558">
        <w:rPr>
          <w:rFonts w:asciiTheme="majorBidi" w:hAnsiTheme="majorBidi" w:cstheme="majorBidi"/>
          <w:lang w:val="en-GB"/>
        </w:rPr>
        <w:t>.</w:t>
      </w:r>
      <w:r w:rsidR="00D64558">
        <w:rPr>
          <w:rStyle w:val="FootnoteReference"/>
          <w:rFonts w:asciiTheme="majorBidi" w:hAnsiTheme="majorBidi" w:cstheme="majorBidi"/>
          <w:lang w:val="en-GB"/>
        </w:rPr>
        <w:footnoteReference w:id="60"/>
      </w:r>
      <w:r w:rsidR="00D64558">
        <w:rPr>
          <w:rFonts w:asciiTheme="majorBidi" w:hAnsiTheme="majorBidi" w:cstheme="majorBidi"/>
          <w:lang w:val="en-GB"/>
        </w:rPr>
        <w:t xml:space="preserve"> </w:t>
      </w:r>
      <w:r w:rsidR="00A0465D">
        <w:rPr>
          <w:rFonts w:asciiTheme="majorBidi" w:hAnsiTheme="majorBidi" w:cstheme="majorBidi"/>
          <w:lang w:val="en-GB"/>
        </w:rPr>
        <w:t xml:space="preserve">In the end </w:t>
      </w:r>
      <w:r w:rsidR="00D64558">
        <w:rPr>
          <w:rFonts w:asciiTheme="majorBidi" w:hAnsiTheme="majorBidi" w:cstheme="majorBidi"/>
          <w:lang w:val="en-GB"/>
        </w:rPr>
        <w:t xml:space="preserve">the judges </w:t>
      </w:r>
      <w:r w:rsidR="00554E9F">
        <w:rPr>
          <w:rFonts w:asciiTheme="majorBidi" w:hAnsiTheme="majorBidi" w:cstheme="majorBidi"/>
          <w:lang w:val="en-GB"/>
        </w:rPr>
        <w:t xml:space="preserve">- </w:t>
      </w:r>
      <w:r w:rsidR="00D64558">
        <w:rPr>
          <w:rFonts w:asciiTheme="majorBidi" w:hAnsiTheme="majorBidi" w:cstheme="majorBidi"/>
          <w:lang w:val="en-GB"/>
        </w:rPr>
        <w:t>for there was no jury</w:t>
      </w:r>
      <w:r w:rsidR="00554E9F">
        <w:rPr>
          <w:rFonts w:asciiTheme="majorBidi" w:hAnsiTheme="majorBidi" w:cstheme="majorBidi"/>
          <w:lang w:val="en-GB"/>
        </w:rPr>
        <w:t xml:space="preserve"> -</w:t>
      </w:r>
      <w:r w:rsidR="00D64558">
        <w:rPr>
          <w:rFonts w:asciiTheme="majorBidi" w:hAnsiTheme="majorBidi" w:cstheme="majorBidi"/>
          <w:lang w:val="en-GB"/>
        </w:rPr>
        <w:t xml:space="preserve"> accepted this</w:t>
      </w:r>
      <w:r w:rsidR="00403E90">
        <w:rPr>
          <w:rFonts w:asciiTheme="majorBidi" w:hAnsiTheme="majorBidi" w:cstheme="majorBidi"/>
          <w:lang w:val="en-GB"/>
        </w:rPr>
        <w:t xml:space="preserve"> reasoning</w:t>
      </w:r>
      <w:r w:rsidR="00D64558">
        <w:rPr>
          <w:rFonts w:asciiTheme="majorBidi" w:hAnsiTheme="majorBidi" w:cstheme="majorBidi"/>
          <w:lang w:val="en-GB"/>
        </w:rPr>
        <w:t xml:space="preserve">. </w:t>
      </w:r>
      <w:r w:rsidR="00554E9F">
        <w:rPr>
          <w:rFonts w:asciiTheme="majorBidi" w:hAnsiTheme="majorBidi" w:cstheme="majorBidi"/>
          <w:lang w:val="en-GB"/>
        </w:rPr>
        <w:t xml:space="preserve">After all, if anything, the treason lay in printed words rather than any clearly intended physical act. </w:t>
      </w:r>
      <w:r w:rsidR="00D64558">
        <w:rPr>
          <w:rFonts w:asciiTheme="majorBidi" w:hAnsiTheme="majorBidi" w:cstheme="majorBidi"/>
          <w:lang w:val="en-GB"/>
        </w:rPr>
        <w:lastRenderedPageBreak/>
        <w:t xml:space="preserve">Harambašić </w:t>
      </w:r>
      <w:r w:rsidR="00A0465D">
        <w:rPr>
          <w:rFonts w:asciiTheme="majorBidi" w:hAnsiTheme="majorBidi" w:cstheme="majorBidi"/>
          <w:lang w:val="en-GB"/>
        </w:rPr>
        <w:t xml:space="preserve">was </w:t>
      </w:r>
      <w:r w:rsidR="00554E9F">
        <w:rPr>
          <w:rFonts w:asciiTheme="majorBidi" w:hAnsiTheme="majorBidi" w:cstheme="majorBidi"/>
          <w:lang w:val="en-GB"/>
        </w:rPr>
        <w:t xml:space="preserve">therefore </w:t>
      </w:r>
      <w:r w:rsidR="00A0465D">
        <w:rPr>
          <w:rFonts w:asciiTheme="majorBidi" w:hAnsiTheme="majorBidi" w:cstheme="majorBidi"/>
          <w:lang w:val="en-GB"/>
        </w:rPr>
        <w:t>found guilty of disturbing public order rather than treason; hi</w:t>
      </w:r>
      <w:r w:rsidR="0048588E">
        <w:rPr>
          <w:rFonts w:asciiTheme="majorBidi" w:hAnsiTheme="majorBidi" w:cstheme="majorBidi"/>
          <w:lang w:val="en-GB"/>
        </w:rPr>
        <w:t xml:space="preserve">s </w:t>
      </w:r>
      <w:r>
        <w:rPr>
          <w:rFonts w:asciiTheme="majorBidi" w:hAnsiTheme="majorBidi" w:cstheme="majorBidi"/>
          <w:lang w:val="en-GB"/>
        </w:rPr>
        <w:t xml:space="preserve">sentence was </w:t>
      </w:r>
      <w:r w:rsidR="00C04744">
        <w:rPr>
          <w:rFonts w:asciiTheme="majorBidi" w:hAnsiTheme="majorBidi" w:cstheme="majorBidi"/>
          <w:lang w:val="en-GB"/>
        </w:rPr>
        <w:t>fifteen</w:t>
      </w:r>
      <w:r>
        <w:rPr>
          <w:rFonts w:asciiTheme="majorBidi" w:hAnsiTheme="majorBidi" w:cstheme="majorBidi"/>
          <w:lang w:val="en-GB"/>
        </w:rPr>
        <w:t xml:space="preserve"> months with hard labour</w:t>
      </w:r>
      <w:r w:rsidR="00A0465D">
        <w:rPr>
          <w:rFonts w:asciiTheme="majorBidi" w:hAnsiTheme="majorBidi" w:cstheme="majorBidi"/>
          <w:lang w:val="en-GB"/>
        </w:rPr>
        <w:t>, but he was released after six months</w:t>
      </w:r>
      <w:r>
        <w:rPr>
          <w:rFonts w:asciiTheme="majorBidi" w:hAnsiTheme="majorBidi" w:cstheme="majorBidi"/>
          <w:lang w:val="en-GB"/>
        </w:rPr>
        <w:t>.</w:t>
      </w:r>
      <w:r>
        <w:rPr>
          <w:rStyle w:val="FootnoteReference"/>
          <w:rFonts w:asciiTheme="majorBidi" w:hAnsiTheme="majorBidi" w:cstheme="majorBidi"/>
          <w:lang w:val="en-GB"/>
        </w:rPr>
        <w:footnoteReference w:id="61"/>
      </w:r>
      <w:r>
        <w:rPr>
          <w:rFonts w:asciiTheme="majorBidi" w:hAnsiTheme="majorBidi" w:cstheme="majorBidi"/>
          <w:lang w:val="en-GB"/>
        </w:rPr>
        <w:t xml:space="preserve"> </w:t>
      </w:r>
    </w:p>
    <w:p w:rsidR="006E4050" w:rsidRDefault="0048588E" w:rsidP="0022343B">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In both </w:t>
      </w:r>
      <w:r w:rsidR="006E4050">
        <w:rPr>
          <w:rFonts w:asciiTheme="majorBidi" w:hAnsiTheme="majorBidi" w:cstheme="majorBidi"/>
          <w:lang w:val="en-GB"/>
        </w:rPr>
        <w:t xml:space="preserve">these cases </w:t>
      </w:r>
      <w:r w:rsidR="00342575">
        <w:rPr>
          <w:rFonts w:asciiTheme="majorBidi" w:hAnsiTheme="majorBidi" w:cstheme="majorBidi"/>
          <w:lang w:val="en-GB"/>
        </w:rPr>
        <w:t xml:space="preserve">Austria’s §58c was invoked, for the Austrian penal code ran in Croatia as well as </w:t>
      </w:r>
      <w:r w:rsidR="005730B3">
        <w:rPr>
          <w:rFonts w:asciiTheme="majorBidi" w:hAnsiTheme="majorBidi" w:cstheme="majorBidi"/>
          <w:lang w:val="en-GB"/>
        </w:rPr>
        <w:t xml:space="preserve">in </w:t>
      </w:r>
      <w:r w:rsidR="00342575">
        <w:rPr>
          <w:rFonts w:asciiTheme="majorBidi" w:hAnsiTheme="majorBidi" w:cstheme="majorBidi"/>
          <w:lang w:val="en-GB"/>
        </w:rPr>
        <w:t>the Austrian half of the Monarchy</w:t>
      </w:r>
      <w:r w:rsidR="006D2CB7">
        <w:rPr>
          <w:rFonts w:asciiTheme="majorBidi" w:hAnsiTheme="majorBidi" w:cstheme="majorBidi"/>
          <w:lang w:val="en-GB"/>
        </w:rPr>
        <w:t xml:space="preserve"> (</w:t>
      </w:r>
      <w:r w:rsidR="00925451">
        <w:rPr>
          <w:rFonts w:asciiTheme="majorBidi" w:hAnsiTheme="majorBidi" w:cstheme="majorBidi"/>
          <w:lang w:val="en-GB"/>
        </w:rPr>
        <w:t>even</w:t>
      </w:r>
      <w:r w:rsidR="006D2CB7">
        <w:rPr>
          <w:rFonts w:asciiTheme="majorBidi" w:hAnsiTheme="majorBidi" w:cstheme="majorBidi"/>
          <w:lang w:val="en-GB"/>
        </w:rPr>
        <w:t xml:space="preserve"> though Croatia was officially part of Hungar</w:t>
      </w:r>
      <w:r w:rsidR="005730B3">
        <w:rPr>
          <w:rFonts w:asciiTheme="majorBidi" w:hAnsiTheme="majorBidi" w:cstheme="majorBidi"/>
          <w:lang w:val="en-GB"/>
        </w:rPr>
        <w:t>y</w:t>
      </w:r>
      <w:r w:rsidR="00554E9F">
        <w:rPr>
          <w:rFonts w:asciiTheme="majorBidi" w:hAnsiTheme="majorBidi" w:cstheme="majorBidi"/>
          <w:lang w:val="en-GB"/>
        </w:rPr>
        <w:t>,</w:t>
      </w:r>
      <w:r w:rsidR="005304E9">
        <w:rPr>
          <w:rFonts w:asciiTheme="majorBidi" w:hAnsiTheme="majorBidi" w:cstheme="majorBidi"/>
          <w:lang w:val="en-GB"/>
        </w:rPr>
        <w:t xml:space="preserve"> the Austrian criminal code there was never replaced</w:t>
      </w:r>
      <w:r w:rsidR="006D2CB7">
        <w:rPr>
          <w:rFonts w:asciiTheme="majorBidi" w:hAnsiTheme="majorBidi" w:cstheme="majorBidi"/>
          <w:lang w:val="en-GB"/>
        </w:rPr>
        <w:t>)</w:t>
      </w:r>
      <w:r w:rsidR="00342575">
        <w:rPr>
          <w:rFonts w:asciiTheme="majorBidi" w:hAnsiTheme="majorBidi" w:cstheme="majorBidi"/>
          <w:lang w:val="en-GB"/>
        </w:rPr>
        <w:t>. A</w:t>
      </w:r>
      <w:r w:rsidR="006E4050">
        <w:rPr>
          <w:rFonts w:asciiTheme="majorBidi" w:hAnsiTheme="majorBidi" w:cstheme="majorBidi"/>
          <w:lang w:val="en-GB"/>
        </w:rPr>
        <w:t xml:space="preserve"> twisted construction of </w:t>
      </w:r>
      <w:r w:rsidR="00342575">
        <w:rPr>
          <w:rFonts w:asciiTheme="majorBidi" w:hAnsiTheme="majorBidi" w:cstheme="majorBidi"/>
          <w:lang w:val="en-GB"/>
        </w:rPr>
        <w:t>th</w:t>
      </w:r>
      <w:r w:rsidR="006D2CB7">
        <w:rPr>
          <w:rFonts w:asciiTheme="majorBidi" w:hAnsiTheme="majorBidi" w:cstheme="majorBidi"/>
          <w:lang w:val="en-GB"/>
        </w:rPr>
        <w:t>e</w:t>
      </w:r>
      <w:r w:rsidR="00342575">
        <w:rPr>
          <w:rFonts w:asciiTheme="majorBidi" w:hAnsiTheme="majorBidi" w:cstheme="majorBidi"/>
          <w:lang w:val="en-GB"/>
        </w:rPr>
        <w:t xml:space="preserve"> </w:t>
      </w:r>
      <w:r w:rsidR="005730B3">
        <w:rPr>
          <w:rFonts w:asciiTheme="majorBidi" w:hAnsiTheme="majorBidi" w:cstheme="majorBidi"/>
          <w:lang w:val="en-GB"/>
        </w:rPr>
        <w:t xml:space="preserve">treason </w:t>
      </w:r>
      <w:r w:rsidR="00342575">
        <w:rPr>
          <w:rFonts w:asciiTheme="majorBidi" w:hAnsiTheme="majorBidi" w:cstheme="majorBidi"/>
          <w:lang w:val="en-GB"/>
        </w:rPr>
        <w:t xml:space="preserve">paragraph </w:t>
      </w:r>
      <w:r>
        <w:rPr>
          <w:rFonts w:asciiTheme="majorBidi" w:hAnsiTheme="majorBidi" w:cstheme="majorBidi"/>
          <w:lang w:val="en-GB"/>
        </w:rPr>
        <w:t xml:space="preserve">was </w:t>
      </w:r>
      <w:r w:rsidR="00342575">
        <w:rPr>
          <w:rFonts w:asciiTheme="majorBidi" w:hAnsiTheme="majorBidi" w:cstheme="majorBidi"/>
          <w:lang w:val="en-GB"/>
        </w:rPr>
        <w:t xml:space="preserve">necessary in order </w:t>
      </w:r>
      <w:r>
        <w:rPr>
          <w:rFonts w:asciiTheme="majorBidi" w:hAnsiTheme="majorBidi" w:cstheme="majorBidi"/>
          <w:lang w:val="en-GB"/>
        </w:rPr>
        <w:t>to suggest that the defendants</w:t>
      </w:r>
      <w:r w:rsidR="005730B3">
        <w:rPr>
          <w:rFonts w:asciiTheme="majorBidi" w:hAnsiTheme="majorBidi" w:cstheme="majorBidi"/>
          <w:lang w:val="en-GB"/>
        </w:rPr>
        <w:t xml:space="preserve">’ </w:t>
      </w:r>
      <w:r w:rsidR="00554E9F">
        <w:rPr>
          <w:rFonts w:asciiTheme="majorBidi" w:hAnsiTheme="majorBidi" w:cstheme="majorBidi"/>
          <w:lang w:val="en-GB"/>
        </w:rPr>
        <w:t>end-</w:t>
      </w:r>
      <w:r w:rsidR="005730B3">
        <w:rPr>
          <w:rFonts w:asciiTheme="majorBidi" w:hAnsiTheme="majorBidi" w:cstheme="majorBidi"/>
          <w:lang w:val="en-GB"/>
        </w:rPr>
        <w:t>goal was to</w:t>
      </w:r>
      <w:r>
        <w:rPr>
          <w:rFonts w:asciiTheme="majorBidi" w:hAnsiTheme="majorBidi" w:cstheme="majorBidi"/>
          <w:lang w:val="en-GB"/>
        </w:rPr>
        <w:t xml:space="preserve"> break off their national territory</w:t>
      </w:r>
      <w:r w:rsidR="005730B3">
        <w:rPr>
          <w:rFonts w:asciiTheme="majorBidi" w:hAnsiTheme="majorBidi" w:cstheme="majorBidi"/>
          <w:lang w:val="en-GB"/>
        </w:rPr>
        <w:t xml:space="preserve"> from the empire</w:t>
      </w:r>
      <w:r w:rsidR="006D2CB7">
        <w:rPr>
          <w:rFonts w:asciiTheme="majorBidi" w:hAnsiTheme="majorBidi" w:cstheme="majorBidi"/>
          <w:lang w:val="en-GB"/>
        </w:rPr>
        <w:t>.</w:t>
      </w:r>
      <w:r w:rsidR="00342575">
        <w:rPr>
          <w:rFonts w:asciiTheme="majorBidi" w:hAnsiTheme="majorBidi" w:cstheme="majorBidi"/>
          <w:lang w:val="en-GB"/>
        </w:rPr>
        <w:t xml:space="preserve"> </w:t>
      </w:r>
      <w:r w:rsidR="00E937D6">
        <w:rPr>
          <w:rFonts w:asciiTheme="majorBidi" w:hAnsiTheme="majorBidi" w:cstheme="majorBidi"/>
          <w:lang w:val="en-GB"/>
        </w:rPr>
        <w:t>It is clear that</w:t>
      </w:r>
      <w:r w:rsidR="00342575">
        <w:rPr>
          <w:rFonts w:asciiTheme="majorBidi" w:hAnsiTheme="majorBidi" w:cstheme="majorBidi"/>
          <w:lang w:val="en-GB"/>
        </w:rPr>
        <w:t xml:space="preserve"> </w:t>
      </w:r>
      <w:r w:rsidR="005730B3">
        <w:rPr>
          <w:rFonts w:asciiTheme="majorBidi" w:hAnsiTheme="majorBidi" w:cstheme="majorBidi"/>
          <w:lang w:val="en-GB"/>
        </w:rPr>
        <w:t xml:space="preserve">in the 1880s the </w:t>
      </w:r>
      <w:r w:rsidR="00342575">
        <w:rPr>
          <w:rFonts w:asciiTheme="majorBidi" w:hAnsiTheme="majorBidi" w:cstheme="majorBidi"/>
          <w:lang w:val="en-GB"/>
        </w:rPr>
        <w:t xml:space="preserve">regional </w:t>
      </w:r>
      <w:r w:rsidR="00E316A3">
        <w:rPr>
          <w:rFonts w:asciiTheme="majorBidi" w:hAnsiTheme="majorBidi" w:cstheme="majorBidi"/>
          <w:lang w:val="en-GB"/>
        </w:rPr>
        <w:t xml:space="preserve">authorities were </w:t>
      </w:r>
      <w:r w:rsidR="00342575">
        <w:rPr>
          <w:rFonts w:asciiTheme="majorBidi" w:hAnsiTheme="majorBidi" w:cstheme="majorBidi"/>
          <w:lang w:val="en-GB"/>
        </w:rPr>
        <w:t xml:space="preserve">as much exercised by </w:t>
      </w:r>
      <w:r w:rsidR="00E316A3">
        <w:rPr>
          <w:rFonts w:asciiTheme="majorBidi" w:hAnsiTheme="majorBidi" w:cstheme="majorBidi"/>
          <w:lang w:val="en-GB"/>
        </w:rPr>
        <w:t>Pan-Slav activists</w:t>
      </w:r>
      <w:r w:rsidR="00342575">
        <w:rPr>
          <w:rFonts w:asciiTheme="majorBidi" w:hAnsiTheme="majorBidi" w:cstheme="majorBidi"/>
          <w:lang w:val="en-GB"/>
        </w:rPr>
        <w:t xml:space="preserve">, </w:t>
      </w:r>
      <w:r w:rsidR="005730B3">
        <w:rPr>
          <w:rFonts w:asciiTheme="majorBidi" w:hAnsiTheme="majorBidi" w:cstheme="majorBidi"/>
          <w:lang w:val="en-GB"/>
        </w:rPr>
        <w:t xml:space="preserve">working </w:t>
      </w:r>
      <w:r w:rsidR="00342575">
        <w:rPr>
          <w:rFonts w:asciiTheme="majorBidi" w:hAnsiTheme="majorBidi" w:cstheme="majorBidi"/>
          <w:lang w:val="en-GB"/>
        </w:rPr>
        <w:t xml:space="preserve">supposedly in </w:t>
      </w:r>
      <w:r w:rsidR="005730B3">
        <w:rPr>
          <w:rFonts w:asciiTheme="majorBidi" w:hAnsiTheme="majorBidi" w:cstheme="majorBidi"/>
          <w:lang w:val="en-GB"/>
        </w:rPr>
        <w:t>cahoots</w:t>
      </w:r>
      <w:r w:rsidR="00342575">
        <w:rPr>
          <w:rFonts w:asciiTheme="majorBidi" w:hAnsiTheme="majorBidi" w:cstheme="majorBidi"/>
          <w:lang w:val="en-GB"/>
        </w:rPr>
        <w:t xml:space="preserve"> </w:t>
      </w:r>
      <w:r w:rsidR="00E316A3">
        <w:rPr>
          <w:rFonts w:asciiTheme="majorBidi" w:hAnsiTheme="majorBidi" w:cstheme="majorBidi"/>
          <w:lang w:val="en-GB"/>
        </w:rPr>
        <w:t xml:space="preserve">with foreign </w:t>
      </w:r>
      <w:r w:rsidR="00342575">
        <w:rPr>
          <w:rFonts w:asciiTheme="majorBidi" w:hAnsiTheme="majorBidi" w:cstheme="majorBidi"/>
          <w:lang w:val="en-GB"/>
        </w:rPr>
        <w:t xml:space="preserve">Slav </w:t>
      </w:r>
      <w:r w:rsidR="00E316A3">
        <w:rPr>
          <w:rFonts w:asciiTheme="majorBidi" w:hAnsiTheme="majorBidi" w:cstheme="majorBidi"/>
          <w:lang w:val="en-GB"/>
        </w:rPr>
        <w:t>states</w:t>
      </w:r>
      <w:r w:rsidR="00342575">
        <w:rPr>
          <w:rFonts w:asciiTheme="majorBidi" w:hAnsiTheme="majorBidi" w:cstheme="majorBidi"/>
          <w:lang w:val="en-GB"/>
        </w:rPr>
        <w:t xml:space="preserve"> like Russia and Serbia, as with the more immediate threat of anarchism</w:t>
      </w:r>
      <w:r w:rsidR="00E316A3">
        <w:rPr>
          <w:rFonts w:asciiTheme="majorBidi" w:hAnsiTheme="majorBidi" w:cstheme="majorBidi"/>
          <w:lang w:val="en-GB"/>
        </w:rPr>
        <w:t>.</w:t>
      </w:r>
      <w:r w:rsidR="006D2CB7">
        <w:rPr>
          <w:rFonts w:asciiTheme="majorBidi" w:hAnsiTheme="majorBidi" w:cstheme="majorBidi"/>
          <w:lang w:val="en-GB"/>
        </w:rPr>
        <w:t xml:space="preserve"> They reached rashly for the treason paragraph,</w:t>
      </w:r>
      <w:r w:rsidR="005730B3">
        <w:rPr>
          <w:rFonts w:asciiTheme="majorBidi" w:hAnsiTheme="majorBidi" w:cstheme="majorBidi"/>
          <w:lang w:val="en-GB"/>
        </w:rPr>
        <w:t xml:space="preserve"> thereby</w:t>
      </w:r>
      <w:r w:rsidR="006D2CB7">
        <w:rPr>
          <w:rFonts w:asciiTheme="majorBidi" w:hAnsiTheme="majorBidi" w:cstheme="majorBidi"/>
          <w:lang w:val="en-GB"/>
        </w:rPr>
        <w:t xml:space="preserve"> suggesting </w:t>
      </w:r>
      <w:r w:rsidR="007A1B61">
        <w:rPr>
          <w:rFonts w:asciiTheme="majorBidi" w:hAnsiTheme="majorBidi" w:cstheme="majorBidi"/>
          <w:lang w:val="en-GB"/>
        </w:rPr>
        <w:t>anxiety</w:t>
      </w:r>
      <w:r w:rsidR="006D2CB7">
        <w:rPr>
          <w:rFonts w:asciiTheme="majorBidi" w:hAnsiTheme="majorBidi" w:cstheme="majorBidi"/>
          <w:lang w:val="en-GB"/>
        </w:rPr>
        <w:t xml:space="preserve"> about </w:t>
      </w:r>
      <w:r w:rsidR="00E937D6">
        <w:rPr>
          <w:rFonts w:asciiTheme="majorBidi" w:hAnsiTheme="majorBidi" w:cstheme="majorBidi"/>
          <w:lang w:val="en-GB"/>
        </w:rPr>
        <w:t>social</w:t>
      </w:r>
      <w:r w:rsidR="006D2CB7">
        <w:rPr>
          <w:rFonts w:asciiTheme="majorBidi" w:hAnsiTheme="majorBidi" w:cstheme="majorBidi"/>
          <w:lang w:val="en-GB"/>
        </w:rPr>
        <w:t xml:space="preserve"> stability in their region</w:t>
      </w:r>
      <w:r w:rsidR="005730B3">
        <w:rPr>
          <w:rFonts w:asciiTheme="majorBidi" w:hAnsiTheme="majorBidi" w:cstheme="majorBidi"/>
          <w:lang w:val="en-GB"/>
        </w:rPr>
        <w:t xml:space="preserve">. There was </w:t>
      </w:r>
      <w:r w:rsidR="007A1B61">
        <w:rPr>
          <w:rFonts w:asciiTheme="majorBidi" w:hAnsiTheme="majorBidi" w:cstheme="majorBidi"/>
          <w:lang w:val="en-GB"/>
        </w:rPr>
        <w:t xml:space="preserve">also </w:t>
      </w:r>
      <w:r w:rsidR="005730B3">
        <w:rPr>
          <w:rFonts w:asciiTheme="majorBidi" w:hAnsiTheme="majorBidi" w:cstheme="majorBidi"/>
          <w:lang w:val="en-GB"/>
        </w:rPr>
        <w:t xml:space="preserve">clear evidence of political interference, but often the </w:t>
      </w:r>
      <w:r w:rsidR="006D2CB7">
        <w:rPr>
          <w:rFonts w:asciiTheme="majorBidi" w:hAnsiTheme="majorBidi" w:cstheme="majorBidi"/>
          <w:lang w:val="en-GB"/>
        </w:rPr>
        <w:t xml:space="preserve">charge of treason </w:t>
      </w:r>
      <w:r w:rsidR="00E937D6">
        <w:rPr>
          <w:rFonts w:asciiTheme="majorBidi" w:hAnsiTheme="majorBidi" w:cstheme="majorBidi"/>
          <w:lang w:val="en-GB"/>
        </w:rPr>
        <w:t>could not be proved and</w:t>
      </w:r>
      <w:r w:rsidR="005730B3">
        <w:rPr>
          <w:rFonts w:asciiTheme="majorBidi" w:hAnsiTheme="majorBidi" w:cstheme="majorBidi"/>
          <w:lang w:val="en-GB"/>
        </w:rPr>
        <w:t xml:space="preserve"> the conviction was downgraded to a lesser crime</w:t>
      </w:r>
      <w:r w:rsidR="006D2CB7">
        <w:rPr>
          <w:rFonts w:asciiTheme="majorBidi" w:hAnsiTheme="majorBidi" w:cstheme="majorBidi"/>
          <w:lang w:val="en-GB"/>
        </w:rPr>
        <w:t>.</w:t>
      </w:r>
    </w:p>
    <w:p w:rsidR="006E4050" w:rsidRDefault="006E4050"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I want to focus </w:t>
      </w:r>
      <w:r w:rsidR="002E75D5">
        <w:rPr>
          <w:rFonts w:asciiTheme="majorBidi" w:hAnsiTheme="majorBidi" w:cstheme="majorBidi"/>
          <w:lang w:val="en-GB"/>
        </w:rPr>
        <w:t>finally</w:t>
      </w:r>
      <w:r>
        <w:rPr>
          <w:rFonts w:asciiTheme="majorBidi" w:hAnsiTheme="majorBidi" w:cstheme="majorBidi"/>
          <w:lang w:val="en-GB"/>
        </w:rPr>
        <w:t xml:space="preserve"> on one </w:t>
      </w:r>
      <w:r w:rsidR="00EF1D4F">
        <w:rPr>
          <w:rFonts w:asciiTheme="majorBidi" w:hAnsiTheme="majorBidi" w:cstheme="majorBidi"/>
          <w:lang w:val="en-GB"/>
        </w:rPr>
        <w:t xml:space="preserve">case which reveals </w:t>
      </w:r>
      <w:r w:rsidR="000A35F7">
        <w:rPr>
          <w:rFonts w:asciiTheme="majorBidi" w:hAnsiTheme="majorBidi" w:cstheme="majorBidi"/>
          <w:lang w:val="en-GB"/>
        </w:rPr>
        <w:t xml:space="preserve">more about </w:t>
      </w:r>
      <w:r w:rsidR="00EF1D4F">
        <w:rPr>
          <w:rFonts w:asciiTheme="majorBidi" w:hAnsiTheme="majorBidi" w:cstheme="majorBidi"/>
          <w:lang w:val="en-GB"/>
        </w:rPr>
        <w:t xml:space="preserve">the triggers behind </w:t>
      </w:r>
      <w:r w:rsidR="00006D1E">
        <w:rPr>
          <w:rFonts w:asciiTheme="majorBidi" w:hAnsiTheme="majorBidi" w:cstheme="majorBidi"/>
          <w:lang w:val="en-GB"/>
        </w:rPr>
        <w:t xml:space="preserve">prosecutions for </w:t>
      </w:r>
      <w:r w:rsidR="000B253F">
        <w:rPr>
          <w:rFonts w:asciiTheme="majorBidi" w:hAnsiTheme="majorBidi" w:cstheme="majorBidi"/>
          <w:lang w:val="en-GB"/>
        </w:rPr>
        <w:t>‘</w:t>
      </w:r>
      <w:r w:rsidR="00006D1E">
        <w:rPr>
          <w:rFonts w:asciiTheme="majorBidi" w:hAnsiTheme="majorBidi" w:cstheme="majorBidi"/>
          <w:lang w:val="en-GB"/>
        </w:rPr>
        <w:t>irredentist</w:t>
      </w:r>
      <w:r w:rsidR="000B253F">
        <w:rPr>
          <w:rFonts w:asciiTheme="majorBidi" w:hAnsiTheme="majorBidi" w:cstheme="majorBidi"/>
          <w:lang w:val="en-GB"/>
        </w:rPr>
        <w:t xml:space="preserve"> </w:t>
      </w:r>
      <w:r w:rsidR="00EF1D4F">
        <w:rPr>
          <w:rFonts w:asciiTheme="majorBidi" w:hAnsiTheme="majorBidi" w:cstheme="majorBidi"/>
          <w:lang w:val="en-GB"/>
        </w:rPr>
        <w:t>treason</w:t>
      </w:r>
      <w:r w:rsidR="00006D1E">
        <w:rPr>
          <w:rFonts w:asciiTheme="majorBidi" w:hAnsiTheme="majorBidi" w:cstheme="majorBidi"/>
          <w:lang w:val="en-GB"/>
        </w:rPr>
        <w:t>’</w:t>
      </w:r>
      <w:r w:rsidR="00EF1D4F">
        <w:rPr>
          <w:rFonts w:asciiTheme="majorBidi" w:hAnsiTheme="majorBidi" w:cstheme="majorBidi"/>
          <w:lang w:val="en-GB"/>
        </w:rPr>
        <w:t>. It also alerts us to extra peculiarities about the Hungarian half of the empire</w:t>
      </w:r>
      <w:r w:rsidR="00006D1E">
        <w:rPr>
          <w:rFonts w:asciiTheme="majorBidi" w:hAnsiTheme="majorBidi" w:cstheme="majorBidi"/>
          <w:lang w:val="en-GB"/>
        </w:rPr>
        <w:t xml:space="preserve"> where treason law only became </w:t>
      </w:r>
      <w:r w:rsidR="00B72B6B">
        <w:rPr>
          <w:rFonts w:asciiTheme="majorBidi" w:hAnsiTheme="majorBidi" w:cstheme="majorBidi"/>
          <w:lang w:val="en-GB"/>
        </w:rPr>
        <w:t>more defined</w:t>
      </w:r>
      <w:r w:rsidR="00006D1E">
        <w:rPr>
          <w:rFonts w:asciiTheme="majorBidi" w:hAnsiTheme="majorBidi" w:cstheme="majorBidi"/>
          <w:lang w:val="en-GB"/>
        </w:rPr>
        <w:t xml:space="preserve"> w</w:t>
      </w:r>
      <w:r w:rsidR="00925451">
        <w:rPr>
          <w:rFonts w:asciiTheme="majorBidi" w:hAnsiTheme="majorBidi" w:cstheme="majorBidi"/>
          <w:lang w:val="en-GB"/>
        </w:rPr>
        <w:t>hen a</w:t>
      </w:r>
      <w:r w:rsidR="00006D1E">
        <w:rPr>
          <w:rFonts w:asciiTheme="majorBidi" w:hAnsiTheme="majorBidi" w:cstheme="majorBidi"/>
          <w:lang w:val="en-GB"/>
        </w:rPr>
        <w:t xml:space="preserve"> new criminal code </w:t>
      </w:r>
      <w:r w:rsidR="00925451">
        <w:rPr>
          <w:rFonts w:asciiTheme="majorBidi" w:hAnsiTheme="majorBidi" w:cstheme="majorBidi"/>
          <w:lang w:val="en-GB"/>
        </w:rPr>
        <w:t xml:space="preserve">was introduced in </w:t>
      </w:r>
      <w:r w:rsidR="00006D1E">
        <w:rPr>
          <w:rFonts w:asciiTheme="majorBidi" w:hAnsiTheme="majorBidi" w:cstheme="majorBidi"/>
          <w:lang w:val="en-GB"/>
        </w:rPr>
        <w:t>1878</w:t>
      </w:r>
      <w:r w:rsidR="00EF1D4F">
        <w:rPr>
          <w:rFonts w:asciiTheme="majorBidi" w:hAnsiTheme="majorBidi" w:cstheme="majorBidi"/>
          <w:lang w:val="en-GB"/>
        </w:rPr>
        <w:t xml:space="preserve">. </w:t>
      </w:r>
      <w:r>
        <w:rPr>
          <w:rFonts w:asciiTheme="majorBidi" w:hAnsiTheme="majorBidi" w:cstheme="majorBidi"/>
          <w:lang w:val="en-GB"/>
        </w:rPr>
        <w:t>Svetozar Miletić</w:t>
      </w:r>
      <w:r w:rsidR="00EF1D4F">
        <w:rPr>
          <w:rFonts w:asciiTheme="majorBidi" w:hAnsiTheme="majorBidi" w:cstheme="majorBidi"/>
          <w:lang w:val="en-GB"/>
        </w:rPr>
        <w:t xml:space="preserve"> </w:t>
      </w:r>
      <w:r>
        <w:rPr>
          <w:rFonts w:asciiTheme="majorBidi" w:hAnsiTheme="majorBidi" w:cstheme="majorBidi"/>
          <w:lang w:val="en-GB"/>
        </w:rPr>
        <w:t xml:space="preserve">in the 1870s was </w:t>
      </w:r>
      <w:r w:rsidR="00342575">
        <w:rPr>
          <w:rFonts w:asciiTheme="majorBidi" w:hAnsiTheme="majorBidi" w:cstheme="majorBidi"/>
          <w:lang w:val="en-GB"/>
        </w:rPr>
        <w:t xml:space="preserve">the </w:t>
      </w:r>
      <w:r>
        <w:rPr>
          <w:rFonts w:asciiTheme="majorBidi" w:hAnsiTheme="majorBidi" w:cstheme="majorBidi"/>
          <w:lang w:val="en-GB"/>
        </w:rPr>
        <w:t xml:space="preserve">leader of the Serbs of southern Hungary (the Vojvodina). </w:t>
      </w:r>
      <w:r w:rsidR="00EF1D4F">
        <w:rPr>
          <w:rFonts w:asciiTheme="majorBidi" w:hAnsiTheme="majorBidi" w:cstheme="majorBidi"/>
          <w:lang w:val="en-GB"/>
        </w:rPr>
        <w:t xml:space="preserve">In 1876, </w:t>
      </w:r>
      <w:r>
        <w:rPr>
          <w:rFonts w:asciiTheme="majorBidi" w:hAnsiTheme="majorBidi" w:cstheme="majorBidi"/>
          <w:lang w:val="en-GB"/>
        </w:rPr>
        <w:t>aged 50</w:t>
      </w:r>
      <w:r w:rsidR="00EF1D4F">
        <w:rPr>
          <w:rFonts w:asciiTheme="majorBidi" w:hAnsiTheme="majorBidi" w:cstheme="majorBidi"/>
          <w:lang w:val="en-GB"/>
        </w:rPr>
        <w:t>, he was</w:t>
      </w:r>
      <w:r>
        <w:rPr>
          <w:rFonts w:asciiTheme="majorBidi" w:hAnsiTheme="majorBidi" w:cstheme="majorBidi"/>
          <w:lang w:val="en-GB"/>
        </w:rPr>
        <w:t xml:space="preserve"> a charismatic veteran of the revolution of 1848 when he had </w:t>
      </w:r>
      <w:r w:rsidR="009C553D">
        <w:rPr>
          <w:rFonts w:asciiTheme="majorBidi" w:hAnsiTheme="majorBidi" w:cstheme="majorBidi"/>
          <w:lang w:val="en-GB"/>
        </w:rPr>
        <w:t>come to prominence in agitating for</w:t>
      </w:r>
      <w:r>
        <w:rPr>
          <w:rFonts w:asciiTheme="majorBidi" w:hAnsiTheme="majorBidi" w:cstheme="majorBidi"/>
          <w:lang w:val="en-GB"/>
        </w:rPr>
        <w:t xml:space="preserve"> </w:t>
      </w:r>
      <w:r w:rsidR="00C21918">
        <w:rPr>
          <w:rFonts w:asciiTheme="majorBidi" w:hAnsiTheme="majorBidi" w:cstheme="majorBidi"/>
          <w:lang w:val="en-GB"/>
        </w:rPr>
        <w:t xml:space="preserve">a large </w:t>
      </w:r>
      <w:r>
        <w:rPr>
          <w:rFonts w:asciiTheme="majorBidi" w:hAnsiTheme="majorBidi" w:cstheme="majorBidi"/>
          <w:lang w:val="en-GB"/>
        </w:rPr>
        <w:t>Serb autonom</w:t>
      </w:r>
      <w:r w:rsidR="00C21918">
        <w:rPr>
          <w:rFonts w:asciiTheme="majorBidi" w:hAnsiTheme="majorBidi" w:cstheme="majorBidi"/>
          <w:lang w:val="en-GB"/>
        </w:rPr>
        <w:t>ous</w:t>
      </w:r>
      <w:r>
        <w:rPr>
          <w:rFonts w:asciiTheme="majorBidi" w:hAnsiTheme="majorBidi" w:cstheme="majorBidi"/>
          <w:lang w:val="en-GB"/>
        </w:rPr>
        <w:t xml:space="preserve"> </w:t>
      </w:r>
      <w:r w:rsidR="00C21918">
        <w:rPr>
          <w:rFonts w:asciiTheme="majorBidi" w:hAnsiTheme="majorBidi" w:cstheme="majorBidi"/>
          <w:lang w:val="en-GB"/>
        </w:rPr>
        <w:t>region within</w:t>
      </w:r>
      <w:r>
        <w:rPr>
          <w:rFonts w:asciiTheme="majorBidi" w:hAnsiTheme="majorBidi" w:cstheme="majorBidi"/>
          <w:lang w:val="en-GB"/>
        </w:rPr>
        <w:t xml:space="preserve"> Hungary. Thereafter, his constant goal was a Serb-controlled Vojvodina</w:t>
      </w:r>
      <w:r w:rsidR="002E75D5">
        <w:rPr>
          <w:rFonts w:asciiTheme="majorBidi" w:hAnsiTheme="majorBidi" w:cstheme="majorBidi"/>
          <w:lang w:val="en-GB"/>
        </w:rPr>
        <w:t>, b</w:t>
      </w:r>
      <w:r>
        <w:rPr>
          <w:rFonts w:asciiTheme="majorBidi" w:hAnsiTheme="majorBidi" w:cstheme="majorBidi"/>
          <w:lang w:val="en-GB"/>
        </w:rPr>
        <w:t xml:space="preserve">ut more radically he hoped that under </w:t>
      </w:r>
      <w:r w:rsidR="008503DE">
        <w:rPr>
          <w:rFonts w:asciiTheme="majorBidi" w:hAnsiTheme="majorBidi" w:cstheme="majorBidi"/>
          <w:lang w:val="en-GB"/>
        </w:rPr>
        <w:t xml:space="preserve">neighbouring </w:t>
      </w:r>
      <w:r>
        <w:rPr>
          <w:rFonts w:asciiTheme="majorBidi" w:hAnsiTheme="majorBidi" w:cstheme="majorBidi"/>
          <w:lang w:val="en-GB"/>
        </w:rPr>
        <w:t>Serbia’s auspices a united Serb nation might emerge one day in the Balkans. By 1875 that dream began to seem more realistic, for mass rebellion erupted in the Turkish province of Herzegovina, and Serbia finally seemed ready to exploit this by starting a war with the Ottoman Empire.</w:t>
      </w:r>
      <w:r w:rsidR="002E75D5">
        <w:rPr>
          <w:rStyle w:val="FootnoteReference"/>
          <w:rFonts w:asciiTheme="majorBidi" w:hAnsiTheme="majorBidi" w:cstheme="majorBidi"/>
          <w:lang w:val="en-GB"/>
        </w:rPr>
        <w:footnoteReference w:id="62"/>
      </w:r>
      <w:r>
        <w:rPr>
          <w:rFonts w:asciiTheme="majorBidi" w:hAnsiTheme="majorBidi" w:cstheme="majorBidi"/>
          <w:lang w:val="en-GB"/>
        </w:rPr>
        <w:t xml:space="preserve"> </w:t>
      </w:r>
    </w:p>
    <w:p w:rsidR="006E4050" w:rsidRDefault="006E4050"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lastRenderedPageBreak/>
        <w:t>It was in this complex environment that the Hungarian authorities began seriously to investigate Miletić’s activities, intercepting his coded letters</w:t>
      </w:r>
      <w:r w:rsidR="00554E9F">
        <w:rPr>
          <w:rFonts w:asciiTheme="majorBidi" w:hAnsiTheme="majorBidi" w:cstheme="majorBidi"/>
          <w:lang w:val="en-GB"/>
        </w:rPr>
        <w:t>,</w:t>
      </w:r>
      <w:r>
        <w:rPr>
          <w:rFonts w:asciiTheme="majorBidi" w:hAnsiTheme="majorBidi" w:cstheme="majorBidi"/>
          <w:lang w:val="en-GB"/>
        </w:rPr>
        <w:t xml:space="preserve"> and confirming </w:t>
      </w:r>
      <w:r w:rsidR="00B30160">
        <w:rPr>
          <w:rFonts w:asciiTheme="majorBidi" w:hAnsiTheme="majorBidi" w:cstheme="majorBidi"/>
          <w:lang w:val="en-GB"/>
        </w:rPr>
        <w:t>that he had a</w:t>
      </w:r>
      <w:r>
        <w:rPr>
          <w:rFonts w:asciiTheme="majorBidi" w:hAnsiTheme="majorBidi" w:cstheme="majorBidi"/>
          <w:lang w:val="en-GB"/>
        </w:rPr>
        <w:t xml:space="preserve"> network of contacts across the southern border</w:t>
      </w:r>
      <w:r w:rsidR="006B3F2F">
        <w:rPr>
          <w:rFonts w:asciiTheme="majorBidi" w:hAnsiTheme="majorBidi" w:cstheme="majorBidi"/>
          <w:lang w:val="en-GB"/>
        </w:rPr>
        <w:t xml:space="preserve"> into Serbia</w:t>
      </w:r>
      <w:r>
        <w:rPr>
          <w:rFonts w:asciiTheme="majorBidi" w:hAnsiTheme="majorBidi" w:cstheme="majorBidi"/>
          <w:lang w:val="en-GB"/>
        </w:rPr>
        <w:t xml:space="preserve">. Through his own organ, </w:t>
      </w:r>
      <w:r>
        <w:rPr>
          <w:rFonts w:asciiTheme="majorBidi" w:hAnsiTheme="majorBidi" w:cstheme="majorBidi"/>
          <w:i/>
          <w:lang w:val="en-GB"/>
        </w:rPr>
        <w:t>Zastava</w:t>
      </w:r>
      <w:r>
        <w:rPr>
          <w:rFonts w:asciiTheme="majorBidi" w:hAnsiTheme="majorBidi" w:cstheme="majorBidi"/>
          <w:lang w:val="en-GB"/>
        </w:rPr>
        <w:t xml:space="preserve"> based in Novi Sad, Miletić was </w:t>
      </w:r>
      <w:r w:rsidR="00B30160">
        <w:rPr>
          <w:rFonts w:asciiTheme="majorBidi" w:hAnsiTheme="majorBidi" w:cstheme="majorBidi"/>
          <w:lang w:val="en-GB"/>
        </w:rPr>
        <w:t>regularly</w:t>
      </w:r>
      <w:r w:rsidR="006B3F2F">
        <w:rPr>
          <w:rFonts w:asciiTheme="majorBidi" w:hAnsiTheme="majorBidi" w:cstheme="majorBidi"/>
          <w:lang w:val="en-GB"/>
        </w:rPr>
        <w:t xml:space="preserve"> </w:t>
      </w:r>
      <w:r>
        <w:rPr>
          <w:rFonts w:asciiTheme="majorBidi" w:hAnsiTheme="majorBidi" w:cstheme="majorBidi"/>
          <w:lang w:val="en-GB"/>
        </w:rPr>
        <w:t xml:space="preserve">calling for a Serbian war on Turkey and urging local Serbs to send volunteers and money to help the rebels in Herzegovina. He stigmatized any Serb who refused to do so as </w:t>
      </w:r>
      <w:r w:rsidR="006B3F2F">
        <w:rPr>
          <w:rFonts w:asciiTheme="majorBidi" w:hAnsiTheme="majorBidi" w:cstheme="majorBidi"/>
          <w:lang w:val="en-GB"/>
        </w:rPr>
        <w:t>‘</w:t>
      </w:r>
      <w:r>
        <w:rPr>
          <w:rFonts w:asciiTheme="majorBidi" w:hAnsiTheme="majorBidi" w:cstheme="majorBidi"/>
          <w:lang w:val="en-GB"/>
        </w:rPr>
        <w:t>a devil and traitor</w:t>
      </w:r>
      <w:r w:rsidR="006B3F2F">
        <w:rPr>
          <w:rFonts w:asciiTheme="majorBidi" w:hAnsiTheme="majorBidi" w:cstheme="majorBidi"/>
          <w:lang w:val="en-GB"/>
        </w:rPr>
        <w:t>’</w:t>
      </w:r>
      <w:r>
        <w:rPr>
          <w:rFonts w:asciiTheme="majorBidi" w:hAnsiTheme="majorBidi" w:cstheme="majorBidi"/>
          <w:lang w:val="en-GB"/>
        </w:rPr>
        <w:t xml:space="preserve"> to the nation.</w:t>
      </w:r>
      <w:r>
        <w:rPr>
          <w:rStyle w:val="FootnoteReference"/>
          <w:rFonts w:asciiTheme="majorBidi" w:hAnsiTheme="majorBidi" w:cstheme="majorBidi"/>
          <w:lang w:val="en-GB"/>
        </w:rPr>
        <w:footnoteReference w:id="63"/>
      </w:r>
      <w:r>
        <w:rPr>
          <w:rFonts w:asciiTheme="majorBidi" w:hAnsiTheme="majorBidi" w:cstheme="majorBidi"/>
          <w:lang w:val="en-GB"/>
        </w:rPr>
        <w:t xml:space="preserve"> </w:t>
      </w:r>
    </w:p>
    <w:p w:rsidR="006E4050" w:rsidRPr="001C44C1" w:rsidRDefault="006E4050" w:rsidP="00C25BE7">
      <w:pPr>
        <w:pStyle w:val="NormalWeb"/>
        <w:spacing w:before="0" w:beforeAutospacing="0" w:after="0" w:afterAutospacing="0" w:line="480" w:lineRule="auto"/>
        <w:ind w:firstLine="720"/>
        <w:rPr>
          <w:rFonts w:asciiTheme="majorBidi" w:hAnsiTheme="majorBidi" w:cstheme="majorBidi"/>
          <w:b/>
          <w:lang w:val="en-GB"/>
        </w:rPr>
      </w:pPr>
      <w:r w:rsidRPr="006B3F2F">
        <w:rPr>
          <w:rFonts w:asciiTheme="majorBidi" w:hAnsiTheme="majorBidi" w:cstheme="majorBidi"/>
          <w:lang w:val="en-GB"/>
        </w:rPr>
        <w:t>But was Miletić the real traitor</w:t>
      </w:r>
      <w:r>
        <w:rPr>
          <w:rFonts w:asciiTheme="majorBidi" w:hAnsiTheme="majorBidi" w:cstheme="majorBidi"/>
          <w:lang w:val="en-GB"/>
        </w:rPr>
        <w:t>?</w:t>
      </w:r>
      <w:r w:rsidR="00B72B6B">
        <w:rPr>
          <w:rFonts w:asciiTheme="majorBidi" w:hAnsiTheme="majorBidi" w:cstheme="majorBidi"/>
          <w:lang w:val="en-GB"/>
        </w:rPr>
        <w:t xml:space="preserve"> T</w:t>
      </w:r>
      <w:r>
        <w:rPr>
          <w:rFonts w:asciiTheme="majorBidi" w:hAnsiTheme="majorBidi" w:cstheme="majorBidi"/>
          <w:lang w:val="en-GB"/>
        </w:rPr>
        <w:t xml:space="preserve">he Hungarian authorities soon came to that conclusion. In late June 1876 Serbia declared war on Turkey. A few days later, the </w:t>
      </w:r>
      <w:r w:rsidR="00BD1635">
        <w:rPr>
          <w:rFonts w:asciiTheme="majorBidi" w:hAnsiTheme="majorBidi" w:cstheme="majorBidi"/>
          <w:lang w:val="en-GB"/>
        </w:rPr>
        <w:t xml:space="preserve">Hungarian state </w:t>
      </w:r>
      <w:r>
        <w:rPr>
          <w:rFonts w:asciiTheme="majorBidi" w:hAnsiTheme="majorBidi" w:cstheme="majorBidi"/>
          <w:lang w:val="en-GB"/>
        </w:rPr>
        <w:t>prosecutor presented to the government in Budapest the evidence he had collected</w:t>
      </w:r>
      <w:r w:rsidRPr="006374D5">
        <w:rPr>
          <w:rFonts w:asciiTheme="majorBidi" w:hAnsiTheme="majorBidi" w:cstheme="majorBidi"/>
          <w:lang w:val="en-GB"/>
        </w:rPr>
        <w:t xml:space="preserve"> </w:t>
      </w:r>
      <w:r>
        <w:rPr>
          <w:rFonts w:asciiTheme="majorBidi" w:hAnsiTheme="majorBidi" w:cstheme="majorBidi"/>
          <w:lang w:val="en-GB"/>
        </w:rPr>
        <w:t>so far. According to this, Miletić was chiefly responsible for the unrest among Hungary’s Serb</w:t>
      </w:r>
      <w:r w:rsidR="00893BC8">
        <w:rPr>
          <w:rFonts w:asciiTheme="majorBidi" w:hAnsiTheme="majorBidi" w:cstheme="majorBidi"/>
          <w:lang w:val="en-GB"/>
        </w:rPr>
        <w:t xml:space="preserve"> population</w:t>
      </w:r>
      <w:r>
        <w:rPr>
          <w:rFonts w:asciiTheme="majorBidi" w:hAnsiTheme="majorBidi" w:cstheme="majorBidi"/>
          <w:lang w:val="en-GB"/>
        </w:rPr>
        <w:t xml:space="preserve">; his agitation was not only threatening international relations in the Balkans but undermining domestic peace at home. In short, Hungary was being put in danger by </w:t>
      </w:r>
      <w:r w:rsidR="00922EFB">
        <w:rPr>
          <w:rFonts w:asciiTheme="majorBidi" w:hAnsiTheme="majorBidi" w:cstheme="majorBidi"/>
          <w:lang w:val="en-GB"/>
        </w:rPr>
        <w:t>his</w:t>
      </w:r>
      <w:r>
        <w:rPr>
          <w:rFonts w:asciiTheme="majorBidi" w:hAnsiTheme="majorBidi" w:cstheme="majorBidi"/>
          <w:lang w:val="en-GB"/>
        </w:rPr>
        <w:t xml:space="preserve"> foreign collusion</w:t>
      </w:r>
      <w:r w:rsidR="00893BC8">
        <w:rPr>
          <w:rFonts w:asciiTheme="majorBidi" w:hAnsiTheme="majorBidi" w:cstheme="majorBidi"/>
          <w:lang w:val="en-GB"/>
        </w:rPr>
        <w:t xml:space="preserve"> and </w:t>
      </w:r>
      <w:r>
        <w:rPr>
          <w:rFonts w:asciiTheme="majorBidi" w:hAnsiTheme="majorBidi" w:cstheme="majorBidi"/>
          <w:lang w:val="en-GB"/>
        </w:rPr>
        <w:t xml:space="preserve">if </w:t>
      </w:r>
      <w:r w:rsidR="00893BC8">
        <w:rPr>
          <w:rFonts w:asciiTheme="majorBidi" w:hAnsiTheme="majorBidi" w:cstheme="majorBidi"/>
          <w:lang w:val="en-GB"/>
        </w:rPr>
        <w:t xml:space="preserve">it was </w:t>
      </w:r>
      <w:r>
        <w:rPr>
          <w:rFonts w:asciiTheme="majorBidi" w:hAnsiTheme="majorBidi" w:cstheme="majorBidi"/>
          <w:lang w:val="en-GB"/>
        </w:rPr>
        <w:t>not halted, others would be inspired to copy him.</w:t>
      </w:r>
      <w:r>
        <w:rPr>
          <w:rStyle w:val="FootnoteReference"/>
          <w:rFonts w:asciiTheme="majorBidi" w:hAnsiTheme="majorBidi" w:cstheme="majorBidi"/>
          <w:lang w:val="en-GB"/>
        </w:rPr>
        <w:footnoteReference w:id="64"/>
      </w:r>
      <w:r>
        <w:rPr>
          <w:rFonts w:asciiTheme="majorBidi" w:hAnsiTheme="majorBidi" w:cstheme="majorBidi"/>
          <w:lang w:val="en-GB"/>
        </w:rPr>
        <w:t xml:space="preserve"> The next morning</w:t>
      </w:r>
      <w:r w:rsidR="00B30160">
        <w:rPr>
          <w:rFonts w:asciiTheme="majorBidi" w:hAnsiTheme="majorBidi" w:cstheme="majorBidi"/>
          <w:lang w:val="en-GB"/>
        </w:rPr>
        <w:t xml:space="preserve"> at 4am</w:t>
      </w:r>
      <w:r>
        <w:rPr>
          <w:rFonts w:asciiTheme="majorBidi" w:hAnsiTheme="majorBidi" w:cstheme="majorBidi"/>
          <w:lang w:val="en-GB"/>
        </w:rPr>
        <w:t xml:space="preserve">, on the direct orders of the Hungarian </w:t>
      </w:r>
      <w:proofErr w:type="gramStart"/>
      <w:r w:rsidR="00893BC8">
        <w:rPr>
          <w:rFonts w:asciiTheme="majorBidi" w:hAnsiTheme="majorBidi" w:cstheme="majorBidi"/>
          <w:lang w:val="en-GB"/>
        </w:rPr>
        <w:t>p</w:t>
      </w:r>
      <w:r>
        <w:rPr>
          <w:rFonts w:asciiTheme="majorBidi" w:hAnsiTheme="majorBidi" w:cstheme="majorBidi"/>
          <w:lang w:val="en-GB"/>
        </w:rPr>
        <w:t xml:space="preserve">rime </w:t>
      </w:r>
      <w:r w:rsidR="00893BC8">
        <w:rPr>
          <w:rFonts w:asciiTheme="majorBidi" w:hAnsiTheme="majorBidi" w:cstheme="majorBidi"/>
          <w:lang w:val="en-GB"/>
        </w:rPr>
        <w:t>m</w:t>
      </w:r>
      <w:r>
        <w:rPr>
          <w:rFonts w:asciiTheme="majorBidi" w:hAnsiTheme="majorBidi" w:cstheme="majorBidi"/>
          <w:lang w:val="en-GB"/>
        </w:rPr>
        <w:t>inister</w:t>
      </w:r>
      <w:proofErr w:type="gramEnd"/>
      <w:r>
        <w:rPr>
          <w:rFonts w:asciiTheme="majorBidi" w:hAnsiTheme="majorBidi" w:cstheme="majorBidi"/>
          <w:lang w:val="en-GB"/>
        </w:rPr>
        <w:t xml:space="preserve"> Kálmán Tisza, Miletić was arrested in Novi Sad on a charge of treason</w:t>
      </w:r>
      <w:r w:rsidR="00B30160">
        <w:rPr>
          <w:rFonts w:asciiTheme="majorBidi" w:hAnsiTheme="majorBidi" w:cstheme="majorBidi"/>
          <w:lang w:val="en-GB"/>
        </w:rPr>
        <w:t xml:space="preserve">. In view of the potential </w:t>
      </w:r>
      <w:r w:rsidR="00920435">
        <w:rPr>
          <w:rFonts w:asciiTheme="majorBidi" w:hAnsiTheme="majorBidi" w:cstheme="majorBidi"/>
          <w:lang w:val="en-GB"/>
        </w:rPr>
        <w:t xml:space="preserve">local </w:t>
      </w:r>
      <w:r w:rsidR="00B30160">
        <w:rPr>
          <w:rFonts w:asciiTheme="majorBidi" w:hAnsiTheme="majorBidi" w:cstheme="majorBidi"/>
          <w:lang w:val="en-GB"/>
        </w:rPr>
        <w:t xml:space="preserve">storm this would cause, </w:t>
      </w:r>
      <w:r w:rsidR="00986B6E">
        <w:rPr>
          <w:rFonts w:asciiTheme="majorBidi" w:hAnsiTheme="majorBidi" w:cstheme="majorBidi"/>
          <w:lang w:val="en-GB"/>
        </w:rPr>
        <w:t xml:space="preserve">it was hoped his departure </w:t>
      </w:r>
      <w:r w:rsidR="00B72B6B">
        <w:rPr>
          <w:rFonts w:asciiTheme="majorBidi" w:hAnsiTheme="majorBidi" w:cstheme="majorBidi"/>
          <w:lang w:val="en-GB"/>
        </w:rPr>
        <w:t xml:space="preserve">from the town </w:t>
      </w:r>
      <w:r w:rsidR="00986B6E">
        <w:rPr>
          <w:rFonts w:asciiTheme="majorBidi" w:hAnsiTheme="majorBidi" w:cstheme="majorBidi"/>
          <w:lang w:val="en-GB"/>
        </w:rPr>
        <w:t xml:space="preserve">could be </w:t>
      </w:r>
      <w:r w:rsidR="00B30160">
        <w:rPr>
          <w:rFonts w:asciiTheme="majorBidi" w:hAnsiTheme="majorBidi" w:cstheme="majorBidi"/>
          <w:i/>
          <w:lang w:val="en-GB"/>
        </w:rPr>
        <w:t>incognito</w:t>
      </w:r>
      <w:r w:rsidR="00986B6E">
        <w:rPr>
          <w:rFonts w:asciiTheme="majorBidi" w:hAnsiTheme="majorBidi" w:cstheme="majorBidi"/>
          <w:lang w:val="en-GB"/>
        </w:rPr>
        <w:t xml:space="preserve">; in fact a crowd of 20-30 people saw him </w:t>
      </w:r>
      <w:r w:rsidR="00920435">
        <w:rPr>
          <w:rFonts w:asciiTheme="majorBidi" w:hAnsiTheme="majorBidi" w:cstheme="majorBidi"/>
          <w:lang w:val="en-GB"/>
        </w:rPr>
        <w:t xml:space="preserve">off, </w:t>
      </w:r>
      <w:r>
        <w:rPr>
          <w:rFonts w:asciiTheme="majorBidi" w:hAnsiTheme="majorBidi" w:cstheme="majorBidi"/>
          <w:lang w:val="en-GB"/>
        </w:rPr>
        <w:t>transported u</w:t>
      </w:r>
      <w:r w:rsidR="00986B6E">
        <w:rPr>
          <w:rFonts w:asciiTheme="majorBidi" w:hAnsiTheme="majorBidi" w:cstheme="majorBidi"/>
          <w:lang w:val="en-GB"/>
        </w:rPr>
        <w:t>p the river u</w:t>
      </w:r>
      <w:r>
        <w:rPr>
          <w:rFonts w:asciiTheme="majorBidi" w:hAnsiTheme="majorBidi" w:cstheme="majorBidi"/>
          <w:lang w:val="en-GB"/>
        </w:rPr>
        <w:t>nder armed guard</w:t>
      </w:r>
      <w:r w:rsidR="00920435">
        <w:rPr>
          <w:rFonts w:asciiTheme="majorBidi" w:hAnsiTheme="majorBidi" w:cstheme="majorBidi"/>
          <w:lang w:val="en-GB"/>
        </w:rPr>
        <w:t xml:space="preserve"> but supposedly with a calm demeanour</w:t>
      </w:r>
      <w:r w:rsidR="00986B6E">
        <w:rPr>
          <w:rFonts w:asciiTheme="majorBidi" w:hAnsiTheme="majorBidi" w:cstheme="majorBidi"/>
          <w:lang w:val="en-GB"/>
        </w:rPr>
        <w:t xml:space="preserve">. Once in </w:t>
      </w:r>
      <w:r>
        <w:rPr>
          <w:rFonts w:asciiTheme="majorBidi" w:hAnsiTheme="majorBidi" w:cstheme="majorBidi"/>
          <w:lang w:val="en-GB"/>
        </w:rPr>
        <w:t>Budapest</w:t>
      </w:r>
      <w:r w:rsidR="00986B6E">
        <w:rPr>
          <w:rFonts w:asciiTheme="majorBidi" w:hAnsiTheme="majorBidi" w:cstheme="majorBidi"/>
          <w:lang w:val="en-GB"/>
        </w:rPr>
        <w:t xml:space="preserve"> he was handed over to the police</w:t>
      </w:r>
      <w:r w:rsidR="00287CD5">
        <w:rPr>
          <w:rFonts w:asciiTheme="majorBidi" w:hAnsiTheme="majorBidi" w:cstheme="majorBidi"/>
          <w:lang w:val="en-GB"/>
        </w:rPr>
        <w:t xml:space="preserve"> and then placed in the court investigative jail</w:t>
      </w:r>
      <w:r>
        <w:rPr>
          <w:rFonts w:asciiTheme="majorBidi" w:hAnsiTheme="majorBidi" w:cstheme="majorBidi"/>
          <w:lang w:val="en-GB"/>
        </w:rPr>
        <w:t>.</w:t>
      </w:r>
      <w:r w:rsidR="00920435">
        <w:rPr>
          <w:rFonts w:asciiTheme="majorBidi" w:hAnsiTheme="majorBidi" w:cstheme="majorBidi"/>
          <w:lang w:val="en-GB"/>
        </w:rPr>
        <w:t xml:space="preserve"> It would be a long period of confinement.</w:t>
      </w:r>
      <w:r>
        <w:rPr>
          <w:rStyle w:val="FootnoteReference"/>
          <w:rFonts w:asciiTheme="majorBidi" w:hAnsiTheme="majorBidi" w:cstheme="majorBidi"/>
          <w:lang w:val="en-GB"/>
        </w:rPr>
        <w:footnoteReference w:id="65"/>
      </w:r>
      <w:r w:rsidR="001C44C1">
        <w:rPr>
          <w:rFonts w:asciiTheme="majorBidi" w:hAnsiTheme="majorBidi" w:cstheme="majorBidi"/>
          <w:lang w:val="en-GB"/>
        </w:rPr>
        <w:t xml:space="preserve"> </w:t>
      </w:r>
      <w:r w:rsidR="001C44C1">
        <w:rPr>
          <w:rFonts w:asciiTheme="majorBidi" w:hAnsiTheme="majorBidi" w:cstheme="majorBidi"/>
          <w:b/>
          <w:lang w:val="en-GB"/>
        </w:rPr>
        <w:t>[Figure 1</w:t>
      </w:r>
      <w:r w:rsidR="001426C8">
        <w:rPr>
          <w:rFonts w:asciiTheme="majorBidi" w:hAnsiTheme="majorBidi" w:cstheme="majorBidi"/>
          <w:b/>
          <w:lang w:val="en-GB"/>
        </w:rPr>
        <w:t>4</w:t>
      </w:r>
      <w:r w:rsidR="001C44C1">
        <w:rPr>
          <w:rFonts w:asciiTheme="majorBidi" w:hAnsiTheme="majorBidi" w:cstheme="majorBidi"/>
          <w:b/>
          <w:lang w:val="en-GB"/>
        </w:rPr>
        <w:t>]</w:t>
      </w:r>
    </w:p>
    <w:p w:rsidR="00FF6430" w:rsidRDefault="006E4050"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In the broadest sense we might agree that Miletić’s behaviour was treasonous: he was stirring up his fellow Serbs, and was known to have a long-term goal of uniting Vojvodina to Serbia. One Hungarian newspaper noted that the whole country welcomed his arrest, as it </w:t>
      </w:r>
      <w:r>
        <w:rPr>
          <w:rFonts w:asciiTheme="majorBidi" w:hAnsiTheme="majorBidi" w:cstheme="majorBidi"/>
          <w:lang w:val="en-GB"/>
        </w:rPr>
        <w:lastRenderedPageBreak/>
        <w:t xml:space="preserve">would </w:t>
      </w:r>
      <w:r w:rsidR="001B5A75">
        <w:rPr>
          <w:rFonts w:asciiTheme="majorBidi" w:hAnsiTheme="majorBidi" w:cstheme="majorBidi"/>
          <w:lang w:val="en-GB"/>
        </w:rPr>
        <w:t>‘</w:t>
      </w:r>
      <w:r>
        <w:rPr>
          <w:rFonts w:asciiTheme="majorBidi" w:hAnsiTheme="majorBidi" w:cstheme="majorBidi"/>
          <w:lang w:val="en-GB"/>
        </w:rPr>
        <w:t>intimidate and disarm our secret and open enemies</w:t>
      </w:r>
      <w:r w:rsidR="001B5A75">
        <w:rPr>
          <w:rFonts w:asciiTheme="majorBidi" w:hAnsiTheme="majorBidi" w:cstheme="majorBidi"/>
          <w:lang w:val="en-GB"/>
        </w:rPr>
        <w:t>’</w:t>
      </w:r>
      <w:r>
        <w:rPr>
          <w:rFonts w:asciiTheme="majorBidi" w:hAnsiTheme="majorBidi" w:cstheme="majorBidi"/>
          <w:lang w:val="en-GB"/>
        </w:rPr>
        <w:t>.</w:t>
      </w:r>
      <w:r>
        <w:rPr>
          <w:rStyle w:val="FootnoteReference"/>
          <w:rFonts w:asciiTheme="majorBidi" w:hAnsiTheme="majorBidi" w:cstheme="majorBidi"/>
          <w:lang w:val="en-GB"/>
        </w:rPr>
        <w:footnoteReference w:id="66"/>
      </w:r>
      <w:r>
        <w:rPr>
          <w:rFonts w:asciiTheme="majorBidi" w:hAnsiTheme="majorBidi" w:cstheme="majorBidi"/>
          <w:lang w:val="en-GB"/>
        </w:rPr>
        <w:t xml:space="preserve"> Yet Miletić’s prosecution for </w:t>
      </w:r>
      <w:r w:rsidR="0002287C">
        <w:rPr>
          <w:rFonts w:asciiTheme="majorBidi" w:hAnsiTheme="majorBidi" w:cstheme="majorBidi"/>
          <w:lang w:val="en-GB"/>
        </w:rPr>
        <w:t xml:space="preserve">high </w:t>
      </w:r>
      <w:r>
        <w:rPr>
          <w:rFonts w:asciiTheme="majorBidi" w:hAnsiTheme="majorBidi" w:cstheme="majorBidi"/>
          <w:lang w:val="en-GB"/>
        </w:rPr>
        <w:t xml:space="preserve">treason – for </w:t>
      </w:r>
      <w:r w:rsidR="001B5A75">
        <w:rPr>
          <w:rFonts w:asciiTheme="majorBidi" w:hAnsiTheme="majorBidi" w:cstheme="majorBidi"/>
          <w:lang w:val="en-GB"/>
        </w:rPr>
        <w:t xml:space="preserve">the </w:t>
      </w:r>
      <w:r w:rsidR="000D2C99">
        <w:rPr>
          <w:rFonts w:asciiTheme="majorBidi" w:hAnsiTheme="majorBidi" w:cstheme="majorBidi"/>
          <w:lang w:val="en-GB"/>
        </w:rPr>
        <w:t xml:space="preserve">Hungarian </w:t>
      </w:r>
      <w:r w:rsidR="001B5A75">
        <w:rPr>
          <w:rFonts w:asciiTheme="majorBidi" w:hAnsiTheme="majorBidi" w:cstheme="majorBidi"/>
          <w:lang w:val="en-GB"/>
        </w:rPr>
        <w:t xml:space="preserve">crime of </w:t>
      </w:r>
      <w:r>
        <w:rPr>
          <w:rFonts w:asciiTheme="majorBidi" w:hAnsiTheme="majorBidi" w:cstheme="majorBidi"/>
          <w:i/>
          <w:lang w:val="en-GB"/>
        </w:rPr>
        <w:t xml:space="preserve">felségsértés - </w:t>
      </w:r>
      <w:r>
        <w:rPr>
          <w:rFonts w:asciiTheme="majorBidi" w:hAnsiTheme="majorBidi" w:cstheme="majorBidi"/>
          <w:lang w:val="en-GB"/>
        </w:rPr>
        <w:t xml:space="preserve">was still a deeply flawed process in law, not least due to the overt political interference. For a start, he was a deputy to the Hungarian parliament and as such, ought to be covered by parliamentary immunity; it required a parliamentary committee to remove this immunity retrospectively and approve the order for his arrest. Kálmán Tisza then proceeded to take great interest in the case, interfering constantly in the legal process. Nevertheless, the authorities also made sure that the trial did not take place for </w:t>
      </w:r>
      <w:r w:rsidR="00CE56F7">
        <w:rPr>
          <w:rFonts w:asciiTheme="majorBidi" w:hAnsiTheme="majorBidi" w:cstheme="majorBidi"/>
          <w:lang w:val="en-GB"/>
        </w:rPr>
        <w:t>eighteen</w:t>
      </w:r>
      <w:r>
        <w:rPr>
          <w:rFonts w:asciiTheme="majorBidi" w:hAnsiTheme="majorBidi" w:cstheme="majorBidi"/>
          <w:lang w:val="en-GB"/>
        </w:rPr>
        <w:t xml:space="preserve"> months, as long as Serbian-Ottoman hostilities were unsettled</w:t>
      </w:r>
      <w:r w:rsidR="001B5A75">
        <w:rPr>
          <w:rFonts w:asciiTheme="majorBidi" w:hAnsiTheme="majorBidi" w:cstheme="majorBidi"/>
          <w:lang w:val="en-GB"/>
        </w:rPr>
        <w:t>. W</w:t>
      </w:r>
      <w:r>
        <w:rPr>
          <w:rFonts w:asciiTheme="majorBidi" w:hAnsiTheme="majorBidi" w:cstheme="majorBidi"/>
          <w:lang w:val="en-GB"/>
        </w:rPr>
        <w:t xml:space="preserve">hile Miletić was left to deteriorate in a dark prison cell, the impact in Vojvodina was undoubtedly to paralyse any national agitation at a critical time. </w:t>
      </w:r>
    </w:p>
    <w:p w:rsidR="006E4050" w:rsidRDefault="006E4050"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Lastly, when it came to the treason charge </w:t>
      </w:r>
      <w:r w:rsidR="0002287C">
        <w:rPr>
          <w:rFonts w:asciiTheme="majorBidi" w:hAnsiTheme="majorBidi" w:cstheme="majorBidi"/>
          <w:lang w:val="en-GB"/>
        </w:rPr>
        <w:t xml:space="preserve">utilized </w:t>
      </w:r>
      <w:r>
        <w:rPr>
          <w:rFonts w:asciiTheme="majorBidi" w:hAnsiTheme="majorBidi" w:cstheme="majorBidi"/>
          <w:lang w:val="en-GB"/>
        </w:rPr>
        <w:t xml:space="preserve">against Miletić, the state prosecutor </w:t>
      </w:r>
      <w:r w:rsidR="001B5A75">
        <w:rPr>
          <w:rFonts w:asciiTheme="majorBidi" w:hAnsiTheme="majorBidi" w:cstheme="majorBidi"/>
          <w:lang w:val="en-GB"/>
        </w:rPr>
        <w:t>had to rely on Hungary’s historic laws</w:t>
      </w:r>
      <w:r>
        <w:rPr>
          <w:rFonts w:asciiTheme="majorBidi" w:hAnsiTheme="majorBidi" w:cstheme="majorBidi"/>
          <w:lang w:val="en-GB"/>
        </w:rPr>
        <w:t xml:space="preserve">. </w:t>
      </w:r>
      <w:r w:rsidR="003D36E7">
        <w:rPr>
          <w:rFonts w:asciiTheme="majorBidi" w:hAnsiTheme="majorBidi" w:cstheme="majorBidi"/>
          <w:lang w:val="en-GB"/>
        </w:rPr>
        <w:t xml:space="preserve">This was not quite a sign of </w:t>
      </w:r>
      <w:r>
        <w:rPr>
          <w:rFonts w:asciiTheme="majorBidi" w:hAnsiTheme="majorBidi" w:cstheme="majorBidi"/>
          <w:lang w:val="en-GB"/>
        </w:rPr>
        <w:t xml:space="preserve">Hungary asserting its own legal tradition </w:t>
      </w:r>
      <w:r w:rsidR="003D36E7">
        <w:rPr>
          <w:rFonts w:asciiTheme="majorBidi" w:hAnsiTheme="majorBidi" w:cstheme="majorBidi"/>
          <w:lang w:val="en-GB"/>
        </w:rPr>
        <w:t>for there was no</w:t>
      </w:r>
      <w:r w:rsidR="00925451">
        <w:rPr>
          <w:rFonts w:asciiTheme="majorBidi" w:hAnsiTheme="majorBidi" w:cstheme="majorBidi"/>
          <w:lang w:val="en-GB"/>
        </w:rPr>
        <w:t>ne</w:t>
      </w:r>
      <w:r w:rsidR="003D36E7">
        <w:rPr>
          <w:rFonts w:asciiTheme="majorBidi" w:hAnsiTheme="majorBidi" w:cstheme="majorBidi"/>
          <w:lang w:val="en-GB"/>
        </w:rPr>
        <w:t xml:space="preserve"> other </w:t>
      </w:r>
      <w:r w:rsidR="00925451">
        <w:rPr>
          <w:rFonts w:asciiTheme="majorBidi" w:hAnsiTheme="majorBidi" w:cstheme="majorBidi"/>
          <w:lang w:val="en-GB"/>
        </w:rPr>
        <w:t xml:space="preserve">available </w:t>
      </w:r>
      <w:r w:rsidR="003D36E7">
        <w:rPr>
          <w:rFonts w:asciiTheme="majorBidi" w:hAnsiTheme="majorBidi" w:cstheme="majorBidi"/>
          <w:lang w:val="en-GB"/>
        </w:rPr>
        <w:t xml:space="preserve">at this point: the new </w:t>
      </w:r>
      <w:r>
        <w:rPr>
          <w:rFonts w:asciiTheme="majorBidi" w:hAnsiTheme="majorBidi" w:cstheme="majorBidi"/>
          <w:lang w:val="en-GB"/>
        </w:rPr>
        <w:t xml:space="preserve">criminal code </w:t>
      </w:r>
      <w:r w:rsidR="00554E9F">
        <w:rPr>
          <w:rFonts w:asciiTheme="majorBidi" w:hAnsiTheme="majorBidi" w:cstheme="majorBidi"/>
          <w:lang w:val="en-GB"/>
        </w:rPr>
        <w:t>would only be</w:t>
      </w:r>
      <w:r>
        <w:rPr>
          <w:rFonts w:asciiTheme="majorBidi" w:hAnsiTheme="majorBidi" w:cstheme="majorBidi"/>
          <w:lang w:val="en-GB"/>
        </w:rPr>
        <w:t xml:space="preserve"> implemented </w:t>
      </w:r>
      <w:r w:rsidR="00554E9F">
        <w:rPr>
          <w:rFonts w:asciiTheme="majorBidi" w:hAnsiTheme="majorBidi" w:cstheme="majorBidi"/>
          <w:lang w:val="en-GB"/>
        </w:rPr>
        <w:t>later in 1878</w:t>
      </w:r>
      <w:r w:rsidR="003D36E7">
        <w:rPr>
          <w:rFonts w:asciiTheme="majorBidi" w:hAnsiTheme="majorBidi" w:cstheme="majorBidi"/>
          <w:lang w:val="en-GB"/>
        </w:rPr>
        <w:t xml:space="preserve">. The prosecutor </w:t>
      </w:r>
      <w:r>
        <w:rPr>
          <w:rFonts w:asciiTheme="majorBidi" w:hAnsiTheme="majorBidi" w:cstheme="majorBidi"/>
          <w:lang w:val="en-GB"/>
        </w:rPr>
        <w:t xml:space="preserve">turned </w:t>
      </w:r>
      <w:r w:rsidR="00C35158">
        <w:rPr>
          <w:rFonts w:asciiTheme="majorBidi" w:hAnsiTheme="majorBidi" w:cstheme="majorBidi"/>
          <w:lang w:val="en-GB"/>
        </w:rPr>
        <w:t>naturally</w:t>
      </w:r>
      <w:r w:rsidR="003D36E7">
        <w:rPr>
          <w:rFonts w:asciiTheme="majorBidi" w:hAnsiTheme="majorBidi" w:cstheme="majorBidi"/>
          <w:lang w:val="en-GB"/>
        </w:rPr>
        <w:t xml:space="preserve"> </w:t>
      </w:r>
      <w:r>
        <w:rPr>
          <w:rFonts w:asciiTheme="majorBidi" w:hAnsiTheme="majorBidi" w:cstheme="majorBidi"/>
          <w:lang w:val="en-GB"/>
        </w:rPr>
        <w:t xml:space="preserve">to </w:t>
      </w:r>
      <w:r w:rsidR="00CE56F7">
        <w:rPr>
          <w:rFonts w:asciiTheme="majorBidi" w:hAnsiTheme="majorBidi" w:cstheme="majorBidi"/>
          <w:lang w:val="en-GB"/>
        </w:rPr>
        <w:t xml:space="preserve">Hungary’s </w:t>
      </w:r>
      <w:r w:rsidRPr="001B5A75">
        <w:rPr>
          <w:rFonts w:asciiTheme="majorBidi" w:hAnsiTheme="majorBidi" w:cstheme="majorBidi"/>
          <w:lang w:val="en-GB"/>
        </w:rPr>
        <w:t>Law VII of 1715</w:t>
      </w:r>
      <w:r w:rsidR="008D6949">
        <w:rPr>
          <w:rFonts w:asciiTheme="majorBidi" w:hAnsiTheme="majorBidi" w:cstheme="majorBidi"/>
          <w:lang w:val="en-GB"/>
        </w:rPr>
        <w:t>. This</w:t>
      </w:r>
      <w:r>
        <w:rPr>
          <w:rFonts w:asciiTheme="majorBidi" w:hAnsiTheme="majorBidi" w:cstheme="majorBidi"/>
          <w:lang w:val="en-GB"/>
        </w:rPr>
        <w:t xml:space="preserve"> ancient law </w:t>
      </w:r>
      <w:r w:rsidR="003D36E7">
        <w:rPr>
          <w:rFonts w:asciiTheme="majorBidi" w:hAnsiTheme="majorBidi" w:cstheme="majorBidi"/>
          <w:lang w:val="en-GB"/>
        </w:rPr>
        <w:t xml:space="preserve">fashioned by the Habsburgs set out the procedures for dealing with </w:t>
      </w:r>
      <w:r w:rsidR="003D36E7">
        <w:rPr>
          <w:rFonts w:asciiTheme="majorBidi" w:hAnsiTheme="majorBidi" w:cstheme="majorBidi"/>
          <w:i/>
          <w:lang w:val="en-GB"/>
        </w:rPr>
        <w:t xml:space="preserve">felségsértés </w:t>
      </w:r>
      <w:r w:rsidR="008D6949">
        <w:rPr>
          <w:rFonts w:asciiTheme="majorBidi" w:hAnsiTheme="majorBidi" w:cstheme="majorBidi"/>
          <w:lang w:val="en-GB"/>
        </w:rPr>
        <w:t xml:space="preserve">without defining </w:t>
      </w:r>
      <w:r w:rsidR="003D36E7">
        <w:rPr>
          <w:rFonts w:asciiTheme="majorBidi" w:hAnsiTheme="majorBidi" w:cstheme="majorBidi"/>
          <w:lang w:val="en-GB"/>
        </w:rPr>
        <w:t xml:space="preserve">the crime </w:t>
      </w:r>
      <w:r w:rsidR="008D6949">
        <w:rPr>
          <w:rFonts w:asciiTheme="majorBidi" w:hAnsiTheme="majorBidi" w:cstheme="majorBidi"/>
          <w:lang w:val="en-GB"/>
        </w:rPr>
        <w:t>at all precisely</w:t>
      </w:r>
      <w:r w:rsidR="003D36E7">
        <w:rPr>
          <w:rFonts w:asciiTheme="majorBidi" w:hAnsiTheme="majorBidi" w:cstheme="majorBidi"/>
          <w:lang w:val="en-GB"/>
        </w:rPr>
        <w:t>;</w:t>
      </w:r>
      <w:r w:rsidR="0002287C">
        <w:rPr>
          <w:rFonts w:asciiTheme="majorBidi" w:hAnsiTheme="majorBidi" w:cstheme="majorBidi"/>
          <w:lang w:val="en-GB"/>
        </w:rPr>
        <w:t xml:space="preserve"> and ironically its real focus was on </w:t>
      </w:r>
      <w:r w:rsidR="008D6949">
        <w:rPr>
          <w:rFonts w:asciiTheme="majorBidi" w:hAnsiTheme="majorBidi" w:cstheme="majorBidi"/>
          <w:lang w:val="en-GB"/>
        </w:rPr>
        <w:t xml:space="preserve">betrayal of the Hungarian </w:t>
      </w:r>
      <w:r w:rsidR="0002287C">
        <w:rPr>
          <w:rFonts w:asciiTheme="majorBidi" w:hAnsiTheme="majorBidi" w:cstheme="majorBidi"/>
          <w:lang w:val="en-GB"/>
        </w:rPr>
        <w:t xml:space="preserve">(Habsburg) </w:t>
      </w:r>
      <w:r w:rsidR="008D6949">
        <w:rPr>
          <w:rFonts w:asciiTheme="majorBidi" w:hAnsiTheme="majorBidi" w:cstheme="majorBidi"/>
          <w:lang w:val="en-GB"/>
        </w:rPr>
        <w:t>king</w:t>
      </w:r>
      <w:r w:rsidR="003D36E7">
        <w:rPr>
          <w:rFonts w:asciiTheme="majorBidi" w:hAnsiTheme="majorBidi" w:cstheme="majorBidi"/>
          <w:lang w:val="en-GB"/>
        </w:rPr>
        <w:t>. I</w:t>
      </w:r>
      <w:r w:rsidR="0002287C">
        <w:rPr>
          <w:rFonts w:asciiTheme="majorBidi" w:hAnsiTheme="majorBidi" w:cstheme="majorBidi"/>
          <w:lang w:val="en-GB"/>
        </w:rPr>
        <w:t>n</w:t>
      </w:r>
      <w:r w:rsidR="005E084B">
        <w:rPr>
          <w:rFonts w:asciiTheme="majorBidi" w:hAnsiTheme="majorBidi" w:cstheme="majorBidi"/>
          <w:lang w:val="en-GB"/>
        </w:rPr>
        <w:t xml:space="preserve"> the nineteenth century</w:t>
      </w:r>
      <w:r w:rsidR="0002287C">
        <w:rPr>
          <w:rFonts w:asciiTheme="majorBidi" w:hAnsiTheme="majorBidi" w:cstheme="majorBidi"/>
          <w:lang w:val="en-GB"/>
        </w:rPr>
        <w:t>,</w:t>
      </w:r>
      <w:r w:rsidR="005E084B">
        <w:rPr>
          <w:rFonts w:asciiTheme="majorBidi" w:hAnsiTheme="majorBidi" w:cstheme="majorBidi"/>
          <w:lang w:val="en-GB"/>
        </w:rPr>
        <w:t xml:space="preserve"> </w:t>
      </w:r>
      <w:r w:rsidR="0002287C">
        <w:rPr>
          <w:rFonts w:asciiTheme="majorBidi" w:hAnsiTheme="majorBidi" w:cstheme="majorBidi"/>
          <w:lang w:val="en-GB"/>
        </w:rPr>
        <w:t xml:space="preserve">however, </w:t>
      </w:r>
      <w:r w:rsidR="003D36E7">
        <w:rPr>
          <w:rFonts w:asciiTheme="majorBidi" w:hAnsiTheme="majorBidi" w:cstheme="majorBidi"/>
          <w:i/>
          <w:lang w:val="en-GB"/>
        </w:rPr>
        <w:t xml:space="preserve">felségsértés </w:t>
      </w:r>
      <w:r w:rsidR="005E084B">
        <w:rPr>
          <w:rFonts w:asciiTheme="majorBidi" w:hAnsiTheme="majorBidi" w:cstheme="majorBidi"/>
          <w:lang w:val="en-GB"/>
        </w:rPr>
        <w:t xml:space="preserve">was </w:t>
      </w:r>
      <w:r w:rsidR="0002287C">
        <w:rPr>
          <w:rFonts w:asciiTheme="majorBidi" w:hAnsiTheme="majorBidi" w:cstheme="majorBidi"/>
          <w:lang w:val="en-GB"/>
        </w:rPr>
        <w:t>starting to be redefined in Hungarian law as</w:t>
      </w:r>
      <w:r w:rsidR="005E084B">
        <w:rPr>
          <w:rFonts w:asciiTheme="majorBidi" w:hAnsiTheme="majorBidi" w:cstheme="majorBidi"/>
          <w:lang w:val="en-GB"/>
        </w:rPr>
        <w:t xml:space="preserve"> constituting a revolutionary act </w:t>
      </w:r>
      <w:r w:rsidR="00C35158">
        <w:rPr>
          <w:rFonts w:asciiTheme="majorBidi" w:hAnsiTheme="majorBidi" w:cstheme="majorBidi"/>
          <w:lang w:val="en-GB"/>
        </w:rPr>
        <w:t>which</w:t>
      </w:r>
      <w:r w:rsidR="0002287C">
        <w:rPr>
          <w:rFonts w:asciiTheme="majorBidi" w:hAnsiTheme="majorBidi" w:cstheme="majorBidi"/>
          <w:lang w:val="en-GB"/>
        </w:rPr>
        <w:t xml:space="preserve"> was </w:t>
      </w:r>
      <w:r w:rsidR="005E084B">
        <w:rPr>
          <w:rFonts w:asciiTheme="majorBidi" w:hAnsiTheme="majorBidi" w:cstheme="majorBidi"/>
          <w:lang w:val="en-GB"/>
        </w:rPr>
        <w:t>aimed at destroying the fundamentals of the state</w:t>
      </w:r>
      <w:r w:rsidR="0002287C">
        <w:rPr>
          <w:rFonts w:asciiTheme="majorBidi" w:hAnsiTheme="majorBidi" w:cstheme="majorBidi"/>
          <w:lang w:val="en-GB"/>
        </w:rPr>
        <w:t xml:space="preserve"> (not just the monarch)</w:t>
      </w:r>
      <w:r w:rsidR="008D6949">
        <w:rPr>
          <w:rFonts w:asciiTheme="majorBidi" w:hAnsiTheme="majorBidi" w:cstheme="majorBidi"/>
          <w:lang w:val="en-GB"/>
        </w:rPr>
        <w:t>. I</w:t>
      </w:r>
      <w:r>
        <w:rPr>
          <w:rFonts w:asciiTheme="majorBidi" w:hAnsiTheme="majorBidi" w:cstheme="majorBidi"/>
          <w:lang w:val="en-GB"/>
        </w:rPr>
        <w:t xml:space="preserve">n the Miletić case </w:t>
      </w:r>
      <w:r w:rsidR="0002287C">
        <w:rPr>
          <w:rFonts w:asciiTheme="majorBidi" w:hAnsiTheme="majorBidi" w:cstheme="majorBidi"/>
          <w:lang w:val="en-GB"/>
        </w:rPr>
        <w:t>th</w:t>
      </w:r>
      <w:r w:rsidR="00554E9F">
        <w:rPr>
          <w:rFonts w:asciiTheme="majorBidi" w:hAnsiTheme="majorBidi" w:cstheme="majorBidi"/>
          <w:lang w:val="en-GB"/>
        </w:rPr>
        <w:t>is</w:t>
      </w:r>
      <w:r w:rsidR="003D36E7">
        <w:rPr>
          <w:rFonts w:asciiTheme="majorBidi" w:hAnsiTheme="majorBidi" w:cstheme="majorBidi"/>
          <w:lang w:val="en-GB"/>
        </w:rPr>
        <w:t xml:space="preserve"> ongoing</w:t>
      </w:r>
      <w:r w:rsidR="0002287C">
        <w:rPr>
          <w:rFonts w:asciiTheme="majorBidi" w:hAnsiTheme="majorBidi" w:cstheme="majorBidi"/>
          <w:lang w:val="en-GB"/>
        </w:rPr>
        <w:t xml:space="preserve"> vagueness </w:t>
      </w:r>
      <w:r>
        <w:rPr>
          <w:rFonts w:asciiTheme="majorBidi" w:hAnsiTheme="majorBidi" w:cstheme="majorBidi"/>
          <w:lang w:val="en-GB"/>
        </w:rPr>
        <w:t>was use</w:t>
      </w:r>
      <w:r w:rsidR="005E084B">
        <w:rPr>
          <w:rFonts w:asciiTheme="majorBidi" w:hAnsiTheme="majorBidi" w:cstheme="majorBidi"/>
          <w:lang w:val="en-GB"/>
        </w:rPr>
        <w:t xml:space="preserve">ful, </w:t>
      </w:r>
      <w:r w:rsidR="0002287C">
        <w:rPr>
          <w:rFonts w:asciiTheme="majorBidi" w:hAnsiTheme="majorBidi" w:cstheme="majorBidi"/>
          <w:lang w:val="en-GB"/>
        </w:rPr>
        <w:t xml:space="preserve">while at the same time the charge of </w:t>
      </w:r>
      <w:r w:rsidR="00922EFB">
        <w:rPr>
          <w:rFonts w:asciiTheme="majorBidi" w:hAnsiTheme="majorBidi" w:cstheme="majorBidi"/>
          <w:lang w:val="en-GB"/>
        </w:rPr>
        <w:t>treason</w:t>
      </w:r>
      <w:r w:rsidR="0002287C">
        <w:rPr>
          <w:rFonts w:asciiTheme="majorBidi" w:hAnsiTheme="majorBidi" w:cstheme="majorBidi"/>
          <w:i/>
          <w:lang w:val="en-GB"/>
        </w:rPr>
        <w:t xml:space="preserve"> </w:t>
      </w:r>
      <w:r w:rsidR="0002287C">
        <w:rPr>
          <w:rFonts w:asciiTheme="majorBidi" w:hAnsiTheme="majorBidi" w:cstheme="majorBidi"/>
          <w:lang w:val="en-GB"/>
        </w:rPr>
        <w:t xml:space="preserve">rang in everyone’s ears as </w:t>
      </w:r>
      <w:r>
        <w:rPr>
          <w:rFonts w:asciiTheme="majorBidi" w:hAnsiTheme="majorBidi" w:cstheme="majorBidi"/>
          <w:lang w:val="en-GB"/>
        </w:rPr>
        <w:t xml:space="preserve">a warning to </w:t>
      </w:r>
      <w:r w:rsidR="0002287C">
        <w:rPr>
          <w:rFonts w:asciiTheme="majorBidi" w:hAnsiTheme="majorBidi" w:cstheme="majorBidi"/>
          <w:lang w:val="en-GB"/>
        </w:rPr>
        <w:t>any</w:t>
      </w:r>
      <w:r w:rsidR="00925451">
        <w:rPr>
          <w:rFonts w:asciiTheme="majorBidi" w:hAnsiTheme="majorBidi" w:cstheme="majorBidi"/>
          <w:lang w:val="en-GB"/>
        </w:rPr>
        <w:t xml:space="preserve">body showing </w:t>
      </w:r>
      <w:r>
        <w:rPr>
          <w:rFonts w:asciiTheme="majorBidi" w:hAnsiTheme="majorBidi" w:cstheme="majorBidi"/>
          <w:lang w:val="en-GB"/>
        </w:rPr>
        <w:t xml:space="preserve">disloyalty to </w:t>
      </w:r>
      <w:r w:rsidR="0002287C">
        <w:rPr>
          <w:rFonts w:asciiTheme="majorBidi" w:hAnsiTheme="majorBidi" w:cstheme="majorBidi"/>
          <w:lang w:val="en-GB"/>
        </w:rPr>
        <w:t xml:space="preserve">the </w:t>
      </w:r>
      <w:r>
        <w:rPr>
          <w:rFonts w:asciiTheme="majorBidi" w:hAnsiTheme="majorBidi" w:cstheme="majorBidi"/>
          <w:lang w:val="en-GB"/>
        </w:rPr>
        <w:t>Hungar</w:t>
      </w:r>
      <w:r w:rsidR="0002287C">
        <w:rPr>
          <w:rFonts w:asciiTheme="majorBidi" w:hAnsiTheme="majorBidi" w:cstheme="majorBidi"/>
          <w:lang w:val="en-GB"/>
        </w:rPr>
        <w:t>ian kingdom</w:t>
      </w:r>
      <w:r>
        <w:rPr>
          <w:rFonts w:asciiTheme="majorBidi" w:hAnsiTheme="majorBidi" w:cstheme="majorBidi"/>
          <w:lang w:val="en-GB"/>
        </w:rPr>
        <w:t>.</w:t>
      </w:r>
      <w:r>
        <w:rPr>
          <w:rStyle w:val="FootnoteReference"/>
          <w:rFonts w:asciiTheme="majorBidi" w:hAnsiTheme="majorBidi" w:cstheme="majorBidi"/>
          <w:lang w:val="en-GB"/>
        </w:rPr>
        <w:footnoteReference w:id="67"/>
      </w:r>
    </w:p>
    <w:p w:rsidR="00A54019" w:rsidRPr="001C44C1" w:rsidRDefault="006E4050" w:rsidP="00C25BE7">
      <w:pPr>
        <w:pStyle w:val="NormalWeb"/>
        <w:spacing w:before="0" w:beforeAutospacing="0" w:after="0" w:afterAutospacing="0" w:line="480" w:lineRule="auto"/>
        <w:ind w:firstLine="720"/>
        <w:rPr>
          <w:rFonts w:asciiTheme="majorBidi" w:hAnsiTheme="majorBidi" w:cstheme="majorBidi"/>
          <w:b/>
          <w:lang w:val="en-GB"/>
        </w:rPr>
      </w:pPr>
      <w:r>
        <w:rPr>
          <w:rFonts w:asciiTheme="majorBidi" w:hAnsiTheme="majorBidi" w:cstheme="majorBidi"/>
          <w:lang w:val="en-GB"/>
        </w:rPr>
        <w:lastRenderedPageBreak/>
        <w:t xml:space="preserve">When Miletić’s trial took place in January 1878, he entered the courtroom much changed. His formal black suit was a contrast to his very long hair and </w:t>
      </w:r>
      <w:r w:rsidR="00FF77EB">
        <w:rPr>
          <w:rFonts w:asciiTheme="majorBidi" w:hAnsiTheme="majorBidi" w:cstheme="majorBidi"/>
          <w:lang w:val="en-GB"/>
        </w:rPr>
        <w:t xml:space="preserve">a </w:t>
      </w:r>
      <w:r>
        <w:rPr>
          <w:rFonts w:asciiTheme="majorBidi" w:hAnsiTheme="majorBidi" w:cstheme="majorBidi"/>
          <w:lang w:val="en-GB"/>
        </w:rPr>
        <w:t>grey beard down to his waist; he had lost his former corpulence and was in poor health.</w:t>
      </w:r>
      <w:r>
        <w:rPr>
          <w:rStyle w:val="FootnoteReference"/>
          <w:rFonts w:asciiTheme="majorBidi" w:hAnsiTheme="majorBidi" w:cstheme="majorBidi"/>
          <w:lang w:val="en-GB"/>
        </w:rPr>
        <w:footnoteReference w:id="68"/>
      </w:r>
      <w:r>
        <w:rPr>
          <w:rFonts w:asciiTheme="majorBidi" w:hAnsiTheme="majorBidi" w:cstheme="majorBidi"/>
          <w:lang w:val="en-GB"/>
        </w:rPr>
        <w:t xml:space="preserve"> The prosecution case dominated, resting on the word of just one crown witness. The key evidence was a speech Miletić had allegedly given in a Belgrade tavern in </w:t>
      </w:r>
      <w:r w:rsidR="00B5253A">
        <w:rPr>
          <w:rFonts w:asciiTheme="majorBidi" w:hAnsiTheme="majorBidi" w:cstheme="majorBidi"/>
          <w:lang w:val="en-GB"/>
        </w:rPr>
        <w:t xml:space="preserve">Serbia in </w:t>
      </w:r>
      <w:r>
        <w:rPr>
          <w:rFonts w:asciiTheme="majorBidi" w:hAnsiTheme="majorBidi" w:cstheme="majorBidi"/>
          <w:lang w:val="en-GB"/>
        </w:rPr>
        <w:t>May 1876</w:t>
      </w:r>
      <w:r w:rsidR="00B5253A">
        <w:rPr>
          <w:rFonts w:asciiTheme="majorBidi" w:hAnsiTheme="majorBidi" w:cstheme="majorBidi"/>
          <w:lang w:val="en-GB"/>
        </w:rPr>
        <w:t>. H</w:t>
      </w:r>
      <w:r>
        <w:rPr>
          <w:rFonts w:asciiTheme="majorBidi" w:hAnsiTheme="majorBidi" w:cstheme="majorBidi"/>
          <w:lang w:val="en-GB"/>
        </w:rPr>
        <w:t xml:space="preserve">e had explained preparations for a major rebellion in Vojvodina, through which </w:t>
      </w:r>
      <w:r w:rsidR="00B5253A">
        <w:rPr>
          <w:rFonts w:asciiTheme="majorBidi" w:hAnsiTheme="majorBidi" w:cstheme="majorBidi"/>
          <w:lang w:val="en-GB"/>
        </w:rPr>
        <w:t>‘</w:t>
      </w:r>
      <w:r>
        <w:rPr>
          <w:rFonts w:asciiTheme="majorBidi" w:hAnsiTheme="majorBidi" w:cstheme="majorBidi"/>
          <w:lang w:val="en-GB"/>
        </w:rPr>
        <w:t xml:space="preserve">Mongols </w:t>
      </w:r>
      <w:r w:rsidR="00FF77EB">
        <w:rPr>
          <w:rFonts w:asciiTheme="majorBidi" w:hAnsiTheme="majorBidi" w:cstheme="majorBidi"/>
          <w:lang w:val="en-GB"/>
        </w:rPr>
        <w:t xml:space="preserve">[Magyars] </w:t>
      </w:r>
      <w:r>
        <w:rPr>
          <w:rFonts w:asciiTheme="majorBidi" w:hAnsiTheme="majorBidi" w:cstheme="majorBidi"/>
          <w:lang w:val="en-GB"/>
        </w:rPr>
        <w:t>and Serb-eaters</w:t>
      </w:r>
      <w:r w:rsidR="00B5253A">
        <w:rPr>
          <w:rFonts w:asciiTheme="majorBidi" w:hAnsiTheme="majorBidi" w:cstheme="majorBidi"/>
          <w:lang w:val="en-GB"/>
        </w:rPr>
        <w:t>’</w:t>
      </w:r>
      <w:r>
        <w:rPr>
          <w:rFonts w:asciiTheme="majorBidi" w:hAnsiTheme="majorBidi" w:cstheme="majorBidi"/>
          <w:lang w:val="en-GB"/>
        </w:rPr>
        <w:t xml:space="preserve"> would be expelled and the territory would be annexed by Serbia. Although there were many witnesses who denied that Miletić spoke these words, the court concluded that he was guilty. He had, </w:t>
      </w:r>
      <w:r w:rsidR="00FF77EB">
        <w:rPr>
          <w:rFonts w:asciiTheme="majorBidi" w:hAnsiTheme="majorBidi" w:cstheme="majorBidi"/>
          <w:lang w:val="en-GB"/>
        </w:rPr>
        <w:t xml:space="preserve">according to </w:t>
      </w:r>
      <w:r>
        <w:rPr>
          <w:rFonts w:asciiTheme="majorBidi" w:hAnsiTheme="majorBidi" w:cstheme="majorBidi"/>
          <w:lang w:val="en-GB"/>
        </w:rPr>
        <w:t xml:space="preserve">the verdict, encouraged his fellow Serbs to </w:t>
      </w:r>
      <w:r w:rsidR="00B5253A">
        <w:rPr>
          <w:rFonts w:asciiTheme="majorBidi" w:hAnsiTheme="majorBidi" w:cstheme="majorBidi"/>
          <w:lang w:val="en-GB"/>
        </w:rPr>
        <w:t>‘</w:t>
      </w:r>
      <w:r>
        <w:rPr>
          <w:rFonts w:asciiTheme="majorBidi" w:hAnsiTheme="majorBidi" w:cstheme="majorBidi"/>
          <w:lang w:val="en-GB"/>
        </w:rPr>
        <w:t>seek their national centre of gravity in another state</w:t>
      </w:r>
      <w:r w:rsidR="00B5253A">
        <w:rPr>
          <w:rFonts w:asciiTheme="majorBidi" w:hAnsiTheme="majorBidi" w:cstheme="majorBidi"/>
          <w:lang w:val="en-GB"/>
        </w:rPr>
        <w:t>’</w:t>
      </w:r>
      <w:r>
        <w:rPr>
          <w:rFonts w:asciiTheme="majorBidi" w:hAnsiTheme="majorBidi" w:cstheme="majorBidi"/>
          <w:lang w:val="en-GB"/>
        </w:rPr>
        <w:t xml:space="preserve">; even worse, he had done this as a parliamentary deputy whose first duty </w:t>
      </w:r>
      <w:r w:rsidR="00FF77EB">
        <w:rPr>
          <w:rFonts w:asciiTheme="majorBidi" w:hAnsiTheme="majorBidi" w:cstheme="majorBidi"/>
          <w:lang w:val="en-GB"/>
        </w:rPr>
        <w:t xml:space="preserve">was </w:t>
      </w:r>
      <w:r>
        <w:rPr>
          <w:rFonts w:asciiTheme="majorBidi" w:hAnsiTheme="majorBidi" w:cstheme="majorBidi"/>
          <w:lang w:val="en-GB"/>
        </w:rPr>
        <w:t>to uphold Hungary’s constitution and integrity.</w:t>
      </w:r>
      <w:r>
        <w:rPr>
          <w:rStyle w:val="FootnoteReference"/>
          <w:rFonts w:asciiTheme="majorBidi" w:hAnsiTheme="majorBidi" w:cstheme="majorBidi"/>
          <w:lang w:val="en-GB"/>
        </w:rPr>
        <w:footnoteReference w:id="69"/>
      </w:r>
      <w:r>
        <w:rPr>
          <w:rFonts w:asciiTheme="majorBidi" w:hAnsiTheme="majorBidi" w:cstheme="majorBidi"/>
          <w:lang w:val="en-GB"/>
        </w:rPr>
        <w:t xml:space="preserve"> </w:t>
      </w:r>
      <w:r w:rsidR="001C44C1">
        <w:rPr>
          <w:rFonts w:asciiTheme="majorBidi" w:hAnsiTheme="majorBidi" w:cstheme="majorBidi"/>
          <w:b/>
          <w:lang w:val="en-GB"/>
        </w:rPr>
        <w:t>[Figure 1</w:t>
      </w:r>
      <w:r w:rsidR="001426C8">
        <w:rPr>
          <w:rFonts w:asciiTheme="majorBidi" w:hAnsiTheme="majorBidi" w:cstheme="majorBidi"/>
          <w:b/>
          <w:lang w:val="en-GB"/>
        </w:rPr>
        <w:t>5</w:t>
      </w:r>
      <w:r w:rsidR="001C44C1">
        <w:rPr>
          <w:rFonts w:asciiTheme="majorBidi" w:hAnsiTheme="majorBidi" w:cstheme="majorBidi"/>
          <w:b/>
          <w:lang w:val="en-GB"/>
        </w:rPr>
        <w:t>]</w:t>
      </w:r>
    </w:p>
    <w:p w:rsidR="00E17CBE" w:rsidRDefault="003164FB"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This trial and the sentence of </w:t>
      </w:r>
      <w:r w:rsidR="00FF77EB">
        <w:rPr>
          <w:rFonts w:asciiTheme="majorBidi" w:hAnsiTheme="majorBidi" w:cstheme="majorBidi"/>
          <w:lang w:val="en-GB"/>
        </w:rPr>
        <w:t xml:space="preserve">five </w:t>
      </w:r>
      <w:r>
        <w:rPr>
          <w:rFonts w:asciiTheme="majorBidi" w:hAnsiTheme="majorBidi" w:cstheme="majorBidi"/>
          <w:lang w:val="en-GB"/>
        </w:rPr>
        <w:t>years imprisonment with hard labour effectively broke Svetozar Miletić</w:t>
      </w:r>
      <w:r w:rsidR="0090429C">
        <w:rPr>
          <w:rFonts w:asciiTheme="majorBidi" w:hAnsiTheme="majorBidi" w:cstheme="majorBidi"/>
          <w:lang w:val="en-GB"/>
        </w:rPr>
        <w:t xml:space="preserve">; when released </w:t>
      </w:r>
      <w:r>
        <w:rPr>
          <w:rFonts w:asciiTheme="majorBidi" w:hAnsiTheme="majorBidi" w:cstheme="majorBidi"/>
          <w:lang w:val="en-GB"/>
        </w:rPr>
        <w:t>he would never recover his authority in southern Hungary</w:t>
      </w:r>
      <w:r w:rsidR="00925451">
        <w:rPr>
          <w:rFonts w:asciiTheme="majorBidi" w:hAnsiTheme="majorBidi" w:cstheme="majorBidi"/>
          <w:lang w:val="en-GB"/>
        </w:rPr>
        <w:t xml:space="preserve"> or return to politics</w:t>
      </w:r>
      <w:r>
        <w:rPr>
          <w:rFonts w:asciiTheme="majorBidi" w:hAnsiTheme="majorBidi" w:cstheme="majorBidi"/>
          <w:lang w:val="en-GB"/>
        </w:rPr>
        <w:t xml:space="preserve">. </w:t>
      </w:r>
      <w:r w:rsidR="0090429C">
        <w:rPr>
          <w:rFonts w:asciiTheme="majorBidi" w:hAnsiTheme="majorBidi" w:cstheme="majorBidi"/>
          <w:lang w:val="en-GB"/>
        </w:rPr>
        <w:t>Thus for the Hungarian authorities – unlike the Austrian in the Oberdan case – the treason trial was arguably a tactical success</w:t>
      </w:r>
      <w:r w:rsidR="00FF77EB">
        <w:rPr>
          <w:rFonts w:asciiTheme="majorBidi" w:hAnsiTheme="majorBidi" w:cstheme="majorBidi"/>
          <w:lang w:val="en-GB"/>
        </w:rPr>
        <w:t xml:space="preserve"> since it broke a burgeoning </w:t>
      </w:r>
      <w:r w:rsidR="009D3BA9">
        <w:rPr>
          <w:rFonts w:asciiTheme="majorBidi" w:hAnsiTheme="majorBidi" w:cstheme="majorBidi"/>
          <w:lang w:val="en-GB"/>
        </w:rPr>
        <w:t xml:space="preserve">local </w:t>
      </w:r>
      <w:r w:rsidR="00FF77EB">
        <w:rPr>
          <w:rFonts w:asciiTheme="majorBidi" w:hAnsiTheme="majorBidi" w:cstheme="majorBidi"/>
          <w:lang w:val="en-GB"/>
        </w:rPr>
        <w:t>national</w:t>
      </w:r>
      <w:r w:rsidR="009D3BA9">
        <w:rPr>
          <w:rFonts w:asciiTheme="majorBidi" w:hAnsiTheme="majorBidi" w:cstheme="majorBidi"/>
          <w:lang w:val="en-GB"/>
        </w:rPr>
        <w:t>ist</w:t>
      </w:r>
      <w:r w:rsidR="00FF77EB">
        <w:rPr>
          <w:rFonts w:asciiTheme="majorBidi" w:hAnsiTheme="majorBidi" w:cstheme="majorBidi"/>
          <w:lang w:val="en-GB"/>
        </w:rPr>
        <w:t xml:space="preserve"> movement at a critical time</w:t>
      </w:r>
      <w:r w:rsidR="0090429C">
        <w:rPr>
          <w:rFonts w:asciiTheme="majorBidi" w:hAnsiTheme="majorBidi" w:cstheme="majorBidi"/>
          <w:lang w:val="en-GB"/>
        </w:rPr>
        <w:t xml:space="preserve">. </w:t>
      </w:r>
      <w:r w:rsidR="00847E6E">
        <w:rPr>
          <w:rFonts w:asciiTheme="majorBidi" w:hAnsiTheme="majorBidi" w:cstheme="majorBidi"/>
          <w:lang w:val="en-GB"/>
        </w:rPr>
        <w:t>More questionable was the long-term moral impact</w:t>
      </w:r>
      <w:r w:rsidR="00871331">
        <w:rPr>
          <w:rFonts w:asciiTheme="majorBidi" w:hAnsiTheme="majorBidi" w:cstheme="majorBidi"/>
          <w:lang w:val="en-GB"/>
        </w:rPr>
        <w:t xml:space="preserve"> of manipulating the </w:t>
      </w:r>
      <w:r w:rsidR="00871331">
        <w:rPr>
          <w:rFonts w:asciiTheme="majorBidi" w:hAnsiTheme="majorBidi" w:cstheme="majorBidi"/>
          <w:i/>
          <w:lang w:val="en-GB"/>
        </w:rPr>
        <w:t>Rechtsstaat</w:t>
      </w:r>
      <w:r w:rsidR="00FF77EB">
        <w:rPr>
          <w:rFonts w:asciiTheme="majorBidi" w:hAnsiTheme="majorBidi" w:cstheme="majorBidi"/>
          <w:lang w:val="en-GB"/>
        </w:rPr>
        <w:t xml:space="preserve"> in this way</w:t>
      </w:r>
      <w:r w:rsidR="00B00D93">
        <w:rPr>
          <w:rFonts w:asciiTheme="majorBidi" w:hAnsiTheme="majorBidi" w:cstheme="majorBidi"/>
          <w:lang w:val="en-GB"/>
        </w:rPr>
        <w:t xml:space="preserve">. </w:t>
      </w:r>
      <w:r w:rsidR="00FF77EB">
        <w:rPr>
          <w:rFonts w:asciiTheme="majorBidi" w:hAnsiTheme="majorBidi" w:cstheme="majorBidi"/>
          <w:lang w:val="en-GB"/>
        </w:rPr>
        <w:t>Despite what some newspapers proclaimed at the time, there had been direct political interference in the legal process</w:t>
      </w:r>
      <w:r w:rsidR="00737F68">
        <w:rPr>
          <w:rFonts w:asciiTheme="majorBidi" w:hAnsiTheme="majorBidi" w:cstheme="majorBidi"/>
          <w:lang w:val="en-GB"/>
        </w:rPr>
        <w:t xml:space="preserve">. The evidence </w:t>
      </w:r>
      <w:r w:rsidR="00D64696">
        <w:rPr>
          <w:rFonts w:asciiTheme="majorBidi" w:hAnsiTheme="majorBidi" w:cstheme="majorBidi"/>
          <w:lang w:val="en-GB"/>
        </w:rPr>
        <w:t xml:space="preserve">for a charge </w:t>
      </w:r>
      <w:r w:rsidR="00737F68">
        <w:rPr>
          <w:rFonts w:asciiTheme="majorBidi" w:hAnsiTheme="majorBidi" w:cstheme="majorBidi"/>
          <w:lang w:val="en-GB"/>
        </w:rPr>
        <w:t xml:space="preserve">had </w:t>
      </w:r>
      <w:r w:rsidR="00D64696">
        <w:rPr>
          <w:rFonts w:asciiTheme="majorBidi" w:hAnsiTheme="majorBidi" w:cstheme="majorBidi"/>
          <w:lang w:val="en-GB"/>
        </w:rPr>
        <w:t xml:space="preserve">also </w:t>
      </w:r>
      <w:r w:rsidR="00737F68">
        <w:rPr>
          <w:rFonts w:asciiTheme="majorBidi" w:hAnsiTheme="majorBidi" w:cstheme="majorBidi"/>
          <w:lang w:val="en-GB"/>
        </w:rPr>
        <w:t>not been clear at the start, forcing the investigating magistrate to gather material for over a year while the defendant remained in custody.</w:t>
      </w:r>
      <w:r w:rsidR="00D64696">
        <w:rPr>
          <w:rStyle w:val="FootnoteReference"/>
          <w:rFonts w:asciiTheme="majorBidi" w:hAnsiTheme="majorBidi" w:cstheme="majorBidi"/>
          <w:lang w:val="en-GB"/>
        </w:rPr>
        <w:footnoteReference w:id="70"/>
      </w:r>
      <w:r w:rsidR="00F060D5">
        <w:rPr>
          <w:rFonts w:asciiTheme="majorBidi" w:hAnsiTheme="majorBidi" w:cstheme="majorBidi"/>
          <w:lang w:val="en-GB"/>
        </w:rPr>
        <w:t xml:space="preserve"> As one Viennese satirical paper put it, ‘In principle Miletić had to be considered a threat to state security [</w:t>
      </w:r>
      <w:r w:rsidR="00F060D5">
        <w:rPr>
          <w:rFonts w:asciiTheme="majorBidi" w:hAnsiTheme="majorBidi" w:cstheme="majorBidi"/>
          <w:i/>
          <w:lang w:val="en-GB"/>
        </w:rPr>
        <w:t>staatsgefährlich</w:t>
      </w:r>
      <w:r w:rsidR="00F060D5">
        <w:rPr>
          <w:rFonts w:asciiTheme="majorBidi" w:hAnsiTheme="majorBidi" w:cstheme="majorBidi"/>
          <w:lang w:val="en-GB"/>
        </w:rPr>
        <w:t>], but in practice, tendentious treason trials usually end in disrepute’.</w:t>
      </w:r>
      <w:r w:rsidR="00F060D5">
        <w:rPr>
          <w:rStyle w:val="FootnoteReference"/>
          <w:rFonts w:asciiTheme="majorBidi" w:hAnsiTheme="majorBidi" w:cstheme="majorBidi"/>
          <w:lang w:val="en-GB"/>
        </w:rPr>
        <w:footnoteReference w:id="71"/>
      </w:r>
      <w:r w:rsidR="00F060D5">
        <w:rPr>
          <w:rFonts w:asciiTheme="majorBidi" w:hAnsiTheme="majorBidi" w:cstheme="majorBidi"/>
          <w:lang w:val="en-GB"/>
        </w:rPr>
        <w:t xml:space="preserve"> </w:t>
      </w:r>
      <w:r w:rsidR="00F060D5">
        <w:rPr>
          <w:rFonts w:asciiTheme="majorBidi" w:hAnsiTheme="majorBidi" w:cstheme="majorBidi"/>
          <w:i/>
          <w:lang w:val="en-GB"/>
        </w:rPr>
        <w:t xml:space="preserve"> </w:t>
      </w:r>
      <w:r w:rsidR="00737F68">
        <w:rPr>
          <w:rFonts w:asciiTheme="majorBidi" w:hAnsiTheme="majorBidi" w:cstheme="majorBidi"/>
          <w:lang w:val="en-GB"/>
        </w:rPr>
        <w:t xml:space="preserve">In </w:t>
      </w:r>
      <w:r w:rsidR="00847E6E">
        <w:rPr>
          <w:rFonts w:asciiTheme="majorBidi" w:hAnsiTheme="majorBidi" w:cstheme="majorBidi"/>
          <w:lang w:val="en-GB"/>
        </w:rPr>
        <w:lastRenderedPageBreak/>
        <w:t>the eyes of many Serbs</w:t>
      </w:r>
      <w:r w:rsidR="000F1BEE">
        <w:rPr>
          <w:rFonts w:asciiTheme="majorBidi" w:hAnsiTheme="majorBidi" w:cstheme="majorBidi"/>
          <w:lang w:val="en-GB"/>
        </w:rPr>
        <w:t xml:space="preserve"> in future generations</w:t>
      </w:r>
      <w:r w:rsidR="00871331">
        <w:rPr>
          <w:rFonts w:asciiTheme="majorBidi" w:hAnsiTheme="majorBidi" w:cstheme="majorBidi"/>
          <w:lang w:val="en-GB"/>
        </w:rPr>
        <w:t>,</w:t>
      </w:r>
      <w:r w:rsidR="00847E6E">
        <w:rPr>
          <w:rFonts w:asciiTheme="majorBidi" w:hAnsiTheme="majorBidi" w:cstheme="majorBidi"/>
          <w:lang w:val="en-GB"/>
        </w:rPr>
        <w:t xml:space="preserve"> </w:t>
      </w:r>
      <w:r w:rsidR="00417F0A">
        <w:rPr>
          <w:rFonts w:asciiTheme="majorBidi" w:hAnsiTheme="majorBidi" w:cstheme="majorBidi"/>
          <w:lang w:val="en-GB"/>
        </w:rPr>
        <w:t xml:space="preserve">this ‘traitor’ </w:t>
      </w:r>
      <w:r w:rsidR="00847E6E">
        <w:rPr>
          <w:rFonts w:asciiTheme="majorBidi" w:hAnsiTheme="majorBidi" w:cstheme="majorBidi"/>
          <w:lang w:val="en-GB"/>
        </w:rPr>
        <w:t>became a martyr to their national cause</w:t>
      </w:r>
      <w:r w:rsidR="00737F68">
        <w:rPr>
          <w:rFonts w:asciiTheme="majorBidi" w:hAnsiTheme="majorBidi" w:cstheme="majorBidi"/>
          <w:lang w:val="en-GB"/>
        </w:rPr>
        <w:t xml:space="preserve">. In 1939 an enormous bronze statue </w:t>
      </w:r>
      <w:r w:rsidR="00CD4A4C">
        <w:rPr>
          <w:rFonts w:asciiTheme="majorBidi" w:hAnsiTheme="majorBidi" w:cstheme="majorBidi"/>
          <w:lang w:val="en-GB"/>
        </w:rPr>
        <w:t xml:space="preserve">of Miletić </w:t>
      </w:r>
      <w:r w:rsidR="00737F68">
        <w:rPr>
          <w:rFonts w:asciiTheme="majorBidi" w:hAnsiTheme="majorBidi" w:cstheme="majorBidi"/>
          <w:lang w:val="en-GB"/>
        </w:rPr>
        <w:t xml:space="preserve">by </w:t>
      </w:r>
      <w:r w:rsidR="00CD4A4C">
        <w:rPr>
          <w:rFonts w:asciiTheme="majorBidi" w:hAnsiTheme="majorBidi" w:cstheme="majorBidi"/>
          <w:lang w:val="en-GB"/>
        </w:rPr>
        <w:t xml:space="preserve">the Yugoslav sculptor </w:t>
      </w:r>
      <w:r w:rsidR="00737F68">
        <w:rPr>
          <w:rFonts w:asciiTheme="majorBidi" w:hAnsiTheme="majorBidi" w:cstheme="majorBidi"/>
          <w:lang w:val="en-GB"/>
        </w:rPr>
        <w:t>Ivan Meštrović w</w:t>
      </w:r>
      <w:r w:rsidR="009D3BA9">
        <w:rPr>
          <w:rFonts w:asciiTheme="majorBidi" w:hAnsiTheme="majorBidi" w:cstheme="majorBidi"/>
          <w:lang w:val="en-GB"/>
        </w:rPr>
        <w:t>ould be</w:t>
      </w:r>
      <w:r w:rsidR="00737F68">
        <w:rPr>
          <w:rFonts w:asciiTheme="majorBidi" w:hAnsiTheme="majorBidi" w:cstheme="majorBidi"/>
          <w:lang w:val="en-GB"/>
        </w:rPr>
        <w:t xml:space="preserve"> erected in the centre of </w:t>
      </w:r>
      <w:r w:rsidR="00B00D93">
        <w:rPr>
          <w:rFonts w:asciiTheme="majorBidi" w:hAnsiTheme="majorBidi" w:cstheme="majorBidi"/>
          <w:lang w:val="en-GB"/>
        </w:rPr>
        <w:t>Novi Sad</w:t>
      </w:r>
      <w:r w:rsidR="00D17218">
        <w:rPr>
          <w:rFonts w:asciiTheme="majorBidi" w:hAnsiTheme="majorBidi" w:cstheme="majorBidi"/>
          <w:lang w:val="en-GB"/>
        </w:rPr>
        <w:t xml:space="preserve">; it </w:t>
      </w:r>
      <w:r w:rsidR="00737F68">
        <w:rPr>
          <w:rFonts w:asciiTheme="majorBidi" w:hAnsiTheme="majorBidi" w:cstheme="majorBidi"/>
          <w:lang w:val="en-GB"/>
        </w:rPr>
        <w:t>still stands there to</w:t>
      </w:r>
      <w:r w:rsidR="00B00D93">
        <w:rPr>
          <w:rFonts w:asciiTheme="majorBidi" w:hAnsiTheme="majorBidi" w:cstheme="majorBidi"/>
          <w:lang w:val="en-GB"/>
        </w:rPr>
        <w:t>day</w:t>
      </w:r>
      <w:r w:rsidR="00847E6E">
        <w:rPr>
          <w:rFonts w:asciiTheme="majorBidi" w:hAnsiTheme="majorBidi" w:cstheme="majorBidi"/>
          <w:lang w:val="en-GB"/>
        </w:rPr>
        <w:t>.</w:t>
      </w:r>
    </w:p>
    <w:p w:rsidR="008A55D5" w:rsidRPr="00C65C09" w:rsidRDefault="009D3BA9" w:rsidP="00C25BE7">
      <w:pPr>
        <w:pStyle w:val="NormalWeb"/>
        <w:spacing w:before="0" w:beforeAutospacing="0" w:after="0" w:afterAutospacing="0" w:line="480" w:lineRule="auto"/>
        <w:ind w:firstLine="720"/>
        <w:rPr>
          <w:rFonts w:asciiTheme="majorBidi" w:hAnsiTheme="majorBidi" w:cstheme="majorBidi"/>
          <w:lang w:val="en-GB"/>
        </w:rPr>
      </w:pPr>
      <w:r>
        <w:rPr>
          <w:rFonts w:asciiTheme="majorBidi" w:hAnsiTheme="majorBidi" w:cstheme="majorBidi"/>
          <w:lang w:val="en-GB"/>
        </w:rPr>
        <w:t xml:space="preserve">Nationalist traitors had been a </w:t>
      </w:r>
      <w:r w:rsidR="000645A4">
        <w:rPr>
          <w:rFonts w:asciiTheme="majorBidi" w:hAnsiTheme="majorBidi" w:cstheme="majorBidi"/>
          <w:lang w:val="en-GB"/>
        </w:rPr>
        <w:t>key</w:t>
      </w:r>
      <w:r>
        <w:rPr>
          <w:rFonts w:asciiTheme="majorBidi" w:hAnsiTheme="majorBidi" w:cstheme="majorBidi"/>
          <w:lang w:val="en-GB"/>
        </w:rPr>
        <w:t xml:space="preserve"> target of the Habsburg security services since the 1850s when Hungarians were the main focus. </w:t>
      </w:r>
      <w:r w:rsidR="000645A4">
        <w:rPr>
          <w:rFonts w:asciiTheme="majorBidi" w:hAnsiTheme="majorBidi" w:cstheme="majorBidi"/>
          <w:lang w:val="en-GB"/>
        </w:rPr>
        <w:t>From th</w:t>
      </w:r>
      <w:r w:rsidR="003273C8">
        <w:rPr>
          <w:rFonts w:asciiTheme="majorBidi" w:hAnsiTheme="majorBidi" w:cstheme="majorBidi"/>
          <w:lang w:val="en-GB"/>
        </w:rPr>
        <w:t xml:space="preserve">at time a shift occurred towards vigilance </w:t>
      </w:r>
      <w:r w:rsidR="00AD6B84">
        <w:rPr>
          <w:rFonts w:asciiTheme="majorBidi" w:hAnsiTheme="majorBidi" w:cstheme="majorBidi"/>
          <w:lang w:val="en-GB"/>
        </w:rPr>
        <w:t>over</w:t>
      </w:r>
      <w:r w:rsidR="000645A4">
        <w:rPr>
          <w:rFonts w:asciiTheme="majorBidi" w:hAnsiTheme="majorBidi" w:cstheme="majorBidi"/>
          <w:lang w:val="en-GB"/>
        </w:rPr>
        <w:t xml:space="preserve"> alleged irredentists near the eastern and Balkan frontiers</w:t>
      </w:r>
      <w:r w:rsidR="00AD6B84">
        <w:rPr>
          <w:rFonts w:asciiTheme="majorBidi" w:hAnsiTheme="majorBidi" w:cstheme="majorBidi"/>
          <w:lang w:val="en-GB"/>
        </w:rPr>
        <w:t>. T</w:t>
      </w:r>
      <w:r w:rsidR="000645A4">
        <w:rPr>
          <w:rFonts w:asciiTheme="majorBidi" w:hAnsiTheme="majorBidi" w:cstheme="majorBidi"/>
          <w:lang w:val="en-GB"/>
        </w:rPr>
        <w:t xml:space="preserve">he many trials were something of a touchstone for which regions were considered most insecure, or at least where the authorities felt particularly nervous about the evolving political scene. Indeed, §58c </w:t>
      </w:r>
      <w:r w:rsidR="00E9681B">
        <w:rPr>
          <w:rFonts w:asciiTheme="majorBidi" w:hAnsiTheme="majorBidi" w:cstheme="majorBidi"/>
          <w:lang w:val="en-GB"/>
        </w:rPr>
        <w:t>gradually became</w:t>
      </w:r>
      <w:r w:rsidR="000645A4">
        <w:rPr>
          <w:rFonts w:asciiTheme="majorBidi" w:hAnsiTheme="majorBidi" w:cstheme="majorBidi"/>
          <w:lang w:val="en-GB"/>
        </w:rPr>
        <w:t xml:space="preserve"> the most utilized treason clause</w:t>
      </w:r>
      <w:r w:rsidR="003273C8">
        <w:rPr>
          <w:rFonts w:asciiTheme="majorBidi" w:hAnsiTheme="majorBidi" w:cstheme="majorBidi"/>
          <w:lang w:val="en-GB"/>
        </w:rPr>
        <w:t xml:space="preserve"> in Austria and Croatia, even if it was often combined with §58b as well – for example in the </w:t>
      </w:r>
      <w:r w:rsidR="00D27BFD">
        <w:rPr>
          <w:rFonts w:asciiTheme="majorBidi" w:hAnsiTheme="majorBidi" w:cstheme="majorBidi"/>
          <w:lang w:val="en-GB"/>
        </w:rPr>
        <w:t xml:space="preserve">Omladina </w:t>
      </w:r>
      <w:r w:rsidR="003273C8">
        <w:rPr>
          <w:rFonts w:asciiTheme="majorBidi" w:hAnsiTheme="majorBidi" w:cstheme="majorBidi"/>
          <w:lang w:val="en-GB"/>
        </w:rPr>
        <w:t>trial of young Czech nationalists in 1894.</w:t>
      </w:r>
      <w:r w:rsidR="003273C8">
        <w:rPr>
          <w:rStyle w:val="FootnoteReference"/>
          <w:rFonts w:asciiTheme="majorBidi" w:hAnsiTheme="majorBidi" w:cstheme="majorBidi"/>
          <w:lang w:val="en-GB"/>
        </w:rPr>
        <w:footnoteReference w:id="72"/>
      </w:r>
      <w:r w:rsidR="00B16E89">
        <w:rPr>
          <w:rFonts w:asciiTheme="majorBidi" w:hAnsiTheme="majorBidi" w:cstheme="majorBidi"/>
          <w:lang w:val="en-GB"/>
        </w:rPr>
        <w:t xml:space="preserve"> And it was in Austria and Croatia that </w:t>
      </w:r>
      <w:r w:rsidR="008D7160">
        <w:rPr>
          <w:rFonts w:asciiTheme="majorBidi" w:hAnsiTheme="majorBidi" w:cstheme="majorBidi"/>
          <w:lang w:val="en-GB"/>
        </w:rPr>
        <w:t xml:space="preserve">the crime of </w:t>
      </w:r>
      <w:r w:rsidR="00B16E89">
        <w:rPr>
          <w:rFonts w:asciiTheme="majorBidi" w:hAnsiTheme="majorBidi" w:cstheme="majorBidi"/>
          <w:lang w:val="en-GB"/>
        </w:rPr>
        <w:t xml:space="preserve">treason seemed </w:t>
      </w:r>
      <w:r w:rsidR="00AD6B84">
        <w:rPr>
          <w:rFonts w:asciiTheme="majorBidi" w:hAnsiTheme="majorBidi" w:cstheme="majorBidi"/>
          <w:lang w:val="en-GB"/>
        </w:rPr>
        <w:t>particularly</w:t>
      </w:r>
      <w:r w:rsidR="00B16E89">
        <w:rPr>
          <w:rFonts w:asciiTheme="majorBidi" w:hAnsiTheme="majorBidi" w:cstheme="majorBidi"/>
          <w:lang w:val="en-GB"/>
        </w:rPr>
        <w:t xml:space="preserve"> prevalent. In Hungary</w:t>
      </w:r>
      <w:r w:rsidR="00C65C09">
        <w:rPr>
          <w:rFonts w:asciiTheme="majorBidi" w:hAnsiTheme="majorBidi" w:cstheme="majorBidi"/>
          <w:lang w:val="en-GB"/>
        </w:rPr>
        <w:t xml:space="preserve">, </w:t>
      </w:r>
      <w:r w:rsidR="00AD6B84">
        <w:rPr>
          <w:rFonts w:asciiTheme="majorBidi" w:hAnsiTheme="majorBidi" w:cstheme="majorBidi"/>
          <w:lang w:val="en-GB"/>
        </w:rPr>
        <w:t xml:space="preserve">although </w:t>
      </w:r>
      <w:r w:rsidR="00C65C09">
        <w:rPr>
          <w:rFonts w:asciiTheme="majorBidi" w:hAnsiTheme="majorBidi" w:cstheme="majorBidi"/>
          <w:lang w:val="en-GB"/>
        </w:rPr>
        <w:t xml:space="preserve">the </w:t>
      </w:r>
      <w:r w:rsidR="00F5671F">
        <w:rPr>
          <w:rFonts w:asciiTheme="majorBidi" w:hAnsiTheme="majorBidi" w:cstheme="majorBidi"/>
          <w:lang w:val="en-GB"/>
        </w:rPr>
        <w:t xml:space="preserve">official </w:t>
      </w:r>
      <w:r w:rsidR="00C65C09">
        <w:rPr>
          <w:rFonts w:asciiTheme="majorBidi" w:hAnsiTheme="majorBidi" w:cstheme="majorBidi"/>
          <w:lang w:val="en-GB"/>
        </w:rPr>
        <w:t>statistics suggest a steady trickle of treason investigations and prosecutions through the years, they were never as many as in Croatia.</w:t>
      </w:r>
      <w:r w:rsidR="00F5671F">
        <w:rPr>
          <w:rStyle w:val="FootnoteReference"/>
          <w:rFonts w:asciiTheme="majorBidi" w:hAnsiTheme="majorBidi" w:cstheme="majorBidi"/>
          <w:lang w:val="en-GB"/>
        </w:rPr>
        <w:footnoteReference w:id="73"/>
      </w:r>
      <w:r w:rsidR="00F5671F">
        <w:rPr>
          <w:rFonts w:asciiTheme="majorBidi" w:hAnsiTheme="majorBidi" w:cstheme="majorBidi"/>
          <w:lang w:val="en-GB"/>
        </w:rPr>
        <w:t xml:space="preserve"> Possibly it was </w:t>
      </w:r>
      <w:r w:rsidR="00CF3A3F">
        <w:rPr>
          <w:rFonts w:asciiTheme="majorBidi" w:hAnsiTheme="majorBidi" w:cstheme="majorBidi"/>
          <w:lang w:val="en-GB"/>
        </w:rPr>
        <w:t xml:space="preserve">evidence </w:t>
      </w:r>
      <w:r w:rsidR="00F5671F">
        <w:rPr>
          <w:rFonts w:asciiTheme="majorBidi" w:hAnsiTheme="majorBidi" w:cstheme="majorBidi"/>
          <w:lang w:val="en-GB"/>
        </w:rPr>
        <w:t xml:space="preserve">of a more confident </w:t>
      </w:r>
      <w:r w:rsidR="00AD6B84">
        <w:rPr>
          <w:rFonts w:asciiTheme="majorBidi" w:hAnsiTheme="majorBidi" w:cstheme="majorBidi"/>
          <w:lang w:val="en-GB"/>
        </w:rPr>
        <w:t xml:space="preserve">or at least ingenious </w:t>
      </w:r>
      <w:r w:rsidR="00F5671F">
        <w:rPr>
          <w:rFonts w:asciiTheme="majorBidi" w:hAnsiTheme="majorBidi" w:cstheme="majorBidi"/>
          <w:lang w:val="en-GB"/>
        </w:rPr>
        <w:t>state authority</w:t>
      </w:r>
      <w:r w:rsidR="00CF3A3F">
        <w:rPr>
          <w:rFonts w:asciiTheme="majorBidi" w:hAnsiTheme="majorBidi" w:cstheme="majorBidi"/>
          <w:lang w:val="en-GB"/>
        </w:rPr>
        <w:t>,</w:t>
      </w:r>
      <w:r w:rsidR="00F5671F">
        <w:rPr>
          <w:rFonts w:asciiTheme="majorBidi" w:hAnsiTheme="majorBidi" w:cstheme="majorBidi"/>
          <w:lang w:val="en-GB"/>
        </w:rPr>
        <w:t xml:space="preserve"> that many nationalist a</w:t>
      </w:r>
      <w:r w:rsidR="00CF3A3F">
        <w:rPr>
          <w:rFonts w:asciiTheme="majorBidi" w:hAnsiTheme="majorBidi" w:cstheme="majorBidi"/>
          <w:lang w:val="en-GB"/>
        </w:rPr>
        <w:t>ctivists</w:t>
      </w:r>
      <w:r w:rsidR="00F5671F">
        <w:rPr>
          <w:rFonts w:asciiTheme="majorBidi" w:hAnsiTheme="majorBidi" w:cstheme="majorBidi"/>
          <w:lang w:val="en-GB"/>
        </w:rPr>
        <w:t xml:space="preserve"> </w:t>
      </w:r>
      <w:r w:rsidR="0006643D">
        <w:rPr>
          <w:rFonts w:asciiTheme="majorBidi" w:hAnsiTheme="majorBidi" w:cstheme="majorBidi"/>
          <w:lang w:val="en-GB"/>
        </w:rPr>
        <w:t>in Hungary</w:t>
      </w:r>
      <w:r w:rsidR="00F5671F">
        <w:rPr>
          <w:rFonts w:asciiTheme="majorBidi" w:hAnsiTheme="majorBidi" w:cstheme="majorBidi"/>
          <w:lang w:val="en-GB"/>
        </w:rPr>
        <w:t xml:space="preserve"> were </w:t>
      </w:r>
      <w:r w:rsidR="00AD6B84">
        <w:rPr>
          <w:rFonts w:asciiTheme="majorBidi" w:hAnsiTheme="majorBidi" w:cstheme="majorBidi"/>
          <w:lang w:val="en-GB"/>
        </w:rPr>
        <w:t xml:space="preserve">convicted </w:t>
      </w:r>
      <w:r w:rsidR="00015D44">
        <w:rPr>
          <w:rFonts w:asciiTheme="majorBidi" w:hAnsiTheme="majorBidi" w:cstheme="majorBidi"/>
          <w:lang w:val="en-GB"/>
        </w:rPr>
        <w:t xml:space="preserve">not under </w:t>
      </w:r>
      <w:r w:rsidR="00F5671F">
        <w:rPr>
          <w:rFonts w:asciiTheme="majorBidi" w:hAnsiTheme="majorBidi" w:cstheme="majorBidi"/>
          <w:lang w:val="en-GB"/>
        </w:rPr>
        <w:t xml:space="preserve">treason laws but </w:t>
      </w:r>
      <w:r w:rsidR="00015D44">
        <w:rPr>
          <w:rFonts w:asciiTheme="majorBidi" w:hAnsiTheme="majorBidi" w:cstheme="majorBidi"/>
          <w:lang w:val="en-GB"/>
        </w:rPr>
        <w:t xml:space="preserve">under </w:t>
      </w:r>
      <w:r w:rsidR="00F5671F">
        <w:rPr>
          <w:rFonts w:asciiTheme="majorBidi" w:hAnsiTheme="majorBidi" w:cstheme="majorBidi"/>
          <w:lang w:val="en-GB"/>
        </w:rPr>
        <w:t>lesser laws of public disorder or sedition</w:t>
      </w:r>
      <w:r w:rsidR="0006643D">
        <w:rPr>
          <w:rFonts w:asciiTheme="majorBidi" w:hAnsiTheme="majorBidi" w:cstheme="majorBidi"/>
          <w:lang w:val="en-GB"/>
        </w:rPr>
        <w:t>. T</w:t>
      </w:r>
      <w:r w:rsidR="00AD6B84">
        <w:rPr>
          <w:rFonts w:asciiTheme="majorBidi" w:hAnsiTheme="majorBidi" w:cstheme="majorBidi"/>
          <w:lang w:val="en-GB"/>
        </w:rPr>
        <w:t>his was the case with the notorious Romanian Memorandum trial of 1894</w:t>
      </w:r>
      <w:r w:rsidR="0006643D">
        <w:rPr>
          <w:rFonts w:asciiTheme="majorBidi" w:hAnsiTheme="majorBidi" w:cstheme="majorBidi"/>
          <w:lang w:val="en-GB"/>
        </w:rPr>
        <w:t xml:space="preserve">, for </w:t>
      </w:r>
      <w:r w:rsidR="00CF3A3F">
        <w:rPr>
          <w:rFonts w:asciiTheme="majorBidi" w:hAnsiTheme="majorBidi" w:cstheme="majorBidi"/>
          <w:lang w:val="en-GB"/>
        </w:rPr>
        <w:t xml:space="preserve">the charge of </w:t>
      </w:r>
      <w:r w:rsidR="0006643D">
        <w:rPr>
          <w:rFonts w:asciiTheme="majorBidi" w:hAnsiTheme="majorBidi" w:cstheme="majorBidi"/>
          <w:lang w:val="en-GB"/>
        </w:rPr>
        <w:t xml:space="preserve">treason could be harder to prove and other </w:t>
      </w:r>
      <w:r w:rsidR="00CF3A3F">
        <w:rPr>
          <w:rFonts w:asciiTheme="majorBidi" w:hAnsiTheme="majorBidi" w:cstheme="majorBidi"/>
          <w:lang w:val="en-GB"/>
        </w:rPr>
        <w:t xml:space="preserve">legal </w:t>
      </w:r>
      <w:r w:rsidR="0006643D">
        <w:rPr>
          <w:rFonts w:asciiTheme="majorBidi" w:hAnsiTheme="majorBidi" w:cstheme="majorBidi"/>
          <w:lang w:val="en-GB"/>
        </w:rPr>
        <w:t xml:space="preserve">weapons were increasingly available </w:t>
      </w:r>
      <w:r w:rsidR="00CF3A3F">
        <w:rPr>
          <w:rFonts w:asciiTheme="majorBidi" w:hAnsiTheme="majorBidi" w:cstheme="majorBidi"/>
          <w:lang w:val="en-GB"/>
        </w:rPr>
        <w:t>to tackle serious unrest</w:t>
      </w:r>
      <w:r w:rsidR="008D7160">
        <w:rPr>
          <w:rFonts w:asciiTheme="majorBidi" w:hAnsiTheme="majorBidi" w:cstheme="majorBidi"/>
          <w:lang w:val="en-GB"/>
        </w:rPr>
        <w:t xml:space="preserve"> and silence opponents</w:t>
      </w:r>
      <w:r w:rsidR="00AD6B84">
        <w:rPr>
          <w:rFonts w:asciiTheme="majorBidi" w:hAnsiTheme="majorBidi" w:cstheme="majorBidi"/>
          <w:lang w:val="en-GB"/>
        </w:rPr>
        <w:t>.</w:t>
      </w:r>
      <w:r w:rsidR="00F5671F">
        <w:rPr>
          <w:rFonts w:asciiTheme="majorBidi" w:hAnsiTheme="majorBidi" w:cstheme="majorBidi"/>
          <w:lang w:val="en-GB"/>
        </w:rPr>
        <w:t xml:space="preserve"> </w:t>
      </w:r>
    </w:p>
    <w:p w:rsidR="009D3BA9" w:rsidRDefault="009D3BA9" w:rsidP="00C25BE7">
      <w:pPr>
        <w:pStyle w:val="NormalWeb"/>
        <w:spacing w:before="0" w:beforeAutospacing="0" w:after="0" w:afterAutospacing="0" w:line="480" w:lineRule="auto"/>
        <w:ind w:firstLine="720"/>
        <w:rPr>
          <w:rFonts w:asciiTheme="majorBidi" w:hAnsiTheme="majorBidi" w:cstheme="majorBidi"/>
          <w:lang w:val="en-GB"/>
        </w:rPr>
      </w:pPr>
    </w:p>
    <w:p w:rsidR="005B05FF" w:rsidRDefault="005B05FF" w:rsidP="0049225A">
      <w:pPr>
        <w:pStyle w:val="NormalWeb"/>
        <w:spacing w:before="0" w:beforeAutospacing="0" w:after="0" w:afterAutospacing="0" w:line="480" w:lineRule="auto"/>
        <w:rPr>
          <w:b/>
          <w:color w:val="000000"/>
          <w:lang w:val="en-GB"/>
        </w:rPr>
      </w:pPr>
      <w:r>
        <w:rPr>
          <w:b/>
          <w:color w:val="000000"/>
          <w:lang w:val="en-GB"/>
        </w:rPr>
        <w:t>Conclusion</w:t>
      </w:r>
    </w:p>
    <w:p w:rsidR="00793F75" w:rsidRDefault="00606ED4" w:rsidP="00C76E38">
      <w:pPr>
        <w:pStyle w:val="NormalWeb"/>
        <w:spacing w:before="0" w:beforeAutospacing="0" w:after="0" w:afterAutospacing="0" w:line="480" w:lineRule="auto"/>
        <w:rPr>
          <w:color w:val="000000"/>
          <w:lang w:val="en-GB"/>
        </w:rPr>
      </w:pPr>
      <w:r w:rsidRPr="0026077E">
        <w:rPr>
          <w:color w:val="000000"/>
          <w:lang w:val="en-GB"/>
        </w:rPr>
        <w:t xml:space="preserve">What </w:t>
      </w:r>
      <w:r w:rsidR="00925451">
        <w:rPr>
          <w:color w:val="000000"/>
          <w:lang w:val="en-GB"/>
        </w:rPr>
        <w:t xml:space="preserve">then </w:t>
      </w:r>
      <w:r w:rsidRPr="0026077E">
        <w:rPr>
          <w:color w:val="000000"/>
          <w:lang w:val="en-GB"/>
        </w:rPr>
        <w:t xml:space="preserve">have we learnt from this </w:t>
      </w:r>
      <w:r w:rsidR="006A29B7" w:rsidRPr="0026077E">
        <w:rPr>
          <w:color w:val="000000"/>
          <w:lang w:val="en-GB"/>
        </w:rPr>
        <w:t xml:space="preserve">typology of traitors, this </w:t>
      </w:r>
      <w:r w:rsidR="002001F3">
        <w:rPr>
          <w:color w:val="000000"/>
          <w:lang w:val="en-GB"/>
        </w:rPr>
        <w:t xml:space="preserve">stroll through </w:t>
      </w:r>
      <w:r w:rsidRPr="0026077E">
        <w:rPr>
          <w:color w:val="000000"/>
          <w:lang w:val="en-GB"/>
        </w:rPr>
        <w:t>the landscape of treason</w:t>
      </w:r>
      <w:r w:rsidR="006A29B7" w:rsidRPr="0026077E">
        <w:rPr>
          <w:color w:val="000000"/>
          <w:lang w:val="en-GB"/>
        </w:rPr>
        <w:t>?</w:t>
      </w:r>
      <w:r w:rsidR="006A29B7">
        <w:rPr>
          <w:i/>
          <w:color w:val="000000"/>
          <w:lang w:val="en-GB"/>
        </w:rPr>
        <w:t xml:space="preserve"> </w:t>
      </w:r>
      <w:r w:rsidR="000634FE">
        <w:rPr>
          <w:color w:val="000000"/>
          <w:lang w:val="en-GB"/>
        </w:rPr>
        <w:t xml:space="preserve">The </w:t>
      </w:r>
      <w:r w:rsidR="00793F75">
        <w:rPr>
          <w:color w:val="000000"/>
          <w:lang w:val="en-GB"/>
        </w:rPr>
        <w:t xml:space="preserve">vivid </w:t>
      </w:r>
      <w:r w:rsidR="000634FE">
        <w:rPr>
          <w:color w:val="000000"/>
          <w:lang w:val="en-GB"/>
        </w:rPr>
        <w:t>subject of treason</w:t>
      </w:r>
      <w:r w:rsidR="00793F75">
        <w:rPr>
          <w:color w:val="000000"/>
          <w:lang w:val="en-GB"/>
        </w:rPr>
        <w:t xml:space="preserve"> illuminates</w:t>
      </w:r>
      <w:r w:rsidR="000634FE">
        <w:rPr>
          <w:color w:val="000000"/>
          <w:lang w:val="en-GB"/>
        </w:rPr>
        <w:t xml:space="preserve"> </w:t>
      </w:r>
      <w:r w:rsidR="00ED17D5">
        <w:rPr>
          <w:color w:val="000000"/>
          <w:lang w:val="en-GB"/>
        </w:rPr>
        <w:t>the</w:t>
      </w:r>
      <w:r w:rsidR="00793F75">
        <w:rPr>
          <w:color w:val="000000"/>
          <w:lang w:val="en-GB"/>
        </w:rPr>
        <w:t xml:space="preserve"> key</w:t>
      </w:r>
      <w:r w:rsidR="000634FE">
        <w:rPr>
          <w:color w:val="000000"/>
          <w:lang w:val="en-GB"/>
        </w:rPr>
        <w:t xml:space="preserve"> power struggl</w:t>
      </w:r>
      <w:r w:rsidR="00614728">
        <w:rPr>
          <w:color w:val="000000"/>
          <w:lang w:val="en-GB"/>
        </w:rPr>
        <w:t>es</w:t>
      </w:r>
      <w:r w:rsidR="000634FE">
        <w:rPr>
          <w:color w:val="000000"/>
          <w:lang w:val="en-GB"/>
        </w:rPr>
        <w:t xml:space="preserve"> </w:t>
      </w:r>
      <w:r w:rsidR="00F50C53">
        <w:rPr>
          <w:color w:val="000000"/>
          <w:lang w:val="en-GB"/>
        </w:rPr>
        <w:t xml:space="preserve">in </w:t>
      </w:r>
      <w:r w:rsidR="002E35E5">
        <w:rPr>
          <w:color w:val="000000"/>
          <w:lang w:val="en-GB"/>
        </w:rPr>
        <w:t>any</w:t>
      </w:r>
      <w:r w:rsidR="00F50C53">
        <w:rPr>
          <w:color w:val="000000"/>
          <w:lang w:val="en-GB"/>
        </w:rPr>
        <w:t xml:space="preserve"> state</w:t>
      </w:r>
      <w:r w:rsidR="000634FE">
        <w:rPr>
          <w:color w:val="000000"/>
          <w:lang w:val="en-GB"/>
        </w:rPr>
        <w:t xml:space="preserve">. In late </w:t>
      </w:r>
      <w:r w:rsidR="00925451">
        <w:rPr>
          <w:color w:val="000000"/>
          <w:lang w:val="en-GB"/>
        </w:rPr>
        <w:lastRenderedPageBreak/>
        <w:t>nin</w:t>
      </w:r>
      <w:r w:rsidR="000878D1">
        <w:rPr>
          <w:color w:val="000000"/>
          <w:lang w:val="en-GB"/>
        </w:rPr>
        <w:t>e</w:t>
      </w:r>
      <w:r w:rsidR="00925451">
        <w:rPr>
          <w:color w:val="000000"/>
          <w:lang w:val="en-GB"/>
        </w:rPr>
        <w:t>teenth</w:t>
      </w:r>
      <w:r w:rsidR="000634FE">
        <w:rPr>
          <w:color w:val="000000"/>
          <w:vertAlign w:val="superscript"/>
          <w:lang w:val="en-GB"/>
        </w:rPr>
        <w:t xml:space="preserve"> </w:t>
      </w:r>
      <w:r w:rsidR="000634FE">
        <w:rPr>
          <w:color w:val="000000"/>
          <w:lang w:val="en-GB"/>
        </w:rPr>
        <w:t>century Austria-Hungary</w:t>
      </w:r>
      <w:r w:rsidR="000878D1">
        <w:rPr>
          <w:color w:val="000000"/>
          <w:lang w:val="en-GB"/>
        </w:rPr>
        <w:t>,</w:t>
      </w:r>
      <w:r w:rsidR="000634FE">
        <w:rPr>
          <w:color w:val="000000"/>
          <w:lang w:val="en-GB"/>
        </w:rPr>
        <w:t xml:space="preserve"> it </w:t>
      </w:r>
      <w:r w:rsidR="00793F75">
        <w:rPr>
          <w:color w:val="000000"/>
          <w:lang w:val="en-GB"/>
        </w:rPr>
        <w:t xml:space="preserve">takes us </w:t>
      </w:r>
      <w:r w:rsidR="005B4115">
        <w:rPr>
          <w:color w:val="000000"/>
          <w:lang w:val="en-GB"/>
        </w:rPr>
        <w:t xml:space="preserve">deep </w:t>
      </w:r>
      <w:r w:rsidR="000634FE">
        <w:rPr>
          <w:color w:val="000000"/>
          <w:lang w:val="en-GB"/>
        </w:rPr>
        <w:t xml:space="preserve">into the </w:t>
      </w:r>
      <w:r w:rsidR="00787A36">
        <w:rPr>
          <w:color w:val="000000"/>
          <w:lang w:val="en-GB"/>
        </w:rPr>
        <w:t xml:space="preserve">mindset of </w:t>
      </w:r>
      <w:r w:rsidR="00B157F9">
        <w:rPr>
          <w:color w:val="000000"/>
          <w:lang w:val="en-GB"/>
        </w:rPr>
        <w:t xml:space="preserve">the </w:t>
      </w:r>
      <w:r w:rsidR="000634FE">
        <w:rPr>
          <w:color w:val="000000"/>
          <w:lang w:val="en-GB"/>
        </w:rPr>
        <w:t>authorities</w:t>
      </w:r>
      <w:r w:rsidR="00F50C53">
        <w:rPr>
          <w:color w:val="000000"/>
          <w:lang w:val="en-GB"/>
        </w:rPr>
        <w:t>:</w:t>
      </w:r>
      <w:r w:rsidR="000634FE">
        <w:rPr>
          <w:color w:val="000000"/>
          <w:lang w:val="en-GB"/>
        </w:rPr>
        <w:t xml:space="preserve"> </w:t>
      </w:r>
      <w:r w:rsidR="00ED17D5">
        <w:rPr>
          <w:color w:val="000000"/>
          <w:lang w:val="en-GB"/>
        </w:rPr>
        <w:t>their</w:t>
      </w:r>
      <w:r w:rsidR="00614728">
        <w:rPr>
          <w:color w:val="000000"/>
          <w:lang w:val="en-GB"/>
        </w:rPr>
        <w:t xml:space="preserve"> </w:t>
      </w:r>
      <w:r w:rsidR="00F50C53">
        <w:rPr>
          <w:color w:val="000000"/>
          <w:lang w:val="en-GB"/>
        </w:rPr>
        <w:t>worst</w:t>
      </w:r>
      <w:r w:rsidR="000634FE">
        <w:rPr>
          <w:color w:val="000000"/>
          <w:lang w:val="en-GB"/>
        </w:rPr>
        <w:t xml:space="preserve"> </w:t>
      </w:r>
      <w:r w:rsidR="00D87220">
        <w:rPr>
          <w:color w:val="000000"/>
          <w:lang w:val="en-GB"/>
        </w:rPr>
        <w:t xml:space="preserve">security </w:t>
      </w:r>
      <w:r w:rsidR="00ED17D5">
        <w:rPr>
          <w:color w:val="000000"/>
          <w:lang w:val="en-GB"/>
        </w:rPr>
        <w:t>fears</w:t>
      </w:r>
      <w:r w:rsidR="00D87220">
        <w:rPr>
          <w:color w:val="000000"/>
          <w:lang w:val="en-GB"/>
        </w:rPr>
        <w:t xml:space="preserve"> </w:t>
      </w:r>
      <w:r w:rsidR="00614728">
        <w:rPr>
          <w:color w:val="000000"/>
          <w:lang w:val="en-GB"/>
        </w:rPr>
        <w:t>but also</w:t>
      </w:r>
      <w:r w:rsidR="00D87220">
        <w:rPr>
          <w:color w:val="000000"/>
          <w:lang w:val="en-GB"/>
        </w:rPr>
        <w:t xml:space="preserve"> </w:t>
      </w:r>
      <w:r w:rsidR="000634FE">
        <w:rPr>
          <w:color w:val="000000"/>
          <w:lang w:val="en-GB"/>
        </w:rPr>
        <w:t xml:space="preserve">how </w:t>
      </w:r>
      <w:r w:rsidR="00F50C53">
        <w:rPr>
          <w:color w:val="000000"/>
          <w:lang w:val="en-GB"/>
        </w:rPr>
        <w:t>they interpreted</w:t>
      </w:r>
      <w:r w:rsidR="000634FE">
        <w:rPr>
          <w:color w:val="000000"/>
          <w:lang w:val="en-GB"/>
        </w:rPr>
        <w:t xml:space="preserve"> law </w:t>
      </w:r>
      <w:r w:rsidR="00F50C53">
        <w:rPr>
          <w:color w:val="000000"/>
          <w:lang w:val="en-GB"/>
        </w:rPr>
        <w:t>and justice</w:t>
      </w:r>
      <w:r w:rsidR="00F0144A">
        <w:rPr>
          <w:color w:val="000000"/>
          <w:lang w:val="en-GB"/>
        </w:rPr>
        <w:t xml:space="preserve"> in an evolving constitutional system</w:t>
      </w:r>
      <w:r w:rsidR="000634FE">
        <w:rPr>
          <w:color w:val="000000"/>
          <w:lang w:val="en-GB"/>
        </w:rPr>
        <w:t>.</w:t>
      </w:r>
      <w:r w:rsidR="00793F75">
        <w:rPr>
          <w:color w:val="000000"/>
          <w:lang w:val="en-GB"/>
        </w:rPr>
        <w:t xml:space="preserve"> </w:t>
      </w:r>
      <w:r w:rsidR="00A13F82">
        <w:rPr>
          <w:color w:val="000000"/>
          <w:lang w:val="en-GB"/>
        </w:rPr>
        <w:t xml:space="preserve">In both halves of the </w:t>
      </w:r>
      <w:r w:rsidR="000F2651">
        <w:rPr>
          <w:color w:val="000000"/>
          <w:lang w:val="en-GB"/>
        </w:rPr>
        <w:t>M</w:t>
      </w:r>
      <w:r w:rsidR="00793F75">
        <w:rPr>
          <w:color w:val="000000"/>
          <w:lang w:val="en-GB"/>
        </w:rPr>
        <w:t>onarchy</w:t>
      </w:r>
      <w:r w:rsidR="00A13F82">
        <w:rPr>
          <w:color w:val="000000"/>
          <w:lang w:val="en-GB"/>
        </w:rPr>
        <w:t xml:space="preserve">, the state defined </w:t>
      </w:r>
      <w:r w:rsidR="006C3F22">
        <w:rPr>
          <w:color w:val="000000"/>
          <w:lang w:val="en-GB"/>
        </w:rPr>
        <w:t xml:space="preserve">and prosecuted </w:t>
      </w:r>
      <w:r w:rsidR="00A13F82">
        <w:rPr>
          <w:color w:val="000000"/>
          <w:lang w:val="en-GB"/>
        </w:rPr>
        <w:t xml:space="preserve">traitors according to a </w:t>
      </w:r>
      <w:r w:rsidR="006C3F22">
        <w:rPr>
          <w:color w:val="000000"/>
          <w:lang w:val="en-GB"/>
        </w:rPr>
        <w:t xml:space="preserve">small </w:t>
      </w:r>
      <w:r w:rsidR="00A13F82">
        <w:rPr>
          <w:color w:val="000000"/>
          <w:lang w:val="en-GB"/>
        </w:rPr>
        <w:t xml:space="preserve">range of treason </w:t>
      </w:r>
      <w:r w:rsidR="006C3F22">
        <w:rPr>
          <w:color w:val="000000"/>
          <w:lang w:val="en-GB"/>
        </w:rPr>
        <w:t>laws</w:t>
      </w:r>
      <w:r w:rsidR="00A13F82">
        <w:rPr>
          <w:color w:val="000000"/>
          <w:lang w:val="en-GB"/>
        </w:rPr>
        <w:t>. The language of these was quite vague</w:t>
      </w:r>
      <w:r w:rsidR="00925451">
        <w:rPr>
          <w:color w:val="000000"/>
          <w:lang w:val="en-GB"/>
        </w:rPr>
        <w:t xml:space="preserve">, </w:t>
      </w:r>
      <w:r w:rsidR="00625F2C">
        <w:rPr>
          <w:color w:val="000000"/>
          <w:lang w:val="en-GB"/>
        </w:rPr>
        <w:t xml:space="preserve">unlike </w:t>
      </w:r>
      <w:r w:rsidR="00925451">
        <w:rPr>
          <w:color w:val="000000"/>
          <w:lang w:val="en-GB"/>
        </w:rPr>
        <w:t xml:space="preserve">criteria for </w:t>
      </w:r>
      <w:r w:rsidR="00625F2C">
        <w:rPr>
          <w:color w:val="000000"/>
          <w:lang w:val="en-GB"/>
        </w:rPr>
        <w:t>the crime</w:t>
      </w:r>
      <w:r w:rsidR="00ED17D5">
        <w:rPr>
          <w:color w:val="000000"/>
          <w:lang w:val="en-GB"/>
        </w:rPr>
        <w:t>s</w:t>
      </w:r>
      <w:r w:rsidR="00625F2C">
        <w:rPr>
          <w:color w:val="000000"/>
          <w:lang w:val="en-GB"/>
        </w:rPr>
        <w:t xml:space="preserve"> of murder</w:t>
      </w:r>
      <w:r w:rsidR="000878D1">
        <w:rPr>
          <w:color w:val="000000"/>
          <w:lang w:val="en-GB"/>
        </w:rPr>
        <w:t>, arson</w:t>
      </w:r>
      <w:r w:rsidR="00ED17D5">
        <w:rPr>
          <w:color w:val="000000"/>
          <w:lang w:val="en-GB"/>
        </w:rPr>
        <w:t xml:space="preserve"> or robbery</w:t>
      </w:r>
      <w:r w:rsidR="00925008">
        <w:rPr>
          <w:color w:val="000000"/>
          <w:lang w:val="en-GB"/>
        </w:rPr>
        <w:t xml:space="preserve">, and </w:t>
      </w:r>
      <w:r w:rsidR="000F2651">
        <w:rPr>
          <w:color w:val="000000"/>
          <w:lang w:val="en-GB"/>
        </w:rPr>
        <w:t xml:space="preserve">the vagueness was </w:t>
      </w:r>
      <w:r w:rsidR="00925008">
        <w:rPr>
          <w:color w:val="000000"/>
          <w:lang w:val="en-GB"/>
        </w:rPr>
        <w:t xml:space="preserve">exacerbated </w:t>
      </w:r>
      <w:r w:rsidR="000F2651">
        <w:rPr>
          <w:color w:val="000000"/>
          <w:lang w:val="en-GB"/>
        </w:rPr>
        <w:t>because</w:t>
      </w:r>
      <w:r w:rsidR="00925008">
        <w:rPr>
          <w:color w:val="000000"/>
          <w:lang w:val="en-GB"/>
        </w:rPr>
        <w:t xml:space="preserve"> an intended treasonable act was equivalent to carrying out the deed itself</w:t>
      </w:r>
      <w:r w:rsidR="00625F2C">
        <w:rPr>
          <w:color w:val="000000"/>
          <w:lang w:val="en-GB"/>
        </w:rPr>
        <w:t xml:space="preserve">. </w:t>
      </w:r>
      <w:r w:rsidR="00925008">
        <w:rPr>
          <w:color w:val="000000"/>
          <w:lang w:val="en-GB"/>
        </w:rPr>
        <w:t>This</w:t>
      </w:r>
      <w:r w:rsidR="006C3F22">
        <w:rPr>
          <w:color w:val="000000"/>
          <w:lang w:val="en-GB"/>
        </w:rPr>
        <w:t xml:space="preserve"> always </w:t>
      </w:r>
      <w:r w:rsidR="00B72885">
        <w:rPr>
          <w:color w:val="000000"/>
          <w:lang w:val="en-GB"/>
        </w:rPr>
        <w:t>made possible</w:t>
      </w:r>
      <w:r w:rsidR="00A13F82">
        <w:rPr>
          <w:color w:val="000000"/>
          <w:lang w:val="en-GB"/>
        </w:rPr>
        <w:t xml:space="preserve"> </w:t>
      </w:r>
      <w:r w:rsidR="00625F2C">
        <w:rPr>
          <w:color w:val="000000"/>
          <w:lang w:val="en-GB"/>
        </w:rPr>
        <w:t xml:space="preserve">some </w:t>
      </w:r>
      <w:r w:rsidR="00A13F82">
        <w:rPr>
          <w:color w:val="000000"/>
          <w:lang w:val="en-GB"/>
        </w:rPr>
        <w:t>legal ‘construction</w:t>
      </w:r>
      <w:r w:rsidR="00925008">
        <w:rPr>
          <w:color w:val="000000"/>
          <w:lang w:val="en-GB"/>
        </w:rPr>
        <w:t>’ in the courts</w:t>
      </w:r>
      <w:r w:rsidR="00A13F82">
        <w:rPr>
          <w:color w:val="000000"/>
          <w:lang w:val="en-GB"/>
        </w:rPr>
        <w:t xml:space="preserve"> </w:t>
      </w:r>
      <w:r w:rsidR="006C3F22">
        <w:rPr>
          <w:color w:val="000000"/>
          <w:lang w:val="en-GB"/>
        </w:rPr>
        <w:t xml:space="preserve">in order to </w:t>
      </w:r>
      <w:r w:rsidR="00A13F82">
        <w:rPr>
          <w:color w:val="000000"/>
          <w:lang w:val="en-GB"/>
        </w:rPr>
        <w:t xml:space="preserve">secure a conviction. </w:t>
      </w:r>
      <w:r w:rsidR="00606F94">
        <w:rPr>
          <w:color w:val="000000"/>
          <w:lang w:val="en-GB"/>
        </w:rPr>
        <w:t xml:space="preserve">The result was that already by the 1870s </w:t>
      </w:r>
      <w:r w:rsidR="00A13F82">
        <w:rPr>
          <w:color w:val="000000"/>
          <w:lang w:val="en-GB"/>
        </w:rPr>
        <w:t>contemporaries</w:t>
      </w:r>
      <w:r w:rsidR="00793F75">
        <w:rPr>
          <w:color w:val="000000"/>
          <w:lang w:val="en-GB"/>
        </w:rPr>
        <w:t xml:space="preserve"> </w:t>
      </w:r>
      <w:r w:rsidR="00A13F82">
        <w:rPr>
          <w:color w:val="000000"/>
          <w:lang w:val="en-GB"/>
        </w:rPr>
        <w:t xml:space="preserve">were complaining about the </w:t>
      </w:r>
      <w:r w:rsidR="00195349">
        <w:rPr>
          <w:color w:val="000000"/>
          <w:lang w:val="en-GB"/>
        </w:rPr>
        <w:t xml:space="preserve">Austro-Hungarian </w:t>
      </w:r>
      <w:r w:rsidR="00A13F82">
        <w:rPr>
          <w:color w:val="000000"/>
          <w:lang w:val="en-GB"/>
        </w:rPr>
        <w:t>treason laws</w:t>
      </w:r>
      <w:r w:rsidR="00C76E38">
        <w:rPr>
          <w:color w:val="000000"/>
          <w:lang w:val="en-GB"/>
        </w:rPr>
        <w:t xml:space="preserve">, </w:t>
      </w:r>
      <w:r w:rsidR="00743592">
        <w:rPr>
          <w:color w:val="000000"/>
          <w:lang w:val="en-GB"/>
        </w:rPr>
        <w:t xml:space="preserve">criticizing them as dating </w:t>
      </w:r>
      <w:r w:rsidR="00793F75">
        <w:rPr>
          <w:color w:val="000000"/>
          <w:lang w:val="en-GB"/>
        </w:rPr>
        <w:t xml:space="preserve">from </w:t>
      </w:r>
      <w:r w:rsidR="00A13F82">
        <w:rPr>
          <w:color w:val="000000"/>
          <w:lang w:val="en-GB"/>
        </w:rPr>
        <w:t xml:space="preserve">the decade of </w:t>
      </w:r>
      <w:r w:rsidR="00743592">
        <w:rPr>
          <w:color w:val="000000"/>
          <w:lang w:val="en-GB"/>
        </w:rPr>
        <w:t>neo-</w:t>
      </w:r>
      <w:r w:rsidR="00A13F82">
        <w:rPr>
          <w:color w:val="000000"/>
          <w:lang w:val="en-GB"/>
        </w:rPr>
        <w:t xml:space="preserve">absolutism in the 1850s or </w:t>
      </w:r>
      <w:r w:rsidR="00625F2C">
        <w:rPr>
          <w:color w:val="000000"/>
          <w:lang w:val="en-GB"/>
        </w:rPr>
        <w:t xml:space="preserve">even </w:t>
      </w:r>
      <w:r w:rsidR="00A13F82">
        <w:rPr>
          <w:color w:val="000000"/>
          <w:lang w:val="en-GB"/>
        </w:rPr>
        <w:t>earlier</w:t>
      </w:r>
      <w:r w:rsidR="00925451">
        <w:rPr>
          <w:color w:val="000000"/>
          <w:lang w:val="en-GB"/>
        </w:rPr>
        <w:t>; t</w:t>
      </w:r>
      <w:r w:rsidR="003874C7">
        <w:rPr>
          <w:color w:val="000000"/>
          <w:lang w:val="en-GB"/>
        </w:rPr>
        <w:t>hey</w:t>
      </w:r>
      <w:r w:rsidR="00A13F82">
        <w:rPr>
          <w:color w:val="000000"/>
          <w:lang w:val="en-GB"/>
        </w:rPr>
        <w:t xml:space="preserve"> </w:t>
      </w:r>
      <w:r w:rsidR="00ED17D5">
        <w:rPr>
          <w:color w:val="000000"/>
          <w:lang w:val="en-GB"/>
        </w:rPr>
        <w:t xml:space="preserve">were not </w:t>
      </w:r>
      <w:r w:rsidR="009477DB">
        <w:rPr>
          <w:color w:val="000000"/>
          <w:lang w:val="en-GB"/>
        </w:rPr>
        <w:t xml:space="preserve">fit for purpose </w:t>
      </w:r>
      <w:r w:rsidR="00A13F82">
        <w:rPr>
          <w:color w:val="000000"/>
          <w:lang w:val="en-GB"/>
        </w:rPr>
        <w:t xml:space="preserve">to match the </w:t>
      </w:r>
      <w:r w:rsidR="00C76E38">
        <w:rPr>
          <w:color w:val="000000"/>
          <w:lang w:val="en-GB"/>
        </w:rPr>
        <w:t>new social contract</w:t>
      </w:r>
      <w:r w:rsidR="00A13F82">
        <w:rPr>
          <w:color w:val="000000"/>
          <w:lang w:val="en-GB"/>
        </w:rPr>
        <w:t xml:space="preserve"> between </w:t>
      </w:r>
      <w:r w:rsidR="009477DB">
        <w:rPr>
          <w:color w:val="000000"/>
          <w:lang w:val="en-GB"/>
        </w:rPr>
        <w:t xml:space="preserve">a constitutional </w:t>
      </w:r>
      <w:r w:rsidR="00A13F82">
        <w:rPr>
          <w:color w:val="000000"/>
          <w:lang w:val="en-GB"/>
        </w:rPr>
        <w:t>regime and citizen</w:t>
      </w:r>
      <w:r w:rsidR="009477DB">
        <w:rPr>
          <w:color w:val="000000"/>
          <w:lang w:val="en-GB"/>
        </w:rPr>
        <w:t>s who expected more freedom of expression</w:t>
      </w:r>
      <w:r w:rsidR="00A13F82">
        <w:rPr>
          <w:color w:val="000000"/>
          <w:lang w:val="en-GB"/>
        </w:rPr>
        <w:t>.</w:t>
      </w:r>
      <w:r w:rsidR="00793F75">
        <w:rPr>
          <w:color w:val="000000"/>
          <w:lang w:val="en-GB"/>
        </w:rPr>
        <w:t xml:space="preserve"> </w:t>
      </w:r>
      <w:r w:rsidR="00C4534F">
        <w:rPr>
          <w:color w:val="000000"/>
          <w:lang w:val="en-GB"/>
        </w:rPr>
        <w:t>Although</w:t>
      </w:r>
      <w:r w:rsidR="0081296B">
        <w:rPr>
          <w:color w:val="000000"/>
          <w:lang w:val="en-GB"/>
        </w:rPr>
        <w:t xml:space="preserve"> Hungary’s law was </w:t>
      </w:r>
      <w:r w:rsidR="000F2651">
        <w:rPr>
          <w:color w:val="000000"/>
          <w:lang w:val="en-GB"/>
        </w:rPr>
        <w:t xml:space="preserve">indeed </w:t>
      </w:r>
      <w:r w:rsidR="0081296B">
        <w:rPr>
          <w:color w:val="000000"/>
          <w:lang w:val="en-GB"/>
        </w:rPr>
        <w:t xml:space="preserve">updated and modernized </w:t>
      </w:r>
      <w:r w:rsidR="00A60E92">
        <w:rPr>
          <w:color w:val="000000"/>
          <w:lang w:val="en-GB"/>
        </w:rPr>
        <w:t>with</w:t>
      </w:r>
      <w:r w:rsidR="0081296B">
        <w:rPr>
          <w:color w:val="000000"/>
          <w:lang w:val="en-GB"/>
        </w:rPr>
        <w:t xml:space="preserve"> its criminal code of 1878</w:t>
      </w:r>
      <w:r w:rsidR="000F2651">
        <w:rPr>
          <w:color w:val="000000"/>
          <w:lang w:val="en-GB"/>
        </w:rPr>
        <w:t xml:space="preserve"> (supplying a wider range of legal instruments to handle sedition or </w:t>
      </w:r>
      <w:r w:rsidR="00195349">
        <w:rPr>
          <w:color w:val="000000"/>
          <w:lang w:val="en-GB"/>
        </w:rPr>
        <w:t xml:space="preserve">social </w:t>
      </w:r>
      <w:r w:rsidR="000F2651">
        <w:rPr>
          <w:color w:val="000000"/>
          <w:lang w:val="en-GB"/>
        </w:rPr>
        <w:t>unrest)</w:t>
      </w:r>
      <w:r w:rsidR="0081296B">
        <w:rPr>
          <w:color w:val="000000"/>
          <w:lang w:val="en-GB"/>
        </w:rPr>
        <w:t>, in Austria and Croatia §</w:t>
      </w:r>
      <w:r w:rsidR="00925451">
        <w:rPr>
          <w:color w:val="000000"/>
          <w:lang w:val="en-GB"/>
        </w:rPr>
        <w:t>58 remain</w:t>
      </w:r>
      <w:r w:rsidR="00C4534F">
        <w:rPr>
          <w:color w:val="000000"/>
          <w:lang w:val="en-GB"/>
        </w:rPr>
        <w:t>ed</w:t>
      </w:r>
      <w:r w:rsidR="00925451">
        <w:rPr>
          <w:color w:val="000000"/>
          <w:lang w:val="en-GB"/>
        </w:rPr>
        <w:t xml:space="preserve"> unrevised </w:t>
      </w:r>
      <w:r w:rsidR="0081296B">
        <w:rPr>
          <w:color w:val="000000"/>
          <w:lang w:val="en-GB"/>
        </w:rPr>
        <w:t xml:space="preserve">and </w:t>
      </w:r>
      <w:r w:rsidR="00C4534F">
        <w:rPr>
          <w:color w:val="000000"/>
          <w:lang w:val="en-GB"/>
        </w:rPr>
        <w:t xml:space="preserve">it would be </w:t>
      </w:r>
      <w:r w:rsidR="0081296B">
        <w:rPr>
          <w:color w:val="000000"/>
          <w:lang w:val="en-GB"/>
        </w:rPr>
        <w:t xml:space="preserve">utilized </w:t>
      </w:r>
      <w:r w:rsidR="00C4534F">
        <w:rPr>
          <w:color w:val="000000"/>
          <w:lang w:val="en-GB"/>
        </w:rPr>
        <w:t xml:space="preserve">repeatedly </w:t>
      </w:r>
      <w:r w:rsidR="00925451">
        <w:rPr>
          <w:color w:val="000000"/>
          <w:lang w:val="en-GB"/>
        </w:rPr>
        <w:t>until the dissolution of the Monarchy in 1918.</w:t>
      </w:r>
      <w:r w:rsidR="000F2651">
        <w:rPr>
          <w:color w:val="000000"/>
          <w:lang w:val="en-GB"/>
        </w:rPr>
        <w:t xml:space="preserve"> </w:t>
      </w:r>
    </w:p>
    <w:p w:rsidR="00793F75" w:rsidRDefault="00E1177E" w:rsidP="00793F75">
      <w:pPr>
        <w:pStyle w:val="NormalWeb"/>
        <w:spacing w:before="0" w:beforeAutospacing="0" w:after="0" w:afterAutospacing="0" w:line="480" w:lineRule="auto"/>
        <w:ind w:firstLine="720"/>
        <w:rPr>
          <w:color w:val="000000"/>
          <w:lang w:val="en-GB"/>
        </w:rPr>
      </w:pPr>
      <w:r>
        <w:rPr>
          <w:color w:val="000000"/>
          <w:lang w:val="en-GB"/>
        </w:rPr>
        <w:t xml:space="preserve">Of the three types of traitor </w:t>
      </w:r>
      <w:r w:rsidR="00A97D8A">
        <w:rPr>
          <w:color w:val="000000"/>
          <w:lang w:val="en-GB"/>
        </w:rPr>
        <w:t xml:space="preserve">we have </w:t>
      </w:r>
      <w:r w:rsidR="00925451">
        <w:rPr>
          <w:color w:val="000000"/>
          <w:lang w:val="en-GB"/>
        </w:rPr>
        <w:t>examined</w:t>
      </w:r>
      <w:r>
        <w:rPr>
          <w:color w:val="000000"/>
          <w:lang w:val="en-GB"/>
        </w:rPr>
        <w:t xml:space="preserve">, the most </w:t>
      </w:r>
      <w:r w:rsidR="00925451">
        <w:rPr>
          <w:color w:val="000000"/>
          <w:lang w:val="en-GB"/>
        </w:rPr>
        <w:t xml:space="preserve">generic and </w:t>
      </w:r>
      <w:r>
        <w:rPr>
          <w:color w:val="000000"/>
          <w:lang w:val="en-GB"/>
        </w:rPr>
        <w:t xml:space="preserve">clear-cut in law was the assassin. </w:t>
      </w:r>
      <w:r w:rsidR="00245A3F">
        <w:rPr>
          <w:color w:val="000000"/>
          <w:lang w:val="en-GB"/>
        </w:rPr>
        <w:t xml:space="preserve">The other two types </w:t>
      </w:r>
      <w:r w:rsidR="00A97D8A">
        <w:rPr>
          <w:color w:val="000000"/>
          <w:lang w:val="en-GB"/>
        </w:rPr>
        <w:t xml:space="preserve">– </w:t>
      </w:r>
      <w:r w:rsidR="00390118">
        <w:rPr>
          <w:color w:val="000000"/>
          <w:lang w:val="en-GB"/>
        </w:rPr>
        <w:t xml:space="preserve">the </w:t>
      </w:r>
      <w:r w:rsidR="00A97D8A">
        <w:rPr>
          <w:color w:val="000000"/>
          <w:lang w:val="en-GB"/>
        </w:rPr>
        <w:t xml:space="preserve">socialist and </w:t>
      </w:r>
      <w:r w:rsidR="00390118">
        <w:rPr>
          <w:color w:val="000000"/>
          <w:lang w:val="en-GB"/>
        </w:rPr>
        <w:t xml:space="preserve">the </w:t>
      </w:r>
      <w:r w:rsidR="00A97D8A">
        <w:rPr>
          <w:color w:val="000000"/>
          <w:lang w:val="en-GB"/>
        </w:rPr>
        <w:t xml:space="preserve">nationalist - </w:t>
      </w:r>
      <w:r w:rsidR="00C422BE">
        <w:rPr>
          <w:color w:val="000000"/>
          <w:lang w:val="en-GB"/>
        </w:rPr>
        <w:t xml:space="preserve">were peculiar to Austria-Hungary’s </w:t>
      </w:r>
      <w:r w:rsidR="00282875">
        <w:rPr>
          <w:color w:val="000000"/>
          <w:lang w:val="en-GB"/>
        </w:rPr>
        <w:t xml:space="preserve">evolving </w:t>
      </w:r>
      <w:r w:rsidR="00C422BE">
        <w:rPr>
          <w:color w:val="000000"/>
          <w:lang w:val="en-GB"/>
        </w:rPr>
        <w:t>security fears</w:t>
      </w:r>
      <w:r w:rsidR="00925451">
        <w:rPr>
          <w:color w:val="000000"/>
          <w:lang w:val="en-GB"/>
        </w:rPr>
        <w:t xml:space="preserve"> in different decades</w:t>
      </w:r>
      <w:r w:rsidR="00E93460">
        <w:rPr>
          <w:color w:val="000000"/>
          <w:lang w:val="en-GB"/>
        </w:rPr>
        <w:t xml:space="preserve">. </w:t>
      </w:r>
      <w:r w:rsidR="00A97D8A">
        <w:rPr>
          <w:color w:val="000000"/>
          <w:lang w:val="en-GB"/>
        </w:rPr>
        <w:t>The public prosecutors</w:t>
      </w:r>
      <w:r w:rsidR="004C1CAD">
        <w:rPr>
          <w:color w:val="000000"/>
          <w:lang w:val="en-GB"/>
        </w:rPr>
        <w:t xml:space="preserve"> had to argue a particular construction of treason law in order to </w:t>
      </w:r>
      <w:r w:rsidR="00A97D8A">
        <w:rPr>
          <w:color w:val="000000"/>
          <w:lang w:val="en-GB"/>
        </w:rPr>
        <w:t>indict</w:t>
      </w:r>
      <w:r w:rsidR="004C1CAD">
        <w:rPr>
          <w:color w:val="000000"/>
          <w:lang w:val="en-GB"/>
        </w:rPr>
        <w:t xml:space="preserve"> </w:t>
      </w:r>
      <w:r w:rsidR="00500A5E">
        <w:rPr>
          <w:color w:val="000000"/>
          <w:lang w:val="en-GB"/>
        </w:rPr>
        <w:t>th</w:t>
      </w:r>
      <w:r w:rsidR="0002332C">
        <w:rPr>
          <w:color w:val="000000"/>
          <w:lang w:val="en-GB"/>
        </w:rPr>
        <w:t>ose subversives</w:t>
      </w:r>
      <w:r w:rsidR="004C1CAD">
        <w:rPr>
          <w:color w:val="000000"/>
          <w:lang w:val="en-GB"/>
        </w:rPr>
        <w:t xml:space="preserve"> as </w:t>
      </w:r>
      <w:r w:rsidR="00793F75">
        <w:rPr>
          <w:color w:val="000000"/>
          <w:lang w:val="en-GB"/>
        </w:rPr>
        <w:t xml:space="preserve">violent </w:t>
      </w:r>
      <w:r w:rsidR="0002332C">
        <w:rPr>
          <w:color w:val="000000"/>
          <w:lang w:val="en-GB"/>
        </w:rPr>
        <w:t xml:space="preserve">state </w:t>
      </w:r>
      <w:r w:rsidR="004C1CAD">
        <w:rPr>
          <w:color w:val="000000"/>
          <w:lang w:val="en-GB"/>
        </w:rPr>
        <w:t>enemies</w:t>
      </w:r>
      <w:r w:rsidR="00925451">
        <w:rPr>
          <w:color w:val="000000"/>
          <w:lang w:val="en-GB"/>
        </w:rPr>
        <w:t>, and</w:t>
      </w:r>
      <w:r w:rsidR="00A97D8A">
        <w:rPr>
          <w:color w:val="000000"/>
          <w:lang w:val="en-GB"/>
        </w:rPr>
        <w:t xml:space="preserve"> th</w:t>
      </w:r>
      <w:r w:rsidR="00793F75">
        <w:rPr>
          <w:color w:val="000000"/>
          <w:lang w:val="en-GB"/>
        </w:rPr>
        <w:t>is</w:t>
      </w:r>
      <w:r w:rsidR="00F50C53">
        <w:rPr>
          <w:color w:val="000000"/>
          <w:lang w:val="en-GB"/>
        </w:rPr>
        <w:t xml:space="preserve"> often meant </w:t>
      </w:r>
      <w:r w:rsidR="00925451">
        <w:rPr>
          <w:color w:val="000000"/>
          <w:lang w:val="en-GB"/>
        </w:rPr>
        <w:t xml:space="preserve">overt </w:t>
      </w:r>
      <w:r w:rsidR="00F50C53">
        <w:rPr>
          <w:color w:val="000000"/>
          <w:lang w:val="en-GB"/>
        </w:rPr>
        <w:t>political interference in the l</w:t>
      </w:r>
      <w:r w:rsidR="00282875">
        <w:rPr>
          <w:color w:val="000000"/>
          <w:lang w:val="en-GB"/>
        </w:rPr>
        <w:t xml:space="preserve">egal process. </w:t>
      </w:r>
      <w:r w:rsidR="00793F75">
        <w:rPr>
          <w:color w:val="000000"/>
          <w:lang w:val="en-GB"/>
        </w:rPr>
        <w:t xml:space="preserve">In other words, </w:t>
      </w:r>
      <w:r w:rsidR="00A97D8A">
        <w:rPr>
          <w:color w:val="000000"/>
          <w:lang w:val="en-GB"/>
        </w:rPr>
        <w:t xml:space="preserve">from early on </w:t>
      </w:r>
      <w:r w:rsidR="00793F75">
        <w:rPr>
          <w:color w:val="000000"/>
          <w:lang w:val="en-GB"/>
        </w:rPr>
        <w:t>t</w:t>
      </w:r>
      <w:r w:rsidR="00282875">
        <w:rPr>
          <w:color w:val="000000"/>
          <w:lang w:val="en-GB"/>
        </w:rPr>
        <w:t xml:space="preserve">he </w:t>
      </w:r>
      <w:r w:rsidR="00A97D8A">
        <w:rPr>
          <w:color w:val="000000"/>
          <w:lang w:val="en-GB"/>
        </w:rPr>
        <w:t xml:space="preserve">idea </w:t>
      </w:r>
      <w:r w:rsidR="00793F75">
        <w:rPr>
          <w:color w:val="000000"/>
          <w:lang w:val="en-GB"/>
        </w:rPr>
        <w:t xml:space="preserve">of an </w:t>
      </w:r>
      <w:r w:rsidR="00F50C53">
        <w:rPr>
          <w:color w:val="000000"/>
          <w:lang w:val="en-GB"/>
        </w:rPr>
        <w:t xml:space="preserve">independent judiciary </w:t>
      </w:r>
      <w:r w:rsidR="00A97D8A">
        <w:rPr>
          <w:color w:val="000000"/>
          <w:lang w:val="en-GB"/>
        </w:rPr>
        <w:t xml:space="preserve">or </w:t>
      </w:r>
      <w:r w:rsidR="00F50C53">
        <w:rPr>
          <w:i/>
          <w:color w:val="000000"/>
          <w:lang w:val="en-GB"/>
        </w:rPr>
        <w:t>Rechtsstaat</w:t>
      </w:r>
      <w:r w:rsidR="00282875">
        <w:rPr>
          <w:i/>
          <w:color w:val="000000"/>
          <w:lang w:val="en-GB"/>
        </w:rPr>
        <w:t xml:space="preserve"> </w:t>
      </w:r>
      <w:r w:rsidR="00282875">
        <w:rPr>
          <w:color w:val="000000"/>
          <w:lang w:val="en-GB"/>
        </w:rPr>
        <w:t>was severely compromised</w:t>
      </w:r>
      <w:r w:rsidR="00A97D8A">
        <w:rPr>
          <w:color w:val="000000"/>
          <w:lang w:val="en-GB"/>
        </w:rPr>
        <w:t xml:space="preserve"> in the eyes of </w:t>
      </w:r>
      <w:r w:rsidR="0002332C">
        <w:rPr>
          <w:color w:val="000000"/>
          <w:lang w:val="en-GB"/>
        </w:rPr>
        <w:t xml:space="preserve">citizens who were </w:t>
      </w:r>
      <w:r w:rsidR="007725FF">
        <w:rPr>
          <w:color w:val="000000"/>
          <w:lang w:val="en-GB"/>
        </w:rPr>
        <w:t xml:space="preserve">not </w:t>
      </w:r>
      <w:r w:rsidR="00925451">
        <w:rPr>
          <w:color w:val="000000"/>
          <w:lang w:val="en-GB"/>
        </w:rPr>
        <w:t xml:space="preserve">otherwise </w:t>
      </w:r>
      <w:r w:rsidR="0002332C">
        <w:rPr>
          <w:color w:val="000000"/>
          <w:lang w:val="en-GB"/>
        </w:rPr>
        <w:t xml:space="preserve">inherently hostile to the </w:t>
      </w:r>
      <w:r w:rsidR="007725FF">
        <w:rPr>
          <w:color w:val="000000"/>
          <w:lang w:val="en-GB"/>
        </w:rPr>
        <w:lastRenderedPageBreak/>
        <w:t xml:space="preserve">Habsburg </w:t>
      </w:r>
      <w:proofErr w:type="gramStart"/>
      <w:r w:rsidR="0002332C">
        <w:rPr>
          <w:color w:val="000000"/>
          <w:lang w:val="en-GB"/>
        </w:rPr>
        <w:t>empire</w:t>
      </w:r>
      <w:proofErr w:type="gramEnd"/>
      <w:r w:rsidR="00A97D8A">
        <w:rPr>
          <w:color w:val="000000"/>
          <w:lang w:val="en-GB"/>
        </w:rPr>
        <w:t>.</w:t>
      </w:r>
      <w:r w:rsidR="00390118">
        <w:rPr>
          <w:color w:val="000000"/>
          <w:lang w:val="en-GB"/>
        </w:rPr>
        <w:t xml:space="preserve"> It would increasingly make young </w:t>
      </w:r>
      <w:r w:rsidR="00C54AF5">
        <w:rPr>
          <w:color w:val="000000"/>
          <w:lang w:val="en-GB"/>
        </w:rPr>
        <w:t xml:space="preserve">progressive </w:t>
      </w:r>
      <w:r w:rsidR="00390118">
        <w:rPr>
          <w:color w:val="000000"/>
          <w:lang w:val="en-GB"/>
        </w:rPr>
        <w:t>lawyers suspicious of the regime under which they worked.</w:t>
      </w:r>
      <w:r w:rsidR="00390118">
        <w:rPr>
          <w:rStyle w:val="FootnoteReference"/>
          <w:color w:val="000000"/>
          <w:lang w:val="en-GB"/>
        </w:rPr>
        <w:footnoteReference w:id="74"/>
      </w:r>
    </w:p>
    <w:p w:rsidR="00793F75" w:rsidRDefault="007725FF" w:rsidP="007B2366">
      <w:pPr>
        <w:pStyle w:val="NormalWeb"/>
        <w:spacing w:before="0" w:beforeAutospacing="0" w:after="0" w:afterAutospacing="0" w:line="480" w:lineRule="auto"/>
        <w:ind w:firstLine="720"/>
        <w:rPr>
          <w:color w:val="000000"/>
          <w:lang w:val="en-GB"/>
        </w:rPr>
      </w:pPr>
      <w:r>
        <w:rPr>
          <w:color w:val="000000"/>
          <w:lang w:val="en-GB"/>
        </w:rPr>
        <w:t>Of course t</w:t>
      </w:r>
      <w:r w:rsidR="00793F75">
        <w:rPr>
          <w:color w:val="000000"/>
          <w:lang w:val="en-GB"/>
        </w:rPr>
        <w:t>reason</w:t>
      </w:r>
      <w:r w:rsidR="00952B82">
        <w:rPr>
          <w:color w:val="000000"/>
          <w:lang w:val="en-GB"/>
        </w:rPr>
        <w:t xml:space="preserve"> law </w:t>
      </w:r>
      <w:r w:rsidR="00500A5E">
        <w:rPr>
          <w:color w:val="000000"/>
          <w:lang w:val="en-GB"/>
        </w:rPr>
        <w:t xml:space="preserve">did </w:t>
      </w:r>
      <w:r w:rsidR="00952B82">
        <w:rPr>
          <w:color w:val="000000"/>
          <w:lang w:val="en-GB"/>
        </w:rPr>
        <w:t xml:space="preserve">prove useful when the state </w:t>
      </w:r>
      <w:r w:rsidR="00925451">
        <w:rPr>
          <w:color w:val="000000"/>
          <w:lang w:val="en-GB"/>
        </w:rPr>
        <w:t xml:space="preserve">needed to deal with </w:t>
      </w:r>
      <w:r w:rsidR="00952B82">
        <w:rPr>
          <w:color w:val="000000"/>
          <w:lang w:val="en-GB"/>
        </w:rPr>
        <w:t>violent anarchists</w:t>
      </w:r>
      <w:r w:rsidR="00925451">
        <w:rPr>
          <w:color w:val="000000"/>
          <w:lang w:val="en-GB"/>
        </w:rPr>
        <w:t xml:space="preserve"> threatening the state community</w:t>
      </w:r>
      <w:r w:rsidR="00952B82">
        <w:rPr>
          <w:color w:val="000000"/>
          <w:lang w:val="en-GB"/>
        </w:rPr>
        <w:t xml:space="preserve">, </w:t>
      </w:r>
      <w:r w:rsidR="00793F75">
        <w:rPr>
          <w:color w:val="000000"/>
          <w:lang w:val="en-GB"/>
        </w:rPr>
        <w:t xml:space="preserve">but </w:t>
      </w:r>
      <w:r w:rsidR="0063638A">
        <w:rPr>
          <w:color w:val="000000"/>
          <w:lang w:val="en-GB"/>
        </w:rPr>
        <w:t xml:space="preserve">it was dangerous </w:t>
      </w:r>
      <w:r w:rsidR="00E839A0">
        <w:rPr>
          <w:color w:val="000000"/>
          <w:lang w:val="en-GB"/>
        </w:rPr>
        <w:t xml:space="preserve">to wield this </w:t>
      </w:r>
      <w:r w:rsidR="0063638A">
        <w:rPr>
          <w:color w:val="000000"/>
          <w:lang w:val="en-GB"/>
        </w:rPr>
        <w:t xml:space="preserve">blunt </w:t>
      </w:r>
      <w:r w:rsidR="00E839A0">
        <w:rPr>
          <w:color w:val="000000"/>
          <w:lang w:val="en-GB"/>
        </w:rPr>
        <w:t xml:space="preserve">instrument against whole groups </w:t>
      </w:r>
      <w:r w:rsidR="00500A5E">
        <w:rPr>
          <w:color w:val="000000"/>
          <w:lang w:val="en-GB"/>
        </w:rPr>
        <w:t>or new ideologies</w:t>
      </w:r>
      <w:r w:rsidR="00E839A0">
        <w:rPr>
          <w:color w:val="000000"/>
          <w:lang w:val="en-GB"/>
        </w:rPr>
        <w:t xml:space="preserve">. </w:t>
      </w:r>
      <w:r w:rsidR="00AE4512">
        <w:rPr>
          <w:color w:val="000000"/>
          <w:lang w:val="en-GB"/>
        </w:rPr>
        <w:t xml:space="preserve">For in stigmatizing </w:t>
      </w:r>
      <w:r w:rsidR="007B2366">
        <w:rPr>
          <w:color w:val="000000"/>
          <w:lang w:val="en-GB"/>
        </w:rPr>
        <w:t>g</w:t>
      </w:r>
      <w:r w:rsidR="00AE4512">
        <w:rPr>
          <w:color w:val="000000"/>
          <w:lang w:val="en-GB"/>
        </w:rPr>
        <w:t xml:space="preserve">roup </w:t>
      </w:r>
      <w:r w:rsidR="00500A5E">
        <w:rPr>
          <w:color w:val="000000"/>
          <w:lang w:val="en-GB"/>
        </w:rPr>
        <w:t>leaders</w:t>
      </w:r>
      <w:r w:rsidR="007B2366">
        <w:rPr>
          <w:color w:val="000000"/>
          <w:lang w:val="en-GB"/>
        </w:rPr>
        <w:t xml:space="preserve"> – whether socialist or nationalist -</w:t>
      </w:r>
      <w:r w:rsidR="00E93460">
        <w:rPr>
          <w:color w:val="000000"/>
          <w:lang w:val="en-GB"/>
        </w:rPr>
        <w:t xml:space="preserve"> </w:t>
      </w:r>
      <w:r w:rsidR="00AE4512">
        <w:rPr>
          <w:color w:val="000000"/>
          <w:lang w:val="en-GB"/>
        </w:rPr>
        <w:t xml:space="preserve">the treason trial could </w:t>
      </w:r>
      <w:r w:rsidR="00925451">
        <w:rPr>
          <w:color w:val="000000"/>
          <w:lang w:val="en-GB"/>
        </w:rPr>
        <w:t xml:space="preserve">always </w:t>
      </w:r>
      <w:r w:rsidR="00AE4512">
        <w:rPr>
          <w:color w:val="000000"/>
          <w:lang w:val="en-GB"/>
        </w:rPr>
        <w:t>backfire</w:t>
      </w:r>
      <w:r w:rsidR="00A97D8A">
        <w:rPr>
          <w:color w:val="000000"/>
          <w:lang w:val="en-GB"/>
        </w:rPr>
        <w:t>.</w:t>
      </w:r>
      <w:r w:rsidR="007C0CB7">
        <w:rPr>
          <w:color w:val="000000"/>
          <w:lang w:val="en-GB"/>
        </w:rPr>
        <w:t xml:space="preserve"> </w:t>
      </w:r>
      <w:r w:rsidR="007B2366">
        <w:rPr>
          <w:color w:val="000000"/>
          <w:lang w:val="en-GB"/>
        </w:rPr>
        <w:t xml:space="preserve">The </w:t>
      </w:r>
      <w:r w:rsidR="00096095">
        <w:rPr>
          <w:color w:val="000000"/>
          <w:lang w:val="en-GB"/>
        </w:rPr>
        <w:t>Habsburg regional authorities</w:t>
      </w:r>
      <w:r w:rsidR="007B2366">
        <w:rPr>
          <w:color w:val="000000"/>
          <w:lang w:val="en-GB"/>
        </w:rPr>
        <w:t xml:space="preserve"> never </w:t>
      </w:r>
      <w:r w:rsidR="00CA7636">
        <w:rPr>
          <w:color w:val="000000"/>
          <w:lang w:val="en-GB"/>
        </w:rPr>
        <w:t>learn</w:t>
      </w:r>
      <w:r w:rsidR="007B2366">
        <w:rPr>
          <w:color w:val="000000"/>
          <w:lang w:val="en-GB"/>
        </w:rPr>
        <w:t>t</w:t>
      </w:r>
      <w:r w:rsidR="00CA7636">
        <w:rPr>
          <w:color w:val="000000"/>
          <w:lang w:val="en-GB"/>
        </w:rPr>
        <w:t xml:space="preserve"> this lesson</w:t>
      </w:r>
      <w:r w:rsidR="007B2366">
        <w:rPr>
          <w:color w:val="000000"/>
          <w:lang w:val="en-GB"/>
        </w:rPr>
        <w:t>,</w:t>
      </w:r>
      <w:r w:rsidR="0019159E">
        <w:rPr>
          <w:color w:val="000000"/>
          <w:lang w:val="en-GB"/>
        </w:rPr>
        <w:t xml:space="preserve"> </w:t>
      </w:r>
      <w:r w:rsidR="00925451">
        <w:rPr>
          <w:color w:val="000000"/>
          <w:lang w:val="en-GB"/>
        </w:rPr>
        <w:t xml:space="preserve">proceeding to organize </w:t>
      </w:r>
      <w:r w:rsidR="00CA7636">
        <w:rPr>
          <w:color w:val="000000"/>
          <w:lang w:val="en-GB"/>
        </w:rPr>
        <w:t>trea</w:t>
      </w:r>
      <w:r w:rsidR="002B3952">
        <w:rPr>
          <w:color w:val="000000"/>
          <w:lang w:val="en-GB"/>
        </w:rPr>
        <w:t xml:space="preserve">son trials </w:t>
      </w:r>
      <w:r w:rsidR="00925451">
        <w:rPr>
          <w:color w:val="000000"/>
          <w:lang w:val="en-GB"/>
        </w:rPr>
        <w:t xml:space="preserve">of various discontented groups </w:t>
      </w:r>
      <w:r w:rsidR="00A97D8A">
        <w:rPr>
          <w:color w:val="000000"/>
          <w:lang w:val="en-GB"/>
        </w:rPr>
        <w:t>w</w:t>
      </w:r>
      <w:r w:rsidR="00925451">
        <w:rPr>
          <w:color w:val="000000"/>
          <w:lang w:val="en-GB"/>
        </w:rPr>
        <w:t xml:space="preserve">ell into the twentieth </w:t>
      </w:r>
      <w:r w:rsidR="002B3952">
        <w:rPr>
          <w:color w:val="000000"/>
          <w:lang w:val="en-GB"/>
        </w:rPr>
        <w:t xml:space="preserve">century. </w:t>
      </w:r>
      <w:r w:rsidR="00925451">
        <w:rPr>
          <w:color w:val="000000"/>
          <w:lang w:val="en-GB"/>
        </w:rPr>
        <w:t>Often this was a tactic to instil obedience and discipline rather than a charge based on a solid body of evidence. Thus, for</w:t>
      </w:r>
      <w:r w:rsidR="008B5250">
        <w:rPr>
          <w:color w:val="000000"/>
          <w:lang w:val="en-GB"/>
        </w:rPr>
        <w:t xml:space="preserve"> all those </w:t>
      </w:r>
      <w:r w:rsidR="007B2366">
        <w:rPr>
          <w:color w:val="000000"/>
          <w:lang w:val="en-GB"/>
        </w:rPr>
        <w:t>‘</w:t>
      </w:r>
      <w:r w:rsidR="008B5250">
        <w:rPr>
          <w:color w:val="000000"/>
          <w:lang w:val="en-GB"/>
        </w:rPr>
        <w:t>traitors</w:t>
      </w:r>
      <w:r w:rsidR="007B2366">
        <w:rPr>
          <w:color w:val="000000"/>
          <w:lang w:val="en-GB"/>
        </w:rPr>
        <w:t>’</w:t>
      </w:r>
      <w:r w:rsidR="008B5250">
        <w:rPr>
          <w:color w:val="000000"/>
          <w:lang w:val="en-GB"/>
        </w:rPr>
        <w:t xml:space="preserve"> who were </w:t>
      </w:r>
      <w:r w:rsidR="002A1009" w:rsidRPr="00925451">
        <w:rPr>
          <w:color w:val="000000"/>
          <w:lang w:val="en-GB"/>
        </w:rPr>
        <w:t xml:space="preserve">justly </w:t>
      </w:r>
      <w:r w:rsidR="007B2366">
        <w:rPr>
          <w:color w:val="000000"/>
          <w:lang w:val="en-GB"/>
        </w:rPr>
        <w:t>eliminated</w:t>
      </w:r>
      <w:r w:rsidR="008B5250">
        <w:rPr>
          <w:color w:val="000000"/>
          <w:lang w:val="en-GB"/>
        </w:rPr>
        <w:t xml:space="preserve"> from society, many others </w:t>
      </w:r>
      <w:r w:rsidR="002A1009">
        <w:rPr>
          <w:color w:val="000000"/>
          <w:lang w:val="en-GB"/>
        </w:rPr>
        <w:t xml:space="preserve">suffered a miscarriage of justice. They </w:t>
      </w:r>
      <w:r w:rsidR="00925451">
        <w:rPr>
          <w:color w:val="000000"/>
          <w:lang w:val="en-GB"/>
        </w:rPr>
        <w:t xml:space="preserve">might </w:t>
      </w:r>
      <w:r w:rsidR="00C54AF5">
        <w:rPr>
          <w:color w:val="000000"/>
          <w:lang w:val="en-GB"/>
        </w:rPr>
        <w:t xml:space="preserve">then </w:t>
      </w:r>
      <w:r w:rsidR="00925451">
        <w:rPr>
          <w:color w:val="000000"/>
          <w:lang w:val="en-GB"/>
        </w:rPr>
        <w:t>wear</w:t>
      </w:r>
      <w:r w:rsidR="007B2366">
        <w:rPr>
          <w:color w:val="000000"/>
          <w:lang w:val="en-GB"/>
        </w:rPr>
        <w:t xml:space="preserve"> their badge of </w:t>
      </w:r>
      <w:r w:rsidR="002A1009">
        <w:rPr>
          <w:color w:val="000000"/>
          <w:lang w:val="en-GB"/>
        </w:rPr>
        <w:t>‘</w:t>
      </w:r>
      <w:r w:rsidR="007B2366">
        <w:rPr>
          <w:color w:val="000000"/>
          <w:lang w:val="en-GB"/>
        </w:rPr>
        <w:t>traitor</w:t>
      </w:r>
      <w:r w:rsidR="002A1009">
        <w:rPr>
          <w:color w:val="000000"/>
          <w:lang w:val="en-GB"/>
        </w:rPr>
        <w:t>’</w:t>
      </w:r>
      <w:r w:rsidR="007B2366">
        <w:rPr>
          <w:color w:val="000000"/>
          <w:lang w:val="en-GB"/>
        </w:rPr>
        <w:t xml:space="preserve"> with pride, attaining martyr status i</w:t>
      </w:r>
      <w:r w:rsidR="00925451">
        <w:rPr>
          <w:color w:val="000000"/>
          <w:lang w:val="en-GB"/>
        </w:rPr>
        <w:t xml:space="preserve">f the </w:t>
      </w:r>
      <w:r w:rsidR="00A97D8A">
        <w:rPr>
          <w:color w:val="000000"/>
          <w:lang w:val="en-GB"/>
        </w:rPr>
        <w:t>power st</w:t>
      </w:r>
      <w:r w:rsidR="00925451">
        <w:rPr>
          <w:color w:val="000000"/>
          <w:lang w:val="en-GB"/>
        </w:rPr>
        <w:t>ruggle was unresolved</w:t>
      </w:r>
      <w:r w:rsidR="009B36C6">
        <w:rPr>
          <w:color w:val="000000"/>
          <w:lang w:val="en-GB"/>
        </w:rPr>
        <w:t xml:space="preserve">, as was </w:t>
      </w:r>
      <w:r w:rsidR="00C54AF5">
        <w:rPr>
          <w:color w:val="000000"/>
          <w:lang w:val="en-GB"/>
        </w:rPr>
        <w:t xml:space="preserve">so often </w:t>
      </w:r>
      <w:r w:rsidR="009B36C6">
        <w:rPr>
          <w:color w:val="000000"/>
          <w:lang w:val="en-GB"/>
        </w:rPr>
        <w:t xml:space="preserve">the case </w:t>
      </w:r>
      <w:r w:rsidR="00C54AF5">
        <w:rPr>
          <w:color w:val="000000"/>
          <w:lang w:val="en-GB"/>
        </w:rPr>
        <w:t>w</w:t>
      </w:r>
      <w:r w:rsidR="009B36C6">
        <w:rPr>
          <w:color w:val="000000"/>
          <w:lang w:val="en-GB"/>
        </w:rPr>
        <w:t xml:space="preserve">ith nationalist </w:t>
      </w:r>
      <w:r w:rsidR="00A60E92">
        <w:rPr>
          <w:color w:val="000000"/>
          <w:lang w:val="en-GB"/>
        </w:rPr>
        <w:t>agitation</w:t>
      </w:r>
      <w:r w:rsidR="00925451">
        <w:rPr>
          <w:color w:val="000000"/>
          <w:lang w:val="en-GB"/>
        </w:rPr>
        <w:t>.</w:t>
      </w:r>
    </w:p>
    <w:p w:rsidR="00C54AF5" w:rsidRDefault="00C54AF5" w:rsidP="007B2366">
      <w:pPr>
        <w:pStyle w:val="NormalWeb"/>
        <w:spacing w:before="0" w:beforeAutospacing="0" w:after="0" w:afterAutospacing="0" w:line="480" w:lineRule="auto"/>
        <w:ind w:firstLine="720"/>
        <w:rPr>
          <w:color w:val="000000"/>
          <w:lang w:val="en-GB"/>
        </w:rPr>
      </w:pPr>
      <w:r>
        <w:rPr>
          <w:color w:val="000000"/>
          <w:lang w:val="en-GB"/>
        </w:rPr>
        <w:t xml:space="preserve">It is useful in the late Habsburg imperial context to think about which state prosecutions of ‘traitors’ would be supported widely by the general public. Usually it was the types who were assassins or anarchists – in other words, individuals prepared to use extreme violence which harmed the community and endangered public security. To use the language of </w:t>
      </w:r>
      <w:proofErr w:type="spellStart"/>
      <w:r>
        <w:rPr>
          <w:color w:val="000000"/>
          <w:lang w:val="en-GB"/>
        </w:rPr>
        <w:t>Avishai</w:t>
      </w:r>
      <w:proofErr w:type="spellEnd"/>
      <w:r>
        <w:rPr>
          <w:color w:val="000000"/>
          <w:lang w:val="en-GB"/>
        </w:rPr>
        <w:t xml:space="preserve"> </w:t>
      </w:r>
      <w:proofErr w:type="spellStart"/>
      <w:r>
        <w:rPr>
          <w:color w:val="000000"/>
          <w:lang w:val="en-GB"/>
        </w:rPr>
        <w:t>Margalit</w:t>
      </w:r>
      <w:proofErr w:type="spellEnd"/>
      <w:r>
        <w:rPr>
          <w:color w:val="000000"/>
          <w:lang w:val="en-GB"/>
        </w:rPr>
        <w:t xml:space="preserve">, the ‘thick relationships’ existing between members of society could </w:t>
      </w:r>
      <w:r w:rsidR="00E513EE">
        <w:rPr>
          <w:color w:val="000000"/>
          <w:lang w:val="en-GB"/>
        </w:rPr>
        <w:t xml:space="preserve">be </w:t>
      </w:r>
      <w:r>
        <w:rPr>
          <w:color w:val="000000"/>
          <w:lang w:val="en-GB"/>
        </w:rPr>
        <w:t xml:space="preserve">betrayed by such aliens in </w:t>
      </w:r>
      <w:r w:rsidR="000B75FB">
        <w:rPr>
          <w:color w:val="000000"/>
          <w:lang w:val="en-GB"/>
        </w:rPr>
        <w:t xml:space="preserve">the </w:t>
      </w:r>
      <w:r w:rsidR="00953E74">
        <w:rPr>
          <w:color w:val="000000"/>
          <w:lang w:val="en-GB"/>
        </w:rPr>
        <w:t>community</w:t>
      </w:r>
      <w:r>
        <w:rPr>
          <w:color w:val="000000"/>
          <w:lang w:val="en-GB"/>
        </w:rPr>
        <w:t xml:space="preserve"> </w:t>
      </w:r>
      <w:r w:rsidR="001D7E2D">
        <w:rPr>
          <w:color w:val="000000"/>
          <w:lang w:val="en-GB"/>
        </w:rPr>
        <w:t>who were transgressing accepted values.</w:t>
      </w:r>
      <w:r w:rsidR="00B47642">
        <w:rPr>
          <w:rStyle w:val="FootnoteReference"/>
          <w:color w:val="000000"/>
          <w:lang w:val="en-GB"/>
        </w:rPr>
        <w:footnoteReference w:id="75"/>
      </w:r>
      <w:r w:rsidR="001D7E2D">
        <w:rPr>
          <w:color w:val="000000"/>
          <w:lang w:val="en-GB"/>
        </w:rPr>
        <w:t xml:space="preserve"> In contrast</w:t>
      </w:r>
      <w:r w:rsidR="00B97206">
        <w:rPr>
          <w:color w:val="000000"/>
          <w:lang w:val="en-GB"/>
        </w:rPr>
        <w:t xml:space="preserve">, when the state prosecuted socialists or </w:t>
      </w:r>
      <w:r w:rsidR="000B75FB">
        <w:rPr>
          <w:color w:val="000000"/>
          <w:lang w:val="en-GB"/>
        </w:rPr>
        <w:t xml:space="preserve">regional </w:t>
      </w:r>
      <w:r w:rsidR="00B97206">
        <w:rPr>
          <w:color w:val="000000"/>
          <w:lang w:val="en-GB"/>
        </w:rPr>
        <w:t xml:space="preserve">nationalists as traitors, the thick relationships </w:t>
      </w:r>
      <w:r w:rsidR="000B75FB">
        <w:rPr>
          <w:color w:val="000000"/>
          <w:lang w:val="en-GB"/>
        </w:rPr>
        <w:t xml:space="preserve">which potentially united </w:t>
      </w:r>
      <w:r w:rsidR="00953E74">
        <w:rPr>
          <w:color w:val="000000"/>
          <w:lang w:val="en-GB"/>
        </w:rPr>
        <w:t xml:space="preserve">citizens </w:t>
      </w:r>
      <w:r w:rsidR="00B97206">
        <w:rPr>
          <w:color w:val="000000"/>
          <w:lang w:val="en-GB"/>
        </w:rPr>
        <w:t>across the empire began to falter</w:t>
      </w:r>
      <w:r w:rsidR="00E513EE">
        <w:rPr>
          <w:color w:val="000000"/>
          <w:lang w:val="en-GB"/>
        </w:rPr>
        <w:t xml:space="preserve">. There were often too many members of society who </w:t>
      </w:r>
      <w:r w:rsidR="00953E74">
        <w:rPr>
          <w:color w:val="000000"/>
          <w:lang w:val="en-GB"/>
        </w:rPr>
        <w:t xml:space="preserve">sympathized with </w:t>
      </w:r>
      <w:r w:rsidR="00E513EE">
        <w:rPr>
          <w:color w:val="000000"/>
          <w:lang w:val="en-GB"/>
        </w:rPr>
        <w:t xml:space="preserve">the values of </w:t>
      </w:r>
      <w:r w:rsidR="000B75FB">
        <w:rPr>
          <w:color w:val="000000"/>
          <w:lang w:val="en-GB"/>
        </w:rPr>
        <w:t>socialism</w:t>
      </w:r>
      <w:r w:rsidR="00E513EE">
        <w:rPr>
          <w:color w:val="000000"/>
          <w:lang w:val="en-GB"/>
        </w:rPr>
        <w:t xml:space="preserve"> or </w:t>
      </w:r>
      <w:r w:rsidR="000B75FB">
        <w:rPr>
          <w:color w:val="000000"/>
          <w:lang w:val="en-GB"/>
        </w:rPr>
        <w:t xml:space="preserve">regional </w:t>
      </w:r>
      <w:r w:rsidR="00E513EE">
        <w:rPr>
          <w:color w:val="000000"/>
          <w:lang w:val="en-GB"/>
        </w:rPr>
        <w:t>nationalis</w:t>
      </w:r>
      <w:r w:rsidR="000B75FB">
        <w:rPr>
          <w:color w:val="000000"/>
          <w:lang w:val="en-GB"/>
        </w:rPr>
        <w:t>m</w:t>
      </w:r>
      <w:r w:rsidR="00E513EE">
        <w:rPr>
          <w:color w:val="000000"/>
          <w:lang w:val="en-GB"/>
        </w:rPr>
        <w:t xml:space="preserve"> for the label of </w:t>
      </w:r>
      <w:r w:rsidR="00E720F1">
        <w:rPr>
          <w:color w:val="000000"/>
          <w:lang w:val="en-GB"/>
        </w:rPr>
        <w:t>‘</w:t>
      </w:r>
      <w:r w:rsidR="00E513EE">
        <w:rPr>
          <w:color w:val="000000"/>
          <w:lang w:val="en-GB"/>
        </w:rPr>
        <w:t>traitor</w:t>
      </w:r>
      <w:r w:rsidR="00E720F1">
        <w:rPr>
          <w:color w:val="000000"/>
          <w:lang w:val="en-GB"/>
        </w:rPr>
        <w:t>’</w:t>
      </w:r>
      <w:r w:rsidR="00E513EE">
        <w:rPr>
          <w:color w:val="000000"/>
          <w:lang w:val="en-GB"/>
        </w:rPr>
        <w:t xml:space="preserve"> to seem valid or justified. </w:t>
      </w:r>
      <w:r w:rsidR="00E720F1">
        <w:rPr>
          <w:color w:val="000000"/>
          <w:lang w:val="en-GB"/>
        </w:rPr>
        <w:t xml:space="preserve">Thus, treason trials exposed </w:t>
      </w:r>
      <w:r w:rsidR="00953E74">
        <w:rPr>
          <w:color w:val="000000"/>
          <w:lang w:val="en-GB"/>
        </w:rPr>
        <w:t xml:space="preserve">the social and national </w:t>
      </w:r>
      <w:r w:rsidR="00E720F1">
        <w:rPr>
          <w:color w:val="000000"/>
          <w:lang w:val="en-GB"/>
        </w:rPr>
        <w:t>fissures across the empire even though</w:t>
      </w:r>
      <w:r w:rsidR="004070FF">
        <w:rPr>
          <w:color w:val="000000"/>
          <w:lang w:val="en-GB"/>
        </w:rPr>
        <w:t>, ironically,</w:t>
      </w:r>
      <w:r w:rsidR="00E720F1">
        <w:rPr>
          <w:color w:val="000000"/>
          <w:lang w:val="en-GB"/>
        </w:rPr>
        <w:t xml:space="preserve"> many in the Habsburg </w:t>
      </w:r>
      <w:r w:rsidR="00E720F1">
        <w:rPr>
          <w:color w:val="000000"/>
          <w:lang w:val="en-GB"/>
        </w:rPr>
        <w:lastRenderedPageBreak/>
        <w:t xml:space="preserve">regime </w:t>
      </w:r>
      <w:r w:rsidR="000B75FB">
        <w:rPr>
          <w:color w:val="000000"/>
          <w:lang w:val="en-GB"/>
        </w:rPr>
        <w:t>continued to v</w:t>
      </w:r>
      <w:r w:rsidR="00E720F1">
        <w:rPr>
          <w:color w:val="000000"/>
          <w:lang w:val="en-GB"/>
        </w:rPr>
        <w:t xml:space="preserve">iew such trials as </w:t>
      </w:r>
      <w:r w:rsidR="004070FF">
        <w:rPr>
          <w:color w:val="000000"/>
          <w:lang w:val="en-GB"/>
        </w:rPr>
        <w:t xml:space="preserve">a </w:t>
      </w:r>
      <w:r w:rsidR="00953E74">
        <w:rPr>
          <w:color w:val="000000"/>
          <w:lang w:val="en-GB"/>
        </w:rPr>
        <w:t xml:space="preserve">useful </w:t>
      </w:r>
      <w:r w:rsidR="004070FF">
        <w:rPr>
          <w:color w:val="000000"/>
          <w:lang w:val="en-GB"/>
        </w:rPr>
        <w:t xml:space="preserve">means of imposing discipline and unity </w:t>
      </w:r>
      <w:r w:rsidR="00953E74">
        <w:rPr>
          <w:color w:val="000000"/>
          <w:lang w:val="en-GB"/>
        </w:rPr>
        <w:t>up</w:t>
      </w:r>
      <w:r w:rsidR="004070FF">
        <w:rPr>
          <w:color w:val="000000"/>
          <w:lang w:val="en-GB"/>
        </w:rPr>
        <w:t>on their citizens.</w:t>
      </w:r>
    </w:p>
    <w:p w:rsidR="00F92446" w:rsidRDefault="004070FF" w:rsidP="007B2366">
      <w:pPr>
        <w:pStyle w:val="NormalWeb"/>
        <w:spacing w:before="0" w:beforeAutospacing="0" w:after="0" w:afterAutospacing="0" w:line="480" w:lineRule="auto"/>
        <w:ind w:firstLine="720"/>
        <w:rPr>
          <w:color w:val="000000"/>
          <w:lang w:val="en-GB"/>
        </w:rPr>
      </w:pPr>
      <w:r>
        <w:rPr>
          <w:color w:val="000000"/>
          <w:lang w:val="en-GB"/>
        </w:rPr>
        <w:t>The</w:t>
      </w:r>
      <w:r w:rsidR="00A97D8A">
        <w:rPr>
          <w:color w:val="000000"/>
          <w:lang w:val="en-GB"/>
        </w:rPr>
        <w:t xml:space="preserve"> evidence suggests that Austria-Hungary, an empire</w:t>
      </w:r>
      <w:r w:rsidR="00D2227B">
        <w:rPr>
          <w:color w:val="000000"/>
          <w:lang w:val="en-GB"/>
        </w:rPr>
        <w:t xml:space="preserve"> </w:t>
      </w:r>
      <w:r w:rsidR="00E93460">
        <w:rPr>
          <w:color w:val="000000"/>
          <w:lang w:val="en-GB"/>
        </w:rPr>
        <w:t xml:space="preserve">beset by </w:t>
      </w:r>
      <w:r w:rsidR="00670252">
        <w:rPr>
          <w:color w:val="000000"/>
          <w:lang w:val="en-GB"/>
        </w:rPr>
        <w:t>n</w:t>
      </w:r>
      <w:r w:rsidR="00AF3B2F">
        <w:rPr>
          <w:color w:val="000000"/>
          <w:lang w:val="en-GB"/>
        </w:rPr>
        <w:t>ew domestic and foreign dangers</w:t>
      </w:r>
      <w:r w:rsidR="00D2227B">
        <w:rPr>
          <w:color w:val="000000"/>
          <w:lang w:val="en-GB"/>
        </w:rPr>
        <w:t xml:space="preserve">, </w:t>
      </w:r>
      <w:r w:rsidR="00A97D8A">
        <w:rPr>
          <w:color w:val="000000"/>
          <w:lang w:val="en-GB"/>
        </w:rPr>
        <w:t xml:space="preserve">was more inclined than other European Powers to </w:t>
      </w:r>
      <w:r w:rsidR="00D110CA">
        <w:rPr>
          <w:color w:val="000000"/>
          <w:lang w:val="en-GB"/>
        </w:rPr>
        <w:t>exploit</w:t>
      </w:r>
      <w:r w:rsidR="00A97D8A">
        <w:rPr>
          <w:color w:val="000000"/>
          <w:lang w:val="en-GB"/>
        </w:rPr>
        <w:t xml:space="preserve"> its treason law</w:t>
      </w:r>
      <w:r w:rsidR="00187114">
        <w:rPr>
          <w:color w:val="000000"/>
          <w:lang w:val="en-GB"/>
        </w:rPr>
        <w:t>s.</w:t>
      </w:r>
      <w:r w:rsidR="00A97D8A">
        <w:rPr>
          <w:color w:val="000000"/>
          <w:lang w:val="en-GB"/>
        </w:rPr>
        <w:t xml:space="preserve"> P</w:t>
      </w:r>
      <w:r w:rsidR="00D110CA">
        <w:rPr>
          <w:color w:val="000000"/>
          <w:lang w:val="en-GB"/>
        </w:rPr>
        <w:t>ossibly</w:t>
      </w:r>
      <w:r w:rsidR="00A97D8A">
        <w:rPr>
          <w:color w:val="000000"/>
          <w:lang w:val="en-GB"/>
        </w:rPr>
        <w:t xml:space="preserve"> this was because</w:t>
      </w:r>
      <w:r w:rsidR="00ED6FA1">
        <w:rPr>
          <w:color w:val="000000"/>
          <w:lang w:val="en-GB"/>
        </w:rPr>
        <w:t>,</w:t>
      </w:r>
      <w:r w:rsidR="00A97D8A">
        <w:rPr>
          <w:color w:val="000000"/>
          <w:lang w:val="en-GB"/>
        </w:rPr>
        <w:t xml:space="preserve"> unlike </w:t>
      </w:r>
      <w:r w:rsidR="00DC333D">
        <w:rPr>
          <w:color w:val="000000"/>
          <w:lang w:val="en-GB"/>
        </w:rPr>
        <w:t xml:space="preserve">most </w:t>
      </w:r>
      <w:r w:rsidR="00A97D8A">
        <w:rPr>
          <w:color w:val="000000"/>
          <w:lang w:val="en-GB"/>
        </w:rPr>
        <w:t xml:space="preserve">other </w:t>
      </w:r>
      <w:r w:rsidR="00693EFD">
        <w:rPr>
          <w:color w:val="000000"/>
          <w:lang w:val="en-GB"/>
        </w:rPr>
        <w:t xml:space="preserve">European </w:t>
      </w:r>
      <w:r w:rsidR="00A97D8A">
        <w:rPr>
          <w:color w:val="000000"/>
          <w:lang w:val="en-GB"/>
        </w:rPr>
        <w:t>states</w:t>
      </w:r>
      <w:r w:rsidR="00ED6FA1">
        <w:rPr>
          <w:color w:val="000000"/>
          <w:lang w:val="en-GB"/>
        </w:rPr>
        <w:t>,</w:t>
      </w:r>
      <w:r w:rsidR="00A97D8A">
        <w:rPr>
          <w:color w:val="000000"/>
          <w:lang w:val="en-GB"/>
        </w:rPr>
        <w:t xml:space="preserve"> </w:t>
      </w:r>
      <w:r w:rsidR="00693EFD">
        <w:rPr>
          <w:color w:val="000000"/>
          <w:lang w:val="en-GB"/>
        </w:rPr>
        <w:t xml:space="preserve">much of its </w:t>
      </w:r>
      <w:r w:rsidR="004D101D">
        <w:rPr>
          <w:color w:val="000000"/>
          <w:lang w:val="en-GB"/>
        </w:rPr>
        <w:t xml:space="preserve">penal code </w:t>
      </w:r>
      <w:r w:rsidR="00693EFD">
        <w:rPr>
          <w:color w:val="000000"/>
          <w:lang w:val="en-GB"/>
        </w:rPr>
        <w:t>was</w:t>
      </w:r>
      <w:r w:rsidR="004D101D">
        <w:rPr>
          <w:color w:val="000000"/>
          <w:lang w:val="en-GB"/>
        </w:rPr>
        <w:t xml:space="preserve"> rooted in </w:t>
      </w:r>
      <w:r w:rsidR="000B75FB">
        <w:rPr>
          <w:color w:val="000000"/>
          <w:lang w:val="en-GB"/>
        </w:rPr>
        <w:t>a reactionary era</w:t>
      </w:r>
      <w:r w:rsidR="004D101D">
        <w:rPr>
          <w:color w:val="000000"/>
          <w:lang w:val="en-GB"/>
        </w:rPr>
        <w:t xml:space="preserve"> (</w:t>
      </w:r>
      <w:r w:rsidR="00925451">
        <w:rPr>
          <w:color w:val="000000"/>
          <w:lang w:val="en-GB"/>
        </w:rPr>
        <w:t xml:space="preserve">the </w:t>
      </w:r>
      <w:r w:rsidR="004D101D">
        <w:rPr>
          <w:color w:val="000000"/>
          <w:lang w:val="en-GB"/>
        </w:rPr>
        <w:t xml:space="preserve">1850s) and </w:t>
      </w:r>
      <w:r w:rsidR="00646676">
        <w:rPr>
          <w:color w:val="000000"/>
          <w:lang w:val="en-GB"/>
        </w:rPr>
        <w:t>the</w:t>
      </w:r>
      <w:r w:rsidR="004D101D">
        <w:rPr>
          <w:color w:val="000000"/>
          <w:lang w:val="en-GB"/>
        </w:rPr>
        <w:t xml:space="preserve"> judiciary was never as independent as it looked. </w:t>
      </w:r>
      <w:r w:rsidR="00E33EF1">
        <w:rPr>
          <w:color w:val="000000"/>
          <w:lang w:val="en-GB"/>
        </w:rPr>
        <w:t>While elsewhere treason law</w:t>
      </w:r>
      <w:r w:rsidR="002B4F2B">
        <w:rPr>
          <w:color w:val="000000"/>
          <w:lang w:val="en-GB"/>
        </w:rPr>
        <w:t>s</w:t>
      </w:r>
      <w:r w:rsidR="00E33EF1">
        <w:rPr>
          <w:color w:val="000000"/>
          <w:lang w:val="en-GB"/>
        </w:rPr>
        <w:t xml:space="preserve"> had been updated </w:t>
      </w:r>
      <w:r w:rsidR="00187114">
        <w:rPr>
          <w:color w:val="000000"/>
          <w:lang w:val="en-GB"/>
        </w:rPr>
        <w:t>(</w:t>
      </w:r>
      <w:r w:rsidR="00925451">
        <w:rPr>
          <w:color w:val="000000"/>
          <w:lang w:val="en-GB"/>
        </w:rPr>
        <w:t xml:space="preserve">in </w:t>
      </w:r>
      <w:r w:rsidR="00187114">
        <w:rPr>
          <w:color w:val="000000"/>
          <w:lang w:val="en-GB"/>
        </w:rPr>
        <w:t>France</w:t>
      </w:r>
      <w:r w:rsidR="00925451">
        <w:rPr>
          <w:color w:val="000000"/>
          <w:lang w:val="en-GB"/>
        </w:rPr>
        <w:t xml:space="preserve"> or </w:t>
      </w:r>
      <w:r w:rsidR="00187114">
        <w:rPr>
          <w:color w:val="000000"/>
          <w:lang w:val="en-GB"/>
        </w:rPr>
        <w:t xml:space="preserve">Italy) </w:t>
      </w:r>
      <w:r w:rsidR="00E33EF1">
        <w:rPr>
          <w:color w:val="000000"/>
          <w:lang w:val="en-GB"/>
        </w:rPr>
        <w:t xml:space="preserve">or largely abandoned (Britain), in the Habsburg </w:t>
      </w:r>
      <w:proofErr w:type="gramStart"/>
      <w:r w:rsidR="00925451">
        <w:rPr>
          <w:color w:val="000000"/>
          <w:lang w:val="en-GB"/>
        </w:rPr>
        <w:t>e</w:t>
      </w:r>
      <w:r w:rsidR="00E33EF1">
        <w:rPr>
          <w:color w:val="000000"/>
          <w:lang w:val="en-GB"/>
        </w:rPr>
        <w:t>mpire</w:t>
      </w:r>
      <w:proofErr w:type="gramEnd"/>
      <w:r w:rsidR="00693EFD">
        <w:rPr>
          <w:color w:val="000000"/>
          <w:lang w:val="en-GB"/>
        </w:rPr>
        <w:t>, especially in Austria and Croatia,</w:t>
      </w:r>
      <w:r w:rsidR="00E33EF1">
        <w:rPr>
          <w:color w:val="000000"/>
          <w:lang w:val="en-GB"/>
        </w:rPr>
        <w:t xml:space="preserve"> </w:t>
      </w:r>
      <w:r w:rsidR="002B4F2B">
        <w:rPr>
          <w:color w:val="000000"/>
          <w:lang w:val="en-GB"/>
        </w:rPr>
        <w:t xml:space="preserve">the word </w:t>
      </w:r>
      <w:r w:rsidR="002B4F2B" w:rsidRPr="002B4F2B">
        <w:rPr>
          <w:i/>
          <w:color w:val="000000"/>
          <w:lang w:val="en-GB"/>
        </w:rPr>
        <w:t>Hochverrat</w:t>
      </w:r>
      <w:r w:rsidR="002B4F2B">
        <w:rPr>
          <w:color w:val="000000"/>
          <w:lang w:val="en-GB"/>
        </w:rPr>
        <w:t xml:space="preserve"> survived into the modern era. </w:t>
      </w:r>
      <w:r w:rsidR="00646676">
        <w:rPr>
          <w:color w:val="000000"/>
          <w:lang w:val="en-GB"/>
        </w:rPr>
        <w:t>In 1909 t</w:t>
      </w:r>
      <w:r w:rsidR="00646676">
        <w:t>he Czech politician Tomáš Masaryk would warn the Austrian parliament that the term was an anachronistic phrase from a bygone age.</w:t>
      </w:r>
      <w:r w:rsidR="00531B6A">
        <w:rPr>
          <w:rStyle w:val="FootnoteReference"/>
        </w:rPr>
        <w:footnoteReference w:id="76"/>
      </w:r>
      <w:r w:rsidR="00646676">
        <w:t xml:space="preserve"> The fact was that i</w:t>
      </w:r>
      <w:proofErr w:type="spellStart"/>
      <w:r w:rsidR="007609AB">
        <w:rPr>
          <w:color w:val="000000"/>
          <w:lang w:val="en-GB"/>
        </w:rPr>
        <w:t>n</w:t>
      </w:r>
      <w:proofErr w:type="spellEnd"/>
      <w:r w:rsidR="007609AB">
        <w:rPr>
          <w:color w:val="000000"/>
          <w:lang w:val="en-GB"/>
        </w:rPr>
        <w:t xml:space="preserve"> the </w:t>
      </w:r>
      <w:r w:rsidR="00DE75FA">
        <w:rPr>
          <w:color w:val="000000"/>
          <w:lang w:val="en-GB"/>
        </w:rPr>
        <w:t xml:space="preserve">wake of the </w:t>
      </w:r>
      <w:r w:rsidR="000E1012">
        <w:rPr>
          <w:color w:val="000000"/>
          <w:lang w:val="en-GB"/>
        </w:rPr>
        <w:t>1848 revolutions,</w:t>
      </w:r>
      <w:r w:rsidR="009D1711">
        <w:rPr>
          <w:color w:val="000000"/>
          <w:lang w:val="en-GB"/>
        </w:rPr>
        <w:t xml:space="preserve"> the Austria of Franz Joseph had executed </w:t>
      </w:r>
      <w:r w:rsidR="000E1012">
        <w:rPr>
          <w:color w:val="000000"/>
          <w:lang w:val="en-GB"/>
        </w:rPr>
        <w:t>hundreds o</w:t>
      </w:r>
      <w:r w:rsidR="007725FF">
        <w:rPr>
          <w:color w:val="000000"/>
          <w:lang w:val="en-GB"/>
        </w:rPr>
        <w:t>f</w:t>
      </w:r>
      <w:r w:rsidR="000E1012">
        <w:rPr>
          <w:color w:val="000000"/>
          <w:lang w:val="en-GB"/>
        </w:rPr>
        <w:t xml:space="preserve"> re</w:t>
      </w:r>
      <w:r w:rsidR="00DE75FA">
        <w:rPr>
          <w:color w:val="000000"/>
          <w:lang w:val="en-GB"/>
        </w:rPr>
        <w:t>bels</w:t>
      </w:r>
      <w:r w:rsidR="000E1012">
        <w:rPr>
          <w:color w:val="000000"/>
          <w:lang w:val="en-GB"/>
        </w:rPr>
        <w:t xml:space="preserve"> for treason</w:t>
      </w:r>
      <w:r w:rsidR="00CA573E">
        <w:rPr>
          <w:color w:val="000000"/>
          <w:lang w:val="en-GB"/>
        </w:rPr>
        <w:t>, and t</w:t>
      </w:r>
      <w:r w:rsidR="000E1012">
        <w:rPr>
          <w:color w:val="000000"/>
          <w:lang w:val="en-GB"/>
        </w:rPr>
        <w:t>hat reactionary spirit</w:t>
      </w:r>
      <w:r w:rsidR="00A60E92">
        <w:rPr>
          <w:color w:val="000000"/>
          <w:lang w:val="en-GB"/>
        </w:rPr>
        <w:t>, that vigilance against subversives,</w:t>
      </w:r>
      <w:r w:rsidR="000E1012">
        <w:rPr>
          <w:color w:val="000000"/>
          <w:lang w:val="en-GB"/>
        </w:rPr>
        <w:t xml:space="preserve"> never quite disappeared</w:t>
      </w:r>
      <w:r w:rsidR="00693EFD">
        <w:rPr>
          <w:color w:val="000000"/>
          <w:lang w:val="en-GB"/>
        </w:rPr>
        <w:t>.</w:t>
      </w:r>
      <w:r w:rsidR="009D1711">
        <w:rPr>
          <w:color w:val="000000"/>
          <w:lang w:val="en-GB"/>
        </w:rPr>
        <w:t xml:space="preserve"> </w:t>
      </w:r>
      <w:r w:rsidR="00CA573E">
        <w:rPr>
          <w:color w:val="000000"/>
          <w:lang w:val="en-GB"/>
        </w:rPr>
        <w:t>D</w:t>
      </w:r>
      <w:r w:rsidR="000E1012">
        <w:rPr>
          <w:color w:val="000000"/>
          <w:lang w:val="en-GB"/>
        </w:rPr>
        <w:t>ecades later, the authorities</w:t>
      </w:r>
      <w:r w:rsidR="007609AB">
        <w:rPr>
          <w:color w:val="000000"/>
          <w:lang w:val="en-GB"/>
        </w:rPr>
        <w:t xml:space="preserve"> </w:t>
      </w:r>
      <w:r w:rsidR="007725FF">
        <w:rPr>
          <w:color w:val="000000"/>
          <w:lang w:val="en-GB"/>
        </w:rPr>
        <w:t xml:space="preserve">were still </w:t>
      </w:r>
      <w:r w:rsidR="007A5D64">
        <w:rPr>
          <w:color w:val="000000"/>
          <w:lang w:val="en-GB"/>
        </w:rPr>
        <w:t>cr</w:t>
      </w:r>
      <w:r w:rsidR="007725FF">
        <w:rPr>
          <w:color w:val="000000"/>
          <w:lang w:val="en-GB"/>
        </w:rPr>
        <w:t>ying</w:t>
      </w:r>
      <w:r w:rsidR="007A5D64">
        <w:rPr>
          <w:color w:val="000000"/>
          <w:lang w:val="en-GB"/>
        </w:rPr>
        <w:t xml:space="preserve"> ‘treason’ </w:t>
      </w:r>
      <w:r w:rsidR="00CA573E">
        <w:rPr>
          <w:color w:val="000000"/>
          <w:lang w:val="en-GB"/>
        </w:rPr>
        <w:t xml:space="preserve">against individuals who mainly </w:t>
      </w:r>
      <w:r w:rsidR="007A5D64">
        <w:rPr>
          <w:color w:val="000000"/>
          <w:lang w:val="en-GB"/>
        </w:rPr>
        <w:t xml:space="preserve">wanted to </w:t>
      </w:r>
      <w:r w:rsidR="00DE75FA">
        <w:rPr>
          <w:color w:val="000000"/>
          <w:lang w:val="en-GB"/>
        </w:rPr>
        <w:t xml:space="preserve">radically </w:t>
      </w:r>
      <w:r w:rsidR="007A5D64">
        <w:rPr>
          <w:color w:val="000000"/>
          <w:lang w:val="en-GB"/>
        </w:rPr>
        <w:t>reform or restructure the empire</w:t>
      </w:r>
      <w:r w:rsidR="00CA573E">
        <w:rPr>
          <w:color w:val="000000"/>
          <w:lang w:val="en-GB"/>
        </w:rPr>
        <w:t xml:space="preserve"> in the face of vested </w:t>
      </w:r>
      <w:r w:rsidR="00A60E92">
        <w:rPr>
          <w:color w:val="000000"/>
          <w:lang w:val="en-GB"/>
        </w:rPr>
        <w:t xml:space="preserve">political or class </w:t>
      </w:r>
      <w:r w:rsidR="00CA573E">
        <w:rPr>
          <w:color w:val="000000"/>
          <w:lang w:val="en-GB"/>
        </w:rPr>
        <w:t>interests</w:t>
      </w:r>
      <w:r w:rsidR="007A5D64">
        <w:rPr>
          <w:color w:val="000000"/>
          <w:lang w:val="en-GB"/>
        </w:rPr>
        <w:t>.</w:t>
      </w:r>
      <w:r w:rsidR="00531B6A">
        <w:rPr>
          <w:color w:val="000000"/>
          <w:lang w:val="en-GB"/>
        </w:rPr>
        <w:t xml:space="preserve"> </w:t>
      </w:r>
      <w:r w:rsidR="00693EFD">
        <w:rPr>
          <w:color w:val="000000"/>
          <w:lang w:val="en-GB"/>
        </w:rPr>
        <w:t xml:space="preserve">Some </w:t>
      </w:r>
      <w:r w:rsidR="00A833CA">
        <w:rPr>
          <w:color w:val="000000"/>
          <w:lang w:val="en-GB"/>
        </w:rPr>
        <w:t>elements of this</w:t>
      </w:r>
      <w:r w:rsidR="00693EFD">
        <w:rPr>
          <w:color w:val="000000"/>
          <w:lang w:val="en-GB"/>
        </w:rPr>
        <w:t xml:space="preserve"> </w:t>
      </w:r>
      <w:r w:rsidR="00A833CA">
        <w:rPr>
          <w:color w:val="000000"/>
          <w:lang w:val="en-GB"/>
        </w:rPr>
        <w:t xml:space="preserve">socio-political </w:t>
      </w:r>
      <w:r w:rsidR="00693EFD">
        <w:rPr>
          <w:color w:val="000000"/>
          <w:lang w:val="en-GB"/>
        </w:rPr>
        <w:t>agitation w</w:t>
      </w:r>
      <w:r w:rsidR="00A833CA">
        <w:rPr>
          <w:color w:val="000000"/>
          <w:lang w:val="en-GB"/>
        </w:rPr>
        <w:t>ere</w:t>
      </w:r>
      <w:r w:rsidR="00693EFD">
        <w:rPr>
          <w:color w:val="000000"/>
          <w:lang w:val="en-GB"/>
        </w:rPr>
        <w:t xml:space="preserve"> </w:t>
      </w:r>
      <w:r w:rsidR="00A60E92">
        <w:rPr>
          <w:color w:val="000000"/>
          <w:lang w:val="en-GB"/>
        </w:rPr>
        <w:t xml:space="preserve">indeed </w:t>
      </w:r>
      <w:r w:rsidR="00693EFD">
        <w:rPr>
          <w:color w:val="000000"/>
          <w:lang w:val="en-GB"/>
        </w:rPr>
        <w:t>contained or</w:t>
      </w:r>
      <w:r w:rsidR="00A833CA">
        <w:rPr>
          <w:color w:val="000000"/>
          <w:lang w:val="en-GB"/>
        </w:rPr>
        <w:t>, in the case of socialism,</w:t>
      </w:r>
      <w:r w:rsidR="00693EFD">
        <w:rPr>
          <w:color w:val="000000"/>
          <w:lang w:val="en-GB"/>
        </w:rPr>
        <w:t xml:space="preserve"> subsumed </w:t>
      </w:r>
      <w:r w:rsidR="00A60E92">
        <w:rPr>
          <w:color w:val="000000"/>
          <w:lang w:val="en-GB"/>
        </w:rPr>
        <w:t xml:space="preserve">quite successfully </w:t>
      </w:r>
      <w:r w:rsidR="00DE75FA">
        <w:rPr>
          <w:color w:val="000000"/>
          <w:lang w:val="en-GB"/>
        </w:rPr>
        <w:t>within</w:t>
      </w:r>
      <w:r w:rsidR="00693EFD">
        <w:rPr>
          <w:color w:val="000000"/>
          <w:lang w:val="en-GB"/>
        </w:rPr>
        <w:t xml:space="preserve"> the state system</w:t>
      </w:r>
      <w:r w:rsidR="00A60E92">
        <w:rPr>
          <w:color w:val="000000"/>
          <w:lang w:val="en-GB"/>
        </w:rPr>
        <w:t xml:space="preserve"> in Austria</w:t>
      </w:r>
      <w:r w:rsidR="00A833CA">
        <w:rPr>
          <w:color w:val="000000"/>
          <w:lang w:val="en-GB"/>
        </w:rPr>
        <w:t>. B</w:t>
      </w:r>
      <w:r w:rsidR="00693EFD">
        <w:rPr>
          <w:color w:val="000000"/>
          <w:lang w:val="en-GB"/>
        </w:rPr>
        <w:t xml:space="preserve">ut other </w:t>
      </w:r>
      <w:r w:rsidR="00A833CA">
        <w:rPr>
          <w:color w:val="000000"/>
          <w:lang w:val="en-GB"/>
        </w:rPr>
        <w:t xml:space="preserve">dangers </w:t>
      </w:r>
      <w:r w:rsidR="00DE75FA">
        <w:rPr>
          <w:color w:val="000000"/>
          <w:lang w:val="en-GB"/>
        </w:rPr>
        <w:t xml:space="preserve">could not be </w:t>
      </w:r>
      <w:r w:rsidR="00A833CA">
        <w:rPr>
          <w:color w:val="000000"/>
          <w:lang w:val="en-GB"/>
        </w:rPr>
        <w:t>suppressed by</w:t>
      </w:r>
      <w:r w:rsidR="00A60E92">
        <w:rPr>
          <w:color w:val="000000"/>
          <w:lang w:val="en-GB"/>
        </w:rPr>
        <w:t xml:space="preserve"> </w:t>
      </w:r>
      <w:r w:rsidR="00A833CA">
        <w:rPr>
          <w:color w:val="000000"/>
          <w:lang w:val="en-GB"/>
        </w:rPr>
        <w:t>treason law</w:t>
      </w:r>
      <w:r w:rsidR="00A60E92">
        <w:rPr>
          <w:color w:val="000000"/>
          <w:lang w:val="en-GB"/>
        </w:rPr>
        <w:t>. R</w:t>
      </w:r>
      <w:r w:rsidR="00A833CA">
        <w:rPr>
          <w:color w:val="000000"/>
          <w:lang w:val="en-GB"/>
        </w:rPr>
        <w:t xml:space="preserve">ather, the wielding of that </w:t>
      </w:r>
      <w:r w:rsidR="00A60E92">
        <w:rPr>
          <w:color w:val="000000"/>
          <w:lang w:val="en-GB"/>
        </w:rPr>
        <w:t xml:space="preserve">instrument </w:t>
      </w:r>
      <w:r w:rsidR="00693EFD">
        <w:rPr>
          <w:color w:val="000000"/>
          <w:lang w:val="en-GB"/>
        </w:rPr>
        <w:t xml:space="preserve">left lasting </w:t>
      </w:r>
      <w:r w:rsidR="00A60E92">
        <w:rPr>
          <w:color w:val="000000"/>
          <w:lang w:val="en-GB"/>
        </w:rPr>
        <w:t xml:space="preserve">grievances, which were remembered by successive generations, </w:t>
      </w:r>
      <w:r w:rsidR="00A833CA">
        <w:rPr>
          <w:color w:val="000000"/>
          <w:lang w:val="en-GB"/>
        </w:rPr>
        <w:t xml:space="preserve">slowly </w:t>
      </w:r>
      <w:r w:rsidR="00A60E92">
        <w:rPr>
          <w:color w:val="000000"/>
          <w:lang w:val="en-GB"/>
        </w:rPr>
        <w:t xml:space="preserve">eating away at the </w:t>
      </w:r>
      <w:r w:rsidR="00693EFD">
        <w:rPr>
          <w:color w:val="000000"/>
          <w:lang w:val="en-GB"/>
        </w:rPr>
        <w:t xml:space="preserve">legitimacy of the Austro-Hungarian </w:t>
      </w:r>
      <w:proofErr w:type="gramStart"/>
      <w:r w:rsidR="00693EFD">
        <w:rPr>
          <w:color w:val="000000"/>
          <w:lang w:val="en-GB"/>
        </w:rPr>
        <w:t>empire</w:t>
      </w:r>
      <w:proofErr w:type="gramEnd"/>
      <w:r w:rsidR="00A60E92">
        <w:rPr>
          <w:color w:val="000000"/>
          <w:lang w:val="en-GB"/>
        </w:rPr>
        <w:t xml:space="preserve"> as a real community of </w:t>
      </w:r>
      <w:r>
        <w:rPr>
          <w:color w:val="000000"/>
          <w:lang w:val="en-GB"/>
        </w:rPr>
        <w:t>peoples</w:t>
      </w:r>
      <w:r w:rsidR="00693EFD">
        <w:rPr>
          <w:color w:val="000000"/>
          <w:lang w:val="en-GB"/>
        </w:rPr>
        <w:t>.</w:t>
      </w:r>
    </w:p>
    <w:sectPr w:rsidR="00F92446" w:rsidSect="00AF6B34">
      <w:headerReference w:type="default" r:id="rId8"/>
      <w:endnotePr>
        <w:numFmt w:val="decimal"/>
      </w:endnotePr>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05E" w:rsidRDefault="00AA105E" w:rsidP="00F547A5">
      <w:pPr>
        <w:spacing w:line="240" w:lineRule="auto"/>
      </w:pPr>
      <w:r>
        <w:separator/>
      </w:r>
    </w:p>
  </w:endnote>
  <w:endnote w:type="continuationSeparator" w:id="0">
    <w:p w:rsidR="00AA105E" w:rsidRDefault="00AA105E" w:rsidP="00F54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05E" w:rsidRDefault="00AA105E" w:rsidP="00F547A5">
      <w:pPr>
        <w:spacing w:line="240" w:lineRule="auto"/>
      </w:pPr>
      <w:r>
        <w:separator/>
      </w:r>
    </w:p>
  </w:footnote>
  <w:footnote w:type="continuationSeparator" w:id="0">
    <w:p w:rsidR="00AA105E" w:rsidRDefault="00AA105E" w:rsidP="00F547A5">
      <w:pPr>
        <w:spacing w:line="240" w:lineRule="auto"/>
      </w:pPr>
      <w:r>
        <w:continuationSeparator/>
      </w:r>
    </w:p>
  </w:footnote>
  <w:footnote w:id="1">
    <w:p w:rsidR="00353DD3" w:rsidRPr="00DB0055" w:rsidRDefault="00353DD3" w:rsidP="00D83847">
      <w:pPr>
        <w:spacing w:line="240" w:lineRule="auto"/>
        <w:rPr>
          <w:b/>
          <w:sz w:val="20"/>
          <w:szCs w:val="20"/>
          <w:u w:val="single"/>
          <w:lang w:val="de-AT"/>
        </w:rPr>
      </w:pPr>
      <w:r w:rsidRPr="00D41F85">
        <w:rPr>
          <w:rStyle w:val="FootnoteReference"/>
          <w:sz w:val="20"/>
          <w:szCs w:val="20"/>
        </w:rPr>
        <w:footnoteRef/>
      </w:r>
      <w:r w:rsidRPr="00DB0055">
        <w:rPr>
          <w:sz w:val="20"/>
          <w:szCs w:val="20"/>
          <w:lang w:val="de-AT"/>
        </w:rPr>
        <w:t xml:space="preserve"> ‘Der Kaiser in Prag’, </w:t>
      </w:r>
      <w:r w:rsidRPr="00DB0055">
        <w:rPr>
          <w:i/>
          <w:sz w:val="20"/>
          <w:szCs w:val="20"/>
          <w:lang w:val="de-AT"/>
        </w:rPr>
        <w:t>Politik</w:t>
      </w:r>
      <w:r w:rsidRPr="00DB0055">
        <w:rPr>
          <w:sz w:val="20"/>
          <w:szCs w:val="20"/>
          <w:lang w:val="de-AT"/>
        </w:rPr>
        <w:t xml:space="preserve">, 1 November 1866, 1. </w:t>
      </w:r>
    </w:p>
  </w:footnote>
  <w:footnote w:id="2">
    <w:p w:rsidR="00353DD3" w:rsidRPr="00D41F85" w:rsidRDefault="00353DD3" w:rsidP="00C65890">
      <w:pPr>
        <w:spacing w:line="240" w:lineRule="auto"/>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Státní </w:t>
      </w:r>
      <w:r w:rsidRPr="00DB0055">
        <w:rPr>
          <w:sz w:val="20"/>
          <w:szCs w:val="20"/>
          <w:lang w:val="de-AT"/>
        </w:rPr>
        <w:t>oblastní archiv, Prague [SOA</w:t>
      </w:r>
      <w:r>
        <w:rPr>
          <w:sz w:val="20"/>
          <w:szCs w:val="20"/>
          <w:lang w:val="de-AT"/>
        </w:rPr>
        <w:t>P</w:t>
      </w:r>
      <w:r w:rsidRPr="00DB0055">
        <w:rPr>
          <w:sz w:val="20"/>
          <w:szCs w:val="20"/>
          <w:lang w:val="de-AT"/>
        </w:rPr>
        <w:t xml:space="preserve">], Krajský (zemský) soud trestní Praha, Trestní spisy zn. </w:t>
      </w:r>
      <w:r w:rsidRPr="00D41F85">
        <w:rPr>
          <w:sz w:val="20"/>
          <w:szCs w:val="20"/>
        </w:rPr>
        <w:t>A: karton 248, A-2023/66 – Antonín Půst: č.9, protocol with Hugh Polson Fraser Palmer, 28 October 1866.</w:t>
      </w:r>
    </w:p>
  </w:footnote>
  <w:footnote w:id="3">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‘Zu den wunderbaren Attentate’, </w:t>
      </w:r>
      <w:r w:rsidRPr="00DB0055">
        <w:rPr>
          <w:i/>
          <w:lang w:val="de-AT"/>
        </w:rPr>
        <w:t>Politik</w:t>
      </w:r>
      <w:r w:rsidRPr="00DB0055">
        <w:rPr>
          <w:lang w:val="de-AT"/>
        </w:rPr>
        <w:t>, 1 November 1866, 4.</w:t>
      </w:r>
    </w:p>
  </w:footnote>
  <w:footnote w:id="4">
    <w:p w:rsidR="00353DD3" w:rsidRPr="00D41F85" w:rsidRDefault="00353DD3">
      <w:pPr>
        <w:pStyle w:val="FootnoteText"/>
      </w:pPr>
      <w:r w:rsidRPr="00D41F85">
        <w:rPr>
          <w:rStyle w:val="FootnoteReference"/>
        </w:rPr>
        <w:footnoteRef/>
      </w:r>
      <w:r w:rsidRPr="00D41F85">
        <w:t xml:space="preserve"> Ibid.</w:t>
      </w:r>
    </w:p>
  </w:footnote>
  <w:footnote w:id="5">
    <w:p w:rsidR="00353DD3" w:rsidRPr="00D41F85" w:rsidRDefault="00353DD3" w:rsidP="005D57D1">
      <w:pPr>
        <w:pStyle w:val="FootnoteText"/>
      </w:pPr>
      <w:r w:rsidRPr="00D41F85">
        <w:rPr>
          <w:rStyle w:val="FootnoteReference"/>
        </w:rPr>
        <w:footnoteRef/>
      </w:r>
      <w:r w:rsidRPr="00D41F85">
        <w:t xml:space="preserve">  </w:t>
      </w:r>
      <w:proofErr w:type="gramStart"/>
      <w:r w:rsidRPr="00D41F85">
        <w:t>Ibid.,</w:t>
      </w:r>
      <w:proofErr w:type="gramEnd"/>
      <w:r w:rsidRPr="00D41F85">
        <w:t xml:space="preserve"> č.190: Austrian Justice </w:t>
      </w:r>
      <w:r>
        <w:t>M</w:t>
      </w:r>
      <w:r w:rsidRPr="00D41F85">
        <w:t>inister to Landesgericht Prague, 11 December 1866: enclosing sworn statement by English attorney at law Thomas Harvey, 6 December 1866.</w:t>
      </w:r>
    </w:p>
  </w:footnote>
  <w:footnote w:id="6">
    <w:p w:rsidR="00353DD3" w:rsidRPr="00D41F85" w:rsidRDefault="00353DD3">
      <w:pPr>
        <w:pStyle w:val="FootnoteText"/>
      </w:pPr>
      <w:r w:rsidRPr="00D41F85">
        <w:rPr>
          <w:rStyle w:val="FootnoteReference"/>
        </w:rPr>
        <w:footnoteRef/>
      </w:r>
      <w:r w:rsidRPr="00D41F85">
        <w:t xml:space="preserve"> SOA</w:t>
      </w:r>
      <w:r>
        <w:t>P</w:t>
      </w:r>
      <w:r w:rsidRPr="00D41F85">
        <w:t>, protocol with Palmer, 28 October 1866.</w:t>
      </w:r>
    </w:p>
  </w:footnote>
  <w:footnote w:id="7">
    <w:p w:rsidR="00353DD3" w:rsidRPr="00D41F85" w:rsidRDefault="00353DD3" w:rsidP="00C65890">
      <w:pPr>
        <w:pStyle w:val="FootnoteText"/>
      </w:pPr>
      <w:r w:rsidRPr="00D41F85">
        <w:rPr>
          <w:rStyle w:val="FootnoteReference"/>
        </w:rPr>
        <w:footnoteRef/>
      </w:r>
      <w:r w:rsidRPr="00DB0055">
        <w:rPr>
          <w:lang w:val="de-AT"/>
        </w:rPr>
        <w:t xml:space="preserve">  </w:t>
      </w:r>
      <w:r w:rsidRPr="00DB0055">
        <w:rPr>
          <w:i/>
          <w:lang w:val="de-AT"/>
        </w:rPr>
        <w:t>Neue Freie Presse</w:t>
      </w:r>
      <w:r w:rsidRPr="00DB0055">
        <w:rPr>
          <w:lang w:val="de-AT"/>
        </w:rPr>
        <w:t xml:space="preserve">, </w:t>
      </w:r>
      <w:r w:rsidRPr="00DB0055">
        <w:rPr>
          <w:i/>
          <w:lang w:val="de-AT"/>
        </w:rPr>
        <w:t>Abendblatt</w:t>
      </w:r>
      <w:r w:rsidRPr="00DB0055">
        <w:rPr>
          <w:lang w:val="de-AT"/>
        </w:rPr>
        <w:t xml:space="preserve">, 29 April 1867, 4. </w:t>
      </w:r>
      <w:r w:rsidRPr="00D41F85">
        <w:t xml:space="preserve">On 1 December 1868 (p.11), </w:t>
      </w:r>
      <w:proofErr w:type="spellStart"/>
      <w:r w:rsidRPr="00D41F85">
        <w:rPr>
          <w:i/>
        </w:rPr>
        <w:t>Fremden</w:t>
      </w:r>
      <w:proofErr w:type="spellEnd"/>
      <w:r w:rsidRPr="00D41F85">
        <w:rPr>
          <w:i/>
        </w:rPr>
        <w:t>-Blatt</w:t>
      </w:r>
      <w:r w:rsidRPr="00D41F85">
        <w:t xml:space="preserve"> mentioned Hugh Palmer as residing at the Hotel </w:t>
      </w:r>
      <w:proofErr w:type="spellStart"/>
      <w:r w:rsidRPr="00D41F85">
        <w:t>Munsch</w:t>
      </w:r>
      <w:proofErr w:type="spellEnd"/>
      <w:r w:rsidRPr="00D41F85">
        <w:t>.</w:t>
      </w:r>
    </w:p>
  </w:footnote>
  <w:footnote w:id="8">
    <w:p w:rsidR="00353DD3" w:rsidRPr="00D41F85" w:rsidRDefault="00353DD3">
      <w:pPr>
        <w:pStyle w:val="FootnoteText"/>
      </w:pPr>
      <w:r w:rsidRPr="00D41F85">
        <w:rPr>
          <w:rStyle w:val="FootnoteReference"/>
        </w:rPr>
        <w:footnoteRef/>
      </w:r>
      <w:r w:rsidRPr="00D41F85">
        <w:t xml:space="preserve"> For a thoughtful </w:t>
      </w:r>
      <w:r>
        <w:t xml:space="preserve">new </w:t>
      </w:r>
      <w:r w:rsidRPr="00D41F85">
        <w:t xml:space="preserve">introduction to concepts of betrayal, see </w:t>
      </w:r>
      <w:proofErr w:type="spellStart"/>
      <w:r w:rsidRPr="00D41F85">
        <w:t>Avishai</w:t>
      </w:r>
      <w:proofErr w:type="spellEnd"/>
      <w:r w:rsidRPr="00D41F85">
        <w:t xml:space="preserve"> </w:t>
      </w:r>
      <w:proofErr w:type="spellStart"/>
      <w:r w:rsidRPr="00D41F85">
        <w:t>Margalit</w:t>
      </w:r>
      <w:proofErr w:type="spellEnd"/>
      <w:r w:rsidRPr="00D41F85">
        <w:t xml:space="preserve">, </w:t>
      </w:r>
      <w:r w:rsidRPr="00D41F85">
        <w:rPr>
          <w:i/>
        </w:rPr>
        <w:t>On Betrayal</w:t>
      </w:r>
      <w:r w:rsidRPr="00D41F85">
        <w:t xml:space="preserve"> (Cambridge MA: Harvard University Press, 2017).</w:t>
      </w:r>
    </w:p>
  </w:footnote>
  <w:footnote w:id="9">
    <w:p w:rsidR="00353DD3" w:rsidRPr="00D41F85" w:rsidRDefault="00353DD3">
      <w:pPr>
        <w:pStyle w:val="FootnoteText"/>
      </w:pPr>
      <w:r w:rsidRPr="00D41F85">
        <w:rPr>
          <w:rStyle w:val="FootnoteReference"/>
        </w:rPr>
        <w:footnoteRef/>
      </w:r>
      <w:r w:rsidRPr="00D41F85">
        <w:t xml:space="preserve"> </w:t>
      </w:r>
      <w:r w:rsidRPr="00D41F85">
        <w:rPr>
          <w:i/>
        </w:rPr>
        <w:t>The Guardian</w:t>
      </w:r>
      <w:r w:rsidRPr="00D41F85">
        <w:t>, 26 January 2019, 40.</w:t>
      </w:r>
    </w:p>
  </w:footnote>
  <w:footnote w:id="10">
    <w:p w:rsidR="00353DD3" w:rsidRPr="00D41F85" w:rsidRDefault="00353DD3">
      <w:pPr>
        <w:pStyle w:val="FootnoteText"/>
      </w:pPr>
      <w:r w:rsidRPr="00D41F85">
        <w:rPr>
          <w:rStyle w:val="FootnoteReference"/>
        </w:rPr>
        <w:footnoteRef/>
      </w:r>
      <w:r w:rsidRPr="00D41F85">
        <w:t xml:space="preserve"> ‘Pompeo calls Bolton a traitor and accuses him of writing lies’, </w:t>
      </w:r>
      <w:r w:rsidRPr="00D41F85">
        <w:rPr>
          <w:i/>
        </w:rPr>
        <w:t>Financial Times</w:t>
      </w:r>
      <w:r w:rsidRPr="00D41F85">
        <w:t>, 20/21 June 2020, 8.</w:t>
      </w:r>
    </w:p>
  </w:footnote>
  <w:footnote w:id="11">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Gerhard Ammerer, </w:t>
      </w:r>
      <w:r w:rsidRPr="00DB0055">
        <w:rPr>
          <w:i/>
          <w:lang w:val="de-AT"/>
        </w:rPr>
        <w:t xml:space="preserve">Das Ende für Schwert und Galgen? Legislativer Prozess und öffentlicher Diskurs zur Reduzierung der Todestrafe im Ordentlichen Verfahren unter Joseph II. (1781-1787) </w:t>
      </w:r>
      <w:r w:rsidRPr="00DB0055">
        <w:rPr>
          <w:lang w:val="de-AT"/>
        </w:rPr>
        <w:t>(Vienna: Österrei</w:t>
      </w:r>
      <w:r>
        <w:rPr>
          <w:lang w:val="de-AT"/>
        </w:rPr>
        <w:t>chi</w:t>
      </w:r>
      <w:r w:rsidRPr="00DB0055">
        <w:rPr>
          <w:lang w:val="de-AT"/>
        </w:rPr>
        <w:t>sches Staatsarchiv, 2010) 409-14.</w:t>
      </w:r>
    </w:p>
  </w:footnote>
  <w:footnote w:id="12">
    <w:p w:rsidR="00353DD3" w:rsidRPr="00DB0055" w:rsidRDefault="00353DD3" w:rsidP="006B2CE5">
      <w:pPr>
        <w:spacing w:line="240" w:lineRule="auto"/>
        <w:rPr>
          <w:b/>
          <w:lang w:val="de-AT"/>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Statistics </w:t>
      </w:r>
      <w:r w:rsidRPr="00DB0055">
        <w:rPr>
          <w:sz w:val="20"/>
          <w:szCs w:val="20"/>
          <w:lang w:val="de-AT"/>
        </w:rPr>
        <w:t>from</w:t>
      </w:r>
      <w:r w:rsidRPr="00DB0055">
        <w:rPr>
          <w:lang w:val="de-AT"/>
        </w:rPr>
        <w:t xml:space="preserve"> </w:t>
      </w:r>
      <w:r w:rsidRPr="00DB0055">
        <w:rPr>
          <w:sz w:val="20"/>
          <w:szCs w:val="20"/>
          <w:lang w:val="de-AT"/>
        </w:rPr>
        <w:t xml:space="preserve">Bureau der k.k. Statistischen Central-Commission (ed.), </w:t>
      </w:r>
      <w:r w:rsidRPr="00DB0055">
        <w:rPr>
          <w:i/>
          <w:sz w:val="20"/>
          <w:szCs w:val="20"/>
          <w:lang w:val="de-AT"/>
        </w:rPr>
        <w:t xml:space="preserve">Oesterreichische Statistik, </w:t>
      </w:r>
      <w:r w:rsidRPr="00DB0055">
        <w:rPr>
          <w:sz w:val="20"/>
          <w:szCs w:val="20"/>
          <w:lang w:val="de-AT"/>
        </w:rPr>
        <w:t xml:space="preserve">Band XV, Heft 3: </w:t>
      </w:r>
      <w:r w:rsidRPr="00DB0055">
        <w:rPr>
          <w:i/>
          <w:sz w:val="20"/>
          <w:szCs w:val="20"/>
          <w:lang w:val="de-AT"/>
        </w:rPr>
        <w:t xml:space="preserve">Die Ergebnisse der Strafrechtspflege in dem im Reichsrathe vertretenden Königreichen und Ländern im Jahre 1884 </w:t>
      </w:r>
      <w:r w:rsidRPr="00DB0055">
        <w:rPr>
          <w:sz w:val="20"/>
          <w:szCs w:val="20"/>
          <w:lang w:val="de-AT"/>
        </w:rPr>
        <w:t>(Vienna, 1888); and other volumes in series. In 1884, 58 ‘traitors’ were prosecuted and 27 convicted.</w:t>
      </w:r>
    </w:p>
  </w:footnote>
  <w:footnote w:id="13">
    <w:p w:rsidR="00353DD3" w:rsidRPr="00D41F85" w:rsidRDefault="00353DD3" w:rsidP="006B2CE5">
      <w:pPr>
        <w:spacing w:line="240" w:lineRule="auto"/>
        <w:rPr>
          <w:sz w:val="20"/>
          <w:szCs w:val="20"/>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See </w:t>
      </w:r>
      <w:r w:rsidRPr="00DB0055">
        <w:rPr>
          <w:sz w:val="20"/>
          <w:szCs w:val="20"/>
          <w:lang w:val="de-AT"/>
        </w:rPr>
        <w:t xml:space="preserve">the statistics for Croatia-Slavonia: </w:t>
      </w:r>
      <w:r w:rsidRPr="00912600">
        <w:rPr>
          <w:i/>
          <w:sz w:val="20"/>
          <w:szCs w:val="20"/>
          <w:lang w:val="de-AT"/>
        </w:rPr>
        <w:t xml:space="preserve">A m. kir. kormány 1900. évi működéséről és az ország közállapotairól szóló jelentés és statisztikai évkönyv </w:t>
      </w:r>
      <w:r w:rsidRPr="00DB0055">
        <w:rPr>
          <w:sz w:val="20"/>
          <w:szCs w:val="20"/>
          <w:lang w:val="de-AT"/>
        </w:rPr>
        <w:t xml:space="preserve">(Budapest, 1901), 772; ibid. </w:t>
      </w:r>
      <w:r w:rsidRPr="00D41F85">
        <w:rPr>
          <w:sz w:val="20"/>
          <w:szCs w:val="20"/>
        </w:rPr>
        <w:t>(Budapest, 1904), 447.</w:t>
      </w:r>
    </w:p>
  </w:footnote>
  <w:footnote w:id="14">
    <w:p w:rsidR="00353DD3" w:rsidRPr="00DB0055" w:rsidRDefault="00353DD3" w:rsidP="00967F29">
      <w:pPr>
        <w:spacing w:line="240" w:lineRule="auto"/>
        <w:rPr>
          <w:sz w:val="20"/>
          <w:szCs w:val="20"/>
          <w:lang w:val="de-AT"/>
        </w:rPr>
      </w:pPr>
      <w:r w:rsidRPr="00D41F85">
        <w:rPr>
          <w:rStyle w:val="FootnoteReference"/>
          <w:sz w:val="20"/>
          <w:szCs w:val="20"/>
        </w:rPr>
        <w:footnoteRef/>
      </w:r>
      <w:r w:rsidRPr="00D41F85">
        <w:rPr>
          <w:sz w:val="20"/>
          <w:szCs w:val="20"/>
        </w:rPr>
        <w:t xml:space="preserve"> For a useful comparative discussion from a German perspective, see Fritz van Calker, ‘Hochverrat und Landesverrat. </w:t>
      </w:r>
      <w:r w:rsidRPr="00DB0055">
        <w:rPr>
          <w:sz w:val="20"/>
          <w:szCs w:val="20"/>
          <w:lang w:val="de-AT"/>
        </w:rPr>
        <w:t xml:space="preserve">Majestätsbeleidigung’, in </w:t>
      </w:r>
      <w:r w:rsidRPr="00DB0055">
        <w:rPr>
          <w:i/>
          <w:sz w:val="20"/>
          <w:szCs w:val="20"/>
          <w:lang w:val="de-AT"/>
        </w:rPr>
        <w:t xml:space="preserve">Vergleichende Darstellung des deutschen und ausländischen Strafrechts. Vorarbeiten zur deutschen Strafrechtsreform </w:t>
      </w:r>
      <w:r w:rsidRPr="00DB0055">
        <w:rPr>
          <w:sz w:val="20"/>
          <w:szCs w:val="20"/>
          <w:lang w:val="de-AT"/>
        </w:rPr>
        <w:t xml:space="preserve">(eds. Karl Birkmeyer, Fritz van Calker, Reinhard Frank et al), </w:t>
      </w:r>
      <w:r w:rsidRPr="00DB0055">
        <w:rPr>
          <w:i/>
          <w:sz w:val="20"/>
          <w:szCs w:val="20"/>
          <w:lang w:val="de-AT"/>
        </w:rPr>
        <w:t xml:space="preserve">Besonderer Teil. I Band: Verbrechen und Vergehen gegen Staat und die Staatsgewalt </w:t>
      </w:r>
      <w:r>
        <w:rPr>
          <w:sz w:val="20"/>
          <w:szCs w:val="20"/>
          <w:lang w:val="de-AT"/>
        </w:rPr>
        <w:t>(</w:t>
      </w:r>
      <w:r w:rsidRPr="00DB0055">
        <w:rPr>
          <w:sz w:val="20"/>
          <w:szCs w:val="20"/>
          <w:lang w:val="de-AT"/>
        </w:rPr>
        <w:t>Berlin: Otto Liebmann, 1906), 2-71.</w:t>
      </w:r>
    </w:p>
  </w:footnote>
  <w:footnote w:id="15">
    <w:p w:rsidR="00353DD3" w:rsidRPr="00D41F85" w:rsidRDefault="00353DD3">
      <w:pPr>
        <w:pStyle w:val="FootnoteText"/>
      </w:pPr>
      <w:r w:rsidRPr="00D41F85">
        <w:rPr>
          <w:rStyle w:val="FootnoteReference"/>
        </w:rPr>
        <w:footnoteRef/>
      </w:r>
      <w:r w:rsidRPr="00D41F85">
        <w:t xml:space="preserve"> John Deak and Jonathan E. Gumz, ‘How to Break a State: The Habsburg Monarchy’s Internal War 1914-1918’, </w:t>
      </w:r>
      <w:r w:rsidRPr="00D41F85">
        <w:rPr>
          <w:i/>
        </w:rPr>
        <w:t>American Historical Review</w:t>
      </w:r>
      <w:r w:rsidRPr="00D41F85">
        <w:t xml:space="preserve"> 122</w:t>
      </w:r>
      <w:r>
        <w:t>/</w:t>
      </w:r>
      <w:r w:rsidRPr="00D41F85">
        <w:t xml:space="preserve">4 (2017): 1117-18, 1125. Also Pieter M. Judson, </w:t>
      </w:r>
      <w:proofErr w:type="gramStart"/>
      <w:r w:rsidRPr="00D41F85">
        <w:rPr>
          <w:i/>
        </w:rPr>
        <w:t>The</w:t>
      </w:r>
      <w:proofErr w:type="gramEnd"/>
      <w:r w:rsidRPr="00D41F85">
        <w:rPr>
          <w:i/>
        </w:rPr>
        <w:t xml:space="preserve"> Habsburg Empire: A New History</w:t>
      </w:r>
      <w:r w:rsidRPr="00D41F85">
        <w:t xml:space="preserve"> (Cambridge, MA: Harvard University Press, 2016), 106-7, 393.</w:t>
      </w:r>
    </w:p>
  </w:footnote>
  <w:footnote w:id="16">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Margret Boveri, </w:t>
      </w:r>
      <w:r w:rsidRPr="00DB0055">
        <w:rPr>
          <w:i/>
          <w:lang w:val="de-AT"/>
        </w:rPr>
        <w:t xml:space="preserve">Der Verrat im 20. Jahrhundert </w:t>
      </w:r>
      <w:r w:rsidRPr="00DB0055">
        <w:rPr>
          <w:lang w:val="de-AT"/>
        </w:rPr>
        <w:t>(Reinbeck bei Hamburg: Rowohlt Verlag, 1976), 7.</w:t>
      </w:r>
    </w:p>
  </w:footnote>
  <w:footnote w:id="17">
    <w:p w:rsidR="00353DD3" w:rsidRPr="00DB0055" w:rsidRDefault="00353DD3" w:rsidP="000B13E0">
      <w:pPr>
        <w:spacing w:line="240" w:lineRule="auto"/>
        <w:rPr>
          <w:sz w:val="20"/>
          <w:szCs w:val="20"/>
          <w:lang w:val="de-AT"/>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On </w:t>
      </w:r>
      <w:r w:rsidRPr="00DB0055">
        <w:rPr>
          <w:sz w:val="20"/>
          <w:szCs w:val="20"/>
          <w:lang w:val="de-AT"/>
        </w:rPr>
        <w:t xml:space="preserve">the case of Blanka Teleki, see Györgyi Sáfrán (ed.), </w:t>
      </w:r>
      <w:r w:rsidRPr="00DB0055">
        <w:rPr>
          <w:i/>
          <w:sz w:val="20"/>
          <w:szCs w:val="20"/>
          <w:lang w:val="de-AT"/>
        </w:rPr>
        <w:t xml:space="preserve">Teleki Blanka és köre: Karacs Teréz, Teleki Blanka, Lővei Klára </w:t>
      </w:r>
      <w:r w:rsidRPr="00DB0055">
        <w:rPr>
          <w:sz w:val="20"/>
          <w:szCs w:val="20"/>
          <w:lang w:val="de-AT"/>
        </w:rPr>
        <w:t>(Budapest: Szépirodalmi könyvkiadó, 1963).</w:t>
      </w:r>
    </w:p>
  </w:footnote>
  <w:footnote w:id="18">
    <w:p w:rsidR="00353DD3" w:rsidRPr="00D41F85" w:rsidRDefault="00353DD3">
      <w:pPr>
        <w:pStyle w:val="FootnoteText"/>
        <w:rPr>
          <w:b/>
        </w:rPr>
      </w:pPr>
      <w:r w:rsidRPr="00D41F85">
        <w:rPr>
          <w:rStyle w:val="FootnoteReference"/>
        </w:rPr>
        <w:footnoteRef/>
      </w:r>
      <w:r w:rsidRPr="00DB0055">
        <w:rPr>
          <w:lang w:val="de-AT"/>
        </w:rPr>
        <w:t xml:space="preserve"> </w:t>
      </w:r>
      <w:r w:rsidRPr="00DB0055">
        <w:rPr>
          <w:lang w:val="de-AT"/>
        </w:rPr>
        <w:t xml:space="preserve">Verena </w:t>
      </w:r>
      <w:r w:rsidRPr="00DB0055">
        <w:rPr>
          <w:lang w:val="de-AT"/>
        </w:rPr>
        <w:t xml:space="preserve">Moritz and Hannes Leidinger, </w:t>
      </w:r>
      <w:r w:rsidRPr="00DB0055">
        <w:rPr>
          <w:i/>
          <w:lang w:val="de-AT"/>
        </w:rPr>
        <w:t xml:space="preserve">Oberst Redl. Der Spionagefall. Der Skandal. Die Fakten </w:t>
      </w:r>
      <w:r w:rsidRPr="00DB0055">
        <w:rPr>
          <w:lang w:val="de-AT"/>
        </w:rPr>
        <w:t xml:space="preserve">(St Pölten-Salzburg-Vienna, 2012), 135-9. </w:t>
      </w:r>
      <w:r w:rsidRPr="00D41F85">
        <w:t>See also, John R. Schindler, ‘Redl – Spy of the Century?</w:t>
      </w:r>
      <w:proofErr w:type="gramStart"/>
      <w:r w:rsidRPr="00D41F85">
        <w:t>’,</w:t>
      </w:r>
      <w:proofErr w:type="gramEnd"/>
      <w:r w:rsidRPr="00D41F85">
        <w:t xml:space="preserve"> </w:t>
      </w:r>
      <w:r w:rsidRPr="00D41F85">
        <w:rPr>
          <w:i/>
        </w:rPr>
        <w:t xml:space="preserve">International Journal of Intelligence and Counter Intelligence, </w:t>
      </w:r>
      <w:r w:rsidRPr="00D41F85">
        <w:t>18/3 (2005): 483-507.</w:t>
      </w:r>
    </w:p>
  </w:footnote>
  <w:footnote w:id="19">
    <w:p w:rsidR="00353DD3" w:rsidRPr="00D41F85" w:rsidRDefault="00353DD3">
      <w:pPr>
        <w:pStyle w:val="FootnoteText"/>
      </w:pPr>
      <w:r w:rsidRPr="00D41F85">
        <w:rPr>
          <w:rStyle w:val="FootnoteReference"/>
        </w:rPr>
        <w:footnoteRef/>
      </w:r>
      <w:r w:rsidRPr="00D41F85">
        <w:t xml:space="preserve"> Rebecca West, </w:t>
      </w:r>
      <w:proofErr w:type="gramStart"/>
      <w:r w:rsidRPr="00D41F85">
        <w:rPr>
          <w:i/>
        </w:rPr>
        <w:t>The</w:t>
      </w:r>
      <w:proofErr w:type="gramEnd"/>
      <w:r w:rsidRPr="00D41F85">
        <w:rPr>
          <w:i/>
        </w:rPr>
        <w:t xml:space="preserve"> Meaning of Treason</w:t>
      </w:r>
      <w:r w:rsidRPr="00D41F85">
        <w:t xml:space="preserve"> (London: Virago, 1982), 415, 420.</w:t>
      </w:r>
    </w:p>
  </w:footnote>
  <w:footnote w:id="20">
    <w:p w:rsidR="00353DD3" w:rsidRPr="00D41F85" w:rsidRDefault="00353DD3">
      <w:pPr>
        <w:pStyle w:val="FootnoteText"/>
      </w:pPr>
      <w:r w:rsidRPr="00D41F85">
        <w:rPr>
          <w:rStyle w:val="FootnoteReference"/>
        </w:rPr>
        <w:footnoteRef/>
      </w:r>
      <w:r w:rsidRPr="00D41F85">
        <w:t xml:space="preserve"> The fullest discussion is now: Attila Barna, </w:t>
      </w:r>
      <w:proofErr w:type="gramStart"/>
      <w:r w:rsidRPr="00D41F85">
        <w:rPr>
          <w:i/>
        </w:rPr>
        <w:t>Az</w:t>
      </w:r>
      <w:proofErr w:type="gramEnd"/>
      <w:r w:rsidRPr="00D41F85">
        <w:rPr>
          <w:i/>
        </w:rPr>
        <w:t xml:space="preserve"> </w:t>
      </w:r>
      <w:proofErr w:type="spellStart"/>
      <w:r w:rsidRPr="00D41F85">
        <w:rPr>
          <w:i/>
        </w:rPr>
        <w:t>állam</w:t>
      </w:r>
      <w:proofErr w:type="spellEnd"/>
      <w:r w:rsidRPr="00D41F85">
        <w:rPr>
          <w:i/>
        </w:rPr>
        <w:t xml:space="preserve"> </w:t>
      </w:r>
      <w:proofErr w:type="spellStart"/>
      <w:r w:rsidRPr="00D41F85">
        <w:rPr>
          <w:i/>
        </w:rPr>
        <w:t>elleni</w:t>
      </w:r>
      <w:proofErr w:type="spellEnd"/>
      <w:r w:rsidRPr="00D41F85">
        <w:rPr>
          <w:i/>
        </w:rPr>
        <w:t xml:space="preserve"> bűncselekmények </w:t>
      </w:r>
      <w:proofErr w:type="spellStart"/>
      <w:r w:rsidRPr="00D41F85">
        <w:rPr>
          <w:i/>
        </w:rPr>
        <w:t>szabályozása</w:t>
      </w:r>
      <w:proofErr w:type="spellEnd"/>
      <w:r w:rsidRPr="00D41F85">
        <w:rPr>
          <w:i/>
        </w:rPr>
        <w:t xml:space="preserve"> a 19. </w:t>
      </w:r>
      <w:proofErr w:type="spellStart"/>
      <w:proofErr w:type="gramStart"/>
      <w:r w:rsidRPr="00D41F85">
        <w:rPr>
          <w:i/>
        </w:rPr>
        <w:t>századi</w:t>
      </w:r>
      <w:proofErr w:type="spellEnd"/>
      <w:proofErr w:type="gramEnd"/>
      <w:r w:rsidRPr="00D41F85">
        <w:rPr>
          <w:i/>
        </w:rPr>
        <w:t xml:space="preserve"> </w:t>
      </w:r>
      <w:proofErr w:type="spellStart"/>
      <w:r w:rsidRPr="00D41F85">
        <w:rPr>
          <w:i/>
        </w:rPr>
        <w:t>Magyarországon</w:t>
      </w:r>
      <w:proofErr w:type="spellEnd"/>
      <w:r w:rsidRPr="00D41F85">
        <w:rPr>
          <w:i/>
        </w:rPr>
        <w:t xml:space="preserve"> </w:t>
      </w:r>
      <w:r w:rsidRPr="00D41F85">
        <w:t xml:space="preserve">(Győr: </w:t>
      </w:r>
      <w:proofErr w:type="spellStart"/>
      <w:r w:rsidRPr="00D41F85">
        <w:t>Universitas</w:t>
      </w:r>
      <w:proofErr w:type="spellEnd"/>
      <w:r w:rsidRPr="00D41F85">
        <w:t>-Győr, 2015).</w:t>
      </w:r>
    </w:p>
  </w:footnote>
  <w:footnote w:id="21">
    <w:p w:rsidR="00353DD3" w:rsidRPr="00DB0055" w:rsidRDefault="00353DD3">
      <w:pPr>
        <w:pStyle w:val="FootnoteText"/>
        <w:rPr>
          <w:b/>
          <w:lang w:val="de-AT"/>
        </w:rPr>
      </w:pPr>
      <w:r w:rsidRPr="00D41F85">
        <w:rPr>
          <w:rStyle w:val="FootnoteReference"/>
        </w:rPr>
        <w:footnoteRef/>
      </w:r>
      <w:r w:rsidRPr="00DB0055">
        <w:rPr>
          <w:lang w:val="de-AT"/>
        </w:rPr>
        <w:t xml:space="preserve"> </w:t>
      </w:r>
      <w:r w:rsidRPr="00DB0055">
        <w:rPr>
          <w:lang w:val="de-AT"/>
        </w:rPr>
        <w:t xml:space="preserve">André Krischer, </w:t>
      </w:r>
      <w:r w:rsidRPr="00DB0055">
        <w:rPr>
          <w:i/>
          <w:lang w:val="de-AT"/>
        </w:rPr>
        <w:t>Die Macht des Verfahrens: Englische Hochverratsprozesse 1554-1848</w:t>
      </w:r>
      <w:r w:rsidRPr="00DB0055">
        <w:rPr>
          <w:lang w:val="de-AT"/>
        </w:rPr>
        <w:t xml:space="preserve"> (Münster: Aschendorff Verlag, 2017).</w:t>
      </w:r>
      <w:r w:rsidRPr="00DB0055">
        <w:rPr>
          <w:b/>
          <w:lang w:val="de-AT"/>
        </w:rPr>
        <w:t xml:space="preserve"> </w:t>
      </w:r>
    </w:p>
  </w:footnote>
  <w:footnote w:id="22">
    <w:p w:rsidR="00353DD3" w:rsidRPr="00DD13EA" w:rsidRDefault="00353DD3" w:rsidP="009F4E1D">
      <w:pPr>
        <w:pStyle w:val="FootnoteText"/>
        <w:rPr>
          <w:b/>
          <w:lang w:val="de-AT"/>
        </w:rPr>
      </w:pPr>
      <w:r w:rsidRPr="00D41F85">
        <w:rPr>
          <w:rStyle w:val="FootnoteReference"/>
        </w:rPr>
        <w:footnoteRef/>
      </w:r>
      <w:r w:rsidRPr="00DB0055">
        <w:rPr>
          <w:lang w:val="de-AT"/>
        </w:rPr>
        <w:t xml:space="preserve"> </w:t>
      </w:r>
      <w:r w:rsidRPr="00DB0055">
        <w:rPr>
          <w:i/>
          <w:lang w:val="de-AT"/>
        </w:rPr>
        <w:t xml:space="preserve">Die </w:t>
      </w:r>
      <w:r w:rsidRPr="00DB0055">
        <w:rPr>
          <w:i/>
          <w:lang w:val="de-AT"/>
        </w:rPr>
        <w:t>Habsburgermonarchie 1848-1918, Band II: Verwaltung und Rechtswesen</w:t>
      </w:r>
      <w:r w:rsidRPr="00DB0055">
        <w:rPr>
          <w:lang w:val="de-AT"/>
        </w:rPr>
        <w:t>, eds. Adam Wandrus</w:t>
      </w:r>
      <w:r>
        <w:rPr>
          <w:lang w:val="de-AT"/>
        </w:rPr>
        <w:t>z</w:t>
      </w:r>
      <w:r w:rsidRPr="00DB0055">
        <w:rPr>
          <w:lang w:val="de-AT"/>
        </w:rPr>
        <w:t>ka and Peter Urbanitsch (Vienna: Verlag der österreichischen Akadamie d</w:t>
      </w:r>
      <w:r>
        <w:rPr>
          <w:lang w:val="de-AT"/>
        </w:rPr>
        <w:t xml:space="preserve">er Wissenschaften, 1975), 560. </w:t>
      </w:r>
    </w:p>
  </w:footnote>
  <w:footnote w:id="23">
    <w:p w:rsidR="00353DD3" w:rsidRPr="00D41F85" w:rsidRDefault="00353DD3" w:rsidP="00A71B2C">
      <w:pPr>
        <w:spacing w:line="240" w:lineRule="auto"/>
        <w:rPr>
          <w:sz w:val="20"/>
          <w:szCs w:val="20"/>
        </w:rPr>
      </w:pPr>
      <w:r w:rsidRPr="00D41F85">
        <w:rPr>
          <w:rStyle w:val="FootnoteReference"/>
          <w:sz w:val="20"/>
          <w:szCs w:val="20"/>
        </w:rPr>
        <w:footnoteRef/>
      </w:r>
      <w:r w:rsidRPr="00D41F85">
        <w:rPr>
          <w:sz w:val="20"/>
          <w:szCs w:val="20"/>
        </w:rPr>
        <w:t xml:space="preserve"> See Alan Wharam, </w:t>
      </w:r>
      <w:r w:rsidRPr="00D41F85">
        <w:rPr>
          <w:i/>
          <w:sz w:val="20"/>
          <w:szCs w:val="20"/>
        </w:rPr>
        <w:t>The Treason Trials, 1794</w:t>
      </w:r>
      <w:r w:rsidRPr="00D41F85">
        <w:rPr>
          <w:sz w:val="20"/>
          <w:szCs w:val="20"/>
        </w:rPr>
        <w:t xml:space="preserve"> (Leicester: Leicester University Press, 1992); Lisa Steffen, </w:t>
      </w:r>
      <w:r w:rsidRPr="00D41F85">
        <w:rPr>
          <w:i/>
          <w:sz w:val="20"/>
          <w:szCs w:val="20"/>
        </w:rPr>
        <w:t>Defining a British State</w:t>
      </w:r>
      <w:r>
        <w:rPr>
          <w:i/>
          <w:sz w:val="20"/>
          <w:szCs w:val="20"/>
        </w:rPr>
        <w:t>:</w:t>
      </w:r>
      <w:r w:rsidRPr="00D41F85">
        <w:rPr>
          <w:i/>
          <w:sz w:val="20"/>
          <w:szCs w:val="20"/>
        </w:rPr>
        <w:t xml:space="preserve"> Treason and National Identity, 1608-1820 </w:t>
      </w:r>
      <w:r w:rsidRPr="00D41F85">
        <w:rPr>
          <w:sz w:val="20"/>
          <w:szCs w:val="20"/>
        </w:rPr>
        <w:t>(Palgrave: Basingstoke, 2001), chapter 4.</w:t>
      </w:r>
    </w:p>
    <w:p w:rsidR="00353DD3" w:rsidRPr="00D41F85" w:rsidRDefault="00353DD3">
      <w:pPr>
        <w:pStyle w:val="FootnoteText"/>
      </w:pPr>
    </w:p>
  </w:footnote>
  <w:footnote w:id="24">
    <w:p w:rsidR="00353DD3" w:rsidRPr="00D41F85" w:rsidRDefault="00353DD3">
      <w:pPr>
        <w:pStyle w:val="FootnoteText"/>
      </w:pPr>
      <w:r w:rsidRPr="00D41F85">
        <w:rPr>
          <w:rStyle w:val="FootnoteReference"/>
        </w:rPr>
        <w:footnoteRef/>
      </w:r>
      <w:r w:rsidRPr="00D41F85">
        <w:t xml:space="preserve"> See Mark Cornwall, ‘Traitors and the Meaning of Treason in Austria-Hungary’s Great War’, </w:t>
      </w:r>
      <w:r w:rsidRPr="00D41F85">
        <w:rPr>
          <w:i/>
        </w:rPr>
        <w:t>Transactions of the Royal Historical Society</w:t>
      </w:r>
      <w:r w:rsidRPr="00D41F85">
        <w:t>, XXV (2015): 125-8, for the use of §58c instead.</w:t>
      </w:r>
    </w:p>
  </w:footnote>
  <w:footnote w:id="25">
    <w:p w:rsidR="00353DD3" w:rsidRPr="00DB0055" w:rsidRDefault="00353DD3" w:rsidP="00A52EDF">
      <w:pPr>
        <w:spacing w:line="240" w:lineRule="auto"/>
        <w:rPr>
          <w:sz w:val="20"/>
          <w:szCs w:val="20"/>
          <w:lang w:val="de-AT"/>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Philip Czech, </w:t>
      </w:r>
      <w:r w:rsidRPr="00DB0055">
        <w:rPr>
          <w:i/>
          <w:sz w:val="20"/>
          <w:szCs w:val="20"/>
          <w:lang w:val="de-AT"/>
        </w:rPr>
        <w:t>Der Kaiser ist ein Lump und Spitzbube. Majestätsbeleidigung unter Kaiser Franz Joseph</w:t>
      </w:r>
      <w:r w:rsidRPr="00DB0055">
        <w:rPr>
          <w:sz w:val="20"/>
          <w:szCs w:val="20"/>
          <w:lang w:val="de-AT"/>
        </w:rPr>
        <w:t xml:space="preserve"> (Vienna: Böhlau Verlag, 2010).</w:t>
      </w:r>
    </w:p>
  </w:footnote>
  <w:footnote w:id="26">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Haus- </w:t>
      </w:r>
      <w:r w:rsidRPr="00DB0055">
        <w:rPr>
          <w:lang w:val="de-AT"/>
        </w:rPr>
        <w:t>Hof- und Staatsarchiv, Vienna [HHStA], Zeremonialprotokolle, ZA-Prot.65 (1853), 18 February 1853.</w:t>
      </w:r>
      <w:r w:rsidRPr="00DB0055">
        <w:rPr>
          <w:u w:val="single"/>
          <w:lang w:val="de-AT"/>
        </w:rPr>
        <w:t xml:space="preserve">  </w:t>
      </w:r>
    </w:p>
  </w:footnote>
  <w:footnote w:id="27">
    <w:p w:rsidR="00353DD3" w:rsidRPr="00D41F85" w:rsidRDefault="00353DD3">
      <w:pPr>
        <w:pStyle w:val="FootnoteText"/>
      </w:pPr>
      <w:r w:rsidRPr="00D41F85">
        <w:rPr>
          <w:rStyle w:val="FootnoteReference"/>
        </w:rPr>
        <w:footnoteRef/>
      </w:r>
      <w:r w:rsidRPr="00D41F85">
        <w:t xml:space="preserve"> A copy is to be found in the Wiener </w:t>
      </w:r>
      <w:proofErr w:type="spellStart"/>
      <w:r w:rsidRPr="00D41F85">
        <w:t>Kriminalmuseum</w:t>
      </w:r>
      <w:proofErr w:type="spellEnd"/>
      <w:r w:rsidRPr="00D41F85">
        <w:t>.</w:t>
      </w:r>
    </w:p>
  </w:footnote>
  <w:footnote w:id="28">
    <w:p w:rsidR="00353DD3" w:rsidRPr="00D41F85" w:rsidRDefault="00353DD3">
      <w:pPr>
        <w:pStyle w:val="FootnoteText"/>
      </w:pPr>
      <w:r w:rsidRPr="00D41F85">
        <w:rPr>
          <w:rStyle w:val="FootnoteReference"/>
        </w:rPr>
        <w:footnoteRef/>
      </w:r>
      <w:r w:rsidRPr="00DB0055">
        <w:rPr>
          <w:lang w:val="de-AT"/>
        </w:rPr>
        <w:t xml:space="preserve"> </w:t>
      </w:r>
      <w:r w:rsidRPr="00DB0055">
        <w:rPr>
          <w:lang w:val="de-AT"/>
        </w:rPr>
        <w:t xml:space="preserve">Edmund Daniek, ‘Der Mordversuch Johann Libenys an Kaiser Franz Joseph I’, </w:t>
      </w:r>
      <w:r w:rsidRPr="00DB0055">
        <w:rPr>
          <w:i/>
          <w:lang w:val="de-AT"/>
        </w:rPr>
        <w:t xml:space="preserve">Unsere Heimat. </w:t>
      </w:r>
      <w:proofErr w:type="spellStart"/>
      <w:r w:rsidRPr="00D41F85">
        <w:rPr>
          <w:i/>
        </w:rPr>
        <w:t>Monatsblatt</w:t>
      </w:r>
      <w:proofErr w:type="spellEnd"/>
      <w:r w:rsidRPr="00D41F85">
        <w:rPr>
          <w:i/>
        </w:rPr>
        <w:t xml:space="preserve"> des </w:t>
      </w:r>
      <w:proofErr w:type="spellStart"/>
      <w:r w:rsidRPr="00D41F85">
        <w:rPr>
          <w:i/>
        </w:rPr>
        <w:t>Vereines</w:t>
      </w:r>
      <w:proofErr w:type="spellEnd"/>
      <w:r w:rsidRPr="00D41F85">
        <w:rPr>
          <w:i/>
        </w:rPr>
        <w:t xml:space="preserve"> </w:t>
      </w:r>
      <w:proofErr w:type="spellStart"/>
      <w:r w:rsidRPr="00D41F85">
        <w:rPr>
          <w:i/>
        </w:rPr>
        <w:t>für</w:t>
      </w:r>
      <w:proofErr w:type="spellEnd"/>
      <w:r w:rsidRPr="00D41F85">
        <w:rPr>
          <w:i/>
        </w:rPr>
        <w:t xml:space="preserve"> </w:t>
      </w:r>
      <w:proofErr w:type="spellStart"/>
      <w:r w:rsidRPr="00D41F85">
        <w:rPr>
          <w:i/>
        </w:rPr>
        <w:t>Landeskunde</w:t>
      </w:r>
      <w:proofErr w:type="spellEnd"/>
      <w:r w:rsidRPr="00D41F85">
        <w:rPr>
          <w:i/>
        </w:rPr>
        <w:t xml:space="preserve"> von </w:t>
      </w:r>
      <w:proofErr w:type="spellStart"/>
      <w:r w:rsidRPr="00D41F85">
        <w:rPr>
          <w:i/>
        </w:rPr>
        <w:t>Niederösterreich</w:t>
      </w:r>
      <w:proofErr w:type="spellEnd"/>
      <w:r w:rsidRPr="00D41F85">
        <w:rPr>
          <w:i/>
        </w:rPr>
        <w:t xml:space="preserve"> und Wien</w:t>
      </w:r>
      <w:r w:rsidRPr="00D41F85">
        <w:t>, 34 (1963): 23.</w:t>
      </w:r>
    </w:p>
  </w:footnote>
  <w:footnote w:id="29">
    <w:p w:rsidR="00353DD3" w:rsidRPr="00D41F85" w:rsidRDefault="00353DD3">
      <w:pPr>
        <w:pStyle w:val="FootnoteText"/>
      </w:pPr>
      <w:r w:rsidRPr="00D41F85">
        <w:rPr>
          <w:rStyle w:val="FootnoteReference"/>
        </w:rPr>
        <w:footnoteRef/>
      </w:r>
      <w:r w:rsidRPr="00D41F85">
        <w:t xml:space="preserve"> A typical abusive letter sent to the emperor from Budapest cursed him and warned him not to go out when the weather was good ‘for there is a conspiracy against you’: see HHStA, </w:t>
      </w:r>
      <w:proofErr w:type="spellStart"/>
      <w:r w:rsidRPr="00D41F85">
        <w:t>Kabinettsarchiv</w:t>
      </w:r>
      <w:proofErr w:type="spellEnd"/>
      <w:r w:rsidRPr="00D41F85">
        <w:t xml:space="preserve">, </w:t>
      </w:r>
      <w:proofErr w:type="spellStart"/>
      <w:r w:rsidRPr="00D41F85">
        <w:t>GenAdj</w:t>
      </w:r>
      <w:proofErr w:type="spellEnd"/>
      <w:r w:rsidRPr="00D41F85">
        <w:t>/</w:t>
      </w:r>
      <w:proofErr w:type="spellStart"/>
      <w:r w:rsidRPr="00D41F85">
        <w:t>GenDept</w:t>
      </w:r>
      <w:proofErr w:type="spellEnd"/>
      <w:r w:rsidRPr="00D41F85">
        <w:t xml:space="preserve">, karton 4, GD 913, Max Poll [?] to the emperor, 26 April 1853. </w:t>
      </w:r>
    </w:p>
  </w:footnote>
  <w:footnote w:id="30">
    <w:p w:rsidR="00353DD3" w:rsidRPr="00DB0055" w:rsidRDefault="00353DD3" w:rsidP="00EB18B5">
      <w:pPr>
        <w:pStyle w:val="FootnoteText"/>
        <w:rPr>
          <w:b/>
          <w:lang w:val="de-AT"/>
        </w:rPr>
      </w:pPr>
      <w:r w:rsidRPr="00D41F85">
        <w:rPr>
          <w:rStyle w:val="FootnoteReference"/>
        </w:rPr>
        <w:footnoteRef/>
      </w:r>
      <w:r w:rsidRPr="00DB0055">
        <w:rPr>
          <w:lang w:val="de-AT"/>
        </w:rPr>
        <w:t xml:space="preserve"> </w:t>
      </w:r>
      <w:r w:rsidRPr="00DB0055">
        <w:rPr>
          <w:lang w:val="de-AT"/>
        </w:rPr>
        <w:t>See ‘Die Hinr</w:t>
      </w:r>
      <w:r>
        <w:rPr>
          <w:lang w:val="de-AT"/>
        </w:rPr>
        <w:t>i</w:t>
      </w:r>
      <w:r w:rsidRPr="00DB0055">
        <w:rPr>
          <w:lang w:val="de-AT"/>
        </w:rPr>
        <w:t xml:space="preserve">chtung des Meuchelmörders Libenyi’,  </w:t>
      </w:r>
      <w:r w:rsidRPr="00DB0055">
        <w:rPr>
          <w:i/>
          <w:lang w:val="de-AT"/>
        </w:rPr>
        <w:t>Die Presse,</w:t>
      </w:r>
      <w:r w:rsidRPr="00DB0055">
        <w:rPr>
          <w:lang w:val="de-AT"/>
        </w:rPr>
        <w:t xml:space="preserve"> 27 February 1853, 5.</w:t>
      </w:r>
    </w:p>
  </w:footnote>
  <w:footnote w:id="31">
    <w:p w:rsidR="00353DD3" w:rsidRPr="00D41F85" w:rsidRDefault="00353DD3" w:rsidP="000F7178">
      <w:pPr>
        <w:spacing w:line="240" w:lineRule="auto"/>
        <w:rPr>
          <w:b/>
          <w:sz w:val="20"/>
          <w:szCs w:val="20"/>
        </w:rPr>
      </w:pPr>
      <w:r w:rsidRPr="00D41F85">
        <w:rPr>
          <w:rStyle w:val="FootnoteReference"/>
          <w:sz w:val="20"/>
          <w:szCs w:val="20"/>
        </w:rPr>
        <w:footnoteRef/>
      </w:r>
      <w:r w:rsidRPr="00D41F85">
        <w:rPr>
          <w:sz w:val="20"/>
          <w:szCs w:val="20"/>
        </w:rPr>
        <w:t xml:space="preserve"> See the many examples in the files of the Hungarian Ministry of Interior: MOL [Hungarian State Archives], </w:t>
      </w:r>
      <w:proofErr w:type="spellStart"/>
      <w:r w:rsidRPr="00D41F85">
        <w:rPr>
          <w:sz w:val="20"/>
          <w:szCs w:val="20"/>
        </w:rPr>
        <w:t>Belügyminisztérium</w:t>
      </w:r>
      <w:proofErr w:type="spellEnd"/>
      <w:r w:rsidRPr="00D41F85">
        <w:rPr>
          <w:sz w:val="20"/>
          <w:szCs w:val="20"/>
        </w:rPr>
        <w:t xml:space="preserve"> </w:t>
      </w:r>
      <w:proofErr w:type="spellStart"/>
      <w:r w:rsidRPr="00D41F85">
        <w:rPr>
          <w:sz w:val="20"/>
          <w:szCs w:val="20"/>
        </w:rPr>
        <w:t>Elnöki</w:t>
      </w:r>
      <w:proofErr w:type="spellEnd"/>
      <w:r w:rsidRPr="00D41F85">
        <w:rPr>
          <w:sz w:val="20"/>
          <w:szCs w:val="20"/>
        </w:rPr>
        <w:t xml:space="preserve"> </w:t>
      </w:r>
      <w:proofErr w:type="spellStart"/>
      <w:r w:rsidRPr="00D41F85">
        <w:rPr>
          <w:sz w:val="20"/>
          <w:szCs w:val="20"/>
        </w:rPr>
        <w:t>bizalmas</w:t>
      </w:r>
      <w:proofErr w:type="spellEnd"/>
      <w:r w:rsidRPr="00D41F85">
        <w:rPr>
          <w:sz w:val="20"/>
          <w:szCs w:val="20"/>
        </w:rPr>
        <w:t xml:space="preserve"> </w:t>
      </w:r>
      <w:proofErr w:type="spellStart"/>
      <w:r w:rsidRPr="00D41F85">
        <w:rPr>
          <w:sz w:val="20"/>
          <w:szCs w:val="20"/>
        </w:rPr>
        <w:t>iratai</w:t>
      </w:r>
      <w:proofErr w:type="spellEnd"/>
      <w:r w:rsidRPr="00D41F85">
        <w:rPr>
          <w:sz w:val="20"/>
          <w:szCs w:val="20"/>
        </w:rPr>
        <w:t xml:space="preserve"> (K 149), 5. </w:t>
      </w:r>
      <w:proofErr w:type="gramStart"/>
      <w:r w:rsidRPr="00D41F85">
        <w:rPr>
          <w:sz w:val="20"/>
          <w:szCs w:val="20"/>
        </w:rPr>
        <w:t>tétel</w:t>
      </w:r>
      <w:proofErr w:type="gramEnd"/>
      <w:r w:rsidRPr="00D41F85">
        <w:rPr>
          <w:sz w:val="20"/>
          <w:szCs w:val="20"/>
        </w:rPr>
        <w:t>. The anonymous letter about a Gödöllö attack is in K 149-1884-5.tétel, 1884-5-1085.</w:t>
      </w:r>
    </w:p>
  </w:footnote>
  <w:footnote w:id="32">
    <w:p w:rsidR="00353DD3" w:rsidRPr="00DB0055" w:rsidRDefault="00353DD3" w:rsidP="008F31A2">
      <w:pPr>
        <w:spacing w:line="240" w:lineRule="auto"/>
        <w:rPr>
          <w:sz w:val="20"/>
          <w:szCs w:val="20"/>
          <w:lang w:val="de-AT"/>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Ludwig Brügel, </w:t>
      </w:r>
      <w:r w:rsidRPr="00DB0055">
        <w:rPr>
          <w:i/>
          <w:sz w:val="20"/>
          <w:szCs w:val="20"/>
          <w:lang w:val="de-AT"/>
        </w:rPr>
        <w:t xml:space="preserve">Geschichte der österreichischen Sozialdemokratie </w:t>
      </w:r>
      <w:r w:rsidRPr="00DB0055">
        <w:rPr>
          <w:sz w:val="20"/>
          <w:szCs w:val="20"/>
          <w:lang w:val="de-AT"/>
        </w:rPr>
        <w:t>(Vienna: Verlag der Wiener Volksbuchhandlung, 1922), 322-9.</w:t>
      </w:r>
    </w:p>
  </w:footnote>
  <w:footnote w:id="33">
    <w:p w:rsidR="00353DD3" w:rsidRPr="00D41F85" w:rsidRDefault="00353DD3">
      <w:pPr>
        <w:pStyle w:val="FootnoteText"/>
      </w:pPr>
      <w:r w:rsidRPr="00D41F85">
        <w:rPr>
          <w:rStyle w:val="FootnoteReference"/>
        </w:rPr>
        <w:footnoteRef/>
      </w:r>
      <w:r w:rsidRPr="00D41F85">
        <w:t xml:space="preserve"> It was a tactic notorious in early modern England (for example in the trial of the Earl of Strafford in 1641), from where the term ‘constructed treason’ derives, and it can usefully be applied to many Habsburg cases too.</w:t>
      </w:r>
    </w:p>
  </w:footnote>
  <w:footnote w:id="34">
    <w:p w:rsidR="00353DD3" w:rsidRPr="00D41F85" w:rsidRDefault="00353DD3" w:rsidP="008F3DBF">
      <w:pPr>
        <w:spacing w:line="240" w:lineRule="auto"/>
        <w:rPr>
          <w:sz w:val="20"/>
          <w:szCs w:val="20"/>
        </w:rPr>
      </w:pPr>
      <w:r w:rsidRPr="00D41F85">
        <w:rPr>
          <w:rStyle w:val="FootnoteReference"/>
          <w:sz w:val="20"/>
          <w:szCs w:val="20"/>
        </w:rPr>
        <w:footnoteRef/>
      </w:r>
      <w:r w:rsidRPr="00D41F85">
        <w:rPr>
          <w:sz w:val="20"/>
          <w:szCs w:val="20"/>
        </w:rPr>
        <w:t xml:space="preserve"> SOAP, Krajský (</w:t>
      </w:r>
      <w:proofErr w:type="spellStart"/>
      <w:r w:rsidRPr="00D41F85">
        <w:rPr>
          <w:sz w:val="20"/>
          <w:szCs w:val="20"/>
        </w:rPr>
        <w:t>zemský</w:t>
      </w:r>
      <w:proofErr w:type="spellEnd"/>
      <w:r w:rsidRPr="00D41F85">
        <w:rPr>
          <w:sz w:val="20"/>
          <w:szCs w:val="20"/>
        </w:rPr>
        <w:t xml:space="preserve">) soud </w:t>
      </w:r>
      <w:proofErr w:type="spellStart"/>
      <w:r w:rsidRPr="00D41F85">
        <w:rPr>
          <w:sz w:val="20"/>
          <w:szCs w:val="20"/>
        </w:rPr>
        <w:t>trestní</w:t>
      </w:r>
      <w:proofErr w:type="spellEnd"/>
      <w:r w:rsidRPr="00D41F85">
        <w:rPr>
          <w:sz w:val="20"/>
          <w:szCs w:val="20"/>
        </w:rPr>
        <w:t xml:space="preserve"> Praha, </w:t>
      </w:r>
      <w:proofErr w:type="spellStart"/>
      <w:r w:rsidRPr="00D41F85">
        <w:rPr>
          <w:sz w:val="20"/>
          <w:szCs w:val="20"/>
        </w:rPr>
        <w:t>Trestní</w:t>
      </w:r>
      <w:proofErr w:type="spellEnd"/>
      <w:r w:rsidRPr="00D41F85">
        <w:rPr>
          <w:sz w:val="20"/>
          <w:szCs w:val="20"/>
        </w:rPr>
        <w:t xml:space="preserve"> </w:t>
      </w:r>
      <w:proofErr w:type="spellStart"/>
      <w:r w:rsidRPr="00D41F85">
        <w:rPr>
          <w:sz w:val="20"/>
          <w:szCs w:val="20"/>
        </w:rPr>
        <w:t>spisy</w:t>
      </w:r>
      <w:proofErr w:type="spellEnd"/>
      <w:r w:rsidRPr="00D41F85">
        <w:rPr>
          <w:sz w:val="20"/>
          <w:szCs w:val="20"/>
        </w:rPr>
        <w:t xml:space="preserve"> </w:t>
      </w:r>
      <w:proofErr w:type="spellStart"/>
      <w:proofErr w:type="gramStart"/>
      <w:r w:rsidRPr="00D41F85">
        <w:rPr>
          <w:sz w:val="20"/>
          <w:szCs w:val="20"/>
        </w:rPr>
        <w:t>zn</w:t>
      </w:r>
      <w:proofErr w:type="spellEnd"/>
      <w:proofErr w:type="gramEnd"/>
      <w:r w:rsidRPr="00D41F85">
        <w:rPr>
          <w:sz w:val="20"/>
          <w:szCs w:val="20"/>
        </w:rPr>
        <w:t xml:space="preserve">. C: karton 550, C-475/69, case of Leopold Schaller and Karel </w:t>
      </w:r>
      <w:proofErr w:type="spellStart"/>
      <w:r w:rsidRPr="00D41F85">
        <w:rPr>
          <w:sz w:val="20"/>
          <w:szCs w:val="20"/>
        </w:rPr>
        <w:t>Hanzlík</w:t>
      </w:r>
      <w:proofErr w:type="spellEnd"/>
      <w:r w:rsidRPr="00D41F85">
        <w:rPr>
          <w:sz w:val="20"/>
          <w:szCs w:val="20"/>
        </w:rPr>
        <w:t xml:space="preserve">; and karton 551, C-576/69, case of Jindřich </w:t>
      </w:r>
      <w:proofErr w:type="spellStart"/>
      <w:r w:rsidRPr="00D41F85">
        <w:rPr>
          <w:sz w:val="20"/>
          <w:szCs w:val="20"/>
        </w:rPr>
        <w:t>Kejval</w:t>
      </w:r>
      <w:proofErr w:type="spellEnd"/>
      <w:r w:rsidRPr="00D41F85">
        <w:rPr>
          <w:sz w:val="20"/>
          <w:szCs w:val="20"/>
        </w:rPr>
        <w:t xml:space="preserve"> and Josef </w:t>
      </w:r>
      <w:proofErr w:type="spellStart"/>
      <w:r w:rsidRPr="00D41F85">
        <w:rPr>
          <w:sz w:val="20"/>
          <w:szCs w:val="20"/>
        </w:rPr>
        <w:t>Hüber</w:t>
      </w:r>
      <w:proofErr w:type="spellEnd"/>
      <w:r w:rsidRPr="00D41F85">
        <w:rPr>
          <w:sz w:val="20"/>
          <w:szCs w:val="20"/>
        </w:rPr>
        <w:t>.</w:t>
      </w:r>
    </w:p>
  </w:footnote>
  <w:footnote w:id="35">
    <w:p w:rsidR="00353DD3" w:rsidRPr="00D41F85" w:rsidRDefault="00353DD3" w:rsidP="007F2AF0">
      <w:pPr>
        <w:spacing w:line="240" w:lineRule="auto"/>
      </w:pPr>
      <w:r w:rsidRPr="00D41F85">
        <w:rPr>
          <w:rStyle w:val="FootnoteReference"/>
          <w:sz w:val="20"/>
          <w:szCs w:val="20"/>
        </w:rPr>
        <w:footnoteRef/>
      </w:r>
      <w:r w:rsidRPr="00D41F85">
        <w:rPr>
          <w:sz w:val="20"/>
          <w:szCs w:val="20"/>
        </w:rPr>
        <w:t xml:space="preserve"> </w:t>
      </w:r>
      <w:proofErr w:type="gramStart"/>
      <w:r w:rsidRPr="00D41F85">
        <w:rPr>
          <w:sz w:val="20"/>
          <w:szCs w:val="20"/>
        </w:rPr>
        <w:t>Ibid.,</w:t>
      </w:r>
      <w:proofErr w:type="gramEnd"/>
      <w:r w:rsidRPr="00D41F85">
        <w:rPr>
          <w:sz w:val="20"/>
          <w:szCs w:val="20"/>
        </w:rPr>
        <w:t xml:space="preserve"> karton 911, C-1267/94 – Jan </w:t>
      </w:r>
      <w:proofErr w:type="spellStart"/>
      <w:r w:rsidRPr="00D41F85">
        <w:rPr>
          <w:sz w:val="20"/>
          <w:szCs w:val="20"/>
        </w:rPr>
        <w:t>Kolečko</w:t>
      </w:r>
      <w:proofErr w:type="spellEnd"/>
      <w:r w:rsidRPr="00D41F85">
        <w:rPr>
          <w:sz w:val="20"/>
          <w:szCs w:val="20"/>
        </w:rPr>
        <w:t xml:space="preserve"> and Zdeněk Matějíček. </w:t>
      </w:r>
    </w:p>
  </w:footnote>
  <w:footnote w:id="36">
    <w:p w:rsidR="00353DD3" w:rsidRPr="00D41F85" w:rsidRDefault="00353DD3" w:rsidP="00126D4E">
      <w:pPr>
        <w:spacing w:line="240" w:lineRule="auto"/>
        <w:rPr>
          <w:sz w:val="20"/>
          <w:szCs w:val="20"/>
        </w:rPr>
      </w:pPr>
      <w:r w:rsidRPr="00D41F85">
        <w:rPr>
          <w:rStyle w:val="FootnoteReference"/>
          <w:sz w:val="20"/>
          <w:szCs w:val="20"/>
        </w:rPr>
        <w:footnoteRef/>
      </w:r>
      <w:r w:rsidRPr="00D41F85">
        <w:rPr>
          <w:sz w:val="20"/>
          <w:szCs w:val="20"/>
        </w:rPr>
        <w:t xml:space="preserve"> Francesco </w:t>
      </w:r>
      <w:proofErr w:type="spellStart"/>
      <w:r w:rsidRPr="00D41F85">
        <w:rPr>
          <w:sz w:val="20"/>
          <w:szCs w:val="20"/>
        </w:rPr>
        <w:t>Salata</w:t>
      </w:r>
      <w:proofErr w:type="spellEnd"/>
      <w:r w:rsidRPr="00D41F85">
        <w:rPr>
          <w:sz w:val="20"/>
          <w:szCs w:val="20"/>
        </w:rPr>
        <w:t xml:space="preserve">, </w:t>
      </w:r>
      <w:r w:rsidRPr="00D41F85">
        <w:rPr>
          <w:i/>
          <w:sz w:val="20"/>
          <w:szCs w:val="20"/>
        </w:rPr>
        <w:t xml:space="preserve">Guglielmo Oberdan. Secondo </w:t>
      </w:r>
      <w:proofErr w:type="spellStart"/>
      <w:r w:rsidRPr="00D41F85">
        <w:rPr>
          <w:i/>
          <w:sz w:val="20"/>
          <w:szCs w:val="20"/>
        </w:rPr>
        <w:t>gli</w:t>
      </w:r>
      <w:proofErr w:type="spellEnd"/>
      <w:r w:rsidRPr="00D41F85">
        <w:rPr>
          <w:i/>
          <w:sz w:val="20"/>
          <w:szCs w:val="20"/>
        </w:rPr>
        <w:t xml:space="preserve"> </w:t>
      </w:r>
      <w:proofErr w:type="spellStart"/>
      <w:r w:rsidRPr="00D41F85">
        <w:rPr>
          <w:i/>
          <w:sz w:val="20"/>
          <w:szCs w:val="20"/>
        </w:rPr>
        <w:t>atti</w:t>
      </w:r>
      <w:proofErr w:type="spellEnd"/>
      <w:r w:rsidRPr="00D41F85">
        <w:rPr>
          <w:i/>
          <w:sz w:val="20"/>
          <w:szCs w:val="20"/>
        </w:rPr>
        <w:t xml:space="preserve"> </w:t>
      </w:r>
      <w:proofErr w:type="spellStart"/>
      <w:r w:rsidRPr="00D41F85">
        <w:rPr>
          <w:i/>
          <w:sz w:val="20"/>
          <w:szCs w:val="20"/>
        </w:rPr>
        <w:t>segreti</w:t>
      </w:r>
      <w:proofErr w:type="spellEnd"/>
      <w:r w:rsidRPr="00D41F85">
        <w:rPr>
          <w:i/>
          <w:sz w:val="20"/>
          <w:szCs w:val="20"/>
        </w:rPr>
        <w:t xml:space="preserve"> </w:t>
      </w:r>
      <w:proofErr w:type="gramStart"/>
      <w:r w:rsidRPr="00D41F85">
        <w:rPr>
          <w:i/>
          <w:sz w:val="20"/>
          <w:szCs w:val="20"/>
        </w:rPr>
        <w:t>del</w:t>
      </w:r>
      <w:proofErr w:type="gramEnd"/>
      <w:r w:rsidRPr="00D41F85">
        <w:rPr>
          <w:i/>
          <w:sz w:val="20"/>
          <w:szCs w:val="20"/>
        </w:rPr>
        <w:t xml:space="preserve"> </w:t>
      </w:r>
      <w:proofErr w:type="spellStart"/>
      <w:r w:rsidRPr="00D41F85">
        <w:rPr>
          <w:i/>
          <w:sz w:val="20"/>
          <w:szCs w:val="20"/>
        </w:rPr>
        <w:t>processo</w:t>
      </w:r>
      <w:proofErr w:type="spellEnd"/>
      <w:r w:rsidRPr="00D41F85">
        <w:rPr>
          <w:i/>
          <w:sz w:val="20"/>
          <w:szCs w:val="20"/>
        </w:rPr>
        <w:t xml:space="preserve"> </w:t>
      </w:r>
      <w:proofErr w:type="spellStart"/>
      <w:r w:rsidRPr="00D41F85">
        <w:rPr>
          <w:i/>
          <w:sz w:val="20"/>
          <w:szCs w:val="20"/>
        </w:rPr>
        <w:t>carteggi</w:t>
      </w:r>
      <w:proofErr w:type="spellEnd"/>
      <w:r w:rsidRPr="00D41F85">
        <w:rPr>
          <w:i/>
          <w:sz w:val="20"/>
          <w:szCs w:val="20"/>
        </w:rPr>
        <w:t xml:space="preserve"> </w:t>
      </w:r>
      <w:proofErr w:type="spellStart"/>
      <w:r w:rsidRPr="00D41F85">
        <w:rPr>
          <w:i/>
          <w:sz w:val="20"/>
          <w:szCs w:val="20"/>
        </w:rPr>
        <w:t>diplomatici</w:t>
      </w:r>
      <w:proofErr w:type="spellEnd"/>
      <w:r w:rsidRPr="00D41F85">
        <w:rPr>
          <w:i/>
          <w:sz w:val="20"/>
          <w:szCs w:val="20"/>
        </w:rPr>
        <w:t xml:space="preserve"> e </w:t>
      </w:r>
      <w:proofErr w:type="spellStart"/>
      <w:r w:rsidRPr="00D41F85">
        <w:rPr>
          <w:i/>
          <w:sz w:val="20"/>
          <w:szCs w:val="20"/>
        </w:rPr>
        <w:t>altri</w:t>
      </w:r>
      <w:proofErr w:type="spellEnd"/>
      <w:r w:rsidRPr="00D41F85">
        <w:rPr>
          <w:i/>
          <w:sz w:val="20"/>
          <w:szCs w:val="20"/>
        </w:rPr>
        <w:t xml:space="preserve"> </w:t>
      </w:r>
      <w:proofErr w:type="spellStart"/>
      <w:r w:rsidRPr="00D41F85">
        <w:rPr>
          <w:i/>
          <w:sz w:val="20"/>
          <w:szCs w:val="20"/>
        </w:rPr>
        <w:t>documenti</w:t>
      </w:r>
      <w:proofErr w:type="spellEnd"/>
      <w:r w:rsidRPr="00D41F85">
        <w:rPr>
          <w:i/>
          <w:sz w:val="20"/>
          <w:szCs w:val="20"/>
        </w:rPr>
        <w:t xml:space="preserve"> </w:t>
      </w:r>
      <w:proofErr w:type="spellStart"/>
      <w:r w:rsidRPr="00D41F85">
        <w:rPr>
          <w:i/>
          <w:sz w:val="20"/>
          <w:szCs w:val="20"/>
        </w:rPr>
        <w:t>inediti</w:t>
      </w:r>
      <w:proofErr w:type="spellEnd"/>
      <w:r w:rsidRPr="00D41F85">
        <w:rPr>
          <w:i/>
          <w:sz w:val="20"/>
          <w:szCs w:val="20"/>
        </w:rPr>
        <w:t xml:space="preserve"> </w:t>
      </w:r>
      <w:r w:rsidRPr="00D41F85">
        <w:rPr>
          <w:sz w:val="20"/>
          <w:szCs w:val="20"/>
        </w:rPr>
        <w:t xml:space="preserve">(Bologna: Nicola </w:t>
      </w:r>
      <w:proofErr w:type="spellStart"/>
      <w:r w:rsidRPr="00D41F85">
        <w:rPr>
          <w:sz w:val="20"/>
          <w:szCs w:val="20"/>
        </w:rPr>
        <w:t>Zanichelli</w:t>
      </w:r>
      <w:proofErr w:type="spellEnd"/>
      <w:r w:rsidRPr="00D41F85">
        <w:rPr>
          <w:sz w:val="20"/>
          <w:szCs w:val="20"/>
        </w:rPr>
        <w:t>, 1924), 153ff.</w:t>
      </w:r>
    </w:p>
  </w:footnote>
  <w:footnote w:id="37">
    <w:p w:rsidR="00353DD3" w:rsidRPr="00D41F85" w:rsidRDefault="00353DD3" w:rsidP="00B6479B">
      <w:pPr>
        <w:spacing w:line="240" w:lineRule="auto"/>
        <w:rPr>
          <w:sz w:val="20"/>
          <w:szCs w:val="20"/>
        </w:rPr>
      </w:pPr>
      <w:r w:rsidRPr="00D41F85">
        <w:rPr>
          <w:rStyle w:val="FootnoteReference"/>
          <w:sz w:val="20"/>
          <w:szCs w:val="20"/>
        </w:rPr>
        <w:footnoteRef/>
      </w:r>
      <w:r w:rsidRPr="00D41F85">
        <w:rPr>
          <w:sz w:val="20"/>
          <w:szCs w:val="20"/>
        </w:rPr>
        <w:t xml:space="preserve"> See HHStA, P.A. XL/140 </w:t>
      </w:r>
      <w:proofErr w:type="spellStart"/>
      <w:r w:rsidRPr="00D41F85">
        <w:rPr>
          <w:sz w:val="20"/>
          <w:szCs w:val="20"/>
        </w:rPr>
        <w:t>Interna</w:t>
      </w:r>
      <w:proofErr w:type="spellEnd"/>
      <w:r w:rsidRPr="00D41F85">
        <w:rPr>
          <w:sz w:val="20"/>
          <w:szCs w:val="20"/>
        </w:rPr>
        <w:t xml:space="preserve"> (1882): large file on the impact of the Oberdan execution in </w:t>
      </w:r>
      <w:r>
        <w:rPr>
          <w:sz w:val="20"/>
          <w:szCs w:val="20"/>
        </w:rPr>
        <w:t>Austria</w:t>
      </w:r>
      <w:r w:rsidRPr="00D41F85">
        <w:rPr>
          <w:sz w:val="20"/>
          <w:szCs w:val="20"/>
        </w:rPr>
        <w:t xml:space="preserve"> and in Italy.</w:t>
      </w:r>
    </w:p>
  </w:footnote>
  <w:footnote w:id="38">
    <w:p w:rsidR="00353DD3" w:rsidRPr="00D41F85" w:rsidRDefault="00353DD3">
      <w:pPr>
        <w:pStyle w:val="FootnoteText"/>
      </w:pPr>
      <w:r w:rsidRPr="00D41F85">
        <w:rPr>
          <w:rStyle w:val="FootnoteReference"/>
        </w:rPr>
        <w:footnoteRef/>
      </w:r>
      <w:r w:rsidRPr="00D41F85">
        <w:t xml:space="preserve"> Cornwall, ‘Traitors and the Meaning of Treason’, 121-2.</w:t>
      </w:r>
    </w:p>
  </w:footnote>
  <w:footnote w:id="39">
    <w:p w:rsidR="00353DD3" w:rsidRPr="00D41F85" w:rsidRDefault="00353DD3">
      <w:pPr>
        <w:pStyle w:val="FootnoteText"/>
      </w:pPr>
      <w:r w:rsidRPr="00D41F85">
        <w:rPr>
          <w:rStyle w:val="FootnoteReference"/>
        </w:rPr>
        <w:footnoteRef/>
      </w:r>
      <w:r w:rsidRPr="00D41F85">
        <w:t xml:space="preserve"> See SOAP, Krajský (</w:t>
      </w:r>
      <w:proofErr w:type="spellStart"/>
      <w:r w:rsidRPr="00D41F85">
        <w:t>zemský</w:t>
      </w:r>
      <w:proofErr w:type="spellEnd"/>
      <w:r w:rsidRPr="00D41F85">
        <w:t xml:space="preserve">) soud </w:t>
      </w:r>
      <w:proofErr w:type="spellStart"/>
      <w:r w:rsidRPr="00D41F85">
        <w:t>trestní</w:t>
      </w:r>
      <w:proofErr w:type="spellEnd"/>
      <w:r w:rsidRPr="00D41F85">
        <w:t xml:space="preserve"> Praha, inventory for </w:t>
      </w:r>
      <w:proofErr w:type="spellStart"/>
      <w:r w:rsidRPr="00D41F85">
        <w:t>signatur</w:t>
      </w:r>
      <w:proofErr w:type="spellEnd"/>
      <w:r w:rsidRPr="00D41F85">
        <w:t xml:space="preserve"> C (cases 1868-1897</w:t>
      </w:r>
      <w:r>
        <w:t>)</w:t>
      </w:r>
      <w:r w:rsidRPr="00D41F85">
        <w:t>.</w:t>
      </w:r>
    </w:p>
  </w:footnote>
  <w:footnote w:id="40">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See Ernst Violand, </w:t>
      </w:r>
      <w:r w:rsidRPr="00DB0055">
        <w:rPr>
          <w:i/>
          <w:lang w:val="de-AT"/>
        </w:rPr>
        <w:t>Die soziale Geschichte der Revolution in Österreich 1848</w:t>
      </w:r>
      <w:r w:rsidRPr="00DB0055">
        <w:rPr>
          <w:lang w:val="de-AT"/>
        </w:rPr>
        <w:t>, ed.</w:t>
      </w:r>
      <w:r w:rsidR="0009350E">
        <w:rPr>
          <w:lang w:val="de-AT"/>
        </w:rPr>
        <w:t xml:space="preserve"> </w:t>
      </w:r>
      <w:r w:rsidRPr="00DB0055">
        <w:rPr>
          <w:lang w:val="de-AT"/>
        </w:rPr>
        <w:t xml:space="preserve">Wolfgang Häusler (Vienna: Österreichischer Bundesverlag, 1984); Hermann Knepler, </w:t>
      </w:r>
      <w:r w:rsidRPr="00DB0055">
        <w:rPr>
          <w:i/>
          <w:lang w:val="de-AT"/>
        </w:rPr>
        <w:t>Der Prozeß Goldmark</w:t>
      </w:r>
      <w:r w:rsidRPr="00DB0055">
        <w:rPr>
          <w:lang w:val="de-AT"/>
        </w:rPr>
        <w:t xml:space="preserve"> (Vienna: Herzfeld &amp; Bauer, 1868). The trial papers are in Wiener Stadt- und Landarchiv, Vienna [WStLA], Landesgericht für Strafsachen, karton A11-10, 1264/1856.</w:t>
      </w:r>
    </w:p>
  </w:footnote>
  <w:footnote w:id="41">
    <w:p w:rsidR="00353DD3" w:rsidRPr="00D41F85" w:rsidRDefault="00353DD3">
      <w:pPr>
        <w:pStyle w:val="FootnoteText"/>
      </w:pPr>
      <w:r w:rsidRPr="00D41F85">
        <w:rPr>
          <w:rStyle w:val="FootnoteReference"/>
        </w:rPr>
        <w:footnoteRef/>
      </w:r>
      <w:r w:rsidRPr="00D41F85">
        <w:t xml:space="preserve"> </w:t>
      </w:r>
      <w:proofErr w:type="gramStart"/>
      <w:r w:rsidRPr="00D41F85">
        <w:t>Ibid.,</w:t>
      </w:r>
      <w:proofErr w:type="gramEnd"/>
      <w:r w:rsidRPr="00D41F85">
        <w:t xml:space="preserve"> karton A11-87, 2212/1886: case of Josef Ehinger. The verdict on 28 December 1886 is document 42.</w:t>
      </w:r>
    </w:p>
  </w:footnote>
  <w:footnote w:id="42">
    <w:p w:rsidR="00353DD3" w:rsidRPr="00D41F85" w:rsidRDefault="00353DD3" w:rsidP="00C2264B">
      <w:pPr>
        <w:pStyle w:val="FootnoteText"/>
      </w:pPr>
      <w:r w:rsidRPr="00D41F85">
        <w:rPr>
          <w:rStyle w:val="FootnoteReference"/>
        </w:rPr>
        <w:footnoteRef/>
      </w:r>
      <w:r w:rsidRPr="00D41F85">
        <w:t xml:space="preserve"> </w:t>
      </w:r>
      <w:r w:rsidRPr="00D41F85">
        <w:rPr>
          <w:i/>
        </w:rPr>
        <w:t xml:space="preserve">Die </w:t>
      </w:r>
      <w:proofErr w:type="spellStart"/>
      <w:r w:rsidRPr="00D41F85">
        <w:rPr>
          <w:i/>
        </w:rPr>
        <w:t>Presse</w:t>
      </w:r>
      <w:proofErr w:type="spellEnd"/>
      <w:r w:rsidRPr="00D41F85">
        <w:t>, 29 December 1886, 12</w:t>
      </w:r>
    </w:p>
  </w:footnote>
  <w:footnote w:id="43">
    <w:p w:rsidR="00353DD3" w:rsidRPr="00D41F85" w:rsidRDefault="00353DD3">
      <w:pPr>
        <w:pStyle w:val="FootnoteText"/>
      </w:pPr>
      <w:r w:rsidRPr="00D41F85">
        <w:rPr>
          <w:rStyle w:val="FootnoteReference"/>
        </w:rPr>
        <w:footnoteRef/>
      </w:r>
      <w:r w:rsidRPr="00D41F85">
        <w:t xml:space="preserve"> See Hans </w:t>
      </w:r>
      <w:proofErr w:type="spellStart"/>
      <w:r w:rsidRPr="00D41F85">
        <w:t>Fallada</w:t>
      </w:r>
      <w:proofErr w:type="spellEnd"/>
      <w:r w:rsidRPr="00D41F85">
        <w:t xml:space="preserve">, </w:t>
      </w:r>
      <w:r w:rsidRPr="00D41F85">
        <w:rPr>
          <w:i/>
        </w:rPr>
        <w:t>Alone in Berlin</w:t>
      </w:r>
      <w:r w:rsidRPr="00D41F85">
        <w:t xml:space="preserve"> (Penguin, 2009), based on the case of Elise and Otto </w:t>
      </w:r>
      <w:proofErr w:type="spellStart"/>
      <w:r w:rsidRPr="00D41F85">
        <w:t>Hampl</w:t>
      </w:r>
      <w:proofErr w:type="spellEnd"/>
      <w:r w:rsidRPr="00D41F85">
        <w:t xml:space="preserve"> from 1942-3 </w:t>
      </w:r>
      <w:proofErr w:type="gramStart"/>
      <w:r w:rsidRPr="00D41F85">
        <w:t>in  Berlin</w:t>
      </w:r>
      <w:proofErr w:type="gramEnd"/>
      <w:r w:rsidRPr="00D41F85">
        <w:t>.</w:t>
      </w:r>
    </w:p>
  </w:footnote>
  <w:footnote w:id="44">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‘Hochverrath und öffentliche Gewal</w:t>
      </w:r>
      <w:r w:rsidR="003845E9">
        <w:rPr>
          <w:lang w:val="de-AT"/>
        </w:rPr>
        <w:t>t</w:t>
      </w:r>
      <w:r w:rsidRPr="00DB0055">
        <w:rPr>
          <w:lang w:val="de-AT"/>
        </w:rPr>
        <w:t xml:space="preserve">thätigkeit’, </w:t>
      </w:r>
      <w:r w:rsidRPr="00DB0055">
        <w:rPr>
          <w:i/>
          <w:lang w:val="de-AT"/>
        </w:rPr>
        <w:t>Wiener Sonn-und Montags-Zeitung</w:t>
      </w:r>
      <w:r w:rsidRPr="00DB0055">
        <w:rPr>
          <w:lang w:val="de-AT"/>
        </w:rPr>
        <w:t>, 25 July 1870, 1.</w:t>
      </w:r>
    </w:p>
  </w:footnote>
  <w:footnote w:id="45">
    <w:p w:rsidR="00353DD3" w:rsidRPr="00DB0055" w:rsidRDefault="00353DD3" w:rsidP="007472C8">
      <w:pPr>
        <w:spacing w:line="240" w:lineRule="auto"/>
        <w:rPr>
          <w:b/>
          <w:lang w:val="de-AT"/>
        </w:rPr>
      </w:pPr>
      <w:r w:rsidRPr="00D41F85">
        <w:rPr>
          <w:rStyle w:val="FootnoteReference"/>
          <w:sz w:val="20"/>
          <w:szCs w:val="20"/>
        </w:rPr>
        <w:footnoteRef/>
      </w:r>
      <w:r w:rsidRPr="00DB0055">
        <w:rPr>
          <w:sz w:val="20"/>
          <w:szCs w:val="20"/>
          <w:lang w:val="de-AT"/>
        </w:rPr>
        <w:t xml:space="preserve"> </w:t>
      </w:r>
      <w:r w:rsidRPr="00DB0055">
        <w:rPr>
          <w:sz w:val="20"/>
          <w:szCs w:val="20"/>
          <w:lang w:val="de-AT"/>
        </w:rPr>
        <w:t xml:space="preserve">Heinrich </w:t>
      </w:r>
      <w:r w:rsidRPr="00DB0055">
        <w:rPr>
          <w:sz w:val="20"/>
          <w:szCs w:val="20"/>
          <w:lang w:val="de-AT"/>
        </w:rPr>
        <w:t xml:space="preserve">Scheu, </w:t>
      </w:r>
      <w:r w:rsidRPr="00DB0055">
        <w:rPr>
          <w:i/>
          <w:sz w:val="20"/>
          <w:szCs w:val="20"/>
          <w:lang w:val="de-AT"/>
        </w:rPr>
        <w:t>Erinnerungen. Ein Beitrag zur Geschichte der österreichischen Arbeiterbewegung</w:t>
      </w:r>
      <w:r w:rsidRPr="00DB0055">
        <w:rPr>
          <w:sz w:val="20"/>
          <w:szCs w:val="20"/>
          <w:lang w:val="de-AT"/>
        </w:rPr>
        <w:t xml:space="preserve">, in </w:t>
      </w:r>
      <w:r w:rsidRPr="00DB0055">
        <w:rPr>
          <w:i/>
          <w:sz w:val="20"/>
          <w:szCs w:val="20"/>
          <w:lang w:val="de-AT"/>
        </w:rPr>
        <w:t xml:space="preserve">Der Wiener Hochverratsprozeß </w:t>
      </w:r>
      <w:r w:rsidRPr="00DB0055">
        <w:rPr>
          <w:sz w:val="20"/>
          <w:szCs w:val="20"/>
          <w:lang w:val="de-AT"/>
        </w:rPr>
        <w:t xml:space="preserve">(Vienna: ‘Vorwärts’, 1911), 165. And Herbert Steiner, </w:t>
      </w:r>
      <w:r w:rsidRPr="00DB0055">
        <w:rPr>
          <w:i/>
          <w:sz w:val="20"/>
          <w:szCs w:val="20"/>
          <w:lang w:val="de-AT"/>
        </w:rPr>
        <w:t xml:space="preserve">Die Arbeiterbewegung Österreichs 1867-1889. Beiträge zu ihrer Geschichte von der Gründung des Wiener Arbeiterbildungsvereines bis zum Einigungsparteitag in Hainfeld </w:t>
      </w:r>
      <w:r w:rsidRPr="00DB0055">
        <w:rPr>
          <w:sz w:val="20"/>
          <w:szCs w:val="20"/>
          <w:lang w:val="de-AT"/>
        </w:rPr>
        <w:t>(Vienna: Europa-Verlag, 1964), 19ff.</w:t>
      </w:r>
    </w:p>
  </w:footnote>
  <w:footnote w:id="46">
    <w:p w:rsidR="00353DD3" w:rsidRPr="00DB0055" w:rsidRDefault="00353DD3">
      <w:pPr>
        <w:pStyle w:val="FootnoteText"/>
        <w:rPr>
          <w:i/>
          <w:lang w:val="de-AT"/>
        </w:rPr>
      </w:pPr>
      <w:r w:rsidRPr="00D41F85">
        <w:rPr>
          <w:rStyle w:val="FootnoteReference"/>
        </w:rPr>
        <w:footnoteRef/>
      </w:r>
      <w:r w:rsidRPr="00DB0055">
        <w:rPr>
          <w:lang w:val="de-AT"/>
        </w:rPr>
        <w:t xml:space="preserve"> </w:t>
      </w:r>
      <w:r w:rsidRPr="00DB0055">
        <w:rPr>
          <w:lang w:val="de-AT"/>
        </w:rPr>
        <w:t xml:space="preserve">‘Die </w:t>
      </w:r>
      <w:r w:rsidRPr="00DB0055">
        <w:rPr>
          <w:lang w:val="de-AT"/>
        </w:rPr>
        <w:t xml:space="preserve">Verhaftung der Arbeiterführer’, </w:t>
      </w:r>
      <w:r w:rsidRPr="00DB0055">
        <w:rPr>
          <w:i/>
          <w:lang w:val="de-AT"/>
        </w:rPr>
        <w:t>Neues Wiener Tagblatt</w:t>
      </w:r>
      <w:r w:rsidRPr="00DB0055">
        <w:rPr>
          <w:lang w:val="de-AT"/>
        </w:rPr>
        <w:t>, 23 December, 3-4; ‘Die Arbeiterfrage’,</w:t>
      </w:r>
      <w:r w:rsidRPr="00423553">
        <w:rPr>
          <w:i/>
          <w:lang w:val="de-AT"/>
        </w:rPr>
        <w:t xml:space="preserve"> </w:t>
      </w:r>
      <w:r w:rsidRPr="00DB0055">
        <w:rPr>
          <w:i/>
          <w:lang w:val="de-AT"/>
        </w:rPr>
        <w:t>Neues Wiener Tagblatt</w:t>
      </w:r>
      <w:r>
        <w:rPr>
          <w:lang w:val="de-AT"/>
        </w:rPr>
        <w:t>,</w:t>
      </w:r>
      <w:r w:rsidRPr="00DB0055">
        <w:rPr>
          <w:lang w:val="de-AT"/>
        </w:rPr>
        <w:t xml:space="preserve"> 24 December 1869, 1</w:t>
      </w:r>
      <w:r w:rsidRPr="00DB0055">
        <w:rPr>
          <w:i/>
          <w:lang w:val="de-AT"/>
        </w:rPr>
        <w:t>.</w:t>
      </w:r>
    </w:p>
  </w:footnote>
  <w:footnote w:id="47">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Ibid., 23 December 1869, 3.</w:t>
      </w:r>
      <w:r w:rsidRPr="00DB0055">
        <w:rPr>
          <w:i/>
          <w:lang w:val="de-AT"/>
        </w:rPr>
        <w:t xml:space="preserve"> </w:t>
      </w:r>
    </w:p>
  </w:footnote>
  <w:footnote w:id="48">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Scheu, </w:t>
      </w:r>
      <w:r w:rsidRPr="00DB0055">
        <w:rPr>
          <w:i/>
          <w:lang w:val="de-AT"/>
        </w:rPr>
        <w:t xml:space="preserve">Erinnerungen, </w:t>
      </w:r>
      <w:r w:rsidRPr="00DB0055">
        <w:rPr>
          <w:lang w:val="de-AT"/>
        </w:rPr>
        <w:t>175.</w:t>
      </w:r>
    </w:p>
  </w:footnote>
  <w:footnote w:id="49">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Ibid., 186.</w:t>
      </w:r>
    </w:p>
  </w:footnote>
  <w:footnote w:id="50">
    <w:p w:rsidR="00353DD3" w:rsidRPr="00D41F85" w:rsidRDefault="00353DD3">
      <w:pPr>
        <w:pStyle w:val="FootnoteText"/>
      </w:pPr>
      <w:r w:rsidRPr="00D41F85">
        <w:rPr>
          <w:rStyle w:val="FootnoteReference"/>
        </w:rPr>
        <w:footnoteRef/>
      </w:r>
      <w:r w:rsidRPr="00D41F85">
        <w:t xml:space="preserve"> </w:t>
      </w:r>
      <w:proofErr w:type="gramStart"/>
      <w:r w:rsidRPr="00D41F85">
        <w:t>Ibid.,</w:t>
      </w:r>
      <w:proofErr w:type="gramEnd"/>
      <w:r w:rsidRPr="00D41F85">
        <w:t xml:space="preserve"> 181, 191; </w:t>
      </w:r>
      <w:r w:rsidRPr="00D41F85">
        <w:rPr>
          <w:i/>
        </w:rPr>
        <w:t xml:space="preserve">Der </w:t>
      </w:r>
      <w:proofErr w:type="spellStart"/>
      <w:r w:rsidRPr="00D41F85">
        <w:rPr>
          <w:i/>
        </w:rPr>
        <w:t>Floh</w:t>
      </w:r>
      <w:proofErr w:type="spellEnd"/>
      <w:r w:rsidRPr="00D41F85">
        <w:t>, 17 July 1870, 2</w:t>
      </w:r>
      <w:r>
        <w:t>.</w:t>
      </w:r>
      <w:r w:rsidRPr="00D41F85">
        <w:t xml:space="preserve"> Andreas Scheu here comments on </w:t>
      </w:r>
      <w:proofErr w:type="spellStart"/>
      <w:r w:rsidRPr="00D41F85">
        <w:t>Podany’s</w:t>
      </w:r>
      <w:proofErr w:type="spellEnd"/>
      <w:r w:rsidRPr="00D41F85">
        <w:t xml:space="preserve"> </w:t>
      </w:r>
      <w:r>
        <w:t xml:space="preserve">professed </w:t>
      </w:r>
      <w:r w:rsidRPr="00D41F85">
        <w:t>commitment to republicanism</w:t>
      </w:r>
      <w:r>
        <w:t>:</w:t>
      </w:r>
      <w:r w:rsidRPr="00D41F85">
        <w:t xml:space="preserve"> ‘Certainly Fräulein Podany, I know you will never leave the barricades so long as there’s still a man there’.</w:t>
      </w:r>
    </w:p>
  </w:footnote>
  <w:footnote w:id="51">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‘Der Socialisten-Prozeß’, </w:t>
      </w:r>
      <w:r w:rsidRPr="00DB0055">
        <w:rPr>
          <w:i/>
          <w:lang w:val="de-AT"/>
        </w:rPr>
        <w:t>Die Presse</w:t>
      </w:r>
      <w:r w:rsidRPr="00DB0055">
        <w:rPr>
          <w:lang w:val="de-AT"/>
        </w:rPr>
        <w:t>, 20 July 1870, 2.</w:t>
      </w:r>
    </w:p>
  </w:footnote>
  <w:footnote w:id="52">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‘Hochverrath </w:t>
      </w:r>
      <w:r w:rsidRPr="00DB0055">
        <w:rPr>
          <w:lang w:val="de-AT"/>
        </w:rPr>
        <w:t xml:space="preserve">und öffentliche Gewaltthätigkeit’, </w:t>
      </w:r>
      <w:r w:rsidRPr="00DB0055">
        <w:rPr>
          <w:i/>
          <w:lang w:val="de-AT"/>
        </w:rPr>
        <w:t>Wiener Sonn-und Montags-Zeitung</w:t>
      </w:r>
      <w:r w:rsidRPr="00DB0055">
        <w:rPr>
          <w:lang w:val="de-AT"/>
        </w:rPr>
        <w:t xml:space="preserve">, 25 July 1870, 1; ‘Der Schluß des Arbeiter-Prozeß‘, </w:t>
      </w:r>
      <w:r w:rsidRPr="00DB0055">
        <w:rPr>
          <w:i/>
          <w:lang w:val="de-AT"/>
        </w:rPr>
        <w:t>Morgen-Post</w:t>
      </w:r>
      <w:r w:rsidRPr="00DB0055">
        <w:rPr>
          <w:lang w:val="de-AT"/>
        </w:rPr>
        <w:t>, 20 July 1870, 2.</w:t>
      </w:r>
    </w:p>
  </w:footnote>
  <w:footnote w:id="53">
    <w:p w:rsidR="00353DD3" w:rsidRPr="00DB0055" w:rsidRDefault="00353DD3">
      <w:pPr>
        <w:pStyle w:val="FootnoteText"/>
        <w:rPr>
          <w:lang w:val="de-AT"/>
        </w:rPr>
      </w:pPr>
      <w:r w:rsidRPr="00D41F85">
        <w:rPr>
          <w:rStyle w:val="FootnoteReference"/>
        </w:rPr>
        <w:footnoteRef/>
      </w:r>
      <w:r w:rsidRPr="00DB0055">
        <w:rPr>
          <w:lang w:val="de-AT"/>
        </w:rPr>
        <w:t xml:space="preserve"> </w:t>
      </w:r>
      <w:r w:rsidRPr="00DB0055">
        <w:rPr>
          <w:lang w:val="de-AT"/>
        </w:rPr>
        <w:t xml:space="preserve">Scheu, </w:t>
      </w:r>
      <w:r w:rsidRPr="00DB0055">
        <w:rPr>
          <w:i/>
          <w:lang w:val="de-AT"/>
        </w:rPr>
        <w:t>Erinnerungen</w:t>
      </w:r>
      <w:r w:rsidRPr="00DB0055">
        <w:rPr>
          <w:lang w:val="de-AT"/>
        </w:rPr>
        <w:t>,</w:t>
      </w:r>
      <w:r w:rsidRPr="00DB0055">
        <w:rPr>
          <w:i/>
          <w:lang w:val="de-AT"/>
        </w:rPr>
        <w:t xml:space="preserve"> </w:t>
      </w:r>
      <w:r w:rsidRPr="00DB0055">
        <w:rPr>
          <w:lang w:val="de-AT"/>
        </w:rPr>
        <w:t>244-53.</w:t>
      </w:r>
    </w:p>
  </w:footnote>
  <w:footnote w:id="54">
    <w:p w:rsidR="00353DD3" w:rsidRPr="00D41F85" w:rsidRDefault="00353DD3">
      <w:pPr>
        <w:pStyle w:val="FootnoteText"/>
      </w:pPr>
      <w:r w:rsidRPr="00D41F85">
        <w:rPr>
          <w:rStyle w:val="FootnoteReference"/>
        </w:rPr>
        <w:footnoteRef/>
      </w:r>
      <w:r w:rsidRPr="00DB0055">
        <w:rPr>
          <w:lang w:val="de-AT"/>
        </w:rPr>
        <w:t xml:space="preserve"> </w:t>
      </w:r>
      <w:r w:rsidRPr="00DB0055">
        <w:rPr>
          <w:lang w:val="de-AT"/>
        </w:rPr>
        <w:t xml:space="preserve">See </w:t>
      </w:r>
      <w:r w:rsidRPr="00DB0055">
        <w:rPr>
          <w:i/>
          <w:lang w:val="de-AT"/>
        </w:rPr>
        <w:t>Magyarország tört</w:t>
      </w:r>
      <w:r w:rsidRPr="00DB0055">
        <w:rPr>
          <w:i/>
          <w:lang w:val="de-AT"/>
        </w:rPr>
        <w:softHyphen/>
        <w:t>énete 1848-1890</w:t>
      </w:r>
      <w:r w:rsidRPr="00DB0055">
        <w:rPr>
          <w:lang w:val="de-AT"/>
        </w:rPr>
        <w:t xml:space="preserve">, ed. </w:t>
      </w:r>
      <w:r w:rsidRPr="00D41F85">
        <w:t xml:space="preserve">László </w:t>
      </w:r>
      <w:proofErr w:type="spellStart"/>
      <w:r w:rsidRPr="00D41F85">
        <w:t>Katus</w:t>
      </w:r>
      <w:proofErr w:type="spellEnd"/>
      <w:r w:rsidRPr="00D41F85">
        <w:t xml:space="preserve">, 2 </w:t>
      </w:r>
      <w:proofErr w:type="spellStart"/>
      <w:r w:rsidRPr="00D41F85">
        <w:t>vols</w:t>
      </w:r>
      <w:proofErr w:type="spellEnd"/>
      <w:r w:rsidRPr="00D41F85">
        <w:t xml:space="preserve"> (Budapest: Akadémiai </w:t>
      </w:r>
      <w:proofErr w:type="spellStart"/>
      <w:r w:rsidRPr="00D41F85">
        <w:t>kiadó</w:t>
      </w:r>
      <w:proofErr w:type="spellEnd"/>
      <w:r w:rsidRPr="00D41F85">
        <w:t xml:space="preserve">, 1979), I, 891-2. </w:t>
      </w:r>
    </w:p>
  </w:footnote>
  <w:footnote w:id="55">
    <w:p w:rsidR="00353DD3" w:rsidRPr="00D41F85" w:rsidRDefault="00353DD3">
      <w:pPr>
        <w:pStyle w:val="FootnoteText"/>
      </w:pPr>
      <w:r w:rsidRPr="00D41F85">
        <w:rPr>
          <w:rStyle w:val="FootnoteReference"/>
        </w:rPr>
        <w:footnoteRef/>
      </w:r>
      <w:r w:rsidRPr="00D41F85">
        <w:t xml:space="preserve"> See Mark Cornwall, </w:t>
      </w:r>
      <w:r>
        <w:t>‘Loyalty and Treason in Late Habsburg Croatia: A Violent Political Discourse before the First World War’, in Jana Osterkamp and Martin Schulze Wessel (</w:t>
      </w:r>
      <w:proofErr w:type="spellStart"/>
      <w:proofErr w:type="gramStart"/>
      <w:r>
        <w:t>eds</w:t>
      </w:r>
      <w:proofErr w:type="spellEnd"/>
      <w:proofErr w:type="gramEnd"/>
      <w:r>
        <w:t xml:space="preserve">), </w:t>
      </w:r>
      <w:r>
        <w:rPr>
          <w:i/>
        </w:rPr>
        <w:t>Exploring Loyalty</w:t>
      </w:r>
      <w:r>
        <w:t xml:space="preserve"> (Göttingen: Vandenhoeck &amp; </w:t>
      </w:r>
      <w:proofErr w:type="spellStart"/>
      <w:r>
        <w:t>Ruprecht</w:t>
      </w:r>
      <w:proofErr w:type="spellEnd"/>
      <w:r>
        <w:t>, 2017), 97-120.</w:t>
      </w:r>
    </w:p>
  </w:footnote>
  <w:footnote w:id="56">
    <w:p w:rsidR="00353DD3" w:rsidRPr="00D41F85" w:rsidRDefault="00353DD3" w:rsidP="00D41F85">
      <w:pPr>
        <w:spacing w:line="240" w:lineRule="auto"/>
        <w:rPr>
          <w:sz w:val="20"/>
          <w:szCs w:val="20"/>
        </w:rPr>
      </w:pPr>
      <w:r w:rsidRPr="00D41F85">
        <w:rPr>
          <w:rStyle w:val="FootnoteReference"/>
          <w:sz w:val="20"/>
          <w:szCs w:val="20"/>
        </w:rPr>
        <w:footnoteRef/>
      </w:r>
      <w:r w:rsidRPr="00925451">
        <w:rPr>
          <w:sz w:val="20"/>
          <w:szCs w:val="20"/>
          <w:lang w:val="de-AT"/>
        </w:rPr>
        <w:t xml:space="preserve"> </w:t>
      </w:r>
      <w:r w:rsidRPr="00925451">
        <w:rPr>
          <w:sz w:val="20"/>
          <w:szCs w:val="20"/>
          <w:lang w:val="de-AT"/>
        </w:rPr>
        <w:t xml:space="preserve">Anton Hye, </w:t>
      </w:r>
      <w:r w:rsidRPr="00925451">
        <w:rPr>
          <w:i/>
          <w:sz w:val="20"/>
          <w:szCs w:val="20"/>
          <w:lang w:val="de-AT"/>
        </w:rPr>
        <w:t xml:space="preserve">Das österreichische Strafgesetz uber Verbrechen, Vergehen und Uebertretungen, und die Preßordnung vom 27. </w:t>
      </w:r>
      <w:r w:rsidRPr="00D41F85">
        <w:rPr>
          <w:i/>
          <w:sz w:val="20"/>
          <w:szCs w:val="20"/>
        </w:rPr>
        <w:t>Mai 1852</w:t>
      </w:r>
      <w:r w:rsidRPr="00D41F85">
        <w:rPr>
          <w:sz w:val="20"/>
          <w:szCs w:val="20"/>
        </w:rPr>
        <w:t xml:space="preserve">, vol. 1 (Vienna: Friedrich </w:t>
      </w:r>
      <w:proofErr w:type="spellStart"/>
      <w:r w:rsidRPr="00D41F85">
        <w:rPr>
          <w:sz w:val="20"/>
          <w:szCs w:val="20"/>
        </w:rPr>
        <w:t>Manz</w:t>
      </w:r>
      <w:proofErr w:type="spellEnd"/>
      <w:r w:rsidRPr="00D41F85">
        <w:rPr>
          <w:sz w:val="20"/>
          <w:szCs w:val="20"/>
        </w:rPr>
        <w:t>, 1855), 676.</w:t>
      </w:r>
    </w:p>
  </w:footnote>
  <w:footnote w:id="57">
    <w:p w:rsidR="00353DD3" w:rsidRPr="00FF1A9F" w:rsidRDefault="00353DD3" w:rsidP="00FF1A9F">
      <w:pPr>
        <w:spacing w:line="240" w:lineRule="auto"/>
        <w:rPr>
          <w:b/>
          <w:sz w:val="20"/>
          <w:szCs w:val="20"/>
          <w:u w:val="single"/>
          <w:lang w:val="en-US"/>
        </w:rPr>
      </w:pPr>
      <w:r w:rsidRPr="00FF1A9F">
        <w:rPr>
          <w:rStyle w:val="FootnoteReference"/>
          <w:sz w:val="20"/>
          <w:szCs w:val="20"/>
        </w:rPr>
        <w:footnoteRef/>
      </w:r>
      <w:r w:rsidRPr="00FF1A9F">
        <w:rPr>
          <w:sz w:val="20"/>
          <w:szCs w:val="20"/>
        </w:rPr>
        <w:t xml:space="preserve"> John-Paul </w:t>
      </w:r>
      <w:proofErr w:type="spellStart"/>
      <w:r w:rsidRPr="00FF1A9F">
        <w:rPr>
          <w:sz w:val="20"/>
          <w:szCs w:val="20"/>
        </w:rPr>
        <w:t>Himka</w:t>
      </w:r>
      <w:proofErr w:type="spellEnd"/>
      <w:r w:rsidRPr="00FF1A9F">
        <w:rPr>
          <w:sz w:val="20"/>
          <w:szCs w:val="20"/>
        </w:rPr>
        <w:t xml:space="preserve">, </w:t>
      </w:r>
      <w:r w:rsidRPr="00FF1A9F">
        <w:rPr>
          <w:i/>
          <w:sz w:val="20"/>
          <w:szCs w:val="20"/>
        </w:rPr>
        <w:t xml:space="preserve">Religion and Nationality in Western Ukraine: The Greek Catholic Church and the Ruthenian National Movement in Galicia 1867-1900 </w:t>
      </w:r>
      <w:r w:rsidRPr="00FF1A9F">
        <w:rPr>
          <w:sz w:val="20"/>
          <w:szCs w:val="20"/>
        </w:rPr>
        <w:t>(Montreal</w:t>
      </w:r>
      <w:r w:rsidR="00D379EF">
        <w:rPr>
          <w:sz w:val="20"/>
          <w:szCs w:val="20"/>
        </w:rPr>
        <w:t>: McGill-Queens University Press,</w:t>
      </w:r>
      <w:r w:rsidRPr="00FF1A9F">
        <w:rPr>
          <w:sz w:val="20"/>
          <w:szCs w:val="20"/>
        </w:rPr>
        <w:t xml:space="preserve"> 1999), 73-8. For further surveillance of Naumovych [</w:t>
      </w:r>
      <w:proofErr w:type="spellStart"/>
      <w:r w:rsidRPr="00FF1A9F">
        <w:rPr>
          <w:sz w:val="20"/>
          <w:szCs w:val="20"/>
        </w:rPr>
        <w:t>Naumowicz</w:t>
      </w:r>
      <w:proofErr w:type="spellEnd"/>
      <w:r w:rsidRPr="00FF1A9F">
        <w:rPr>
          <w:sz w:val="20"/>
          <w:szCs w:val="20"/>
        </w:rPr>
        <w:t xml:space="preserve">], see </w:t>
      </w:r>
      <w:r>
        <w:rPr>
          <w:sz w:val="20"/>
          <w:szCs w:val="20"/>
        </w:rPr>
        <w:t xml:space="preserve">the reports from 1885 in </w:t>
      </w:r>
      <w:r w:rsidRPr="00FF1A9F">
        <w:rPr>
          <w:sz w:val="20"/>
          <w:szCs w:val="20"/>
        </w:rPr>
        <w:t xml:space="preserve">HHStA, </w:t>
      </w:r>
      <w:proofErr w:type="spellStart"/>
      <w:r w:rsidRPr="00FF1A9F">
        <w:rPr>
          <w:sz w:val="20"/>
          <w:szCs w:val="20"/>
          <w:lang w:val="en-US"/>
        </w:rPr>
        <w:t>Informationsbüro</w:t>
      </w:r>
      <w:proofErr w:type="spellEnd"/>
      <w:r w:rsidRPr="00FF1A9F">
        <w:rPr>
          <w:sz w:val="20"/>
          <w:szCs w:val="20"/>
          <w:lang w:val="en-US"/>
        </w:rPr>
        <w:t xml:space="preserve"> des Min. d. </w:t>
      </w:r>
      <w:proofErr w:type="spellStart"/>
      <w:r w:rsidRPr="00FF1A9F">
        <w:rPr>
          <w:sz w:val="20"/>
          <w:szCs w:val="20"/>
          <w:lang w:val="en-US"/>
        </w:rPr>
        <w:t>Äußern</w:t>
      </w:r>
      <w:proofErr w:type="spellEnd"/>
      <w:r w:rsidRPr="00FF1A9F">
        <w:rPr>
          <w:sz w:val="20"/>
          <w:szCs w:val="20"/>
          <w:lang w:val="en-US"/>
        </w:rPr>
        <w:t xml:space="preserve">, karton </w:t>
      </w:r>
      <w:r>
        <w:rPr>
          <w:sz w:val="20"/>
          <w:szCs w:val="20"/>
          <w:lang w:val="en-US"/>
        </w:rPr>
        <w:t>204.</w:t>
      </w:r>
    </w:p>
  </w:footnote>
  <w:footnote w:id="58">
    <w:p w:rsidR="00353DD3" w:rsidRPr="006073D9" w:rsidRDefault="00353DD3">
      <w:pPr>
        <w:pStyle w:val="FootnoteText"/>
        <w:rPr>
          <w:lang w:val="de-AT"/>
        </w:rPr>
      </w:pPr>
      <w:r>
        <w:rPr>
          <w:rStyle w:val="FootnoteReference"/>
        </w:rPr>
        <w:footnoteRef/>
      </w:r>
      <w:r w:rsidRPr="006073D9">
        <w:rPr>
          <w:lang w:val="de-AT"/>
        </w:rPr>
        <w:t xml:space="preserve"> </w:t>
      </w:r>
      <w:r w:rsidRPr="006073D9">
        <w:rPr>
          <w:lang w:val="de-AT"/>
        </w:rPr>
        <w:t xml:space="preserve">‘Von Denunciaten und anderem Gesichter’, </w:t>
      </w:r>
      <w:r>
        <w:rPr>
          <w:i/>
          <w:lang w:val="de-AT"/>
        </w:rPr>
        <w:t>Agramer Tagblatt</w:t>
      </w:r>
      <w:r>
        <w:rPr>
          <w:lang w:val="de-AT"/>
        </w:rPr>
        <w:t>, 20 February 1887, 1.</w:t>
      </w:r>
    </w:p>
  </w:footnote>
  <w:footnote w:id="59">
    <w:p w:rsidR="00353DD3" w:rsidRDefault="00353DD3">
      <w:pPr>
        <w:pStyle w:val="FootnoteText"/>
      </w:pPr>
      <w:r>
        <w:rPr>
          <w:rStyle w:val="FootnoteReference"/>
        </w:rPr>
        <w:footnoteRef/>
      </w:r>
      <w:r>
        <w:t xml:space="preserve"> Derenčin (1836-1908) had been head of the judicial department in the Croatian government from 1876 to 1883 and had done much to modernize criminal proceedings.</w:t>
      </w:r>
    </w:p>
  </w:footnote>
  <w:footnote w:id="60">
    <w:p w:rsidR="00353DD3" w:rsidRPr="00D64558" w:rsidRDefault="00353DD3">
      <w:pPr>
        <w:pStyle w:val="FootnoteText"/>
      </w:pPr>
      <w:r>
        <w:rPr>
          <w:rStyle w:val="FootnoteReference"/>
        </w:rPr>
        <w:footnoteRef/>
      </w:r>
      <w:r>
        <w:t xml:space="preserve"> ‘</w:t>
      </w:r>
      <w:proofErr w:type="spellStart"/>
      <w:r>
        <w:t>Iz</w:t>
      </w:r>
      <w:proofErr w:type="spellEnd"/>
      <w:r>
        <w:t xml:space="preserve"> </w:t>
      </w:r>
      <w:proofErr w:type="spellStart"/>
      <w:r>
        <w:t>sudnice</w:t>
      </w:r>
      <w:proofErr w:type="spellEnd"/>
      <w:r>
        <w:t xml:space="preserve">. </w:t>
      </w:r>
      <w:proofErr w:type="spellStart"/>
      <w:r>
        <w:t>Glavna</w:t>
      </w:r>
      <w:proofErr w:type="spellEnd"/>
      <w:r>
        <w:t xml:space="preserve"> </w:t>
      </w:r>
      <w:proofErr w:type="spellStart"/>
      <w:r>
        <w:t>razprava</w:t>
      </w:r>
      <w:proofErr w:type="spellEnd"/>
      <w:r>
        <w:t xml:space="preserve">’, </w:t>
      </w:r>
      <w:proofErr w:type="spellStart"/>
      <w:r>
        <w:rPr>
          <w:i/>
        </w:rPr>
        <w:t>Obzor</w:t>
      </w:r>
      <w:proofErr w:type="spellEnd"/>
      <w:r>
        <w:rPr>
          <w:i/>
        </w:rPr>
        <w:t xml:space="preserve"> </w:t>
      </w:r>
      <w:r>
        <w:t>[</w:t>
      </w:r>
      <w:proofErr w:type="spellStart"/>
      <w:r>
        <w:t>prilog</w:t>
      </w:r>
      <w:proofErr w:type="spellEnd"/>
      <w:r>
        <w:t xml:space="preserve">], 19 February 1887, 3-4; </w:t>
      </w:r>
      <w:proofErr w:type="gramStart"/>
      <w:r>
        <w:t>ibid.,</w:t>
      </w:r>
      <w:proofErr w:type="gramEnd"/>
      <w:r>
        <w:t xml:space="preserve"> </w:t>
      </w:r>
      <w:proofErr w:type="spellStart"/>
      <w:r>
        <w:rPr>
          <w:i/>
        </w:rPr>
        <w:t>Obzor</w:t>
      </w:r>
      <w:proofErr w:type="spellEnd"/>
      <w:r>
        <w:t>, 21 February 1887, 3-4.</w:t>
      </w:r>
    </w:p>
  </w:footnote>
  <w:footnote w:id="61">
    <w:p w:rsidR="00353DD3" w:rsidRPr="00D41F85" w:rsidRDefault="00353DD3" w:rsidP="00FF1A9F">
      <w:pPr>
        <w:spacing w:line="240" w:lineRule="auto"/>
        <w:rPr>
          <w:sz w:val="20"/>
          <w:szCs w:val="20"/>
        </w:rPr>
      </w:pPr>
      <w:r w:rsidRPr="00D41F85">
        <w:rPr>
          <w:rStyle w:val="FootnoteReference"/>
          <w:sz w:val="20"/>
          <w:szCs w:val="20"/>
        </w:rPr>
        <w:footnoteRef/>
      </w:r>
      <w:r w:rsidRPr="00D41F85">
        <w:rPr>
          <w:sz w:val="20"/>
          <w:szCs w:val="20"/>
        </w:rPr>
        <w:t xml:space="preserve"> August Harambašić, </w:t>
      </w:r>
      <w:proofErr w:type="spellStart"/>
      <w:r w:rsidRPr="00D41F85">
        <w:rPr>
          <w:i/>
          <w:sz w:val="20"/>
          <w:szCs w:val="20"/>
        </w:rPr>
        <w:t>Ukupna</w:t>
      </w:r>
      <w:proofErr w:type="spellEnd"/>
      <w:r w:rsidRPr="00D41F85">
        <w:rPr>
          <w:i/>
          <w:sz w:val="20"/>
          <w:szCs w:val="20"/>
        </w:rPr>
        <w:t xml:space="preserve"> </w:t>
      </w:r>
      <w:proofErr w:type="spellStart"/>
      <w:r w:rsidRPr="00D41F85">
        <w:rPr>
          <w:i/>
          <w:sz w:val="20"/>
          <w:szCs w:val="20"/>
        </w:rPr>
        <w:t>djela</w:t>
      </w:r>
      <w:proofErr w:type="spellEnd"/>
      <w:r w:rsidRPr="00D41F85">
        <w:rPr>
          <w:i/>
          <w:sz w:val="20"/>
          <w:szCs w:val="20"/>
        </w:rPr>
        <w:t xml:space="preserve"> August </w:t>
      </w:r>
      <w:proofErr w:type="spellStart"/>
      <w:r w:rsidRPr="00D41F85">
        <w:rPr>
          <w:i/>
          <w:sz w:val="20"/>
          <w:szCs w:val="20"/>
        </w:rPr>
        <w:t>Harambašića</w:t>
      </w:r>
      <w:proofErr w:type="spellEnd"/>
      <w:r w:rsidR="00C04744">
        <w:rPr>
          <w:sz w:val="20"/>
          <w:szCs w:val="20"/>
        </w:rPr>
        <w:t xml:space="preserve">, </w:t>
      </w:r>
      <w:r w:rsidRPr="00D41F85">
        <w:rPr>
          <w:sz w:val="20"/>
          <w:szCs w:val="20"/>
        </w:rPr>
        <w:t xml:space="preserve">ed. </w:t>
      </w:r>
      <w:proofErr w:type="spellStart"/>
      <w:r w:rsidRPr="00D41F85">
        <w:rPr>
          <w:sz w:val="20"/>
          <w:szCs w:val="20"/>
        </w:rPr>
        <w:t>Julije</w:t>
      </w:r>
      <w:proofErr w:type="spellEnd"/>
      <w:r w:rsidRPr="00D41F85">
        <w:rPr>
          <w:sz w:val="20"/>
          <w:szCs w:val="20"/>
        </w:rPr>
        <w:t xml:space="preserve"> </w:t>
      </w:r>
      <w:proofErr w:type="spellStart"/>
      <w:r w:rsidRPr="00D41F85">
        <w:rPr>
          <w:sz w:val="20"/>
          <w:szCs w:val="20"/>
        </w:rPr>
        <w:t>Benešić</w:t>
      </w:r>
      <w:proofErr w:type="spellEnd"/>
      <w:r w:rsidRPr="00D41F85">
        <w:rPr>
          <w:sz w:val="20"/>
          <w:szCs w:val="20"/>
        </w:rPr>
        <w:t xml:space="preserve"> (Zagreb: </w:t>
      </w:r>
      <w:proofErr w:type="spellStart"/>
      <w:r w:rsidRPr="00D41F85">
        <w:rPr>
          <w:sz w:val="20"/>
          <w:szCs w:val="20"/>
        </w:rPr>
        <w:t>Izdanje</w:t>
      </w:r>
      <w:proofErr w:type="spellEnd"/>
      <w:r w:rsidRPr="00D41F85">
        <w:rPr>
          <w:sz w:val="20"/>
          <w:szCs w:val="20"/>
        </w:rPr>
        <w:t xml:space="preserve"> </w:t>
      </w:r>
      <w:proofErr w:type="spellStart"/>
      <w:r w:rsidRPr="00D41F85">
        <w:rPr>
          <w:sz w:val="20"/>
          <w:szCs w:val="20"/>
        </w:rPr>
        <w:t>Hrvatskog</w:t>
      </w:r>
      <w:proofErr w:type="spellEnd"/>
      <w:r w:rsidRPr="00D41F85">
        <w:rPr>
          <w:sz w:val="20"/>
          <w:szCs w:val="20"/>
        </w:rPr>
        <w:t xml:space="preserve"> </w:t>
      </w:r>
      <w:proofErr w:type="spellStart"/>
      <w:r w:rsidRPr="00D41F85">
        <w:rPr>
          <w:sz w:val="20"/>
          <w:szCs w:val="20"/>
        </w:rPr>
        <w:t>izdavalačkog</w:t>
      </w:r>
      <w:proofErr w:type="spellEnd"/>
      <w:r w:rsidRPr="00D41F85">
        <w:rPr>
          <w:sz w:val="20"/>
          <w:szCs w:val="20"/>
        </w:rPr>
        <w:t xml:space="preserve"> </w:t>
      </w:r>
      <w:proofErr w:type="spellStart"/>
      <w:r w:rsidRPr="00D41F85">
        <w:rPr>
          <w:sz w:val="20"/>
          <w:szCs w:val="20"/>
        </w:rPr>
        <w:t>bibliografskog</w:t>
      </w:r>
      <w:proofErr w:type="spellEnd"/>
      <w:r w:rsidRPr="00D41F85">
        <w:rPr>
          <w:sz w:val="20"/>
          <w:szCs w:val="20"/>
        </w:rPr>
        <w:t xml:space="preserve"> </w:t>
      </w:r>
      <w:proofErr w:type="spellStart"/>
      <w:r w:rsidRPr="00D41F85">
        <w:rPr>
          <w:sz w:val="20"/>
          <w:szCs w:val="20"/>
        </w:rPr>
        <w:t>zavoda</w:t>
      </w:r>
      <w:proofErr w:type="spellEnd"/>
      <w:r w:rsidRPr="00D41F85">
        <w:rPr>
          <w:sz w:val="20"/>
          <w:szCs w:val="20"/>
        </w:rPr>
        <w:t xml:space="preserve">, 1943), III: </w:t>
      </w:r>
      <w:proofErr w:type="spellStart"/>
      <w:r w:rsidRPr="00D41F85">
        <w:rPr>
          <w:i/>
          <w:sz w:val="20"/>
          <w:szCs w:val="20"/>
        </w:rPr>
        <w:t>Lirika</w:t>
      </w:r>
      <w:proofErr w:type="spellEnd"/>
      <w:r w:rsidRPr="00D41F85">
        <w:rPr>
          <w:sz w:val="20"/>
          <w:szCs w:val="20"/>
        </w:rPr>
        <w:t>, 417-9.</w:t>
      </w:r>
      <w:r>
        <w:rPr>
          <w:sz w:val="20"/>
          <w:szCs w:val="20"/>
        </w:rPr>
        <w:t xml:space="preserve"> For the prose poem, ‘Tri </w:t>
      </w:r>
      <w:proofErr w:type="spellStart"/>
      <w:r>
        <w:rPr>
          <w:sz w:val="20"/>
          <w:szCs w:val="20"/>
        </w:rPr>
        <w:t>Molitve</w:t>
      </w:r>
      <w:proofErr w:type="spellEnd"/>
      <w:r>
        <w:rPr>
          <w:sz w:val="20"/>
          <w:szCs w:val="20"/>
        </w:rPr>
        <w:t>’: 41-3.</w:t>
      </w:r>
    </w:p>
  </w:footnote>
  <w:footnote w:id="62">
    <w:p w:rsidR="00353DD3" w:rsidRPr="002E75D5" w:rsidRDefault="00353DD3" w:rsidP="002E75D5">
      <w:pPr>
        <w:spacing w:line="240" w:lineRule="auto"/>
        <w:rPr>
          <w:sz w:val="20"/>
          <w:szCs w:val="20"/>
        </w:rPr>
      </w:pPr>
      <w:r w:rsidRPr="002E75D5">
        <w:rPr>
          <w:rStyle w:val="FootnoteReference"/>
          <w:sz w:val="20"/>
          <w:szCs w:val="20"/>
        </w:rPr>
        <w:footnoteRef/>
      </w:r>
      <w:r w:rsidRPr="002E75D5">
        <w:rPr>
          <w:sz w:val="20"/>
          <w:szCs w:val="20"/>
        </w:rPr>
        <w:t xml:space="preserve"> For context, see Ian D. Armour, </w:t>
      </w:r>
      <w:r w:rsidRPr="002E75D5">
        <w:rPr>
          <w:i/>
          <w:sz w:val="20"/>
          <w:szCs w:val="20"/>
        </w:rPr>
        <w:t xml:space="preserve">Apple of Discord: The ‘Hungarian Factor’ in Austro-Serbian Relations, 1867-1881 </w:t>
      </w:r>
      <w:r w:rsidRPr="002E75D5">
        <w:rPr>
          <w:sz w:val="20"/>
          <w:szCs w:val="20"/>
        </w:rPr>
        <w:t>(West Lafayette IND: Purdue University Press, 2014).</w:t>
      </w:r>
    </w:p>
  </w:footnote>
  <w:footnote w:id="63">
    <w:p w:rsidR="00353DD3" w:rsidRPr="00D41F85" w:rsidRDefault="00353DD3" w:rsidP="0064017C">
      <w:pPr>
        <w:spacing w:line="240" w:lineRule="auto"/>
        <w:rPr>
          <w:sz w:val="20"/>
          <w:szCs w:val="20"/>
        </w:rPr>
      </w:pPr>
      <w:r w:rsidRPr="00D41F85">
        <w:rPr>
          <w:rStyle w:val="FootnoteReference"/>
          <w:sz w:val="20"/>
          <w:szCs w:val="20"/>
        </w:rPr>
        <w:footnoteRef/>
      </w:r>
      <w:r w:rsidRPr="00D41F85">
        <w:rPr>
          <w:sz w:val="20"/>
          <w:szCs w:val="20"/>
        </w:rPr>
        <w:t xml:space="preserve"> Nikola </w:t>
      </w:r>
      <w:proofErr w:type="spellStart"/>
      <w:r w:rsidRPr="00D41F85">
        <w:rPr>
          <w:sz w:val="20"/>
          <w:szCs w:val="20"/>
        </w:rPr>
        <w:t>Petrović</w:t>
      </w:r>
      <w:proofErr w:type="spellEnd"/>
      <w:r w:rsidRPr="00D41F85">
        <w:rPr>
          <w:sz w:val="20"/>
          <w:szCs w:val="20"/>
        </w:rPr>
        <w:t xml:space="preserve">, </w:t>
      </w:r>
      <w:r w:rsidRPr="00D41F85">
        <w:rPr>
          <w:i/>
          <w:sz w:val="20"/>
          <w:szCs w:val="20"/>
        </w:rPr>
        <w:t xml:space="preserve">Svetozar Miletić (1826-1901) </w:t>
      </w:r>
      <w:r w:rsidRPr="00D41F85">
        <w:rPr>
          <w:sz w:val="20"/>
          <w:szCs w:val="20"/>
        </w:rPr>
        <w:t xml:space="preserve">(Belgrade: </w:t>
      </w:r>
      <w:proofErr w:type="spellStart"/>
      <w:r w:rsidRPr="00D41F85">
        <w:rPr>
          <w:sz w:val="20"/>
          <w:szCs w:val="20"/>
        </w:rPr>
        <w:t>Polit</w:t>
      </w:r>
      <w:proofErr w:type="spellEnd"/>
      <w:r w:rsidRPr="00D41F85">
        <w:rPr>
          <w:sz w:val="20"/>
          <w:szCs w:val="20"/>
        </w:rPr>
        <w:t>, 1958), 211.</w:t>
      </w:r>
    </w:p>
  </w:footnote>
  <w:footnote w:id="64">
    <w:p w:rsidR="00353DD3" w:rsidRPr="00D41F85" w:rsidRDefault="00353DD3" w:rsidP="008F72D8">
      <w:pPr>
        <w:spacing w:line="240" w:lineRule="auto"/>
        <w:rPr>
          <w:sz w:val="20"/>
          <w:szCs w:val="20"/>
        </w:rPr>
      </w:pPr>
      <w:r w:rsidRPr="00D41F85">
        <w:rPr>
          <w:rStyle w:val="FootnoteReference"/>
          <w:sz w:val="20"/>
          <w:szCs w:val="20"/>
        </w:rPr>
        <w:footnoteRef/>
      </w:r>
      <w:r w:rsidRPr="00D41F85">
        <w:rPr>
          <w:sz w:val="20"/>
          <w:szCs w:val="20"/>
        </w:rPr>
        <w:t xml:space="preserve"> Monika </w:t>
      </w:r>
      <w:proofErr w:type="spellStart"/>
      <w:r w:rsidRPr="00D41F85">
        <w:rPr>
          <w:sz w:val="20"/>
          <w:szCs w:val="20"/>
        </w:rPr>
        <w:t>Kozári</w:t>
      </w:r>
      <w:proofErr w:type="spellEnd"/>
      <w:r w:rsidRPr="00D41F85">
        <w:rPr>
          <w:sz w:val="20"/>
          <w:szCs w:val="20"/>
        </w:rPr>
        <w:t xml:space="preserve">, </w:t>
      </w:r>
      <w:r w:rsidRPr="00D41F85">
        <w:rPr>
          <w:i/>
          <w:sz w:val="20"/>
          <w:szCs w:val="20"/>
        </w:rPr>
        <w:t xml:space="preserve">Tisza Kálmán </w:t>
      </w:r>
      <w:r w:rsidRPr="00D41F85">
        <w:rPr>
          <w:i/>
          <w:sz w:val="20"/>
          <w:szCs w:val="20"/>
        </w:rPr>
        <w:softHyphen/>
      </w:r>
      <w:proofErr w:type="spellStart"/>
      <w:r w:rsidRPr="00D41F85">
        <w:rPr>
          <w:i/>
          <w:sz w:val="20"/>
          <w:szCs w:val="20"/>
        </w:rPr>
        <w:t>és</w:t>
      </w:r>
      <w:proofErr w:type="spellEnd"/>
      <w:r w:rsidRPr="00D41F85">
        <w:rPr>
          <w:i/>
          <w:sz w:val="20"/>
          <w:szCs w:val="20"/>
        </w:rPr>
        <w:t xml:space="preserve"> </w:t>
      </w:r>
      <w:proofErr w:type="spellStart"/>
      <w:r w:rsidRPr="00D41F85">
        <w:rPr>
          <w:i/>
          <w:sz w:val="20"/>
          <w:szCs w:val="20"/>
        </w:rPr>
        <w:t>kormányzati</w:t>
      </w:r>
      <w:proofErr w:type="spellEnd"/>
      <w:r w:rsidRPr="00D41F85">
        <w:rPr>
          <w:i/>
          <w:sz w:val="20"/>
          <w:szCs w:val="20"/>
        </w:rPr>
        <w:t xml:space="preserve"> </w:t>
      </w:r>
      <w:proofErr w:type="spellStart"/>
      <w:r w:rsidRPr="00D41F85">
        <w:rPr>
          <w:i/>
          <w:sz w:val="20"/>
          <w:szCs w:val="20"/>
        </w:rPr>
        <w:t>rendszere</w:t>
      </w:r>
      <w:proofErr w:type="spellEnd"/>
      <w:r w:rsidRPr="00D41F85">
        <w:rPr>
          <w:i/>
          <w:sz w:val="20"/>
          <w:szCs w:val="20"/>
        </w:rPr>
        <w:t xml:space="preserve"> </w:t>
      </w:r>
      <w:r w:rsidRPr="00D41F85">
        <w:rPr>
          <w:sz w:val="20"/>
          <w:szCs w:val="20"/>
        </w:rPr>
        <w:t xml:space="preserve">(Budapest: </w:t>
      </w:r>
      <w:proofErr w:type="spellStart"/>
      <w:r w:rsidRPr="00D41F85">
        <w:rPr>
          <w:sz w:val="20"/>
          <w:szCs w:val="20"/>
        </w:rPr>
        <w:t>Napvilág</w:t>
      </w:r>
      <w:proofErr w:type="spellEnd"/>
      <w:r w:rsidRPr="00D41F85">
        <w:rPr>
          <w:sz w:val="20"/>
          <w:szCs w:val="20"/>
        </w:rPr>
        <w:t xml:space="preserve"> </w:t>
      </w:r>
      <w:proofErr w:type="spellStart"/>
      <w:r w:rsidRPr="00D41F85">
        <w:rPr>
          <w:sz w:val="20"/>
          <w:szCs w:val="20"/>
        </w:rPr>
        <w:t>kiadó</w:t>
      </w:r>
      <w:proofErr w:type="spellEnd"/>
      <w:r w:rsidRPr="00D41F85">
        <w:rPr>
          <w:sz w:val="20"/>
          <w:szCs w:val="20"/>
        </w:rPr>
        <w:t>, 2003), 383-5.</w:t>
      </w:r>
    </w:p>
  </w:footnote>
  <w:footnote w:id="65">
    <w:p w:rsidR="00353DD3" w:rsidRPr="005E18F4" w:rsidRDefault="00353DD3" w:rsidP="003975F7">
      <w:pPr>
        <w:spacing w:line="240" w:lineRule="auto"/>
        <w:rPr>
          <w:sz w:val="20"/>
          <w:szCs w:val="20"/>
        </w:rPr>
      </w:pPr>
      <w:r w:rsidRPr="00D41F85">
        <w:rPr>
          <w:rStyle w:val="FootnoteReference"/>
          <w:sz w:val="20"/>
          <w:szCs w:val="20"/>
        </w:rPr>
        <w:footnoteRef/>
      </w:r>
      <w:r w:rsidRPr="00D41F85">
        <w:rPr>
          <w:sz w:val="20"/>
          <w:szCs w:val="20"/>
        </w:rPr>
        <w:t xml:space="preserve"> Nikola </w:t>
      </w:r>
      <w:proofErr w:type="spellStart"/>
      <w:r w:rsidRPr="00D41F85">
        <w:rPr>
          <w:sz w:val="20"/>
          <w:szCs w:val="20"/>
        </w:rPr>
        <w:t>Petrović</w:t>
      </w:r>
      <w:proofErr w:type="spellEnd"/>
      <w:r w:rsidRPr="00D41F85">
        <w:rPr>
          <w:sz w:val="20"/>
          <w:szCs w:val="20"/>
        </w:rPr>
        <w:t xml:space="preserve">, </w:t>
      </w:r>
      <w:r w:rsidRPr="00D41F85">
        <w:rPr>
          <w:i/>
          <w:sz w:val="20"/>
          <w:szCs w:val="20"/>
        </w:rPr>
        <w:t xml:space="preserve">Svetozar Miletić i Narodna </w:t>
      </w:r>
      <w:proofErr w:type="spellStart"/>
      <w:r w:rsidRPr="00D41F85">
        <w:rPr>
          <w:i/>
          <w:sz w:val="20"/>
          <w:szCs w:val="20"/>
        </w:rPr>
        <w:t>Stranka</w:t>
      </w:r>
      <w:proofErr w:type="spellEnd"/>
      <w:r w:rsidRPr="00D41F85">
        <w:rPr>
          <w:i/>
          <w:sz w:val="20"/>
          <w:szCs w:val="20"/>
        </w:rPr>
        <w:t xml:space="preserve">. </w:t>
      </w:r>
      <w:proofErr w:type="spellStart"/>
      <w:r w:rsidRPr="00D41F85">
        <w:rPr>
          <w:i/>
          <w:sz w:val="20"/>
          <w:szCs w:val="20"/>
        </w:rPr>
        <w:t>Gradja</w:t>
      </w:r>
      <w:proofErr w:type="spellEnd"/>
      <w:r w:rsidRPr="00D41F85">
        <w:rPr>
          <w:i/>
          <w:sz w:val="20"/>
          <w:szCs w:val="20"/>
        </w:rPr>
        <w:t xml:space="preserve"> 1860-1885. </w:t>
      </w:r>
      <w:proofErr w:type="spellStart"/>
      <w:r w:rsidRPr="00D41F85">
        <w:rPr>
          <w:i/>
          <w:sz w:val="20"/>
          <w:szCs w:val="20"/>
        </w:rPr>
        <w:t>Knjiga</w:t>
      </w:r>
      <w:proofErr w:type="spellEnd"/>
      <w:r w:rsidRPr="00D41F85">
        <w:rPr>
          <w:i/>
          <w:sz w:val="20"/>
          <w:szCs w:val="20"/>
        </w:rPr>
        <w:t xml:space="preserve"> III, 1876-1885 </w:t>
      </w:r>
      <w:r w:rsidRPr="00D41F85">
        <w:rPr>
          <w:sz w:val="20"/>
          <w:szCs w:val="20"/>
        </w:rPr>
        <w:t xml:space="preserve">(Novi Sad: </w:t>
      </w:r>
      <w:proofErr w:type="spellStart"/>
      <w:r w:rsidRPr="00D41F85">
        <w:rPr>
          <w:sz w:val="20"/>
          <w:szCs w:val="20"/>
        </w:rPr>
        <w:t>Matica</w:t>
      </w:r>
      <w:proofErr w:type="spellEnd"/>
      <w:r w:rsidRPr="00D41F85">
        <w:rPr>
          <w:sz w:val="20"/>
          <w:szCs w:val="20"/>
        </w:rPr>
        <w:t xml:space="preserve"> Srpska, 1985), 54-5.</w:t>
      </w:r>
      <w:r>
        <w:rPr>
          <w:sz w:val="20"/>
          <w:szCs w:val="20"/>
        </w:rPr>
        <w:t xml:space="preserve"> See also, </w:t>
      </w:r>
      <w:proofErr w:type="spellStart"/>
      <w:r>
        <w:rPr>
          <w:i/>
          <w:sz w:val="20"/>
          <w:szCs w:val="20"/>
        </w:rPr>
        <w:t>Abendblatt</w:t>
      </w:r>
      <w:proofErr w:type="spellEnd"/>
      <w:r>
        <w:rPr>
          <w:i/>
          <w:sz w:val="20"/>
          <w:szCs w:val="20"/>
        </w:rPr>
        <w:t xml:space="preserve"> des Pester Lloyd</w:t>
      </w:r>
      <w:r>
        <w:rPr>
          <w:sz w:val="20"/>
          <w:szCs w:val="20"/>
        </w:rPr>
        <w:t>, 6 July 1876, 1.</w:t>
      </w:r>
    </w:p>
  </w:footnote>
  <w:footnote w:id="66">
    <w:p w:rsidR="00353DD3" w:rsidRPr="00D41F85" w:rsidRDefault="00353DD3">
      <w:pPr>
        <w:pStyle w:val="FootnoteText"/>
      </w:pPr>
      <w:r w:rsidRPr="00D41F85">
        <w:rPr>
          <w:rStyle w:val="FootnoteReference"/>
        </w:rPr>
        <w:footnoteRef/>
      </w:r>
      <w:r w:rsidRPr="00D41F85">
        <w:t xml:space="preserve"> ‘</w:t>
      </w:r>
      <w:proofErr w:type="spellStart"/>
      <w:r w:rsidRPr="00D41F85">
        <w:t>Miletics</w:t>
      </w:r>
      <w:proofErr w:type="spellEnd"/>
      <w:r w:rsidRPr="00D41F85">
        <w:t xml:space="preserve"> </w:t>
      </w:r>
      <w:proofErr w:type="spellStart"/>
      <w:r w:rsidRPr="00D41F85">
        <w:t>elfogatása</w:t>
      </w:r>
      <w:proofErr w:type="spellEnd"/>
      <w:r w:rsidRPr="00D41F85">
        <w:t xml:space="preserve">’, </w:t>
      </w:r>
      <w:proofErr w:type="spellStart"/>
      <w:r w:rsidRPr="00D41F85">
        <w:rPr>
          <w:i/>
        </w:rPr>
        <w:t>Ellenőr</w:t>
      </w:r>
      <w:proofErr w:type="spellEnd"/>
      <w:r w:rsidRPr="00D41F85">
        <w:t>, 6 July 1876, 1.</w:t>
      </w:r>
    </w:p>
  </w:footnote>
  <w:footnote w:id="67">
    <w:p w:rsidR="00353DD3" w:rsidRPr="00D41F85" w:rsidRDefault="00353DD3">
      <w:pPr>
        <w:pStyle w:val="FootnoteText"/>
      </w:pPr>
      <w:r w:rsidRPr="00D41F85">
        <w:rPr>
          <w:rStyle w:val="FootnoteReference"/>
        </w:rPr>
        <w:footnoteRef/>
      </w:r>
      <w:r w:rsidRPr="00D41F85">
        <w:t xml:space="preserve"> See </w:t>
      </w:r>
      <w:proofErr w:type="spellStart"/>
      <w:r w:rsidRPr="00D41F85">
        <w:rPr>
          <w:i/>
        </w:rPr>
        <w:t>Narodne</w:t>
      </w:r>
      <w:proofErr w:type="spellEnd"/>
      <w:r w:rsidRPr="00D41F85">
        <w:rPr>
          <w:i/>
        </w:rPr>
        <w:t xml:space="preserve"> </w:t>
      </w:r>
      <w:proofErr w:type="spellStart"/>
      <w:r w:rsidRPr="00D41F85">
        <w:rPr>
          <w:i/>
        </w:rPr>
        <w:t>Novine</w:t>
      </w:r>
      <w:proofErr w:type="spellEnd"/>
      <w:r w:rsidRPr="00D41F85">
        <w:t>, 21 August 1876, 1.</w:t>
      </w:r>
      <w:r>
        <w:t xml:space="preserve"> For gradual shifts in the Hungarian meaning of treason, for example in the draft Hungarian law code of 1843, see Barna, </w:t>
      </w:r>
      <w:proofErr w:type="gramStart"/>
      <w:r w:rsidRPr="00D41F85">
        <w:rPr>
          <w:i/>
        </w:rPr>
        <w:t>Az</w:t>
      </w:r>
      <w:proofErr w:type="gramEnd"/>
      <w:r w:rsidRPr="00D41F85">
        <w:rPr>
          <w:i/>
        </w:rPr>
        <w:t xml:space="preserve"> </w:t>
      </w:r>
      <w:proofErr w:type="spellStart"/>
      <w:r w:rsidRPr="00D41F85">
        <w:rPr>
          <w:i/>
        </w:rPr>
        <w:t>állam</w:t>
      </w:r>
      <w:proofErr w:type="spellEnd"/>
      <w:r w:rsidRPr="00D41F85">
        <w:rPr>
          <w:i/>
        </w:rPr>
        <w:t xml:space="preserve"> </w:t>
      </w:r>
      <w:proofErr w:type="spellStart"/>
      <w:r w:rsidRPr="00D41F85">
        <w:rPr>
          <w:i/>
        </w:rPr>
        <w:t>elleni</w:t>
      </w:r>
      <w:proofErr w:type="spellEnd"/>
      <w:r w:rsidRPr="00D41F85">
        <w:rPr>
          <w:i/>
        </w:rPr>
        <w:t xml:space="preserve"> bűncselekmények </w:t>
      </w:r>
      <w:proofErr w:type="spellStart"/>
      <w:r w:rsidRPr="00D41F85">
        <w:rPr>
          <w:i/>
        </w:rPr>
        <w:t>szabályozása</w:t>
      </w:r>
      <w:proofErr w:type="spellEnd"/>
      <w:r>
        <w:t>,</w:t>
      </w:r>
      <w:r w:rsidRPr="00D41F85">
        <w:rPr>
          <w:i/>
        </w:rPr>
        <w:t xml:space="preserve"> </w:t>
      </w:r>
      <w:r>
        <w:t>146-51.</w:t>
      </w:r>
    </w:p>
  </w:footnote>
  <w:footnote w:id="68">
    <w:p w:rsidR="00353DD3" w:rsidRPr="00D41F85" w:rsidRDefault="00353DD3">
      <w:pPr>
        <w:pStyle w:val="FootnoteText"/>
      </w:pPr>
      <w:r w:rsidRPr="00D41F85">
        <w:rPr>
          <w:rStyle w:val="FootnoteReference"/>
        </w:rPr>
        <w:footnoteRef/>
      </w:r>
      <w:r w:rsidRPr="00D41F85">
        <w:t xml:space="preserve"> </w:t>
      </w:r>
      <w:proofErr w:type="spellStart"/>
      <w:r w:rsidRPr="00D41F85">
        <w:t>Petrović</w:t>
      </w:r>
      <w:proofErr w:type="spellEnd"/>
      <w:r w:rsidRPr="00D41F85">
        <w:t xml:space="preserve">, </w:t>
      </w:r>
      <w:r w:rsidRPr="00D41F85">
        <w:rPr>
          <w:i/>
        </w:rPr>
        <w:t xml:space="preserve">Svetozar Miletić, </w:t>
      </w:r>
      <w:r w:rsidRPr="00D41F85">
        <w:t>220-1.</w:t>
      </w:r>
    </w:p>
  </w:footnote>
  <w:footnote w:id="69">
    <w:p w:rsidR="00353DD3" w:rsidRPr="00776391" w:rsidRDefault="00353DD3">
      <w:pPr>
        <w:pStyle w:val="FootnoteText"/>
        <w:rPr>
          <w:lang w:val="de-AT"/>
        </w:rPr>
      </w:pPr>
      <w:r w:rsidRPr="00D41F85">
        <w:rPr>
          <w:rStyle w:val="FootnoteReference"/>
        </w:rPr>
        <w:footnoteRef/>
      </w:r>
      <w:r w:rsidRPr="00D41F85">
        <w:t xml:space="preserve"> ‘</w:t>
      </w:r>
      <w:proofErr w:type="spellStart"/>
      <w:r w:rsidRPr="00D41F85">
        <w:t>Parnica</w:t>
      </w:r>
      <w:proofErr w:type="spellEnd"/>
      <w:r w:rsidRPr="00D41F85">
        <w:t xml:space="preserve"> </w:t>
      </w:r>
      <w:proofErr w:type="spellStart"/>
      <w:r w:rsidRPr="00D41F85">
        <w:t>proti</w:t>
      </w:r>
      <w:proofErr w:type="spellEnd"/>
      <w:r w:rsidRPr="00D41F85">
        <w:t xml:space="preserve"> </w:t>
      </w:r>
      <w:proofErr w:type="spellStart"/>
      <w:r w:rsidRPr="00D41F85">
        <w:t>dru</w:t>
      </w:r>
      <w:proofErr w:type="spellEnd"/>
      <w:r w:rsidRPr="00D41F85">
        <w:t xml:space="preserve">. </w:t>
      </w:r>
      <w:r w:rsidRPr="00776391">
        <w:rPr>
          <w:lang w:val="de-AT"/>
        </w:rPr>
        <w:t xml:space="preserve">Svetozaru Miletiću’, </w:t>
      </w:r>
      <w:r w:rsidRPr="00776391">
        <w:rPr>
          <w:i/>
          <w:lang w:val="de-AT"/>
        </w:rPr>
        <w:t>Narodne Novine</w:t>
      </w:r>
      <w:r w:rsidRPr="00776391">
        <w:rPr>
          <w:lang w:val="de-AT"/>
        </w:rPr>
        <w:t xml:space="preserve">, 10 January 1878, 3; ‘Das Urheil im Hochverratsprozess Miletics’, </w:t>
      </w:r>
      <w:r w:rsidRPr="00776391">
        <w:rPr>
          <w:i/>
          <w:lang w:val="de-AT"/>
        </w:rPr>
        <w:t>Abendblatt des Pester Lloyd</w:t>
      </w:r>
      <w:r w:rsidRPr="00776391">
        <w:rPr>
          <w:lang w:val="de-AT"/>
        </w:rPr>
        <w:t>, 18 January 1878, 2-3.</w:t>
      </w:r>
    </w:p>
  </w:footnote>
  <w:footnote w:id="70">
    <w:p w:rsidR="00353DD3" w:rsidRPr="00D64696" w:rsidRDefault="00353DD3">
      <w:pPr>
        <w:pStyle w:val="FootnoteText"/>
      </w:pPr>
      <w:r>
        <w:rPr>
          <w:rStyle w:val="FootnoteReference"/>
        </w:rPr>
        <w:footnoteRef/>
      </w:r>
      <w:r>
        <w:t xml:space="preserve"> </w:t>
      </w:r>
      <w:proofErr w:type="spellStart"/>
      <w:r w:rsidRPr="00D41F85">
        <w:t>Petrović</w:t>
      </w:r>
      <w:proofErr w:type="spellEnd"/>
      <w:r w:rsidRPr="00D41F85">
        <w:t xml:space="preserve">, </w:t>
      </w:r>
      <w:r w:rsidRPr="00D41F85">
        <w:rPr>
          <w:i/>
        </w:rPr>
        <w:t>Svetozar Miletić</w:t>
      </w:r>
      <w:r>
        <w:t xml:space="preserve">, 218; and </w:t>
      </w:r>
      <w:proofErr w:type="spellStart"/>
      <w:r>
        <w:rPr>
          <w:i/>
        </w:rPr>
        <w:t>Abendblatt</w:t>
      </w:r>
      <w:proofErr w:type="spellEnd"/>
      <w:r>
        <w:rPr>
          <w:i/>
        </w:rPr>
        <w:t xml:space="preserve"> des Pester Lloyd</w:t>
      </w:r>
      <w:r>
        <w:t>, 6 July 1876, 1, which maintained there was a lack of political interference.</w:t>
      </w:r>
    </w:p>
  </w:footnote>
  <w:footnote w:id="71">
    <w:p w:rsidR="00353DD3" w:rsidRPr="00F060D5" w:rsidRDefault="00353DD3">
      <w:pPr>
        <w:pStyle w:val="FootnoteText"/>
      </w:pPr>
      <w:r>
        <w:rPr>
          <w:rStyle w:val="FootnoteReference"/>
        </w:rPr>
        <w:footnoteRef/>
      </w:r>
      <w:r>
        <w:t xml:space="preserve"> </w:t>
      </w:r>
      <w:r>
        <w:rPr>
          <w:i/>
        </w:rPr>
        <w:t xml:space="preserve">Figaro. </w:t>
      </w:r>
      <w:proofErr w:type="spellStart"/>
      <w:r>
        <w:rPr>
          <w:i/>
        </w:rPr>
        <w:t>Humoristisches</w:t>
      </w:r>
      <w:proofErr w:type="spellEnd"/>
      <w:r>
        <w:rPr>
          <w:i/>
        </w:rPr>
        <w:t xml:space="preserve"> </w:t>
      </w:r>
      <w:proofErr w:type="spellStart"/>
      <w:r>
        <w:rPr>
          <w:i/>
        </w:rPr>
        <w:t>Wochenblatt</w:t>
      </w:r>
      <w:proofErr w:type="spellEnd"/>
      <w:r>
        <w:t>, 19 January 1878, 1.</w:t>
      </w:r>
    </w:p>
  </w:footnote>
  <w:footnote w:id="72">
    <w:p w:rsidR="00353DD3" w:rsidRPr="00734A2C" w:rsidRDefault="00353DD3" w:rsidP="00734A2C">
      <w:pPr>
        <w:spacing w:line="240" w:lineRule="auto"/>
        <w:rPr>
          <w:sz w:val="20"/>
          <w:szCs w:val="20"/>
        </w:rPr>
      </w:pPr>
      <w:r w:rsidRPr="003273C8">
        <w:rPr>
          <w:rStyle w:val="FootnoteReference"/>
          <w:sz w:val="20"/>
          <w:szCs w:val="20"/>
        </w:rPr>
        <w:footnoteRef/>
      </w:r>
      <w:r w:rsidRPr="003273C8">
        <w:rPr>
          <w:sz w:val="20"/>
          <w:szCs w:val="20"/>
        </w:rPr>
        <w:t xml:space="preserve"> See SOAP, Krajský (</w:t>
      </w:r>
      <w:proofErr w:type="spellStart"/>
      <w:r w:rsidRPr="003273C8">
        <w:rPr>
          <w:sz w:val="20"/>
          <w:szCs w:val="20"/>
        </w:rPr>
        <w:t>zemský</w:t>
      </w:r>
      <w:proofErr w:type="spellEnd"/>
      <w:r w:rsidRPr="003273C8">
        <w:rPr>
          <w:sz w:val="20"/>
          <w:szCs w:val="20"/>
        </w:rPr>
        <w:t xml:space="preserve">) soud </w:t>
      </w:r>
      <w:proofErr w:type="spellStart"/>
      <w:r w:rsidRPr="003273C8">
        <w:rPr>
          <w:sz w:val="20"/>
          <w:szCs w:val="20"/>
        </w:rPr>
        <w:t>trestní</w:t>
      </w:r>
      <w:proofErr w:type="spellEnd"/>
      <w:r w:rsidRPr="003273C8">
        <w:rPr>
          <w:sz w:val="20"/>
          <w:szCs w:val="20"/>
        </w:rPr>
        <w:t xml:space="preserve"> Praha, </w:t>
      </w:r>
      <w:proofErr w:type="spellStart"/>
      <w:r w:rsidRPr="003273C8">
        <w:rPr>
          <w:sz w:val="20"/>
          <w:szCs w:val="20"/>
        </w:rPr>
        <w:t>Trestní</w:t>
      </w:r>
      <w:proofErr w:type="spellEnd"/>
      <w:r w:rsidRPr="003273C8">
        <w:rPr>
          <w:sz w:val="20"/>
          <w:szCs w:val="20"/>
        </w:rPr>
        <w:t xml:space="preserve"> </w:t>
      </w:r>
      <w:proofErr w:type="spellStart"/>
      <w:r w:rsidRPr="003273C8">
        <w:rPr>
          <w:sz w:val="20"/>
          <w:szCs w:val="20"/>
        </w:rPr>
        <w:t>spisy</w:t>
      </w:r>
      <w:proofErr w:type="spellEnd"/>
      <w:r w:rsidRPr="003273C8">
        <w:rPr>
          <w:sz w:val="20"/>
          <w:szCs w:val="20"/>
        </w:rPr>
        <w:t xml:space="preserve"> </w:t>
      </w:r>
      <w:proofErr w:type="spellStart"/>
      <w:proofErr w:type="gramStart"/>
      <w:r w:rsidRPr="003273C8">
        <w:rPr>
          <w:sz w:val="20"/>
          <w:szCs w:val="20"/>
        </w:rPr>
        <w:t>zn</w:t>
      </w:r>
      <w:proofErr w:type="spellEnd"/>
      <w:proofErr w:type="gramEnd"/>
      <w:r w:rsidRPr="003273C8">
        <w:rPr>
          <w:sz w:val="20"/>
          <w:szCs w:val="20"/>
        </w:rPr>
        <w:t>. C: karton 913-916</w:t>
      </w:r>
      <w:r>
        <w:rPr>
          <w:sz w:val="20"/>
          <w:szCs w:val="20"/>
        </w:rPr>
        <w:t xml:space="preserve">, </w:t>
      </w:r>
      <w:r w:rsidRPr="00734A2C">
        <w:rPr>
          <w:sz w:val="20"/>
          <w:szCs w:val="20"/>
        </w:rPr>
        <w:t>C-1400/94, Omladina trial.</w:t>
      </w:r>
    </w:p>
  </w:footnote>
  <w:footnote w:id="73">
    <w:p w:rsidR="00353DD3" w:rsidRPr="00F5671F" w:rsidRDefault="00353DD3" w:rsidP="00F5671F">
      <w:pPr>
        <w:spacing w:line="240" w:lineRule="auto"/>
        <w:rPr>
          <w:sz w:val="20"/>
          <w:szCs w:val="20"/>
        </w:rPr>
      </w:pPr>
      <w:r w:rsidRPr="00F5671F">
        <w:rPr>
          <w:rStyle w:val="FootnoteReference"/>
          <w:sz w:val="20"/>
          <w:szCs w:val="20"/>
        </w:rPr>
        <w:footnoteRef/>
      </w:r>
      <w:r w:rsidRPr="00F5671F">
        <w:rPr>
          <w:sz w:val="20"/>
          <w:szCs w:val="20"/>
        </w:rPr>
        <w:t xml:space="preserve"> See the statistics in </w:t>
      </w:r>
      <w:proofErr w:type="spellStart"/>
      <w:r w:rsidRPr="00F5671F">
        <w:rPr>
          <w:i/>
          <w:sz w:val="20"/>
          <w:szCs w:val="20"/>
        </w:rPr>
        <w:t>Kozgazdasági</w:t>
      </w:r>
      <w:proofErr w:type="spellEnd"/>
      <w:r w:rsidRPr="00F5671F">
        <w:rPr>
          <w:i/>
          <w:sz w:val="20"/>
          <w:szCs w:val="20"/>
        </w:rPr>
        <w:t xml:space="preserve"> </w:t>
      </w:r>
      <w:proofErr w:type="spellStart"/>
      <w:r w:rsidRPr="00F5671F">
        <w:rPr>
          <w:i/>
          <w:sz w:val="20"/>
          <w:szCs w:val="20"/>
        </w:rPr>
        <w:t>és</w:t>
      </w:r>
      <w:proofErr w:type="spellEnd"/>
      <w:r w:rsidRPr="00F5671F">
        <w:rPr>
          <w:i/>
          <w:sz w:val="20"/>
          <w:szCs w:val="20"/>
        </w:rPr>
        <w:t xml:space="preserve"> statisztikai </w:t>
      </w:r>
      <w:r w:rsidRPr="00F5671F">
        <w:rPr>
          <w:i/>
          <w:sz w:val="20"/>
          <w:szCs w:val="20"/>
        </w:rPr>
        <w:softHyphen/>
      </w:r>
      <w:proofErr w:type="spellStart"/>
      <w:r w:rsidRPr="00F5671F">
        <w:rPr>
          <w:i/>
          <w:sz w:val="20"/>
          <w:szCs w:val="20"/>
        </w:rPr>
        <w:t>évkönyv</w:t>
      </w:r>
      <w:proofErr w:type="spellEnd"/>
      <w:r w:rsidRPr="00F5671F">
        <w:rPr>
          <w:i/>
          <w:sz w:val="20"/>
          <w:szCs w:val="20"/>
        </w:rPr>
        <w:t xml:space="preserve"> </w:t>
      </w:r>
      <w:proofErr w:type="spellStart"/>
      <w:r w:rsidRPr="00F5671F">
        <w:rPr>
          <w:i/>
          <w:sz w:val="20"/>
          <w:szCs w:val="20"/>
        </w:rPr>
        <w:t>ujabb</w:t>
      </w:r>
      <w:proofErr w:type="spellEnd"/>
      <w:r w:rsidRPr="00F5671F">
        <w:rPr>
          <w:i/>
          <w:sz w:val="20"/>
          <w:szCs w:val="20"/>
        </w:rPr>
        <w:t xml:space="preserve"> </w:t>
      </w:r>
      <w:proofErr w:type="spellStart"/>
      <w:r w:rsidRPr="00F5671F">
        <w:rPr>
          <w:i/>
          <w:sz w:val="20"/>
          <w:szCs w:val="20"/>
        </w:rPr>
        <w:t>első</w:t>
      </w:r>
      <w:proofErr w:type="spellEnd"/>
      <w:r w:rsidRPr="00F5671F">
        <w:rPr>
          <w:i/>
          <w:sz w:val="20"/>
          <w:szCs w:val="20"/>
        </w:rPr>
        <w:t xml:space="preserve"> </w:t>
      </w:r>
      <w:proofErr w:type="spellStart"/>
      <w:r w:rsidRPr="00F5671F">
        <w:rPr>
          <w:i/>
          <w:sz w:val="20"/>
          <w:szCs w:val="20"/>
        </w:rPr>
        <w:t>évfolyam</w:t>
      </w:r>
      <w:proofErr w:type="spellEnd"/>
      <w:r w:rsidRPr="00F5671F">
        <w:rPr>
          <w:i/>
          <w:sz w:val="20"/>
          <w:szCs w:val="20"/>
        </w:rPr>
        <w:t>. 1887</w:t>
      </w:r>
      <w:r w:rsidRPr="00F5671F">
        <w:rPr>
          <w:sz w:val="20"/>
          <w:szCs w:val="20"/>
        </w:rPr>
        <w:t>, eds</w:t>
      </w:r>
      <w:r w:rsidR="00781C4E">
        <w:rPr>
          <w:sz w:val="20"/>
          <w:szCs w:val="20"/>
        </w:rPr>
        <w:t>.</w:t>
      </w:r>
      <w:r w:rsidRPr="00F5671F">
        <w:rPr>
          <w:sz w:val="20"/>
          <w:szCs w:val="20"/>
        </w:rPr>
        <w:t xml:space="preserve"> József </w:t>
      </w:r>
      <w:proofErr w:type="spellStart"/>
      <w:r w:rsidRPr="00F5671F">
        <w:rPr>
          <w:sz w:val="20"/>
          <w:szCs w:val="20"/>
        </w:rPr>
        <w:t>Jekelfalussy</w:t>
      </w:r>
      <w:proofErr w:type="spellEnd"/>
      <w:r w:rsidRPr="00F5671F">
        <w:rPr>
          <w:sz w:val="20"/>
          <w:szCs w:val="20"/>
        </w:rPr>
        <w:t xml:space="preserve"> and Gyula </w:t>
      </w:r>
      <w:proofErr w:type="spellStart"/>
      <w:r w:rsidRPr="00F5671F">
        <w:rPr>
          <w:sz w:val="20"/>
          <w:szCs w:val="20"/>
        </w:rPr>
        <w:t>Vargha</w:t>
      </w:r>
      <w:proofErr w:type="spellEnd"/>
      <w:r w:rsidRPr="00F5671F">
        <w:rPr>
          <w:sz w:val="20"/>
          <w:szCs w:val="20"/>
        </w:rPr>
        <w:t xml:space="preserve"> (Budapest: Statisztikai </w:t>
      </w:r>
      <w:proofErr w:type="spellStart"/>
      <w:r w:rsidRPr="00F5671F">
        <w:rPr>
          <w:sz w:val="20"/>
          <w:szCs w:val="20"/>
        </w:rPr>
        <w:t>hivatal</w:t>
      </w:r>
      <w:proofErr w:type="spellEnd"/>
      <w:r w:rsidRPr="00F5671F">
        <w:rPr>
          <w:sz w:val="20"/>
          <w:szCs w:val="20"/>
        </w:rPr>
        <w:t>, 1887), and subsequent yearbooks.</w:t>
      </w:r>
    </w:p>
    <w:p w:rsidR="00353DD3" w:rsidRDefault="00353DD3">
      <w:pPr>
        <w:pStyle w:val="FootnoteText"/>
      </w:pPr>
    </w:p>
  </w:footnote>
  <w:footnote w:id="74">
    <w:p w:rsidR="00353DD3" w:rsidRPr="00390118" w:rsidRDefault="00353DD3">
      <w:pPr>
        <w:pStyle w:val="FootnoteText"/>
      </w:pPr>
      <w:r>
        <w:rPr>
          <w:rStyle w:val="FootnoteReference"/>
        </w:rPr>
        <w:footnoteRef/>
      </w:r>
      <w:r>
        <w:t xml:space="preserve"> See Mark Cornwall, ‘Treason in an Age of Regime Change: The Case of the Habsburg Monarchy’, </w:t>
      </w:r>
      <w:r>
        <w:rPr>
          <w:i/>
        </w:rPr>
        <w:t>Austrian History Yearbook</w:t>
      </w:r>
      <w:r>
        <w:t>, 50 (2019): 124-5.</w:t>
      </w:r>
    </w:p>
  </w:footnote>
  <w:footnote w:id="75">
    <w:p w:rsidR="00353DD3" w:rsidRPr="00B47642" w:rsidRDefault="00353DD3">
      <w:pPr>
        <w:pStyle w:val="FootnoteText"/>
      </w:pPr>
      <w:r>
        <w:rPr>
          <w:rStyle w:val="FootnoteReference"/>
        </w:rPr>
        <w:footnoteRef/>
      </w:r>
      <w:r>
        <w:t xml:space="preserve"> See </w:t>
      </w:r>
      <w:proofErr w:type="spellStart"/>
      <w:r>
        <w:t>Margalit</w:t>
      </w:r>
      <w:proofErr w:type="spellEnd"/>
      <w:r>
        <w:t xml:space="preserve">, </w:t>
      </w:r>
      <w:r>
        <w:rPr>
          <w:i/>
        </w:rPr>
        <w:t>On Betrayal</w:t>
      </w:r>
      <w:r>
        <w:t>, chapter 3.</w:t>
      </w:r>
    </w:p>
  </w:footnote>
  <w:footnote w:id="76">
    <w:p w:rsidR="00353DD3" w:rsidRPr="007808BA" w:rsidRDefault="00353DD3" w:rsidP="008E1FD5">
      <w:pPr>
        <w:pStyle w:val="EndnoteText"/>
        <w:rPr>
          <w:lang w:val="de-AT"/>
        </w:rPr>
      </w:pPr>
      <w:r>
        <w:rPr>
          <w:rStyle w:val="FootnoteReference"/>
        </w:rPr>
        <w:footnoteRef/>
      </w:r>
      <w:r w:rsidRPr="007808BA">
        <w:rPr>
          <w:lang w:val="de-AT"/>
        </w:rPr>
        <w:t xml:space="preserve"> </w:t>
      </w:r>
      <w:r w:rsidRPr="007808BA">
        <w:rPr>
          <w:lang w:val="de-AT"/>
        </w:rPr>
        <w:t xml:space="preserve">Thomas G. Masaryk, </w:t>
      </w:r>
      <w:r w:rsidRPr="007808BA">
        <w:rPr>
          <w:i/>
          <w:lang w:val="de-AT"/>
        </w:rPr>
        <w:t>Der Agramer Hochverratsprozess und die Annexion von Bosnien und Herzegovina</w:t>
      </w:r>
      <w:r w:rsidRPr="007808BA">
        <w:rPr>
          <w:lang w:val="de-AT"/>
        </w:rPr>
        <w:t xml:space="preserve"> (Vienna</w:t>
      </w:r>
      <w:r w:rsidR="007808BA" w:rsidRPr="007808BA">
        <w:rPr>
          <w:lang w:val="de-AT"/>
        </w:rPr>
        <w:t>: Carl Konegen</w:t>
      </w:r>
      <w:r w:rsidRPr="007808BA">
        <w:rPr>
          <w:lang w:val="de-AT"/>
        </w:rPr>
        <w:t xml:space="preserve">, 1909), 30-1: speech </w:t>
      </w:r>
      <w:bookmarkStart w:id="0" w:name="_GoBack"/>
      <w:bookmarkEnd w:id="0"/>
      <w:r w:rsidRPr="007808BA">
        <w:rPr>
          <w:lang w:val="de-AT"/>
        </w:rPr>
        <w:t>on 14 May 1909.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295064"/>
      <w:docPartObj>
        <w:docPartGallery w:val="Page Numbers (Top of Page)"/>
        <w:docPartUnique/>
      </w:docPartObj>
    </w:sdtPr>
    <w:sdtEndPr>
      <w:rPr>
        <w:noProof/>
      </w:rPr>
    </w:sdtEndPr>
    <w:sdtContent>
      <w:p w:rsidR="00353DD3" w:rsidRDefault="00353DD3">
        <w:pPr>
          <w:pStyle w:val="Header"/>
          <w:jc w:val="right"/>
        </w:pPr>
        <w:r>
          <w:fldChar w:fldCharType="begin"/>
        </w:r>
        <w:r>
          <w:instrText xml:space="preserve"> PAGE   \* MERGEFORMAT </w:instrText>
        </w:r>
        <w:r>
          <w:fldChar w:fldCharType="separate"/>
        </w:r>
        <w:r w:rsidR="00D81A10">
          <w:rPr>
            <w:noProof/>
          </w:rPr>
          <w:t>29</w:t>
        </w:r>
        <w:r>
          <w:rPr>
            <w:noProof/>
          </w:rPr>
          <w:fldChar w:fldCharType="end"/>
        </w:r>
      </w:p>
    </w:sdtContent>
  </w:sdt>
  <w:p w:rsidR="00353DD3" w:rsidRDefault="00353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70558"/>
    <w:multiLevelType w:val="hybridMultilevel"/>
    <w:tmpl w:val="34A28328"/>
    <w:lvl w:ilvl="0" w:tplc="3BC2F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873204"/>
    <w:multiLevelType w:val="hybridMultilevel"/>
    <w:tmpl w:val="F5C8C0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A5"/>
    <w:rsid w:val="00001355"/>
    <w:rsid w:val="00006D1E"/>
    <w:rsid w:val="00013BFB"/>
    <w:rsid w:val="00013F82"/>
    <w:rsid w:val="00015D44"/>
    <w:rsid w:val="000168FD"/>
    <w:rsid w:val="0002045D"/>
    <w:rsid w:val="00021F49"/>
    <w:rsid w:val="0002287C"/>
    <w:rsid w:val="0002332C"/>
    <w:rsid w:val="00035403"/>
    <w:rsid w:val="00045DF9"/>
    <w:rsid w:val="0005278E"/>
    <w:rsid w:val="00053203"/>
    <w:rsid w:val="00054F75"/>
    <w:rsid w:val="00055FC3"/>
    <w:rsid w:val="0005649E"/>
    <w:rsid w:val="000610A6"/>
    <w:rsid w:val="00061A29"/>
    <w:rsid w:val="000634FE"/>
    <w:rsid w:val="00063D2C"/>
    <w:rsid w:val="000645A4"/>
    <w:rsid w:val="00065ED4"/>
    <w:rsid w:val="0006643D"/>
    <w:rsid w:val="0006798A"/>
    <w:rsid w:val="000718EC"/>
    <w:rsid w:val="00072783"/>
    <w:rsid w:val="00074240"/>
    <w:rsid w:val="000764F3"/>
    <w:rsid w:val="00077F92"/>
    <w:rsid w:val="000878D1"/>
    <w:rsid w:val="0009177F"/>
    <w:rsid w:val="00091879"/>
    <w:rsid w:val="00092561"/>
    <w:rsid w:val="0009350E"/>
    <w:rsid w:val="00096095"/>
    <w:rsid w:val="00096433"/>
    <w:rsid w:val="000965BB"/>
    <w:rsid w:val="000968D3"/>
    <w:rsid w:val="000A13A0"/>
    <w:rsid w:val="000A2150"/>
    <w:rsid w:val="000A35F7"/>
    <w:rsid w:val="000A4298"/>
    <w:rsid w:val="000A4CEA"/>
    <w:rsid w:val="000B13E0"/>
    <w:rsid w:val="000B253F"/>
    <w:rsid w:val="000B7342"/>
    <w:rsid w:val="000B75B0"/>
    <w:rsid w:val="000B75FB"/>
    <w:rsid w:val="000B7EFD"/>
    <w:rsid w:val="000C42D9"/>
    <w:rsid w:val="000C4BD9"/>
    <w:rsid w:val="000C5119"/>
    <w:rsid w:val="000D1911"/>
    <w:rsid w:val="000D2C99"/>
    <w:rsid w:val="000D4F3F"/>
    <w:rsid w:val="000D5924"/>
    <w:rsid w:val="000D76AC"/>
    <w:rsid w:val="000E090B"/>
    <w:rsid w:val="000E1012"/>
    <w:rsid w:val="000E1F63"/>
    <w:rsid w:val="000E3B94"/>
    <w:rsid w:val="000E3F81"/>
    <w:rsid w:val="000E40B9"/>
    <w:rsid w:val="000E4F38"/>
    <w:rsid w:val="000E563E"/>
    <w:rsid w:val="000E6748"/>
    <w:rsid w:val="000E67D3"/>
    <w:rsid w:val="000E6B5D"/>
    <w:rsid w:val="000E6CC3"/>
    <w:rsid w:val="000F013E"/>
    <w:rsid w:val="000F01FF"/>
    <w:rsid w:val="000F1BEE"/>
    <w:rsid w:val="000F2651"/>
    <w:rsid w:val="000F2E13"/>
    <w:rsid w:val="000F7178"/>
    <w:rsid w:val="001047D8"/>
    <w:rsid w:val="00104BCC"/>
    <w:rsid w:val="001067BE"/>
    <w:rsid w:val="00106C29"/>
    <w:rsid w:val="0010757E"/>
    <w:rsid w:val="001077F7"/>
    <w:rsid w:val="001104F0"/>
    <w:rsid w:val="00113BE8"/>
    <w:rsid w:val="00115E13"/>
    <w:rsid w:val="00120443"/>
    <w:rsid w:val="00120E27"/>
    <w:rsid w:val="0012114D"/>
    <w:rsid w:val="00124CBF"/>
    <w:rsid w:val="00126D4E"/>
    <w:rsid w:val="001376F6"/>
    <w:rsid w:val="0014143E"/>
    <w:rsid w:val="001426C8"/>
    <w:rsid w:val="001435B5"/>
    <w:rsid w:val="0014594A"/>
    <w:rsid w:val="00146023"/>
    <w:rsid w:val="00146955"/>
    <w:rsid w:val="001469ED"/>
    <w:rsid w:val="00146A72"/>
    <w:rsid w:val="00155053"/>
    <w:rsid w:val="00157245"/>
    <w:rsid w:val="00164AC1"/>
    <w:rsid w:val="00170A01"/>
    <w:rsid w:val="00171483"/>
    <w:rsid w:val="00175BD2"/>
    <w:rsid w:val="001857D4"/>
    <w:rsid w:val="0018654E"/>
    <w:rsid w:val="00187114"/>
    <w:rsid w:val="001902CD"/>
    <w:rsid w:val="0019159E"/>
    <w:rsid w:val="00194B98"/>
    <w:rsid w:val="00195349"/>
    <w:rsid w:val="00196267"/>
    <w:rsid w:val="00197270"/>
    <w:rsid w:val="001976DC"/>
    <w:rsid w:val="001A1BB7"/>
    <w:rsid w:val="001A1FFC"/>
    <w:rsid w:val="001A203B"/>
    <w:rsid w:val="001A31EB"/>
    <w:rsid w:val="001A450B"/>
    <w:rsid w:val="001A68E9"/>
    <w:rsid w:val="001B1B3E"/>
    <w:rsid w:val="001B5A75"/>
    <w:rsid w:val="001C44C1"/>
    <w:rsid w:val="001C5AF7"/>
    <w:rsid w:val="001C6262"/>
    <w:rsid w:val="001C7474"/>
    <w:rsid w:val="001D15DA"/>
    <w:rsid w:val="001D28F8"/>
    <w:rsid w:val="001D7E2D"/>
    <w:rsid w:val="001D7E3D"/>
    <w:rsid w:val="001E2E27"/>
    <w:rsid w:val="001E3B8E"/>
    <w:rsid w:val="002001F3"/>
    <w:rsid w:val="00200590"/>
    <w:rsid w:val="0021009F"/>
    <w:rsid w:val="002154DF"/>
    <w:rsid w:val="0022343B"/>
    <w:rsid w:val="00224DFD"/>
    <w:rsid w:val="00230395"/>
    <w:rsid w:val="00230F88"/>
    <w:rsid w:val="00233F78"/>
    <w:rsid w:val="002366F9"/>
    <w:rsid w:val="00240177"/>
    <w:rsid w:val="002401A5"/>
    <w:rsid w:val="002414D2"/>
    <w:rsid w:val="0024176B"/>
    <w:rsid w:val="002423C7"/>
    <w:rsid w:val="002427A7"/>
    <w:rsid w:val="0024428D"/>
    <w:rsid w:val="00245A3F"/>
    <w:rsid w:val="002501D3"/>
    <w:rsid w:val="00253C6D"/>
    <w:rsid w:val="002572D7"/>
    <w:rsid w:val="00257760"/>
    <w:rsid w:val="0026077E"/>
    <w:rsid w:val="00263FD6"/>
    <w:rsid w:val="0026421B"/>
    <w:rsid w:val="00265825"/>
    <w:rsid w:val="00265901"/>
    <w:rsid w:val="002678D6"/>
    <w:rsid w:val="00273D03"/>
    <w:rsid w:val="002762D1"/>
    <w:rsid w:val="002802A1"/>
    <w:rsid w:val="002809C0"/>
    <w:rsid w:val="002813B4"/>
    <w:rsid w:val="00282875"/>
    <w:rsid w:val="00284972"/>
    <w:rsid w:val="00284C9D"/>
    <w:rsid w:val="00284DF8"/>
    <w:rsid w:val="0028536F"/>
    <w:rsid w:val="00287CD5"/>
    <w:rsid w:val="00292B55"/>
    <w:rsid w:val="0029391B"/>
    <w:rsid w:val="002A1009"/>
    <w:rsid w:val="002A2A40"/>
    <w:rsid w:val="002A574E"/>
    <w:rsid w:val="002A6AD9"/>
    <w:rsid w:val="002B3952"/>
    <w:rsid w:val="002B4F2B"/>
    <w:rsid w:val="002B7D86"/>
    <w:rsid w:val="002C14B6"/>
    <w:rsid w:val="002C15B5"/>
    <w:rsid w:val="002C25D8"/>
    <w:rsid w:val="002C490D"/>
    <w:rsid w:val="002C532D"/>
    <w:rsid w:val="002C561F"/>
    <w:rsid w:val="002C591B"/>
    <w:rsid w:val="002C6013"/>
    <w:rsid w:val="002C6618"/>
    <w:rsid w:val="002C68D1"/>
    <w:rsid w:val="002C77A5"/>
    <w:rsid w:val="002D11B7"/>
    <w:rsid w:val="002D2713"/>
    <w:rsid w:val="002D3EAC"/>
    <w:rsid w:val="002D4830"/>
    <w:rsid w:val="002D696B"/>
    <w:rsid w:val="002E0565"/>
    <w:rsid w:val="002E35E5"/>
    <w:rsid w:val="002E43CD"/>
    <w:rsid w:val="002E75D5"/>
    <w:rsid w:val="002F5795"/>
    <w:rsid w:val="002F6CC9"/>
    <w:rsid w:val="002F765C"/>
    <w:rsid w:val="002F7749"/>
    <w:rsid w:val="003016A7"/>
    <w:rsid w:val="00302851"/>
    <w:rsid w:val="00303D81"/>
    <w:rsid w:val="003114CE"/>
    <w:rsid w:val="003140F3"/>
    <w:rsid w:val="00314DAC"/>
    <w:rsid w:val="003164FB"/>
    <w:rsid w:val="003171D1"/>
    <w:rsid w:val="0032237E"/>
    <w:rsid w:val="00322887"/>
    <w:rsid w:val="003243A8"/>
    <w:rsid w:val="003273C8"/>
    <w:rsid w:val="00332389"/>
    <w:rsid w:val="003368E7"/>
    <w:rsid w:val="00336DCF"/>
    <w:rsid w:val="00337A17"/>
    <w:rsid w:val="00337BDB"/>
    <w:rsid w:val="00340758"/>
    <w:rsid w:val="00340A7A"/>
    <w:rsid w:val="00341C9F"/>
    <w:rsid w:val="00342575"/>
    <w:rsid w:val="003525A4"/>
    <w:rsid w:val="00352B2B"/>
    <w:rsid w:val="00352F6D"/>
    <w:rsid w:val="00353DD3"/>
    <w:rsid w:val="00355579"/>
    <w:rsid w:val="003556C0"/>
    <w:rsid w:val="00356980"/>
    <w:rsid w:val="003628C8"/>
    <w:rsid w:val="00371AC4"/>
    <w:rsid w:val="00373360"/>
    <w:rsid w:val="003736EB"/>
    <w:rsid w:val="0037584B"/>
    <w:rsid w:val="00376387"/>
    <w:rsid w:val="003815A8"/>
    <w:rsid w:val="00381D8A"/>
    <w:rsid w:val="00382FC2"/>
    <w:rsid w:val="00383610"/>
    <w:rsid w:val="003845E9"/>
    <w:rsid w:val="003855C3"/>
    <w:rsid w:val="00385E65"/>
    <w:rsid w:val="003874C7"/>
    <w:rsid w:val="00390118"/>
    <w:rsid w:val="00391E18"/>
    <w:rsid w:val="00394E06"/>
    <w:rsid w:val="0039712F"/>
    <w:rsid w:val="003975F7"/>
    <w:rsid w:val="00397BB4"/>
    <w:rsid w:val="003A26EA"/>
    <w:rsid w:val="003A2F55"/>
    <w:rsid w:val="003A4283"/>
    <w:rsid w:val="003A5F36"/>
    <w:rsid w:val="003A76E7"/>
    <w:rsid w:val="003B04C5"/>
    <w:rsid w:val="003B6A7A"/>
    <w:rsid w:val="003C04E8"/>
    <w:rsid w:val="003C277E"/>
    <w:rsid w:val="003C4B21"/>
    <w:rsid w:val="003C74CD"/>
    <w:rsid w:val="003D19E2"/>
    <w:rsid w:val="003D311E"/>
    <w:rsid w:val="003D36E7"/>
    <w:rsid w:val="003D3DF5"/>
    <w:rsid w:val="003D7701"/>
    <w:rsid w:val="003E6D42"/>
    <w:rsid w:val="003E7F4B"/>
    <w:rsid w:val="003F70A9"/>
    <w:rsid w:val="00401C5C"/>
    <w:rsid w:val="00403E90"/>
    <w:rsid w:val="00405108"/>
    <w:rsid w:val="00405123"/>
    <w:rsid w:val="00405EC8"/>
    <w:rsid w:val="00405F9C"/>
    <w:rsid w:val="00406B11"/>
    <w:rsid w:val="004070FF"/>
    <w:rsid w:val="00410381"/>
    <w:rsid w:val="00412CDD"/>
    <w:rsid w:val="0041526B"/>
    <w:rsid w:val="00417F0A"/>
    <w:rsid w:val="00420571"/>
    <w:rsid w:val="00423553"/>
    <w:rsid w:val="00423AF8"/>
    <w:rsid w:val="00423E5B"/>
    <w:rsid w:val="004241EF"/>
    <w:rsid w:val="0042421E"/>
    <w:rsid w:val="00424B47"/>
    <w:rsid w:val="0042577E"/>
    <w:rsid w:val="004272FD"/>
    <w:rsid w:val="0043152B"/>
    <w:rsid w:val="00432E20"/>
    <w:rsid w:val="0043374C"/>
    <w:rsid w:val="00433927"/>
    <w:rsid w:val="00440421"/>
    <w:rsid w:val="00440A97"/>
    <w:rsid w:val="004424FB"/>
    <w:rsid w:val="004435A4"/>
    <w:rsid w:val="00444B29"/>
    <w:rsid w:val="00445CFE"/>
    <w:rsid w:val="00450483"/>
    <w:rsid w:val="00452200"/>
    <w:rsid w:val="00453ED3"/>
    <w:rsid w:val="0045408F"/>
    <w:rsid w:val="004603A3"/>
    <w:rsid w:val="00463A83"/>
    <w:rsid w:val="00466A27"/>
    <w:rsid w:val="00470074"/>
    <w:rsid w:val="0047079F"/>
    <w:rsid w:val="00477589"/>
    <w:rsid w:val="00480F3F"/>
    <w:rsid w:val="00484315"/>
    <w:rsid w:val="004853F8"/>
    <w:rsid w:val="0048580A"/>
    <w:rsid w:val="0048588E"/>
    <w:rsid w:val="00485D73"/>
    <w:rsid w:val="004874C6"/>
    <w:rsid w:val="00490859"/>
    <w:rsid w:val="00492224"/>
    <w:rsid w:val="0049225A"/>
    <w:rsid w:val="00494C56"/>
    <w:rsid w:val="00495037"/>
    <w:rsid w:val="00496C37"/>
    <w:rsid w:val="004A096A"/>
    <w:rsid w:val="004A3749"/>
    <w:rsid w:val="004B4613"/>
    <w:rsid w:val="004B4CB8"/>
    <w:rsid w:val="004B52EA"/>
    <w:rsid w:val="004B54B5"/>
    <w:rsid w:val="004B76E7"/>
    <w:rsid w:val="004C0263"/>
    <w:rsid w:val="004C1119"/>
    <w:rsid w:val="004C1CAD"/>
    <w:rsid w:val="004C4580"/>
    <w:rsid w:val="004D101D"/>
    <w:rsid w:val="004D268B"/>
    <w:rsid w:val="004D371E"/>
    <w:rsid w:val="004D680D"/>
    <w:rsid w:val="004E45DE"/>
    <w:rsid w:val="004E5BDF"/>
    <w:rsid w:val="004E5C3A"/>
    <w:rsid w:val="004F0320"/>
    <w:rsid w:val="004F0559"/>
    <w:rsid w:val="004F080C"/>
    <w:rsid w:val="004F0CDC"/>
    <w:rsid w:val="004F4E8D"/>
    <w:rsid w:val="00500A5E"/>
    <w:rsid w:val="005020A4"/>
    <w:rsid w:val="00507748"/>
    <w:rsid w:val="005078CA"/>
    <w:rsid w:val="005105CC"/>
    <w:rsid w:val="005120F2"/>
    <w:rsid w:val="00520E3B"/>
    <w:rsid w:val="005237F7"/>
    <w:rsid w:val="005244B2"/>
    <w:rsid w:val="0052667F"/>
    <w:rsid w:val="005304E9"/>
    <w:rsid w:val="00530EFD"/>
    <w:rsid w:val="00531B6A"/>
    <w:rsid w:val="00531C4F"/>
    <w:rsid w:val="005327AF"/>
    <w:rsid w:val="00536AD6"/>
    <w:rsid w:val="005373C2"/>
    <w:rsid w:val="00541A4D"/>
    <w:rsid w:val="005436CF"/>
    <w:rsid w:val="0054759D"/>
    <w:rsid w:val="0055067F"/>
    <w:rsid w:val="00553D92"/>
    <w:rsid w:val="00554E9F"/>
    <w:rsid w:val="005579F1"/>
    <w:rsid w:val="00562A26"/>
    <w:rsid w:val="005659A6"/>
    <w:rsid w:val="00565E85"/>
    <w:rsid w:val="0056683B"/>
    <w:rsid w:val="00570005"/>
    <w:rsid w:val="00570E9E"/>
    <w:rsid w:val="00571247"/>
    <w:rsid w:val="005730B3"/>
    <w:rsid w:val="00573743"/>
    <w:rsid w:val="005751A4"/>
    <w:rsid w:val="005754CD"/>
    <w:rsid w:val="0057680F"/>
    <w:rsid w:val="0057754F"/>
    <w:rsid w:val="0058179F"/>
    <w:rsid w:val="00584292"/>
    <w:rsid w:val="00584C36"/>
    <w:rsid w:val="0058649E"/>
    <w:rsid w:val="005874CE"/>
    <w:rsid w:val="00594207"/>
    <w:rsid w:val="00594E72"/>
    <w:rsid w:val="00595CBB"/>
    <w:rsid w:val="00597FF1"/>
    <w:rsid w:val="005A37E8"/>
    <w:rsid w:val="005A4D3A"/>
    <w:rsid w:val="005B05FF"/>
    <w:rsid w:val="005B268C"/>
    <w:rsid w:val="005B3425"/>
    <w:rsid w:val="005B4115"/>
    <w:rsid w:val="005B4D6A"/>
    <w:rsid w:val="005B52F3"/>
    <w:rsid w:val="005B533B"/>
    <w:rsid w:val="005C18D1"/>
    <w:rsid w:val="005C2869"/>
    <w:rsid w:val="005C3C2D"/>
    <w:rsid w:val="005C497D"/>
    <w:rsid w:val="005C49E7"/>
    <w:rsid w:val="005C4A95"/>
    <w:rsid w:val="005D0AF6"/>
    <w:rsid w:val="005D4153"/>
    <w:rsid w:val="005D57D1"/>
    <w:rsid w:val="005E084B"/>
    <w:rsid w:val="005E18F4"/>
    <w:rsid w:val="005E333E"/>
    <w:rsid w:val="005E5043"/>
    <w:rsid w:val="005E6296"/>
    <w:rsid w:val="005F2B91"/>
    <w:rsid w:val="005F41AB"/>
    <w:rsid w:val="005F6CD9"/>
    <w:rsid w:val="005F712D"/>
    <w:rsid w:val="00600DEE"/>
    <w:rsid w:val="00601257"/>
    <w:rsid w:val="0060235B"/>
    <w:rsid w:val="006058D0"/>
    <w:rsid w:val="00606ED4"/>
    <w:rsid w:val="00606F94"/>
    <w:rsid w:val="006073D9"/>
    <w:rsid w:val="0060782A"/>
    <w:rsid w:val="00610505"/>
    <w:rsid w:val="00610B09"/>
    <w:rsid w:val="00611729"/>
    <w:rsid w:val="00614728"/>
    <w:rsid w:val="00614731"/>
    <w:rsid w:val="00620CDD"/>
    <w:rsid w:val="00621C71"/>
    <w:rsid w:val="00622631"/>
    <w:rsid w:val="00625006"/>
    <w:rsid w:val="00625060"/>
    <w:rsid w:val="00625F2C"/>
    <w:rsid w:val="00635667"/>
    <w:rsid w:val="0063636E"/>
    <w:rsid w:val="0063638A"/>
    <w:rsid w:val="006374D5"/>
    <w:rsid w:val="0064017C"/>
    <w:rsid w:val="00646676"/>
    <w:rsid w:val="00662871"/>
    <w:rsid w:val="00663246"/>
    <w:rsid w:val="006645D2"/>
    <w:rsid w:val="00665A81"/>
    <w:rsid w:val="006665FE"/>
    <w:rsid w:val="00670252"/>
    <w:rsid w:val="00672C53"/>
    <w:rsid w:val="00683C8C"/>
    <w:rsid w:val="00685A15"/>
    <w:rsid w:val="00690CDF"/>
    <w:rsid w:val="0069107A"/>
    <w:rsid w:val="00693EFD"/>
    <w:rsid w:val="0069766A"/>
    <w:rsid w:val="006978DD"/>
    <w:rsid w:val="006A29B7"/>
    <w:rsid w:val="006A2F0B"/>
    <w:rsid w:val="006A3BA8"/>
    <w:rsid w:val="006A583D"/>
    <w:rsid w:val="006B00E4"/>
    <w:rsid w:val="006B2CE5"/>
    <w:rsid w:val="006B3F2F"/>
    <w:rsid w:val="006B43ED"/>
    <w:rsid w:val="006B62D4"/>
    <w:rsid w:val="006B7B50"/>
    <w:rsid w:val="006C0F5C"/>
    <w:rsid w:val="006C1C51"/>
    <w:rsid w:val="006C3F22"/>
    <w:rsid w:val="006C60BB"/>
    <w:rsid w:val="006D2CB7"/>
    <w:rsid w:val="006D40F0"/>
    <w:rsid w:val="006E13D9"/>
    <w:rsid w:val="006E30A3"/>
    <w:rsid w:val="006E4050"/>
    <w:rsid w:val="006E465E"/>
    <w:rsid w:val="006E62E2"/>
    <w:rsid w:val="006F404A"/>
    <w:rsid w:val="006F58F5"/>
    <w:rsid w:val="00704780"/>
    <w:rsid w:val="00706030"/>
    <w:rsid w:val="00706181"/>
    <w:rsid w:val="007063D4"/>
    <w:rsid w:val="00707069"/>
    <w:rsid w:val="00707077"/>
    <w:rsid w:val="0071025A"/>
    <w:rsid w:val="00710492"/>
    <w:rsid w:val="00712D84"/>
    <w:rsid w:val="00713035"/>
    <w:rsid w:val="0071553C"/>
    <w:rsid w:val="00717112"/>
    <w:rsid w:val="00717251"/>
    <w:rsid w:val="00720272"/>
    <w:rsid w:val="00721647"/>
    <w:rsid w:val="00722F41"/>
    <w:rsid w:val="00726111"/>
    <w:rsid w:val="00731FF6"/>
    <w:rsid w:val="0073302A"/>
    <w:rsid w:val="00733467"/>
    <w:rsid w:val="00734A2C"/>
    <w:rsid w:val="007355FD"/>
    <w:rsid w:val="00737F68"/>
    <w:rsid w:val="00743592"/>
    <w:rsid w:val="00744C51"/>
    <w:rsid w:val="00746D32"/>
    <w:rsid w:val="007472C8"/>
    <w:rsid w:val="00752FF1"/>
    <w:rsid w:val="0075350A"/>
    <w:rsid w:val="00753DD0"/>
    <w:rsid w:val="00753E35"/>
    <w:rsid w:val="007558FE"/>
    <w:rsid w:val="007568AB"/>
    <w:rsid w:val="00756BC3"/>
    <w:rsid w:val="007609AB"/>
    <w:rsid w:val="00765E51"/>
    <w:rsid w:val="00766B30"/>
    <w:rsid w:val="007705D7"/>
    <w:rsid w:val="0077117A"/>
    <w:rsid w:val="00771DF5"/>
    <w:rsid w:val="007725FF"/>
    <w:rsid w:val="007726AA"/>
    <w:rsid w:val="00774C86"/>
    <w:rsid w:val="0077631E"/>
    <w:rsid w:val="00776391"/>
    <w:rsid w:val="007801AB"/>
    <w:rsid w:val="007801FD"/>
    <w:rsid w:val="007808BA"/>
    <w:rsid w:val="00780CED"/>
    <w:rsid w:val="00781C4E"/>
    <w:rsid w:val="00782F7B"/>
    <w:rsid w:val="00787A36"/>
    <w:rsid w:val="00791B1B"/>
    <w:rsid w:val="00793F75"/>
    <w:rsid w:val="00797B10"/>
    <w:rsid w:val="007A01B2"/>
    <w:rsid w:val="007A1B61"/>
    <w:rsid w:val="007A2F98"/>
    <w:rsid w:val="007A5D64"/>
    <w:rsid w:val="007A7454"/>
    <w:rsid w:val="007A7897"/>
    <w:rsid w:val="007B2366"/>
    <w:rsid w:val="007B309F"/>
    <w:rsid w:val="007B3795"/>
    <w:rsid w:val="007B471A"/>
    <w:rsid w:val="007B5091"/>
    <w:rsid w:val="007B74A0"/>
    <w:rsid w:val="007B760B"/>
    <w:rsid w:val="007C0CB7"/>
    <w:rsid w:val="007D2A27"/>
    <w:rsid w:val="007D45A2"/>
    <w:rsid w:val="007D721E"/>
    <w:rsid w:val="007E00C3"/>
    <w:rsid w:val="007E100D"/>
    <w:rsid w:val="007E30E1"/>
    <w:rsid w:val="007E3DE9"/>
    <w:rsid w:val="007E5FDC"/>
    <w:rsid w:val="007F1EA6"/>
    <w:rsid w:val="007F2AF0"/>
    <w:rsid w:val="007F601B"/>
    <w:rsid w:val="007F766D"/>
    <w:rsid w:val="007F7BD9"/>
    <w:rsid w:val="007F7E69"/>
    <w:rsid w:val="00800616"/>
    <w:rsid w:val="008026E5"/>
    <w:rsid w:val="008104A3"/>
    <w:rsid w:val="00811946"/>
    <w:rsid w:val="008119C4"/>
    <w:rsid w:val="0081296B"/>
    <w:rsid w:val="00812FB2"/>
    <w:rsid w:val="00816407"/>
    <w:rsid w:val="00816D85"/>
    <w:rsid w:val="00817E09"/>
    <w:rsid w:val="00820AB0"/>
    <w:rsid w:val="00824370"/>
    <w:rsid w:val="00825433"/>
    <w:rsid w:val="0082625D"/>
    <w:rsid w:val="00830E6B"/>
    <w:rsid w:val="0083183A"/>
    <w:rsid w:val="00835591"/>
    <w:rsid w:val="00837717"/>
    <w:rsid w:val="00840E20"/>
    <w:rsid w:val="00841EFF"/>
    <w:rsid w:val="00842FD3"/>
    <w:rsid w:val="008448E3"/>
    <w:rsid w:val="008457AC"/>
    <w:rsid w:val="00845A2C"/>
    <w:rsid w:val="008475E7"/>
    <w:rsid w:val="00847929"/>
    <w:rsid w:val="00847E6E"/>
    <w:rsid w:val="008503DE"/>
    <w:rsid w:val="0086008A"/>
    <w:rsid w:val="00862D27"/>
    <w:rsid w:val="00867658"/>
    <w:rsid w:val="00867D96"/>
    <w:rsid w:val="00870567"/>
    <w:rsid w:val="00871331"/>
    <w:rsid w:val="008727BD"/>
    <w:rsid w:val="00873A00"/>
    <w:rsid w:val="00880D9B"/>
    <w:rsid w:val="008825CD"/>
    <w:rsid w:val="00885C08"/>
    <w:rsid w:val="00885DEE"/>
    <w:rsid w:val="00891EC5"/>
    <w:rsid w:val="0089348B"/>
    <w:rsid w:val="00893BC8"/>
    <w:rsid w:val="0089474B"/>
    <w:rsid w:val="00896767"/>
    <w:rsid w:val="00897293"/>
    <w:rsid w:val="008A4371"/>
    <w:rsid w:val="008A55D5"/>
    <w:rsid w:val="008A5CF9"/>
    <w:rsid w:val="008B13B5"/>
    <w:rsid w:val="008B4901"/>
    <w:rsid w:val="008B5250"/>
    <w:rsid w:val="008B5364"/>
    <w:rsid w:val="008C2BF4"/>
    <w:rsid w:val="008C32F6"/>
    <w:rsid w:val="008C378D"/>
    <w:rsid w:val="008C61B4"/>
    <w:rsid w:val="008D28C7"/>
    <w:rsid w:val="008D327A"/>
    <w:rsid w:val="008D6949"/>
    <w:rsid w:val="008D7160"/>
    <w:rsid w:val="008D788B"/>
    <w:rsid w:val="008E095C"/>
    <w:rsid w:val="008E1FD5"/>
    <w:rsid w:val="008E3F5E"/>
    <w:rsid w:val="008E4BD6"/>
    <w:rsid w:val="008E50A3"/>
    <w:rsid w:val="008E78AC"/>
    <w:rsid w:val="008F07D2"/>
    <w:rsid w:val="008F30A1"/>
    <w:rsid w:val="008F31A2"/>
    <w:rsid w:val="008F3DBF"/>
    <w:rsid w:val="008F4D96"/>
    <w:rsid w:val="008F65A7"/>
    <w:rsid w:val="008F672A"/>
    <w:rsid w:val="008F72D8"/>
    <w:rsid w:val="00901A2E"/>
    <w:rsid w:val="00902BF9"/>
    <w:rsid w:val="0090429C"/>
    <w:rsid w:val="009059A8"/>
    <w:rsid w:val="00906535"/>
    <w:rsid w:val="00906782"/>
    <w:rsid w:val="00912600"/>
    <w:rsid w:val="00917A0C"/>
    <w:rsid w:val="00917D0C"/>
    <w:rsid w:val="00920213"/>
    <w:rsid w:val="00920435"/>
    <w:rsid w:val="00922830"/>
    <w:rsid w:val="009228A3"/>
    <w:rsid w:val="00922EFB"/>
    <w:rsid w:val="00923C96"/>
    <w:rsid w:val="00925008"/>
    <w:rsid w:val="00925451"/>
    <w:rsid w:val="00926026"/>
    <w:rsid w:val="00926182"/>
    <w:rsid w:val="00930CE4"/>
    <w:rsid w:val="00930E51"/>
    <w:rsid w:val="00931EA4"/>
    <w:rsid w:val="00933635"/>
    <w:rsid w:val="00935462"/>
    <w:rsid w:val="0093738A"/>
    <w:rsid w:val="00943474"/>
    <w:rsid w:val="0094593C"/>
    <w:rsid w:val="00946F5B"/>
    <w:rsid w:val="009477DB"/>
    <w:rsid w:val="00947A73"/>
    <w:rsid w:val="00947DA5"/>
    <w:rsid w:val="009509FF"/>
    <w:rsid w:val="00951063"/>
    <w:rsid w:val="009519E2"/>
    <w:rsid w:val="00952291"/>
    <w:rsid w:val="009524DB"/>
    <w:rsid w:val="00952B82"/>
    <w:rsid w:val="00953E64"/>
    <w:rsid w:val="00953E74"/>
    <w:rsid w:val="00955923"/>
    <w:rsid w:val="009607D9"/>
    <w:rsid w:val="00963D17"/>
    <w:rsid w:val="0096474A"/>
    <w:rsid w:val="00966E31"/>
    <w:rsid w:val="00967307"/>
    <w:rsid w:val="00967F29"/>
    <w:rsid w:val="00970BB9"/>
    <w:rsid w:val="00970F4E"/>
    <w:rsid w:val="0097167D"/>
    <w:rsid w:val="00972C00"/>
    <w:rsid w:val="00973373"/>
    <w:rsid w:val="00974C4F"/>
    <w:rsid w:val="009763C2"/>
    <w:rsid w:val="00977F27"/>
    <w:rsid w:val="00986B6E"/>
    <w:rsid w:val="00987799"/>
    <w:rsid w:val="00987DA0"/>
    <w:rsid w:val="009903B7"/>
    <w:rsid w:val="0099040E"/>
    <w:rsid w:val="009910E3"/>
    <w:rsid w:val="00991144"/>
    <w:rsid w:val="00993EC4"/>
    <w:rsid w:val="0099646C"/>
    <w:rsid w:val="009B36C6"/>
    <w:rsid w:val="009B4C5E"/>
    <w:rsid w:val="009B4E4C"/>
    <w:rsid w:val="009B78EE"/>
    <w:rsid w:val="009C1961"/>
    <w:rsid w:val="009C553D"/>
    <w:rsid w:val="009C5DFF"/>
    <w:rsid w:val="009C650C"/>
    <w:rsid w:val="009D03FA"/>
    <w:rsid w:val="009D1711"/>
    <w:rsid w:val="009D239C"/>
    <w:rsid w:val="009D2CBE"/>
    <w:rsid w:val="009D3762"/>
    <w:rsid w:val="009D3BA9"/>
    <w:rsid w:val="009D520D"/>
    <w:rsid w:val="009D5844"/>
    <w:rsid w:val="009E1790"/>
    <w:rsid w:val="009E1DAE"/>
    <w:rsid w:val="009E2AAD"/>
    <w:rsid w:val="009E57E8"/>
    <w:rsid w:val="009F1695"/>
    <w:rsid w:val="009F4E1D"/>
    <w:rsid w:val="009F4F74"/>
    <w:rsid w:val="009F6045"/>
    <w:rsid w:val="009F7849"/>
    <w:rsid w:val="009F79C0"/>
    <w:rsid w:val="00A007D5"/>
    <w:rsid w:val="00A00B4C"/>
    <w:rsid w:val="00A03582"/>
    <w:rsid w:val="00A0465D"/>
    <w:rsid w:val="00A06F1D"/>
    <w:rsid w:val="00A07373"/>
    <w:rsid w:val="00A1151F"/>
    <w:rsid w:val="00A13680"/>
    <w:rsid w:val="00A13F82"/>
    <w:rsid w:val="00A14334"/>
    <w:rsid w:val="00A1607D"/>
    <w:rsid w:val="00A16B12"/>
    <w:rsid w:val="00A2363F"/>
    <w:rsid w:val="00A24C9D"/>
    <w:rsid w:val="00A26EAD"/>
    <w:rsid w:val="00A27382"/>
    <w:rsid w:val="00A323E4"/>
    <w:rsid w:val="00A3330C"/>
    <w:rsid w:val="00A34E97"/>
    <w:rsid w:val="00A353AE"/>
    <w:rsid w:val="00A355A9"/>
    <w:rsid w:val="00A36F68"/>
    <w:rsid w:val="00A37FCF"/>
    <w:rsid w:val="00A401BB"/>
    <w:rsid w:val="00A514F0"/>
    <w:rsid w:val="00A52EDF"/>
    <w:rsid w:val="00A54019"/>
    <w:rsid w:val="00A551C3"/>
    <w:rsid w:val="00A5602A"/>
    <w:rsid w:val="00A60E92"/>
    <w:rsid w:val="00A636A7"/>
    <w:rsid w:val="00A63DD5"/>
    <w:rsid w:val="00A64BC1"/>
    <w:rsid w:val="00A71B2C"/>
    <w:rsid w:val="00A71F41"/>
    <w:rsid w:val="00A723B7"/>
    <w:rsid w:val="00A73FE1"/>
    <w:rsid w:val="00A75E77"/>
    <w:rsid w:val="00A833CA"/>
    <w:rsid w:val="00A87404"/>
    <w:rsid w:val="00A91E51"/>
    <w:rsid w:val="00A92E53"/>
    <w:rsid w:val="00A94FB0"/>
    <w:rsid w:val="00A963FD"/>
    <w:rsid w:val="00A97D8A"/>
    <w:rsid w:val="00AA105E"/>
    <w:rsid w:val="00AA603A"/>
    <w:rsid w:val="00AA6F01"/>
    <w:rsid w:val="00AA7DCB"/>
    <w:rsid w:val="00AB1ADA"/>
    <w:rsid w:val="00AB480B"/>
    <w:rsid w:val="00AB78A0"/>
    <w:rsid w:val="00AC4EEA"/>
    <w:rsid w:val="00AC57B4"/>
    <w:rsid w:val="00AC60B3"/>
    <w:rsid w:val="00AD0187"/>
    <w:rsid w:val="00AD0B55"/>
    <w:rsid w:val="00AD2B8D"/>
    <w:rsid w:val="00AD5D59"/>
    <w:rsid w:val="00AD6210"/>
    <w:rsid w:val="00AD6B84"/>
    <w:rsid w:val="00AE05A2"/>
    <w:rsid w:val="00AE0E60"/>
    <w:rsid w:val="00AE4512"/>
    <w:rsid w:val="00AE4A2D"/>
    <w:rsid w:val="00AE74EE"/>
    <w:rsid w:val="00AF035A"/>
    <w:rsid w:val="00AF2619"/>
    <w:rsid w:val="00AF3429"/>
    <w:rsid w:val="00AF3B2F"/>
    <w:rsid w:val="00AF6189"/>
    <w:rsid w:val="00AF6B34"/>
    <w:rsid w:val="00AF7461"/>
    <w:rsid w:val="00AF7660"/>
    <w:rsid w:val="00B00D93"/>
    <w:rsid w:val="00B066CD"/>
    <w:rsid w:val="00B113FC"/>
    <w:rsid w:val="00B114E0"/>
    <w:rsid w:val="00B14014"/>
    <w:rsid w:val="00B157F9"/>
    <w:rsid w:val="00B16E89"/>
    <w:rsid w:val="00B16FF1"/>
    <w:rsid w:val="00B177AD"/>
    <w:rsid w:val="00B228C7"/>
    <w:rsid w:val="00B266A6"/>
    <w:rsid w:val="00B30160"/>
    <w:rsid w:val="00B30A3B"/>
    <w:rsid w:val="00B3787D"/>
    <w:rsid w:val="00B41E56"/>
    <w:rsid w:val="00B43933"/>
    <w:rsid w:val="00B4497D"/>
    <w:rsid w:val="00B47444"/>
    <w:rsid w:val="00B47642"/>
    <w:rsid w:val="00B47A8C"/>
    <w:rsid w:val="00B510E8"/>
    <w:rsid w:val="00B5253A"/>
    <w:rsid w:val="00B53815"/>
    <w:rsid w:val="00B55097"/>
    <w:rsid w:val="00B5651B"/>
    <w:rsid w:val="00B61A2E"/>
    <w:rsid w:val="00B6479B"/>
    <w:rsid w:val="00B67E44"/>
    <w:rsid w:val="00B71BEA"/>
    <w:rsid w:val="00B72885"/>
    <w:rsid w:val="00B72B6B"/>
    <w:rsid w:val="00B73E14"/>
    <w:rsid w:val="00B743B6"/>
    <w:rsid w:val="00B75A00"/>
    <w:rsid w:val="00B81BEF"/>
    <w:rsid w:val="00B82288"/>
    <w:rsid w:val="00B83665"/>
    <w:rsid w:val="00B92A2D"/>
    <w:rsid w:val="00B95AF0"/>
    <w:rsid w:val="00B97206"/>
    <w:rsid w:val="00BA03DB"/>
    <w:rsid w:val="00BA662F"/>
    <w:rsid w:val="00BB2B9A"/>
    <w:rsid w:val="00BB2FEF"/>
    <w:rsid w:val="00BC0B6B"/>
    <w:rsid w:val="00BC5D0F"/>
    <w:rsid w:val="00BC696C"/>
    <w:rsid w:val="00BC7C54"/>
    <w:rsid w:val="00BD1635"/>
    <w:rsid w:val="00BD2721"/>
    <w:rsid w:val="00BD2DD5"/>
    <w:rsid w:val="00BD3060"/>
    <w:rsid w:val="00BD51D1"/>
    <w:rsid w:val="00BD544E"/>
    <w:rsid w:val="00BD618C"/>
    <w:rsid w:val="00BD7E39"/>
    <w:rsid w:val="00BE090C"/>
    <w:rsid w:val="00BE2772"/>
    <w:rsid w:val="00BE38F8"/>
    <w:rsid w:val="00BE76D3"/>
    <w:rsid w:val="00BF0BBE"/>
    <w:rsid w:val="00BF5F6B"/>
    <w:rsid w:val="00C00781"/>
    <w:rsid w:val="00C03349"/>
    <w:rsid w:val="00C04744"/>
    <w:rsid w:val="00C05446"/>
    <w:rsid w:val="00C0780E"/>
    <w:rsid w:val="00C12EE4"/>
    <w:rsid w:val="00C14927"/>
    <w:rsid w:val="00C2139A"/>
    <w:rsid w:val="00C21918"/>
    <w:rsid w:val="00C2264B"/>
    <w:rsid w:val="00C22BD2"/>
    <w:rsid w:val="00C23D03"/>
    <w:rsid w:val="00C258E2"/>
    <w:rsid w:val="00C25BE7"/>
    <w:rsid w:val="00C267EF"/>
    <w:rsid w:val="00C26F4B"/>
    <w:rsid w:val="00C31EC3"/>
    <w:rsid w:val="00C33759"/>
    <w:rsid w:val="00C35158"/>
    <w:rsid w:val="00C362C7"/>
    <w:rsid w:val="00C365FB"/>
    <w:rsid w:val="00C37891"/>
    <w:rsid w:val="00C41129"/>
    <w:rsid w:val="00C422BE"/>
    <w:rsid w:val="00C4270F"/>
    <w:rsid w:val="00C4279D"/>
    <w:rsid w:val="00C4534F"/>
    <w:rsid w:val="00C54AF5"/>
    <w:rsid w:val="00C57071"/>
    <w:rsid w:val="00C60196"/>
    <w:rsid w:val="00C60F6E"/>
    <w:rsid w:val="00C653A8"/>
    <w:rsid w:val="00C65890"/>
    <w:rsid w:val="00C65C09"/>
    <w:rsid w:val="00C66696"/>
    <w:rsid w:val="00C736CC"/>
    <w:rsid w:val="00C739EE"/>
    <w:rsid w:val="00C74736"/>
    <w:rsid w:val="00C76E38"/>
    <w:rsid w:val="00C821D6"/>
    <w:rsid w:val="00C9148D"/>
    <w:rsid w:val="00C94071"/>
    <w:rsid w:val="00C95E6B"/>
    <w:rsid w:val="00C96340"/>
    <w:rsid w:val="00C97B15"/>
    <w:rsid w:val="00CA23EB"/>
    <w:rsid w:val="00CA573E"/>
    <w:rsid w:val="00CA7636"/>
    <w:rsid w:val="00CB49C7"/>
    <w:rsid w:val="00CC033C"/>
    <w:rsid w:val="00CC0BA6"/>
    <w:rsid w:val="00CC1F9A"/>
    <w:rsid w:val="00CD19E8"/>
    <w:rsid w:val="00CD4907"/>
    <w:rsid w:val="00CD4A4C"/>
    <w:rsid w:val="00CD74D5"/>
    <w:rsid w:val="00CD77A4"/>
    <w:rsid w:val="00CE0490"/>
    <w:rsid w:val="00CE369E"/>
    <w:rsid w:val="00CE56F7"/>
    <w:rsid w:val="00CE7D91"/>
    <w:rsid w:val="00CF3A3F"/>
    <w:rsid w:val="00CF4A3F"/>
    <w:rsid w:val="00CF4D66"/>
    <w:rsid w:val="00CF557F"/>
    <w:rsid w:val="00D05550"/>
    <w:rsid w:val="00D063D6"/>
    <w:rsid w:val="00D07799"/>
    <w:rsid w:val="00D110CA"/>
    <w:rsid w:val="00D1441E"/>
    <w:rsid w:val="00D16335"/>
    <w:rsid w:val="00D16A60"/>
    <w:rsid w:val="00D17218"/>
    <w:rsid w:val="00D21F50"/>
    <w:rsid w:val="00D2227B"/>
    <w:rsid w:val="00D2258F"/>
    <w:rsid w:val="00D23D5E"/>
    <w:rsid w:val="00D27BFD"/>
    <w:rsid w:val="00D31557"/>
    <w:rsid w:val="00D332E9"/>
    <w:rsid w:val="00D35345"/>
    <w:rsid w:val="00D379EF"/>
    <w:rsid w:val="00D37B1C"/>
    <w:rsid w:val="00D40021"/>
    <w:rsid w:val="00D410D1"/>
    <w:rsid w:val="00D41136"/>
    <w:rsid w:val="00D41F85"/>
    <w:rsid w:val="00D424AF"/>
    <w:rsid w:val="00D427CD"/>
    <w:rsid w:val="00D47E22"/>
    <w:rsid w:val="00D5135C"/>
    <w:rsid w:val="00D52533"/>
    <w:rsid w:val="00D53785"/>
    <w:rsid w:val="00D57009"/>
    <w:rsid w:val="00D61399"/>
    <w:rsid w:val="00D64558"/>
    <w:rsid w:val="00D64696"/>
    <w:rsid w:val="00D72855"/>
    <w:rsid w:val="00D75DF0"/>
    <w:rsid w:val="00D80AE0"/>
    <w:rsid w:val="00D81A10"/>
    <w:rsid w:val="00D83847"/>
    <w:rsid w:val="00D84FFF"/>
    <w:rsid w:val="00D86DCB"/>
    <w:rsid w:val="00D871E8"/>
    <w:rsid w:val="00D87220"/>
    <w:rsid w:val="00D876E5"/>
    <w:rsid w:val="00D8770C"/>
    <w:rsid w:val="00D9293F"/>
    <w:rsid w:val="00D95EAE"/>
    <w:rsid w:val="00DA13C2"/>
    <w:rsid w:val="00DA2E42"/>
    <w:rsid w:val="00DA51BC"/>
    <w:rsid w:val="00DA7804"/>
    <w:rsid w:val="00DB0055"/>
    <w:rsid w:val="00DB69F8"/>
    <w:rsid w:val="00DB7B2E"/>
    <w:rsid w:val="00DC009A"/>
    <w:rsid w:val="00DC14D3"/>
    <w:rsid w:val="00DC2238"/>
    <w:rsid w:val="00DC24A5"/>
    <w:rsid w:val="00DC26D9"/>
    <w:rsid w:val="00DC333D"/>
    <w:rsid w:val="00DC3AA6"/>
    <w:rsid w:val="00DC4055"/>
    <w:rsid w:val="00DD0817"/>
    <w:rsid w:val="00DD13EA"/>
    <w:rsid w:val="00DD2AD9"/>
    <w:rsid w:val="00DD4632"/>
    <w:rsid w:val="00DD4C42"/>
    <w:rsid w:val="00DE0917"/>
    <w:rsid w:val="00DE0DFE"/>
    <w:rsid w:val="00DE3545"/>
    <w:rsid w:val="00DE4C03"/>
    <w:rsid w:val="00DE68C4"/>
    <w:rsid w:val="00DE75FA"/>
    <w:rsid w:val="00DF0175"/>
    <w:rsid w:val="00DF352D"/>
    <w:rsid w:val="00DF3CAF"/>
    <w:rsid w:val="00E020FA"/>
    <w:rsid w:val="00E025D9"/>
    <w:rsid w:val="00E02DDA"/>
    <w:rsid w:val="00E04C6F"/>
    <w:rsid w:val="00E0503D"/>
    <w:rsid w:val="00E1177E"/>
    <w:rsid w:val="00E148DC"/>
    <w:rsid w:val="00E1507C"/>
    <w:rsid w:val="00E15616"/>
    <w:rsid w:val="00E15BEE"/>
    <w:rsid w:val="00E17CBE"/>
    <w:rsid w:val="00E31578"/>
    <w:rsid w:val="00E316A3"/>
    <w:rsid w:val="00E320C2"/>
    <w:rsid w:val="00E32599"/>
    <w:rsid w:val="00E33EF1"/>
    <w:rsid w:val="00E33FF7"/>
    <w:rsid w:val="00E354E3"/>
    <w:rsid w:val="00E354E8"/>
    <w:rsid w:val="00E36336"/>
    <w:rsid w:val="00E363CF"/>
    <w:rsid w:val="00E37669"/>
    <w:rsid w:val="00E445DF"/>
    <w:rsid w:val="00E46C7A"/>
    <w:rsid w:val="00E51093"/>
    <w:rsid w:val="00E513EE"/>
    <w:rsid w:val="00E52F1C"/>
    <w:rsid w:val="00E57C09"/>
    <w:rsid w:val="00E57CF3"/>
    <w:rsid w:val="00E627B4"/>
    <w:rsid w:val="00E6316C"/>
    <w:rsid w:val="00E652EC"/>
    <w:rsid w:val="00E659F9"/>
    <w:rsid w:val="00E66359"/>
    <w:rsid w:val="00E720F1"/>
    <w:rsid w:val="00E735D5"/>
    <w:rsid w:val="00E776D3"/>
    <w:rsid w:val="00E81A17"/>
    <w:rsid w:val="00E839A0"/>
    <w:rsid w:val="00E865BA"/>
    <w:rsid w:val="00E9038D"/>
    <w:rsid w:val="00E93460"/>
    <w:rsid w:val="00E937D6"/>
    <w:rsid w:val="00E942BC"/>
    <w:rsid w:val="00E9681B"/>
    <w:rsid w:val="00EA5075"/>
    <w:rsid w:val="00EB1579"/>
    <w:rsid w:val="00EB18B5"/>
    <w:rsid w:val="00EB5A8A"/>
    <w:rsid w:val="00EC54BC"/>
    <w:rsid w:val="00EC7272"/>
    <w:rsid w:val="00EC76F1"/>
    <w:rsid w:val="00EC7F16"/>
    <w:rsid w:val="00ED0D9B"/>
    <w:rsid w:val="00ED17D5"/>
    <w:rsid w:val="00ED2603"/>
    <w:rsid w:val="00ED6FA1"/>
    <w:rsid w:val="00EE0E56"/>
    <w:rsid w:val="00EE1B9A"/>
    <w:rsid w:val="00EE56D5"/>
    <w:rsid w:val="00EE6F87"/>
    <w:rsid w:val="00EF172A"/>
    <w:rsid w:val="00EF1D4F"/>
    <w:rsid w:val="00EF3098"/>
    <w:rsid w:val="00EF5ECB"/>
    <w:rsid w:val="00F0144A"/>
    <w:rsid w:val="00F01E19"/>
    <w:rsid w:val="00F02FFB"/>
    <w:rsid w:val="00F060D5"/>
    <w:rsid w:val="00F11A2A"/>
    <w:rsid w:val="00F15937"/>
    <w:rsid w:val="00F169CF"/>
    <w:rsid w:val="00F17AB9"/>
    <w:rsid w:val="00F21DC3"/>
    <w:rsid w:val="00F24B7B"/>
    <w:rsid w:val="00F310B3"/>
    <w:rsid w:val="00F334DA"/>
    <w:rsid w:val="00F34368"/>
    <w:rsid w:val="00F349EA"/>
    <w:rsid w:val="00F34D74"/>
    <w:rsid w:val="00F41A84"/>
    <w:rsid w:val="00F42AF7"/>
    <w:rsid w:val="00F43496"/>
    <w:rsid w:val="00F50C53"/>
    <w:rsid w:val="00F5175B"/>
    <w:rsid w:val="00F54566"/>
    <w:rsid w:val="00F547A5"/>
    <w:rsid w:val="00F5671F"/>
    <w:rsid w:val="00F57671"/>
    <w:rsid w:val="00F616B6"/>
    <w:rsid w:val="00F61CFA"/>
    <w:rsid w:val="00F66B01"/>
    <w:rsid w:val="00F72014"/>
    <w:rsid w:val="00F72CE7"/>
    <w:rsid w:val="00F7676B"/>
    <w:rsid w:val="00F8166A"/>
    <w:rsid w:val="00F82501"/>
    <w:rsid w:val="00F83A54"/>
    <w:rsid w:val="00F84F43"/>
    <w:rsid w:val="00F873BC"/>
    <w:rsid w:val="00F90EDE"/>
    <w:rsid w:val="00F91C3B"/>
    <w:rsid w:val="00F92446"/>
    <w:rsid w:val="00F953FA"/>
    <w:rsid w:val="00F97501"/>
    <w:rsid w:val="00F97C32"/>
    <w:rsid w:val="00FA041E"/>
    <w:rsid w:val="00FA2525"/>
    <w:rsid w:val="00FA733A"/>
    <w:rsid w:val="00FB3011"/>
    <w:rsid w:val="00FB7F13"/>
    <w:rsid w:val="00FC19BF"/>
    <w:rsid w:val="00FC1A52"/>
    <w:rsid w:val="00FC27A7"/>
    <w:rsid w:val="00FC4117"/>
    <w:rsid w:val="00FC6999"/>
    <w:rsid w:val="00FC7D58"/>
    <w:rsid w:val="00FD06AA"/>
    <w:rsid w:val="00FD1440"/>
    <w:rsid w:val="00FD1987"/>
    <w:rsid w:val="00FD26D4"/>
    <w:rsid w:val="00FD4DB8"/>
    <w:rsid w:val="00FD5619"/>
    <w:rsid w:val="00FD584A"/>
    <w:rsid w:val="00FE248D"/>
    <w:rsid w:val="00FE284C"/>
    <w:rsid w:val="00FE32AA"/>
    <w:rsid w:val="00FE4203"/>
    <w:rsid w:val="00FE4E0A"/>
    <w:rsid w:val="00FE793A"/>
    <w:rsid w:val="00FF1A9F"/>
    <w:rsid w:val="00FF2F29"/>
    <w:rsid w:val="00FF33B7"/>
    <w:rsid w:val="00FF6430"/>
    <w:rsid w:val="00FF7035"/>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3CB24-FF02-427F-A0A6-69F4E83B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7A5"/>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F547A5"/>
    <w:pPr>
      <w:tabs>
        <w:tab w:val="center" w:pos="4680"/>
        <w:tab w:val="right" w:pos="9360"/>
      </w:tabs>
      <w:spacing w:line="240" w:lineRule="auto"/>
    </w:pPr>
  </w:style>
  <w:style w:type="character" w:customStyle="1" w:styleId="HeaderChar">
    <w:name w:val="Header Char"/>
    <w:basedOn w:val="DefaultParagraphFont"/>
    <w:link w:val="Header"/>
    <w:uiPriority w:val="99"/>
    <w:rsid w:val="00F547A5"/>
    <w:rPr>
      <w:lang w:val="en-GB"/>
    </w:rPr>
  </w:style>
  <w:style w:type="paragraph" w:styleId="Footer">
    <w:name w:val="footer"/>
    <w:basedOn w:val="Normal"/>
    <w:link w:val="FooterChar"/>
    <w:uiPriority w:val="99"/>
    <w:unhideWhenUsed/>
    <w:rsid w:val="00F547A5"/>
    <w:pPr>
      <w:tabs>
        <w:tab w:val="center" w:pos="4680"/>
        <w:tab w:val="right" w:pos="9360"/>
      </w:tabs>
      <w:spacing w:line="240" w:lineRule="auto"/>
    </w:pPr>
  </w:style>
  <w:style w:type="character" w:customStyle="1" w:styleId="FooterChar">
    <w:name w:val="Footer Char"/>
    <w:basedOn w:val="DefaultParagraphFont"/>
    <w:link w:val="Footer"/>
    <w:uiPriority w:val="99"/>
    <w:rsid w:val="00F547A5"/>
    <w:rPr>
      <w:lang w:val="en-GB"/>
    </w:rPr>
  </w:style>
  <w:style w:type="paragraph" w:styleId="EndnoteText">
    <w:name w:val="endnote text"/>
    <w:basedOn w:val="Normal"/>
    <w:link w:val="EndnoteTextChar"/>
    <w:uiPriority w:val="99"/>
    <w:unhideWhenUsed/>
    <w:rsid w:val="00BC5D0F"/>
    <w:pPr>
      <w:spacing w:line="240" w:lineRule="auto"/>
    </w:pPr>
    <w:rPr>
      <w:sz w:val="20"/>
      <w:szCs w:val="20"/>
    </w:rPr>
  </w:style>
  <w:style w:type="character" w:customStyle="1" w:styleId="EndnoteTextChar">
    <w:name w:val="Endnote Text Char"/>
    <w:basedOn w:val="DefaultParagraphFont"/>
    <w:link w:val="EndnoteText"/>
    <w:uiPriority w:val="99"/>
    <w:rsid w:val="00BC5D0F"/>
    <w:rPr>
      <w:sz w:val="20"/>
      <w:szCs w:val="20"/>
      <w:lang w:val="en-GB"/>
    </w:rPr>
  </w:style>
  <w:style w:type="character" w:styleId="EndnoteReference">
    <w:name w:val="endnote reference"/>
    <w:basedOn w:val="DefaultParagraphFont"/>
    <w:uiPriority w:val="99"/>
    <w:semiHidden/>
    <w:unhideWhenUsed/>
    <w:rsid w:val="00BC5D0F"/>
    <w:rPr>
      <w:vertAlign w:val="superscript"/>
    </w:rPr>
  </w:style>
  <w:style w:type="paragraph" w:styleId="BalloonText">
    <w:name w:val="Balloon Text"/>
    <w:basedOn w:val="Normal"/>
    <w:link w:val="BalloonTextChar"/>
    <w:uiPriority w:val="99"/>
    <w:semiHidden/>
    <w:unhideWhenUsed/>
    <w:rsid w:val="00B550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097"/>
    <w:rPr>
      <w:rFonts w:ascii="Segoe UI" w:hAnsi="Segoe UI" w:cs="Segoe UI"/>
      <w:sz w:val="18"/>
      <w:szCs w:val="18"/>
      <w:lang w:val="en-GB"/>
    </w:rPr>
  </w:style>
  <w:style w:type="paragraph" w:styleId="FootnoteText">
    <w:name w:val="footnote text"/>
    <w:basedOn w:val="Normal"/>
    <w:link w:val="FootnoteTextChar"/>
    <w:uiPriority w:val="99"/>
    <w:semiHidden/>
    <w:unhideWhenUsed/>
    <w:rsid w:val="00E354E8"/>
    <w:pPr>
      <w:spacing w:line="240" w:lineRule="auto"/>
    </w:pPr>
    <w:rPr>
      <w:sz w:val="20"/>
      <w:szCs w:val="20"/>
    </w:rPr>
  </w:style>
  <w:style w:type="character" w:customStyle="1" w:styleId="FootnoteTextChar">
    <w:name w:val="Footnote Text Char"/>
    <w:basedOn w:val="DefaultParagraphFont"/>
    <w:link w:val="FootnoteText"/>
    <w:uiPriority w:val="99"/>
    <w:semiHidden/>
    <w:rsid w:val="00E354E8"/>
    <w:rPr>
      <w:sz w:val="20"/>
      <w:szCs w:val="20"/>
      <w:lang w:val="en-GB"/>
    </w:rPr>
  </w:style>
  <w:style w:type="character" w:styleId="FootnoteReference">
    <w:name w:val="footnote reference"/>
    <w:basedOn w:val="DefaultParagraphFont"/>
    <w:uiPriority w:val="99"/>
    <w:semiHidden/>
    <w:unhideWhenUsed/>
    <w:rsid w:val="00E35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84EE-E11F-4D2C-90D5-4C59A0F9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1612</TotalTime>
  <Pages>30</Pages>
  <Words>8405</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cornwall</dc:creator>
  <cp:keywords/>
  <dc:description/>
  <cp:lastModifiedBy>mark cornwall</cp:lastModifiedBy>
  <cp:revision>51</cp:revision>
  <cp:lastPrinted>2020-06-30T15:46:00Z</cp:lastPrinted>
  <dcterms:created xsi:type="dcterms:W3CDTF">2020-06-28T08:24:00Z</dcterms:created>
  <dcterms:modified xsi:type="dcterms:W3CDTF">2020-07-01T09:44:00Z</dcterms:modified>
</cp:coreProperties>
</file>