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E658E" w14:textId="354147BE" w:rsidR="00122680" w:rsidRDefault="00484C64" w:rsidP="00750AD8">
      <w:pPr>
        <w:tabs>
          <w:tab w:val="left" w:pos="2694"/>
        </w:tabs>
        <w:rPr>
          <w:b/>
        </w:rPr>
      </w:pPr>
      <w:bookmarkStart w:id="0" w:name="_GoBack"/>
      <w:bookmarkEnd w:id="0"/>
      <w:r>
        <w:rPr>
          <w:b/>
        </w:rPr>
        <w:t xml:space="preserve">The </w:t>
      </w:r>
      <w:r w:rsidR="00971C3A">
        <w:rPr>
          <w:b/>
        </w:rPr>
        <w:t xml:space="preserve">Khorana score for prediction of venous thromboembolism in </w:t>
      </w:r>
      <w:r w:rsidR="006D6A5C">
        <w:rPr>
          <w:b/>
        </w:rPr>
        <w:t>cancer</w:t>
      </w:r>
      <w:r w:rsidR="00683027">
        <w:rPr>
          <w:b/>
        </w:rPr>
        <w:t xml:space="preserve"> </w:t>
      </w:r>
      <w:r w:rsidR="00971C3A">
        <w:rPr>
          <w:b/>
        </w:rPr>
        <w:t>patients: an individual patient data meta-analysis</w:t>
      </w:r>
    </w:p>
    <w:p w14:paraId="1F9AAE89" w14:textId="77777777" w:rsidR="00122680" w:rsidRDefault="00122680" w:rsidP="00122680">
      <w:r>
        <w:t xml:space="preserve">Running title: Prediction of </w:t>
      </w:r>
      <w:proofErr w:type="gramStart"/>
      <w:r>
        <w:t>cancer-associated</w:t>
      </w:r>
      <w:proofErr w:type="gramEnd"/>
      <w:r>
        <w:t xml:space="preserve"> VTE</w:t>
      </w:r>
    </w:p>
    <w:p w14:paraId="0C268F38" w14:textId="77777777" w:rsidR="00122680" w:rsidRDefault="00122680" w:rsidP="00122680"/>
    <w:p w14:paraId="3E511BD4" w14:textId="5098E414" w:rsidR="007770B2" w:rsidRDefault="007770B2" w:rsidP="007770B2">
      <w:r w:rsidRPr="00266629">
        <w:t>Nick van Es</w:t>
      </w:r>
      <w:r w:rsidR="00484C64">
        <w:t>, MD</w:t>
      </w:r>
      <w:r w:rsidR="00065DD2">
        <w:rPr>
          <w:vertAlign w:val="superscript"/>
        </w:rPr>
        <w:t>1</w:t>
      </w:r>
      <w:r w:rsidRPr="00266629">
        <w:rPr>
          <w:vertAlign w:val="superscript"/>
        </w:rPr>
        <w:t>,2</w:t>
      </w:r>
      <w:r w:rsidRPr="00266629">
        <w:t xml:space="preserve">, Matthew </w:t>
      </w:r>
      <w:proofErr w:type="spellStart"/>
      <w:r w:rsidRPr="00266629">
        <w:t>Ventresca</w:t>
      </w:r>
      <w:proofErr w:type="spellEnd"/>
      <w:r w:rsidR="00BE28E3">
        <w:t xml:space="preserve"> MSc</w:t>
      </w:r>
      <w:r w:rsidRPr="00266629">
        <w:rPr>
          <w:vertAlign w:val="superscript"/>
        </w:rPr>
        <w:t>2</w:t>
      </w:r>
      <w:r w:rsidRPr="00266629">
        <w:t xml:space="preserve">, Marcello Di </w:t>
      </w:r>
      <w:proofErr w:type="spellStart"/>
      <w:r w:rsidRPr="00266629">
        <w:t>Nisio</w:t>
      </w:r>
      <w:proofErr w:type="spellEnd"/>
      <w:r w:rsidR="0006167F">
        <w:t>, MD</w:t>
      </w:r>
      <w:r w:rsidRPr="00266629">
        <w:rPr>
          <w:vertAlign w:val="superscript"/>
        </w:rPr>
        <w:t>3</w:t>
      </w:r>
      <w:r w:rsidRPr="00266629">
        <w:t>, Qi Zhou</w:t>
      </w:r>
      <w:r w:rsidR="00575BCC">
        <w:t>, PhD</w:t>
      </w:r>
      <w:r w:rsidR="00D037BB">
        <w:rPr>
          <w:vertAlign w:val="superscript"/>
        </w:rPr>
        <w:t>2</w:t>
      </w:r>
      <w:r w:rsidRPr="00266629">
        <w:t>, Simon Noble</w:t>
      </w:r>
      <w:r w:rsidR="0006167F">
        <w:t>, MD</w:t>
      </w:r>
      <w:r w:rsidR="00D037BB">
        <w:rPr>
          <w:vertAlign w:val="superscript"/>
        </w:rPr>
        <w:t>4</w:t>
      </w:r>
      <w:r w:rsidRPr="00266629">
        <w:t xml:space="preserve">, </w:t>
      </w:r>
      <w:r>
        <w:rPr>
          <w:rStyle w:val="name"/>
        </w:rPr>
        <w:t>Mark Crowther</w:t>
      </w:r>
      <w:r w:rsidR="0006167F">
        <w:rPr>
          <w:rStyle w:val="name"/>
        </w:rPr>
        <w:t>, MD</w:t>
      </w:r>
      <w:r w:rsidR="00822917">
        <w:rPr>
          <w:vertAlign w:val="superscript"/>
        </w:rPr>
        <w:t>5</w:t>
      </w:r>
      <w:r>
        <w:t xml:space="preserve">, </w:t>
      </w:r>
      <w:r>
        <w:rPr>
          <w:rStyle w:val="name"/>
        </w:rPr>
        <w:t xml:space="preserve">Matthias </w:t>
      </w:r>
      <w:proofErr w:type="spellStart"/>
      <w:r>
        <w:rPr>
          <w:rStyle w:val="name"/>
        </w:rPr>
        <w:t>Briel</w:t>
      </w:r>
      <w:proofErr w:type="spellEnd"/>
      <w:r w:rsidR="00575BCC">
        <w:rPr>
          <w:rStyle w:val="name"/>
        </w:rPr>
        <w:t>,</w:t>
      </w:r>
      <w:r w:rsidR="00BE28E3">
        <w:rPr>
          <w:rStyle w:val="name"/>
        </w:rPr>
        <w:t xml:space="preserve"> MD</w:t>
      </w:r>
      <w:r>
        <w:rPr>
          <w:vertAlign w:val="superscript"/>
        </w:rPr>
        <w:t>2,</w:t>
      </w:r>
      <w:r w:rsidR="00822917">
        <w:rPr>
          <w:vertAlign w:val="superscript"/>
        </w:rPr>
        <w:t>6</w:t>
      </w:r>
      <w:r>
        <w:t xml:space="preserve">, </w:t>
      </w:r>
      <w:r>
        <w:rPr>
          <w:rStyle w:val="name"/>
        </w:rPr>
        <w:t>David Garcia</w:t>
      </w:r>
      <w:r w:rsidR="0006167F">
        <w:rPr>
          <w:rStyle w:val="name"/>
        </w:rPr>
        <w:t>, MD</w:t>
      </w:r>
      <w:r w:rsidR="00822917">
        <w:rPr>
          <w:vertAlign w:val="superscript"/>
        </w:rPr>
        <w:t>7</w:t>
      </w:r>
      <w:r>
        <w:t xml:space="preserve">, </w:t>
      </w:r>
      <w:r>
        <w:rPr>
          <w:rStyle w:val="name"/>
        </w:rPr>
        <w:t>Gary</w:t>
      </w:r>
      <w:r w:rsidR="00337794">
        <w:rPr>
          <w:rStyle w:val="name"/>
        </w:rPr>
        <w:t xml:space="preserve"> H.</w:t>
      </w:r>
      <w:r>
        <w:rPr>
          <w:rStyle w:val="name"/>
        </w:rPr>
        <w:t xml:space="preserve"> Lyman</w:t>
      </w:r>
      <w:r w:rsidR="0006167F">
        <w:rPr>
          <w:rStyle w:val="name"/>
        </w:rPr>
        <w:t>, MD</w:t>
      </w:r>
      <w:r w:rsidR="000134A7">
        <w:rPr>
          <w:vertAlign w:val="superscript"/>
        </w:rPr>
        <w:t>7,8</w:t>
      </w:r>
      <w:r>
        <w:t xml:space="preserve">, </w:t>
      </w:r>
      <w:r>
        <w:rPr>
          <w:rStyle w:val="name"/>
        </w:rPr>
        <w:t>Fergus Macbeth</w:t>
      </w:r>
      <w:r w:rsidR="0006167F">
        <w:rPr>
          <w:rStyle w:val="name"/>
        </w:rPr>
        <w:t>, MD</w:t>
      </w:r>
      <w:r w:rsidR="000134A7">
        <w:rPr>
          <w:rStyle w:val="name"/>
          <w:vertAlign w:val="superscript"/>
        </w:rPr>
        <w:t>9</w:t>
      </w:r>
      <w:hyperlink r:id="rId8" w:anchor="aff-10" w:history="1"/>
      <w:r>
        <w:t xml:space="preserve">, </w:t>
      </w:r>
      <w:r>
        <w:rPr>
          <w:rStyle w:val="name"/>
        </w:rPr>
        <w:t>Gareth Griffiths</w:t>
      </w:r>
      <w:r w:rsidR="00575BCC">
        <w:rPr>
          <w:rStyle w:val="name"/>
        </w:rPr>
        <w:t>, PhD</w:t>
      </w:r>
      <w:r w:rsidR="000134A7">
        <w:rPr>
          <w:rStyle w:val="name"/>
          <w:vertAlign w:val="superscript"/>
        </w:rPr>
        <w:t>9</w:t>
      </w:r>
      <w:r w:rsidR="00822917">
        <w:rPr>
          <w:rStyle w:val="name"/>
          <w:vertAlign w:val="superscript"/>
        </w:rPr>
        <w:t>,1</w:t>
      </w:r>
      <w:r w:rsidR="000134A7">
        <w:rPr>
          <w:rStyle w:val="name"/>
          <w:vertAlign w:val="superscript"/>
        </w:rPr>
        <w:t>0</w:t>
      </w:r>
      <w:hyperlink r:id="rId9" w:anchor="aff-10" w:history="1"/>
      <w:r>
        <w:t xml:space="preserve">, </w:t>
      </w:r>
      <w:r>
        <w:rPr>
          <w:rStyle w:val="name"/>
        </w:rPr>
        <w:t xml:space="preserve">Alfonso </w:t>
      </w:r>
      <w:proofErr w:type="spellStart"/>
      <w:r>
        <w:rPr>
          <w:rStyle w:val="name"/>
        </w:rPr>
        <w:t>Iorio</w:t>
      </w:r>
      <w:proofErr w:type="spellEnd"/>
      <w:r w:rsidR="00575BCC">
        <w:rPr>
          <w:rStyle w:val="name"/>
        </w:rPr>
        <w:t>, MD</w:t>
      </w:r>
      <w:r>
        <w:rPr>
          <w:rStyle w:val="xref-sep"/>
          <w:vertAlign w:val="superscript"/>
        </w:rPr>
        <w:t>2,1</w:t>
      </w:r>
      <w:r w:rsidR="000134A7">
        <w:rPr>
          <w:rStyle w:val="xref-sep"/>
          <w:vertAlign w:val="superscript"/>
        </w:rPr>
        <w:t>1</w:t>
      </w:r>
      <w:r>
        <w:t xml:space="preserve">, </w:t>
      </w:r>
      <w:r>
        <w:rPr>
          <w:rStyle w:val="name"/>
        </w:rPr>
        <w:t>Lawr</w:t>
      </w:r>
      <w:r w:rsidR="00337794">
        <w:rPr>
          <w:rStyle w:val="name"/>
        </w:rPr>
        <w:t>e</w:t>
      </w:r>
      <w:r>
        <w:rPr>
          <w:rStyle w:val="name"/>
        </w:rPr>
        <w:t xml:space="preserve">nce </w:t>
      </w:r>
      <w:proofErr w:type="spellStart"/>
      <w:r>
        <w:rPr>
          <w:rStyle w:val="name"/>
        </w:rPr>
        <w:t>Mbuagbaw</w:t>
      </w:r>
      <w:proofErr w:type="spellEnd"/>
      <w:r w:rsidR="00575BCC">
        <w:rPr>
          <w:rStyle w:val="name"/>
        </w:rPr>
        <w:t>, MD</w:t>
      </w:r>
      <w:r>
        <w:rPr>
          <w:rStyle w:val="name"/>
          <w:vertAlign w:val="superscript"/>
        </w:rPr>
        <w:t>1</w:t>
      </w:r>
      <w:r w:rsidR="00A86D62">
        <w:rPr>
          <w:rStyle w:val="name"/>
          <w:vertAlign w:val="superscript"/>
        </w:rPr>
        <w:t>2</w:t>
      </w:r>
      <w:hyperlink r:id="rId10" w:anchor="aff-16" w:history="1"/>
      <w:r>
        <w:t xml:space="preserve">, </w:t>
      </w:r>
      <w:r w:rsidRPr="00266629">
        <w:rPr>
          <w:rStyle w:val="name"/>
        </w:rPr>
        <w:t>Ignacio Neumann</w:t>
      </w:r>
      <w:r w:rsidR="005416FC">
        <w:rPr>
          <w:rStyle w:val="name"/>
        </w:rPr>
        <w:t>, MD</w:t>
      </w:r>
      <w:r>
        <w:rPr>
          <w:rStyle w:val="xref-sep"/>
          <w:vertAlign w:val="superscript"/>
        </w:rPr>
        <w:t>2,1</w:t>
      </w:r>
      <w:r w:rsidR="00A86D62">
        <w:rPr>
          <w:rStyle w:val="xref-sep"/>
          <w:vertAlign w:val="superscript"/>
        </w:rPr>
        <w:t>3</w:t>
      </w:r>
      <w:r w:rsidRPr="00266629">
        <w:t>,</w:t>
      </w:r>
      <w:r>
        <w:t xml:space="preserve"> </w:t>
      </w:r>
      <w:r>
        <w:rPr>
          <w:rStyle w:val="name"/>
        </w:rPr>
        <w:t xml:space="preserve">Jan </w:t>
      </w:r>
      <w:proofErr w:type="spellStart"/>
      <w:r>
        <w:rPr>
          <w:rStyle w:val="name"/>
        </w:rPr>
        <w:t>Brozek</w:t>
      </w:r>
      <w:proofErr w:type="spellEnd"/>
      <w:r w:rsidR="005416FC">
        <w:rPr>
          <w:rStyle w:val="name"/>
        </w:rPr>
        <w:t>, MD</w:t>
      </w:r>
      <w:r>
        <w:rPr>
          <w:vertAlign w:val="superscript"/>
        </w:rPr>
        <w:t>2</w:t>
      </w:r>
      <w:r>
        <w:t xml:space="preserve">, </w:t>
      </w:r>
      <w:r>
        <w:rPr>
          <w:rStyle w:val="name"/>
        </w:rPr>
        <w:t xml:space="preserve">Gordon </w:t>
      </w:r>
      <w:proofErr w:type="spellStart"/>
      <w:r>
        <w:rPr>
          <w:rStyle w:val="name"/>
        </w:rPr>
        <w:t>Guyatt</w:t>
      </w:r>
      <w:proofErr w:type="spellEnd"/>
      <w:r w:rsidR="005416FC">
        <w:rPr>
          <w:rStyle w:val="name"/>
        </w:rPr>
        <w:t>, MD</w:t>
      </w:r>
      <w:r>
        <w:rPr>
          <w:vertAlign w:val="superscript"/>
        </w:rPr>
        <w:t>2</w:t>
      </w:r>
      <w:r>
        <w:t xml:space="preserve">, </w:t>
      </w:r>
      <w:r>
        <w:rPr>
          <w:rStyle w:val="name"/>
        </w:rPr>
        <w:t xml:space="preserve">Michael </w:t>
      </w:r>
      <w:proofErr w:type="spellStart"/>
      <w:r>
        <w:rPr>
          <w:rStyle w:val="name"/>
        </w:rPr>
        <w:t>Streiff</w:t>
      </w:r>
      <w:proofErr w:type="spellEnd"/>
      <w:r w:rsidR="003E206A">
        <w:rPr>
          <w:rStyle w:val="name"/>
        </w:rPr>
        <w:t>, MD</w:t>
      </w:r>
      <w:r w:rsidR="00822917">
        <w:rPr>
          <w:vertAlign w:val="superscript"/>
        </w:rPr>
        <w:t>1</w:t>
      </w:r>
      <w:r w:rsidR="00A86D62">
        <w:rPr>
          <w:vertAlign w:val="superscript"/>
        </w:rPr>
        <w:t>4</w:t>
      </w:r>
      <w:r>
        <w:t xml:space="preserve">, </w:t>
      </w:r>
      <w:proofErr w:type="spellStart"/>
      <w:r>
        <w:rPr>
          <w:rStyle w:val="name"/>
        </w:rPr>
        <w:t>Tejan</w:t>
      </w:r>
      <w:proofErr w:type="spellEnd"/>
      <w:r>
        <w:rPr>
          <w:rStyle w:val="name"/>
        </w:rPr>
        <w:t xml:space="preserve"> </w:t>
      </w:r>
      <w:proofErr w:type="spellStart"/>
      <w:r>
        <w:rPr>
          <w:rStyle w:val="name"/>
        </w:rPr>
        <w:t>Baldeh</w:t>
      </w:r>
      <w:proofErr w:type="spellEnd"/>
      <w:r w:rsidR="003E206A">
        <w:rPr>
          <w:rStyle w:val="name"/>
        </w:rPr>
        <w:t>, MSc</w:t>
      </w:r>
      <w:r>
        <w:rPr>
          <w:vertAlign w:val="superscript"/>
        </w:rPr>
        <w:t>2</w:t>
      </w:r>
      <w:r>
        <w:t xml:space="preserve">, </w:t>
      </w:r>
      <w:r w:rsidRPr="00266629">
        <w:rPr>
          <w:rStyle w:val="name"/>
        </w:rPr>
        <w:t xml:space="preserve">Ivan </w:t>
      </w:r>
      <w:proofErr w:type="spellStart"/>
      <w:r w:rsidRPr="00266629">
        <w:rPr>
          <w:rStyle w:val="name"/>
        </w:rPr>
        <w:t>Florez</w:t>
      </w:r>
      <w:proofErr w:type="spellEnd"/>
      <w:r w:rsidR="008D0DC9">
        <w:rPr>
          <w:rStyle w:val="name"/>
        </w:rPr>
        <w:t>, MSc</w:t>
      </w:r>
      <w:r>
        <w:rPr>
          <w:vertAlign w:val="superscript"/>
        </w:rPr>
        <w:t>2</w:t>
      </w:r>
      <w:r w:rsidR="00822917">
        <w:rPr>
          <w:rStyle w:val="xref-sep"/>
          <w:vertAlign w:val="superscript"/>
        </w:rPr>
        <w:t>,1</w:t>
      </w:r>
      <w:r w:rsidR="00A86D62">
        <w:rPr>
          <w:rStyle w:val="xref-sep"/>
          <w:vertAlign w:val="superscript"/>
        </w:rPr>
        <w:t>5</w:t>
      </w:r>
      <w:r w:rsidRPr="00266629">
        <w:t>,</w:t>
      </w:r>
      <w:r>
        <w:t xml:space="preserve"> </w:t>
      </w:r>
      <w:proofErr w:type="spellStart"/>
      <w:r w:rsidRPr="00266629">
        <w:rPr>
          <w:rStyle w:val="name"/>
        </w:rPr>
        <w:t>Ozlem</w:t>
      </w:r>
      <w:proofErr w:type="spellEnd"/>
      <w:r w:rsidRPr="00266629">
        <w:rPr>
          <w:rStyle w:val="name"/>
        </w:rPr>
        <w:t xml:space="preserve"> </w:t>
      </w:r>
      <w:proofErr w:type="spellStart"/>
      <w:r w:rsidRPr="00266629">
        <w:rPr>
          <w:rStyle w:val="name"/>
        </w:rPr>
        <w:t>Gurunlu</w:t>
      </w:r>
      <w:proofErr w:type="spellEnd"/>
      <w:r w:rsidRPr="00266629">
        <w:rPr>
          <w:rStyle w:val="name"/>
        </w:rPr>
        <w:t xml:space="preserve"> Alma</w:t>
      </w:r>
      <w:r w:rsidR="003E206A">
        <w:rPr>
          <w:rStyle w:val="name"/>
        </w:rPr>
        <w:t>, MD</w:t>
      </w:r>
      <w:r w:rsidR="000134A7">
        <w:rPr>
          <w:rStyle w:val="name"/>
          <w:vertAlign w:val="superscript"/>
        </w:rPr>
        <w:t>1</w:t>
      </w:r>
      <w:r w:rsidR="00A86D62">
        <w:rPr>
          <w:rStyle w:val="name"/>
          <w:vertAlign w:val="superscript"/>
        </w:rPr>
        <w:t>6</w:t>
      </w:r>
      <w:hyperlink r:id="rId11" w:anchor="aff-22" w:history="1"/>
      <w:r w:rsidRPr="00266629">
        <w:t>,</w:t>
      </w:r>
      <w:r>
        <w:t xml:space="preserve"> </w:t>
      </w:r>
      <w:r w:rsidR="00412CF2">
        <w:t>Giancarlo Agnelli, MD</w:t>
      </w:r>
      <w:r w:rsidR="00A86D62">
        <w:rPr>
          <w:vertAlign w:val="superscript"/>
        </w:rPr>
        <w:t>17</w:t>
      </w:r>
      <w:r w:rsidR="00412CF2">
        <w:t>,</w:t>
      </w:r>
      <w:r w:rsidR="00412CF2">
        <w:rPr>
          <w:vertAlign w:val="superscript"/>
        </w:rPr>
        <w:t xml:space="preserve"> </w:t>
      </w:r>
      <w:r w:rsidRPr="00266629">
        <w:rPr>
          <w:rStyle w:val="name"/>
        </w:rPr>
        <w:t xml:space="preserve">Walter </w:t>
      </w:r>
      <w:proofErr w:type="spellStart"/>
      <w:r w:rsidRPr="00266629">
        <w:rPr>
          <w:rStyle w:val="name"/>
        </w:rPr>
        <w:t>Ageno</w:t>
      </w:r>
      <w:proofErr w:type="spellEnd"/>
      <w:r w:rsidR="005416FC">
        <w:rPr>
          <w:rStyle w:val="name"/>
        </w:rPr>
        <w:t>, MD</w:t>
      </w:r>
      <w:r w:rsidR="00A86D62">
        <w:rPr>
          <w:rStyle w:val="name"/>
          <w:vertAlign w:val="superscript"/>
        </w:rPr>
        <w:t>18</w:t>
      </w:r>
      <w:r w:rsidRPr="00266629">
        <w:t>,</w:t>
      </w:r>
      <w:r>
        <w:t xml:space="preserve"> </w:t>
      </w:r>
      <w:r w:rsidRPr="00266629">
        <w:rPr>
          <w:rStyle w:val="name"/>
        </w:rPr>
        <w:t xml:space="preserve">Maura </w:t>
      </w:r>
      <w:proofErr w:type="spellStart"/>
      <w:r w:rsidRPr="00266629">
        <w:rPr>
          <w:rStyle w:val="name"/>
        </w:rPr>
        <w:t>Marcucci</w:t>
      </w:r>
      <w:proofErr w:type="spellEnd"/>
      <w:r w:rsidR="003E206A">
        <w:rPr>
          <w:rStyle w:val="name"/>
        </w:rPr>
        <w:t>, MD</w:t>
      </w:r>
      <w:r>
        <w:rPr>
          <w:rStyle w:val="name"/>
          <w:vertAlign w:val="superscript"/>
        </w:rPr>
        <w:t>2</w:t>
      </w:r>
      <w:r w:rsidRPr="00266629">
        <w:t>,</w:t>
      </w:r>
      <w:r>
        <w:t xml:space="preserve"> </w:t>
      </w:r>
      <w:r>
        <w:rPr>
          <w:rStyle w:val="name"/>
        </w:rPr>
        <w:t xml:space="preserve">George </w:t>
      </w:r>
      <w:proofErr w:type="spellStart"/>
      <w:r>
        <w:rPr>
          <w:rStyle w:val="name"/>
        </w:rPr>
        <w:t>Bozas</w:t>
      </w:r>
      <w:proofErr w:type="spellEnd"/>
      <w:r w:rsidR="008D0DC9">
        <w:rPr>
          <w:rStyle w:val="name"/>
        </w:rPr>
        <w:t>, MD</w:t>
      </w:r>
      <w:r w:rsidR="00A86D62">
        <w:rPr>
          <w:vertAlign w:val="superscript"/>
        </w:rPr>
        <w:t>19</w:t>
      </w:r>
      <w:r>
        <w:t xml:space="preserve">, </w:t>
      </w:r>
      <w:r>
        <w:rPr>
          <w:rStyle w:val="name"/>
        </w:rPr>
        <w:t xml:space="preserve">Gilbert </w:t>
      </w:r>
      <w:proofErr w:type="spellStart"/>
      <w:r>
        <w:rPr>
          <w:rStyle w:val="name"/>
        </w:rPr>
        <w:t>Zulian</w:t>
      </w:r>
      <w:proofErr w:type="spellEnd"/>
      <w:r w:rsidR="008D0DC9">
        <w:rPr>
          <w:rStyle w:val="name"/>
        </w:rPr>
        <w:t>, MD</w:t>
      </w:r>
      <w:r>
        <w:rPr>
          <w:rStyle w:val="name"/>
          <w:vertAlign w:val="superscript"/>
        </w:rPr>
        <w:t>2</w:t>
      </w:r>
      <w:r w:rsidR="00A86D62">
        <w:rPr>
          <w:rStyle w:val="name"/>
          <w:vertAlign w:val="superscript"/>
        </w:rPr>
        <w:t>0</w:t>
      </w:r>
      <w:r>
        <w:t xml:space="preserve">, </w:t>
      </w:r>
      <w:r>
        <w:rPr>
          <w:rStyle w:val="name"/>
        </w:rPr>
        <w:t xml:space="preserve">Anthony </w:t>
      </w:r>
      <w:proofErr w:type="spellStart"/>
      <w:r>
        <w:rPr>
          <w:rStyle w:val="name"/>
        </w:rPr>
        <w:t>Maraveyas</w:t>
      </w:r>
      <w:proofErr w:type="spellEnd"/>
      <w:r w:rsidR="008D0DC9">
        <w:rPr>
          <w:rStyle w:val="name"/>
        </w:rPr>
        <w:t>, MD</w:t>
      </w:r>
      <w:r>
        <w:rPr>
          <w:rStyle w:val="name"/>
          <w:vertAlign w:val="superscript"/>
        </w:rPr>
        <w:t>2</w:t>
      </w:r>
      <w:r w:rsidR="00A86D62">
        <w:rPr>
          <w:rStyle w:val="name"/>
          <w:vertAlign w:val="superscript"/>
        </w:rPr>
        <w:t>1</w:t>
      </w:r>
      <w:hyperlink r:id="rId12" w:anchor="aff-28" w:history="1"/>
      <w:r>
        <w:t xml:space="preserve">, </w:t>
      </w:r>
      <w:r>
        <w:rPr>
          <w:rStyle w:val="name"/>
        </w:rPr>
        <w:t xml:space="preserve">Bernard </w:t>
      </w:r>
      <w:proofErr w:type="spellStart"/>
      <w:r>
        <w:rPr>
          <w:rStyle w:val="name"/>
        </w:rPr>
        <w:t>Lebeau</w:t>
      </w:r>
      <w:proofErr w:type="spellEnd"/>
      <w:r w:rsidR="008D0DC9">
        <w:rPr>
          <w:rStyle w:val="name"/>
        </w:rPr>
        <w:t>, MD</w:t>
      </w:r>
      <w:r>
        <w:rPr>
          <w:rStyle w:val="name"/>
          <w:vertAlign w:val="superscript"/>
        </w:rPr>
        <w:t>2</w:t>
      </w:r>
      <w:r w:rsidR="00A86D62">
        <w:rPr>
          <w:rStyle w:val="name"/>
          <w:vertAlign w:val="superscript"/>
        </w:rPr>
        <w:t>2</w:t>
      </w:r>
      <w:hyperlink r:id="rId13" w:anchor="aff-29" w:history="1"/>
      <w:r>
        <w:t>,</w:t>
      </w:r>
      <w:r w:rsidR="007676BE">
        <w:t xml:space="preserve"> Ramon Lecumberri</w:t>
      </w:r>
      <w:r w:rsidR="008D0DC9">
        <w:t>, MD</w:t>
      </w:r>
      <w:r w:rsidR="00822917" w:rsidRPr="00822917">
        <w:rPr>
          <w:vertAlign w:val="superscript"/>
        </w:rPr>
        <w:t>2</w:t>
      </w:r>
      <w:r w:rsidR="00A86D62">
        <w:rPr>
          <w:vertAlign w:val="superscript"/>
        </w:rPr>
        <w:t>3</w:t>
      </w:r>
      <w:r w:rsidR="007676BE">
        <w:t xml:space="preserve">, </w:t>
      </w:r>
      <w:proofErr w:type="spellStart"/>
      <w:r w:rsidR="00973EB3">
        <w:t>Kostandinos</w:t>
      </w:r>
      <w:proofErr w:type="spellEnd"/>
      <w:r w:rsidR="00973EB3">
        <w:t xml:space="preserve"> </w:t>
      </w:r>
      <w:proofErr w:type="spellStart"/>
      <w:r w:rsidR="00973EB3">
        <w:t>Sideras</w:t>
      </w:r>
      <w:proofErr w:type="spellEnd"/>
      <w:r w:rsidR="008D0DC9">
        <w:t>, MD</w:t>
      </w:r>
      <w:r w:rsidR="00822917">
        <w:rPr>
          <w:vertAlign w:val="superscript"/>
        </w:rPr>
        <w:t>2</w:t>
      </w:r>
      <w:r w:rsidR="00A86D62">
        <w:rPr>
          <w:vertAlign w:val="superscript"/>
        </w:rPr>
        <w:t>4</w:t>
      </w:r>
      <w:r w:rsidR="00973EB3">
        <w:t xml:space="preserve">, </w:t>
      </w:r>
      <w:r w:rsidR="007676BE">
        <w:t xml:space="preserve">Charles </w:t>
      </w:r>
      <w:proofErr w:type="spellStart"/>
      <w:r w:rsidR="007676BE">
        <w:t>Loprinzi</w:t>
      </w:r>
      <w:proofErr w:type="spellEnd"/>
      <w:r w:rsidR="008D0DC9">
        <w:t>, MD</w:t>
      </w:r>
      <w:r w:rsidR="00822917">
        <w:rPr>
          <w:vertAlign w:val="superscript"/>
        </w:rPr>
        <w:t>2</w:t>
      </w:r>
      <w:r w:rsidR="00A86D62">
        <w:rPr>
          <w:vertAlign w:val="superscript"/>
        </w:rPr>
        <w:t>4</w:t>
      </w:r>
      <w:r w:rsidR="007676BE">
        <w:t>,</w:t>
      </w:r>
      <w:r>
        <w:t xml:space="preserve"> </w:t>
      </w:r>
      <w:r>
        <w:rPr>
          <w:rStyle w:val="name"/>
        </w:rPr>
        <w:t xml:space="preserve">Robert </w:t>
      </w:r>
      <w:proofErr w:type="spellStart"/>
      <w:r>
        <w:rPr>
          <w:rStyle w:val="name"/>
        </w:rPr>
        <w:t>McBane</w:t>
      </w:r>
      <w:proofErr w:type="spellEnd"/>
      <w:r w:rsidR="008D0DC9">
        <w:rPr>
          <w:rStyle w:val="name"/>
        </w:rPr>
        <w:t>, MD</w:t>
      </w:r>
      <w:r w:rsidR="00822917">
        <w:rPr>
          <w:rStyle w:val="name"/>
          <w:vertAlign w:val="superscript"/>
        </w:rPr>
        <w:t>2</w:t>
      </w:r>
      <w:r w:rsidR="00A86D62">
        <w:rPr>
          <w:rStyle w:val="name"/>
          <w:vertAlign w:val="superscript"/>
        </w:rPr>
        <w:t>4</w:t>
      </w:r>
      <w:hyperlink r:id="rId14" w:anchor="aff-30" w:history="1"/>
      <w:r>
        <w:t xml:space="preserve">, </w:t>
      </w:r>
      <w:r>
        <w:rPr>
          <w:rStyle w:val="name"/>
        </w:rPr>
        <w:t>Uwe Pelzer</w:t>
      </w:r>
      <w:r w:rsidR="008D0DC9">
        <w:rPr>
          <w:rStyle w:val="name"/>
        </w:rPr>
        <w:t>, MD</w:t>
      </w:r>
      <w:r w:rsidR="00337794">
        <w:rPr>
          <w:rStyle w:val="name"/>
          <w:vertAlign w:val="superscript"/>
        </w:rPr>
        <w:t>2</w:t>
      </w:r>
      <w:r w:rsidR="00A86D62">
        <w:rPr>
          <w:rStyle w:val="name"/>
          <w:vertAlign w:val="superscript"/>
        </w:rPr>
        <w:t>5</w:t>
      </w:r>
      <w:r>
        <w:t xml:space="preserve">, </w:t>
      </w:r>
      <w:r w:rsidR="00412CF2">
        <w:t xml:space="preserve">Ziad </w:t>
      </w:r>
      <w:proofErr w:type="spellStart"/>
      <w:r w:rsidR="00412CF2">
        <w:t>Solh</w:t>
      </w:r>
      <w:proofErr w:type="spellEnd"/>
      <w:r w:rsidR="00821282">
        <w:t>,</w:t>
      </w:r>
      <w:r w:rsidR="00412CF2">
        <w:t xml:space="preserve"> MD</w:t>
      </w:r>
      <w:r w:rsidR="007252AD">
        <w:rPr>
          <w:vertAlign w:val="superscript"/>
        </w:rPr>
        <w:t>2</w:t>
      </w:r>
      <w:r w:rsidR="00A86D62">
        <w:rPr>
          <w:vertAlign w:val="superscript"/>
        </w:rPr>
        <w:t>6</w:t>
      </w:r>
      <w:r w:rsidR="00412CF2">
        <w:t>,</w:t>
      </w:r>
      <w:r w:rsidR="00860C8F">
        <w:t xml:space="preserve"> James Perry</w:t>
      </w:r>
      <w:r w:rsidR="008D0DC9">
        <w:t>, MD</w:t>
      </w:r>
      <w:r w:rsidR="00A86D62">
        <w:rPr>
          <w:vertAlign w:val="superscript"/>
        </w:rPr>
        <w:t>27</w:t>
      </w:r>
      <w:r w:rsidR="00860C8F">
        <w:t>,</w:t>
      </w:r>
      <w:r w:rsidR="00D02D9A">
        <w:t xml:space="preserve"> </w:t>
      </w:r>
      <w:r w:rsidR="00A86D62">
        <w:t xml:space="preserve">Lara </w:t>
      </w:r>
      <w:proofErr w:type="spellStart"/>
      <w:r w:rsidR="00A86D62">
        <w:t>Kahale</w:t>
      </w:r>
      <w:proofErr w:type="spellEnd"/>
      <w:r w:rsidR="00A86D62">
        <w:t>, MSc</w:t>
      </w:r>
      <w:r w:rsidR="00A86D62" w:rsidRPr="00F57A21">
        <w:rPr>
          <w:vertAlign w:val="superscript"/>
        </w:rPr>
        <w:t>2</w:t>
      </w:r>
      <w:r w:rsidR="00A86D62">
        <w:rPr>
          <w:vertAlign w:val="superscript"/>
        </w:rPr>
        <w:t>,28</w:t>
      </w:r>
      <w:r w:rsidR="00A86D62">
        <w:t>,</w:t>
      </w:r>
      <w:r w:rsidR="008D0DC9">
        <w:t xml:space="preserve"> </w:t>
      </w:r>
      <w:r>
        <w:t xml:space="preserve">Patrick M. </w:t>
      </w:r>
      <w:proofErr w:type="spellStart"/>
      <w:r>
        <w:t>Bossuyt</w:t>
      </w:r>
      <w:proofErr w:type="spellEnd"/>
      <w:r w:rsidR="0006167F">
        <w:t>, PhD</w:t>
      </w:r>
      <w:r w:rsidR="00A86D62">
        <w:rPr>
          <w:vertAlign w:val="superscript"/>
        </w:rPr>
        <w:t>29</w:t>
      </w:r>
      <w:r>
        <w:t>,</w:t>
      </w:r>
      <w:r w:rsidR="008B0392">
        <w:t xml:space="preserve"> Clara Klerk</w:t>
      </w:r>
      <w:r w:rsidR="0006167F">
        <w:t>, MD</w:t>
      </w:r>
      <w:r w:rsidR="008B0392" w:rsidRPr="008B0392">
        <w:rPr>
          <w:vertAlign w:val="superscript"/>
        </w:rPr>
        <w:t>3</w:t>
      </w:r>
      <w:r w:rsidR="00A86D62">
        <w:rPr>
          <w:vertAlign w:val="superscript"/>
        </w:rPr>
        <w:t>0</w:t>
      </w:r>
      <w:r w:rsidR="00A86D62">
        <w:t xml:space="preserve">, </w:t>
      </w:r>
      <w:r>
        <w:t xml:space="preserve">Harry R. </w:t>
      </w:r>
      <w:proofErr w:type="spellStart"/>
      <w:r>
        <w:t>Büller</w:t>
      </w:r>
      <w:proofErr w:type="spellEnd"/>
      <w:r w:rsidR="0006167F">
        <w:t>, MD</w:t>
      </w:r>
      <w:r w:rsidRPr="00122680">
        <w:rPr>
          <w:vertAlign w:val="superscript"/>
        </w:rPr>
        <w:t>1</w:t>
      </w:r>
      <w:r>
        <w:t xml:space="preserve">, </w:t>
      </w:r>
      <w:r w:rsidR="00575BCC">
        <w:rPr>
          <w:rStyle w:val="name"/>
        </w:rPr>
        <w:t xml:space="preserve">Elie A </w:t>
      </w:r>
      <w:proofErr w:type="spellStart"/>
      <w:r w:rsidR="00575BCC">
        <w:rPr>
          <w:rStyle w:val="name"/>
        </w:rPr>
        <w:t>Akl</w:t>
      </w:r>
      <w:proofErr w:type="spellEnd"/>
      <w:r w:rsidR="00575BCC">
        <w:rPr>
          <w:rStyle w:val="name"/>
        </w:rPr>
        <w:t>, MD</w:t>
      </w:r>
      <w:r w:rsidR="00575BCC">
        <w:rPr>
          <w:vertAlign w:val="superscript"/>
        </w:rPr>
        <w:t>2</w:t>
      </w:r>
      <w:r w:rsidR="00575BCC">
        <w:rPr>
          <w:rStyle w:val="xref-sep"/>
          <w:vertAlign w:val="superscript"/>
        </w:rPr>
        <w:t>,</w:t>
      </w:r>
      <w:r w:rsidR="00A86D62">
        <w:rPr>
          <w:rStyle w:val="xref-sep"/>
          <w:vertAlign w:val="superscript"/>
        </w:rPr>
        <w:t>28</w:t>
      </w:r>
      <w:r w:rsidR="00575BCC">
        <w:t xml:space="preserve">, </w:t>
      </w:r>
      <w:r>
        <w:t xml:space="preserve">Holger </w:t>
      </w:r>
      <w:proofErr w:type="spellStart"/>
      <w:r>
        <w:t>Schünemann</w:t>
      </w:r>
      <w:proofErr w:type="spellEnd"/>
      <w:r w:rsidR="00BE28E3">
        <w:t>, MD</w:t>
      </w:r>
      <w:r>
        <w:rPr>
          <w:vertAlign w:val="superscript"/>
        </w:rPr>
        <w:t>2</w:t>
      </w:r>
      <w:r w:rsidR="001A6B29">
        <w:rPr>
          <w:vertAlign w:val="superscript"/>
        </w:rPr>
        <w:t xml:space="preserve"> </w:t>
      </w:r>
      <w:r w:rsidR="001A6B29">
        <w:t>and the IPDMA heparin use in cancer patients research group</w:t>
      </w:r>
    </w:p>
    <w:p w14:paraId="1472C16A" w14:textId="77777777" w:rsidR="00211CBA" w:rsidRPr="001A6B29" w:rsidRDefault="00211CBA" w:rsidP="007770B2"/>
    <w:p w14:paraId="0D90FAF1" w14:textId="135FCBAE" w:rsidR="007770B2" w:rsidRPr="007770B2" w:rsidRDefault="00484C64" w:rsidP="007770B2">
      <w:pPr>
        <w:pStyle w:val="ListParagraph"/>
        <w:numPr>
          <w:ilvl w:val="0"/>
          <w:numId w:val="7"/>
        </w:numPr>
        <w:spacing w:line="240" w:lineRule="auto"/>
        <w:ind w:left="714" w:hanging="357"/>
        <w:rPr>
          <w:rFonts w:asciiTheme="minorHAnsi" w:hAnsiTheme="minorHAnsi" w:cstheme="minorHAnsi"/>
          <w:b/>
          <w:szCs w:val="22"/>
        </w:rPr>
      </w:pPr>
      <w:r>
        <w:rPr>
          <w:rFonts w:asciiTheme="minorHAnsi" w:hAnsiTheme="minorHAnsi" w:cstheme="minorHAnsi"/>
          <w:szCs w:val="22"/>
        </w:rPr>
        <w:t>Amsterdam University</w:t>
      </w:r>
      <w:r w:rsidR="007770B2" w:rsidRPr="007770B2">
        <w:rPr>
          <w:rFonts w:asciiTheme="minorHAnsi" w:hAnsiTheme="minorHAnsi" w:cstheme="minorHAnsi"/>
          <w:szCs w:val="22"/>
        </w:rPr>
        <w:t xml:space="preserve"> Medical Center,</w:t>
      </w:r>
      <w:r w:rsidR="00197CB6" w:rsidRPr="00197CB6">
        <w:rPr>
          <w:rFonts w:asciiTheme="minorHAnsi" w:hAnsiTheme="minorHAnsi" w:cstheme="minorHAnsi"/>
          <w:szCs w:val="22"/>
        </w:rPr>
        <w:t xml:space="preserve"> </w:t>
      </w:r>
      <w:r w:rsidR="00197CB6" w:rsidRPr="007770B2">
        <w:rPr>
          <w:rFonts w:asciiTheme="minorHAnsi" w:hAnsiTheme="minorHAnsi" w:cstheme="minorHAnsi"/>
          <w:szCs w:val="22"/>
        </w:rPr>
        <w:t>D</w:t>
      </w:r>
      <w:r w:rsidR="00197CB6">
        <w:rPr>
          <w:rFonts w:asciiTheme="minorHAnsi" w:hAnsiTheme="minorHAnsi" w:cstheme="minorHAnsi"/>
          <w:szCs w:val="22"/>
        </w:rPr>
        <w:t>epartment of Vascular Medicine,</w:t>
      </w:r>
      <w:r w:rsidR="007770B2" w:rsidRPr="007770B2">
        <w:rPr>
          <w:rFonts w:asciiTheme="minorHAnsi" w:hAnsiTheme="minorHAnsi" w:cstheme="minorHAnsi"/>
          <w:szCs w:val="22"/>
        </w:rPr>
        <w:t xml:space="preserve"> </w:t>
      </w:r>
      <w:proofErr w:type="spellStart"/>
      <w:r>
        <w:rPr>
          <w:rFonts w:asciiTheme="minorHAnsi" w:hAnsiTheme="minorHAnsi" w:cstheme="minorHAnsi"/>
          <w:szCs w:val="22"/>
        </w:rPr>
        <w:t>Meibergdreef</w:t>
      </w:r>
      <w:proofErr w:type="spellEnd"/>
      <w:r>
        <w:rPr>
          <w:rFonts w:asciiTheme="minorHAnsi" w:hAnsiTheme="minorHAnsi" w:cstheme="minorHAnsi"/>
          <w:szCs w:val="22"/>
        </w:rPr>
        <w:t xml:space="preserve"> 9, 1105 AZ, </w:t>
      </w:r>
      <w:r w:rsidR="007770B2" w:rsidRPr="007770B2">
        <w:rPr>
          <w:rFonts w:asciiTheme="minorHAnsi" w:hAnsiTheme="minorHAnsi" w:cstheme="minorHAnsi"/>
          <w:szCs w:val="22"/>
        </w:rPr>
        <w:t>Amsterdam, The Netherlands</w:t>
      </w:r>
    </w:p>
    <w:p w14:paraId="0DF79FBC" w14:textId="77777777" w:rsidR="007770B2" w:rsidRPr="007770B2" w:rsidRDefault="007770B2" w:rsidP="007770B2">
      <w:pPr>
        <w:pStyle w:val="ListParagraph"/>
        <w:numPr>
          <w:ilvl w:val="0"/>
          <w:numId w:val="7"/>
        </w:numPr>
        <w:spacing w:line="240" w:lineRule="auto"/>
        <w:ind w:left="714" w:hanging="357"/>
        <w:rPr>
          <w:rFonts w:asciiTheme="minorHAnsi" w:hAnsiTheme="minorHAnsi" w:cstheme="minorHAnsi"/>
          <w:szCs w:val="22"/>
        </w:rPr>
      </w:pPr>
      <w:r w:rsidRPr="007770B2">
        <w:rPr>
          <w:rFonts w:asciiTheme="minorHAnsi" w:hAnsiTheme="minorHAnsi" w:cstheme="minorHAnsi"/>
          <w:szCs w:val="22"/>
        </w:rPr>
        <w:t>Department of Health Research Methods, Evidence and Impact, Faculty of Health Sciences, McMaster University, Hamilton, Canada</w:t>
      </w:r>
    </w:p>
    <w:p w14:paraId="6FB79AE7" w14:textId="77777777" w:rsidR="007770B2" w:rsidRPr="007770B2" w:rsidRDefault="007770B2" w:rsidP="007770B2">
      <w:pPr>
        <w:pStyle w:val="ListParagraph"/>
        <w:numPr>
          <w:ilvl w:val="0"/>
          <w:numId w:val="7"/>
        </w:numPr>
        <w:spacing w:line="240" w:lineRule="auto"/>
        <w:ind w:left="714" w:hanging="357"/>
        <w:rPr>
          <w:rFonts w:asciiTheme="minorHAnsi" w:hAnsiTheme="minorHAnsi" w:cstheme="minorHAnsi"/>
          <w:szCs w:val="22"/>
        </w:rPr>
      </w:pPr>
      <w:r w:rsidRPr="007770B2">
        <w:rPr>
          <w:rFonts w:asciiTheme="minorHAnsi" w:hAnsiTheme="minorHAnsi" w:cstheme="minorHAnsi"/>
          <w:szCs w:val="22"/>
        </w:rPr>
        <w:t>Department of Medicine and Ageing Sciences, University G. D’Annunzio, Chieti-Pescara, Italy</w:t>
      </w:r>
    </w:p>
    <w:p w14:paraId="71BE852E" w14:textId="77777777" w:rsidR="007770B2" w:rsidRPr="007770B2" w:rsidRDefault="007770B2" w:rsidP="007676BE">
      <w:pPr>
        <w:pStyle w:val="HTMLAddress"/>
        <w:numPr>
          <w:ilvl w:val="0"/>
          <w:numId w:val="7"/>
        </w:numPr>
        <w:ind w:left="714" w:hanging="357"/>
        <w:rPr>
          <w:rFonts w:asciiTheme="minorHAnsi" w:hAnsiTheme="minorHAnsi" w:cstheme="minorHAnsi"/>
          <w:i w:val="0"/>
          <w:sz w:val="20"/>
          <w:szCs w:val="22"/>
        </w:rPr>
      </w:pPr>
      <w:bookmarkStart w:id="1" w:name="aff-9"/>
      <w:bookmarkEnd w:id="1"/>
      <w:r w:rsidRPr="007770B2">
        <w:rPr>
          <w:rStyle w:val="institution"/>
          <w:rFonts w:asciiTheme="minorHAnsi" w:hAnsiTheme="minorHAnsi" w:cstheme="minorHAnsi"/>
          <w:i w:val="0"/>
          <w:sz w:val="22"/>
        </w:rPr>
        <w:t>Marie Curie Palliative Care Research Centre, Cardiff University</w:t>
      </w:r>
      <w:r w:rsidRPr="007770B2">
        <w:rPr>
          <w:rFonts w:asciiTheme="minorHAnsi" w:hAnsiTheme="minorHAnsi" w:cstheme="minorHAnsi"/>
          <w:i w:val="0"/>
          <w:sz w:val="22"/>
        </w:rPr>
        <w:t xml:space="preserve">, </w:t>
      </w:r>
      <w:r w:rsidRPr="007770B2">
        <w:rPr>
          <w:rStyle w:val="addr-line"/>
          <w:rFonts w:asciiTheme="minorHAnsi" w:eastAsia="SimSun" w:hAnsiTheme="minorHAnsi" w:cstheme="minorHAnsi"/>
          <w:i w:val="0"/>
          <w:sz w:val="22"/>
        </w:rPr>
        <w:t>Wales</w:t>
      </w:r>
      <w:r w:rsidRPr="007770B2">
        <w:rPr>
          <w:rFonts w:asciiTheme="minorHAnsi" w:hAnsiTheme="minorHAnsi" w:cstheme="minorHAnsi"/>
          <w:i w:val="0"/>
          <w:sz w:val="22"/>
        </w:rPr>
        <w:t>, UK</w:t>
      </w:r>
    </w:p>
    <w:p w14:paraId="350819E4" w14:textId="1AB3F647" w:rsidR="007770B2" w:rsidRPr="007770B2" w:rsidRDefault="003630E0" w:rsidP="007770B2">
      <w:pPr>
        <w:pStyle w:val="ListParagraph"/>
        <w:numPr>
          <w:ilvl w:val="0"/>
          <w:numId w:val="7"/>
        </w:numPr>
        <w:spacing w:line="240" w:lineRule="auto"/>
        <w:ind w:left="714" w:hanging="357"/>
        <w:rPr>
          <w:rFonts w:asciiTheme="minorHAnsi" w:hAnsiTheme="minorHAnsi" w:cstheme="minorHAnsi"/>
          <w:szCs w:val="22"/>
        </w:rPr>
      </w:pPr>
      <w:r w:rsidRPr="003630E0">
        <w:rPr>
          <w:rStyle w:val="addr-line"/>
          <w:rFonts w:asciiTheme="minorHAnsi" w:hAnsiTheme="minorHAnsi" w:cstheme="minorHAnsi"/>
          <w:szCs w:val="22"/>
        </w:rPr>
        <w:t>Department of Medicine, McMaster University, Hamilton, Ontario, Canada</w:t>
      </w:r>
    </w:p>
    <w:p w14:paraId="12D61420" w14:textId="77777777" w:rsidR="007770B2" w:rsidRPr="007770B2" w:rsidRDefault="007770B2" w:rsidP="007770B2">
      <w:pPr>
        <w:pStyle w:val="ListParagraph"/>
        <w:numPr>
          <w:ilvl w:val="0"/>
          <w:numId w:val="7"/>
        </w:numPr>
        <w:spacing w:line="240" w:lineRule="auto"/>
        <w:ind w:left="714" w:hanging="357"/>
        <w:rPr>
          <w:rFonts w:asciiTheme="minorHAnsi" w:eastAsia="Times New Roman" w:hAnsiTheme="minorHAnsi" w:cstheme="minorHAnsi"/>
          <w:iCs/>
          <w:szCs w:val="22"/>
          <w:lang w:val="en-CA" w:eastAsia="en-CA"/>
        </w:rPr>
      </w:pPr>
      <w:bookmarkStart w:id="2" w:name="aff-5"/>
      <w:bookmarkEnd w:id="2"/>
      <w:r w:rsidRPr="007770B2">
        <w:rPr>
          <w:rFonts w:asciiTheme="minorHAnsi" w:eastAsia="Times New Roman" w:hAnsiTheme="minorHAnsi" w:cstheme="minorHAnsi"/>
          <w:iCs/>
          <w:szCs w:val="22"/>
          <w:lang w:val="en-CA" w:eastAsia="en-CA"/>
        </w:rPr>
        <w:t>Basel Institute for Clinical Epidemiology and Biostatistics, University Hospital Basel CH, Basel, Switzerland</w:t>
      </w:r>
    </w:p>
    <w:p w14:paraId="39CED05D" w14:textId="77777777" w:rsidR="007770B2" w:rsidRPr="007770B2" w:rsidRDefault="000134A7" w:rsidP="007770B2">
      <w:pPr>
        <w:pStyle w:val="HTMLAddress"/>
        <w:numPr>
          <w:ilvl w:val="0"/>
          <w:numId w:val="7"/>
        </w:numPr>
        <w:ind w:left="714" w:hanging="357"/>
        <w:rPr>
          <w:rFonts w:asciiTheme="minorHAnsi" w:hAnsiTheme="minorHAnsi" w:cstheme="minorHAnsi"/>
          <w:i w:val="0"/>
          <w:sz w:val="22"/>
          <w:szCs w:val="22"/>
        </w:rPr>
      </w:pPr>
      <w:bookmarkStart w:id="3" w:name="aff-6"/>
      <w:bookmarkEnd w:id="3"/>
      <w:r w:rsidRPr="007770B2">
        <w:rPr>
          <w:rStyle w:val="addr-line"/>
          <w:rFonts w:asciiTheme="minorHAnsi" w:eastAsia="SimSun" w:hAnsiTheme="minorHAnsi" w:cstheme="minorHAnsi"/>
          <w:i w:val="0"/>
          <w:sz w:val="22"/>
          <w:szCs w:val="22"/>
        </w:rPr>
        <w:t>Department of Medicine</w:t>
      </w:r>
      <w:r w:rsidRPr="007770B2">
        <w:rPr>
          <w:rFonts w:asciiTheme="minorHAnsi" w:hAnsiTheme="minorHAnsi" w:cstheme="minorHAnsi"/>
          <w:i w:val="0"/>
          <w:sz w:val="22"/>
          <w:szCs w:val="22"/>
        </w:rPr>
        <w:t xml:space="preserve">, </w:t>
      </w:r>
      <w:r w:rsidR="007770B2" w:rsidRPr="007770B2">
        <w:rPr>
          <w:rStyle w:val="institution"/>
          <w:rFonts w:asciiTheme="minorHAnsi" w:hAnsiTheme="minorHAnsi" w:cstheme="minorHAnsi"/>
          <w:i w:val="0"/>
          <w:sz w:val="22"/>
          <w:szCs w:val="22"/>
        </w:rPr>
        <w:t>University of Washington School of Medicine</w:t>
      </w:r>
      <w:r w:rsidR="007770B2" w:rsidRPr="007770B2">
        <w:rPr>
          <w:rFonts w:asciiTheme="minorHAnsi" w:hAnsiTheme="minorHAnsi" w:cstheme="minorHAnsi"/>
          <w:i w:val="0"/>
          <w:sz w:val="22"/>
          <w:szCs w:val="22"/>
        </w:rPr>
        <w:t xml:space="preserve">, </w:t>
      </w:r>
      <w:r w:rsidR="007770B2" w:rsidRPr="007770B2">
        <w:rPr>
          <w:rStyle w:val="addr-line"/>
          <w:rFonts w:asciiTheme="minorHAnsi" w:eastAsia="SimSun" w:hAnsiTheme="minorHAnsi" w:cstheme="minorHAnsi"/>
          <w:i w:val="0"/>
          <w:sz w:val="22"/>
          <w:szCs w:val="22"/>
        </w:rPr>
        <w:t>Seattle, Washington</w:t>
      </w:r>
      <w:r w:rsidR="007770B2" w:rsidRPr="007770B2">
        <w:rPr>
          <w:rFonts w:asciiTheme="minorHAnsi" w:hAnsiTheme="minorHAnsi" w:cstheme="minorHAnsi"/>
          <w:i w:val="0"/>
          <w:sz w:val="22"/>
          <w:szCs w:val="22"/>
        </w:rPr>
        <w:t>, USA</w:t>
      </w:r>
    </w:p>
    <w:p w14:paraId="4E1C573A"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r w:rsidRPr="007770B2">
        <w:rPr>
          <w:rStyle w:val="institution"/>
          <w:rFonts w:asciiTheme="minorHAnsi" w:hAnsiTheme="minorHAnsi" w:cstheme="minorHAnsi"/>
          <w:i w:val="0"/>
          <w:sz w:val="22"/>
          <w:szCs w:val="22"/>
        </w:rPr>
        <w:t>Hutchinson Institute for Cancer Outcomes Research, Fred Hutchinson Cancer Research Center</w:t>
      </w:r>
      <w:r w:rsidRPr="007770B2">
        <w:rPr>
          <w:rFonts w:asciiTheme="minorHAnsi" w:hAnsiTheme="minorHAnsi" w:cstheme="minorHAnsi"/>
          <w:i w:val="0"/>
          <w:sz w:val="22"/>
          <w:szCs w:val="22"/>
        </w:rPr>
        <w:t xml:space="preserve">, </w:t>
      </w:r>
      <w:r w:rsidRPr="007770B2">
        <w:rPr>
          <w:rStyle w:val="addr-line"/>
          <w:rFonts w:asciiTheme="minorHAnsi" w:eastAsia="SimSun" w:hAnsiTheme="minorHAnsi" w:cstheme="minorHAnsi"/>
          <w:i w:val="0"/>
          <w:sz w:val="22"/>
          <w:szCs w:val="22"/>
        </w:rPr>
        <w:t>Seattle, Washington</w:t>
      </w:r>
      <w:r w:rsidRPr="007770B2">
        <w:rPr>
          <w:rFonts w:asciiTheme="minorHAnsi" w:hAnsiTheme="minorHAnsi" w:cstheme="minorHAnsi"/>
          <w:i w:val="0"/>
          <w:sz w:val="22"/>
          <w:szCs w:val="22"/>
        </w:rPr>
        <w:t>, USA</w:t>
      </w:r>
    </w:p>
    <w:p w14:paraId="304B24F0"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4" w:name="aff-8"/>
      <w:bookmarkStart w:id="5" w:name="aff-10"/>
      <w:bookmarkEnd w:id="4"/>
      <w:bookmarkEnd w:id="5"/>
      <w:r w:rsidRPr="007770B2">
        <w:rPr>
          <w:rStyle w:val="addr-line"/>
          <w:rFonts w:asciiTheme="minorHAnsi" w:hAnsiTheme="minorHAnsi" w:cstheme="minorHAnsi"/>
          <w:i w:val="0"/>
          <w:sz w:val="22"/>
          <w:szCs w:val="22"/>
        </w:rPr>
        <w:t>Wales Cancer Trials Unit</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School of Medicine, Cardiff University</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Wales</w:t>
      </w:r>
      <w:r w:rsidRPr="007770B2">
        <w:rPr>
          <w:rFonts w:asciiTheme="minorHAnsi" w:hAnsiTheme="minorHAnsi" w:cstheme="minorHAnsi"/>
          <w:i w:val="0"/>
          <w:sz w:val="22"/>
          <w:szCs w:val="22"/>
        </w:rPr>
        <w:t>, UK</w:t>
      </w:r>
    </w:p>
    <w:p w14:paraId="4DD4CEFF"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6" w:name="aff-11"/>
      <w:bookmarkEnd w:id="6"/>
      <w:r w:rsidRPr="007770B2">
        <w:rPr>
          <w:rStyle w:val="addr-line"/>
          <w:rFonts w:asciiTheme="minorHAnsi" w:hAnsiTheme="minorHAnsi" w:cstheme="minorHAnsi"/>
          <w:i w:val="0"/>
          <w:sz w:val="22"/>
          <w:szCs w:val="22"/>
        </w:rPr>
        <w:t>Faculty of Medicine</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University of Southampton, Southampton General Hospital</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Southampton</w:t>
      </w:r>
      <w:r w:rsidRPr="007770B2">
        <w:rPr>
          <w:rFonts w:asciiTheme="minorHAnsi" w:hAnsiTheme="minorHAnsi" w:cstheme="minorHAnsi"/>
          <w:i w:val="0"/>
          <w:sz w:val="22"/>
          <w:szCs w:val="22"/>
        </w:rPr>
        <w:t>, UK</w:t>
      </w:r>
    </w:p>
    <w:p w14:paraId="7815F53C"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7" w:name="aff-14"/>
      <w:bookmarkEnd w:id="7"/>
      <w:r w:rsidRPr="007770B2">
        <w:rPr>
          <w:rStyle w:val="addr-line"/>
          <w:rFonts w:asciiTheme="minorHAnsi" w:hAnsiTheme="minorHAnsi" w:cstheme="minorHAnsi"/>
          <w:i w:val="0"/>
          <w:sz w:val="22"/>
          <w:szCs w:val="22"/>
        </w:rPr>
        <w:t>Division of Hematology, Department of Medicine, Hamilton, Ontario</w:t>
      </w:r>
      <w:r w:rsidRPr="007770B2">
        <w:rPr>
          <w:rFonts w:asciiTheme="minorHAnsi" w:hAnsiTheme="minorHAnsi" w:cstheme="minorHAnsi"/>
          <w:i w:val="0"/>
          <w:sz w:val="22"/>
          <w:szCs w:val="22"/>
        </w:rPr>
        <w:t>, Canada</w:t>
      </w:r>
    </w:p>
    <w:p w14:paraId="7D641132"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8" w:name="aff-15"/>
      <w:bookmarkStart w:id="9" w:name="aff-16"/>
      <w:bookmarkEnd w:id="8"/>
      <w:bookmarkEnd w:id="9"/>
      <w:r w:rsidRPr="007770B2">
        <w:rPr>
          <w:rStyle w:val="addr-line"/>
          <w:rFonts w:asciiTheme="minorHAnsi" w:hAnsiTheme="minorHAnsi" w:cstheme="minorHAnsi"/>
          <w:i w:val="0"/>
          <w:sz w:val="22"/>
          <w:szCs w:val="22"/>
        </w:rPr>
        <w:t>Biostatistics Unit</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Father Sean O'Sullivan Research Centre, St Joseph's Healthcare</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Hamilton, Ontario</w:t>
      </w:r>
      <w:r w:rsidRPr="007770B2">
        <w:rPr>
          <w:rFonts w:asciiTheme="minorHAnsi" w:hAnsiTheme="minorHAnsi" w:cstheme="minorHAnsi"/>
          <w:i w:val="0"/>
          <w:sz w:val="22"/>
          <w:szCs w:val="22"/>
        </w:rPr>
        <w:t>, Canada</w:t>
      </w:r>
    </w:p>
    <w:p w14:paraId="02F4A3E1"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10" w:name="aff-17"/>
      <w:bookmarkEnd w:id="10"/>
      <w:r w:rsidRPr="007770B2">
        <w:rPr>
          <w:rStyle w:val="addr-line"/>
          <w:rFonts w:asciiTheme="minorHAnsi" w:hAnsiTheme="minorHAnsi" w:cstheme="minorHAnsi"/>
          <w:i w:val="0"/>
          <w:sz w:val="22"/>
          <w:szCs w:val="22"/>
        </w:rPr>
        <w:t>Department of Internal Medicine</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 xml:space="preserve">School of Medicine, Pontificia Universidad </w:t>
      </w:r>
      <w:proofErr w:type="spellStart"/>
      <w:r w:rsidRPr="007770B2">
        <w:rPr>
          <w:rStyle w:val="institution"/>
          <w:rFonts w:asciiTheme="minorHAnsi" w:eastAsia="SimSun" w:hAnsiTheme="minorHAnsi" w:cstheme="minorHAnsi"/>
          <w:i w:val="0"/>
          <w:sz w:val="22"/>
          <w:szCs w:val="22"/>
        </w:rPr>
        <w:t>Católica</w:t>
      </w:r>
      <w:proofErr w:type="spellEnd"/>
      <w:r w:rsidRPr="007770B2">
        <w:rPr>
          <w:rStyle w:val="institution"/>
          <w:rFonts w:asciiTheme="minorHAnsi" w:eastAsia="SimSun" w:hAnsiTheme="minorHAnsi" w:cstheme="minorHAnsi"/>
          <w:i w:val="0"/>
          <w:sz w:val="22"/>
          <w:szCs w:val="22"/>
        </w:rPr>
        <w:t xml:space="preserve"> de Chile</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Santiago</w:t>
      </w:r>
      <w:r w:rsidRPr="007770B2">
        <w:rPr>
          <w:rFonts w:asciiTheme="minorHAnsi" w:hAnsiTheme="minorHAnsi" w:cstheme="minorHAnsi"/>
          <w:i w:val="0"/>
          <w:sz w:val="22"/>
          <w:szCs w:val="22"/>
        </w:rPr>
        <w:t>, Chile</w:t>
      </w:r>
    </w:p>
    <w:p w14:paraId="55C73121"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11" w:name="aff-18"/>
      <w:bookmarkStart w:id="12" w:name="aff-20"/>
      <w:bookmarkEnd w:id="11"/>
      <w:bookmarkEnd w:id="12"/>
      <w:r w:rsidRPr="007770B2">
        <w:rPr>
          <w:rStyle w:val="addr-line"/>
          <w:rFonts w:asciiTheme="minorHAnsi" w:hAnsiTheme="minorHAnsi" w:cstheme="minorHAnsi"/>
          <w:i w:val="0"/>
          <w:sz w:val="22"/>
          <w:szCs w:val="22"/>
        </w:rPr>
        <w:t>Department of Hematology</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The Johns Hopkins University School of Medicine</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Baltimore, Maryland</w:t>
      </w:r>
      <w:r w:rsidRPr="007770B2">
        <w:rPr>
          <w:rFonts w:asciiTheme="minorHAnsi" w:hAnsiTheme="minorHAnsi" w:cstheme="minorHAnsi"/>
          <w:i w:val="0"/>
          <w:sz w:val="22"/>
          <w:szCs w:val="22"/>
        </w:rPr>
        <w:t>, USA</w:t>
      </w:r>
    </w:p>
    <w:p w14:paraId="55B48FE9"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13" w:name="aff-21"/>
      <w:bookmarkEnd w:id="13"/>
      <w:r w:rsidRPr="007770B2">
        <w:rPr>
          <w:rStyle w:val="addr-line"/>
          <w:rFonts w:asciiTheme="minorHAnsi" w:hAnsiTheme="minorHAnsi" w:cstheme="minorHAnsi"/>
          <w:i w:val="0"/>
          <w:sz w:val="22"/>
          <w:szCs w:val="22"/>
        </w:rPr>
        <w:t>Department of Paediatrics</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Universidad de Antioquia</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Medellin</w:t>
      </w:r>
      <w:r w:rsidRPr="007770B2">
        <w:rPr>
          <w:rFonts w:asciiTheme="minorHAnsi" w:hAnsiTheme="minorHAnsi" w:cstheme="minorHAnsi"/>
          <w:i w:val="0"/>
          <w:sz w:val="22"/>
          <w:szCs w:val="22"/>
        </w:rPr>
        <w:t>, Colombia</w:t>
      </w:r>
    </w:p>
    <w:p w14:paraId="0B01BE15"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14" w:name="aff-22"/>
      <w:bookmarkEnd w:id="14"/>
      <w:r w:rsidRPr="007770B2">
        <w:rPr>
          <w:rStyle w:val="addr-line"/>
          <w:rFonts w:asciiTheme="minorHAnsi" w:hAnsiTheme="minorHAnsi" w:cstheme="minorHAnsi"/>
          <w:i w:val="0"/>
          <w:sz w:val="22"/>
          <w:szCs w:val="22"/>
        </w:rPr>
        <w:t>Department of Statistics</w:t>
      </w:r>
      <w:r w:rsidRPr="007770B2">
        <w:rPr>
          <w:rFonts w:asciiTheme="minorHAnsi" w:hAnsiTheme="minorHAnsi" w:cstheme="minorHAnsi"/>
          <w:i w:val="0"/>
          <w:sz w:val="22"/>
          <w:szCs w:val="22"/>
        </w:rPr>
        <w:t xml:space="preserve">, </w:t>
      </w:r>
      <w:proofErr w:type="spellStart"/>
      <w:r w:rsidRPr="007770B2">
        <w:rPr>
          <w:rStyle w:val="institution"/>
          <w:rFonts w:asciiTheme="minorHAnsi" w:eastAsia="SimSun" w:hAnsiTheme="minorHAnsi" w:cstheme="minorHAnsi"/>
          <w:i w:val="0"/>
          <w:sz w:val="22"/>
          <w:szCs w:val="22"/>
        </w:rPr>
        <w:t>Mugla</w:t>
      </w:r>
      <w:proofErr w:type="spellEnd"/>
      <w:r w:rsidRPr="007770B2">
        <w:rPr>
          <w:rStyle w:val="institution"/>
          <w:rFonts w:asciiTheme="minorHAnsi" w:eastAsia="SimSun" w:hAnsiTheme="minorHAnsi" w:cstheme="minorHAnsi"/>
          <w:i w:val="0"/>
          <w:sz w:val="22"/>
          <w:szCs w:val="22"/>
        </w:rPr>
        <w:t xml:space="preserve"> S </w:t>
      </w:r>
      <w:proofErr w:type="spellStart"/>
      <w:r w:rsidRPr="007770B2">
        <w:rPr>
          <w:rStyle w:val="institution"/>
          <w:rFonts w:asciiTheme="minorHAnsi" w:eastAsia="SimSun" w:hAnsiTheme="minorHAnsi" w:cstheme="minorHAnsi"/>
          <w:i w:val="0"/>
          <w:sz w:val="22"/>
          <w:szCs w:val="22"/>
        </w:rPr>
        <w:t>tk</w:t>
      </w:r>
      <w:proofErr w:type="spellEnd"/>
      <w:r w:rsidRPr="007770B2">
        <w:rPr>
          <w:rStyle w:val="institution"/>
          <w:rFonts w:asciiTheme="minorHAnsi" w:eastAsia="SimSun" w:hAnsiTheme="minorHAnsi" w:cstheme="minorHAnsi"/>
          <w:i w:val="0"/>
          <w:sz w:val="22"/>
          <w:szCs w:val="22"/>
        </w:rPr>
        <w:t xml:space="preserve"> </w:t>
      </w:r>
      <w:proofErr w:type="spellStart"/>
      <w:r w:rsidRPr="007770B2">
        <w:rPr>
          <w:rStyle w:val="institution"/>
          <w:rFonts w:asciiTheme="minorHAnsi" w:eastAsia="SimSun" w:hAnsiTheme="minorHAnsi" w:cstheme="minorHAnsi"/>
          <w:i w:val="0"/>
          <w:sz w:val="22"/>
          <w:szCs w:val="22"/>
        </w:rPr>
        <w:t>Kocman</w:t>
      </w:r>
      <w:proofErr w:type="spellEnd"/>
      <w:r w:rsidRPr="007770B2">
        <w:rPr>
          <w:rStyle w:val="institution"/>
          <w:rFonts w:asciiTheme="minorHAnsi" w:eastAsia="SimSun" w:hAnsiTheme="minorHAnsi" w:cstheme="minorHAnsi"/>
          <w:i w:val="0"/>
          <w:sz w:val="22"/>
          <w:szCs w:val="22"/>
        </w:rPr>
        <w:t xml:space="preserve"> </w:t>
      </w:r>
      <w:proofErr w:type="spellStart"/>
      <w:r w:rsidRPr="007770B2">
        <w:rPr>
          <w:rStyle w:val="institution"/>
          <w:rFonts w:asciiTheme="minorHAnsi" w:eastAsia="SimSun" w:hAnsiTheme="minorHAnsi" w:cstheme="minorHAnsi"/>
          <w:i w:val="0"/>
          <w:sz w:val="22"/>
          <w:szCs w:val="22"/>
        </w:rPr>
        <w:t>Unv</w:t>
      </w:r>
      <w:proofErr w:type="spellEnd"/>
      <w:r w:rsidRPr="007770B2">
        <w:rPr>
          <w:rFonts w:asciiTheme="minorHAnsi" w:hAnsiTheme="minorHAnsi" w:cstheme="minorHAnsi"/>
          <w:i w:val="0"/>
          <w:sz w:val="22"/>
          <w:szCs w:val="22"/>
        </w:rPr>
        <w:t xml:space="preserve">, </w:t>
      </w:r>
      <w:proofErr w:type="spellStart"/>
      <w:r w:rsidRPr="007770B2">
        <w:rPr>
          <w:rStyle w:val="addr-line"/>
          <w:rFonts w:asciiTheme="minorHAnsi" w:hAnsiTheme="minorHAnsi" w:cstheme="minorHAnsi"/>
          <w:i w:val="0"/>
          <w:sz w:val="22"/>
          <w:szCs w:val="22"/>
        </w:rPr>
        <w:t>Mugla</w:t>
      </w:r>
      <w:proofErr w:type="spellEnd"/>
      <w:r w:rsidRPr="007770B2">
        <w:rPr>
          <w:rFonts w:asciiTheme="minorHAnsi" w:hAnsiTheme="minorHAnsi" w:cstheme="minorHAnsi"/>
          <w:i w:val="0"/>
          <w:sz w:val="22"/>
          <w:szCs w:val="22"/>
        </w:rPr>
        <w:t>, Turkey</w:t>
      </w:r>
    </w:p>
    <w:p w14:paraId="5CE5D656" w14:textId="62AB88F5" w:rsidR="007770B2" w:rsidRPr="007770B2" w:rsidRDefault="00412CF2" w:rsidP="007770B2">
      <w:pPr>
        <w:pStyle w:val="HTMLAddress"/>
        <w:numPr>
          <w:ilvl w:val="0"/>
          <w:numId w:val="7"/>
        </w:numPr>
        <w:ind w:left="714" w:hanging="357"/>
        <w:rPr>
          <w:rFonts w:asciiTheme="minorHAnsi" w:hAnsiTheme="minorHAnsi" w:cstheme="minorHAnsi"/>
          <w:i w:val="0"/>
          <w:sz w:val="22"/>
          <w:szCs w:val="22"/>
        </w:rPr>
      </w:pPr>
      <w:bookmarkStart w:id="15" w:name="aff-23"/>
      <w:bookmarkEnd w:id="15"/>
      <w:r>
        <w:rPr>
          <w:rStyle w:val="addr-line"/>
          <w:rFonts w:asciiTheme="minorHAnsi" w:hAnsiTheme="minorHAnsi" w:cstheme="minorHAnsi"/>
          <w:i w:val="0"/>
          <w:sz w:val="22"/>
          <w:szCs w:val="22"/>
        </w:rPr>
        <w:t xml:space="preserve">Internal Vascular and Emergency Medicine-Stroke Unit, </w:t>
      </w:r>
      <w:proofErr w:type="spellStart"/>
      <w:r>
        <w:rPr>
          <w:rStyle w:val="addr-line"/>
          <w:rFonts w:asciiTheme="minorHAnsi" w:hAnsiTheme="minorHAnsi" w:cstheme="minorHAnsi"/>
          <w:i w:val="0"/>
          <w:sz w:val="22"/>
          <w:szCs w:val="22"/>
        </w:rPr>
        <w:t>Universit</w:t>
      </w:r>
      <w:r w:rsidRPr="00412CF2">
        <w:rPr>
          <w:rFonts w:asciiTheme="minorHAnsi" w:hAnsiTheme="minorHAnsi" w:cstheme="minorHAnsi"/>
          <w:i w:val="0"/>
          <w:color w:val="000000"/>
          <w:sz w:val="22"/>
          <w:szCs w:val="22"/>
        </w:rPr>
        <w:t>à</w:t>
      </w:r>
      <w:proofErr w:type="spellEnd"/>
      <w:r>
        <w:rPr>
          <w:rFonts w:asciiTheme="minorHAnsi" w:hAnsiTheme="minorHAnsi" w:cstheme="minorHAnsi"/>
          <w:i w:val="0"/>
          <w:color w:val="000000"/>
          <w:sz w:val="22"/>
          <w:szCs w:val="22"/>
        </w:rPr>
        <w:t xml:space="preserve"> di Perugia, Perugia, Italy</w:t>
      </w:r>
    </w:p>
    <w:p w14:paraId="785C8F9C" w14:textId="60279ED4"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16" w:name="aff-24"/>
      <w:bookmarkEnd w:id="16"/>
      <w:r w:rsidRPr="007770B2">
        <w:rPr>
          <w:rStyle w:val="addr-line"/>
          <w:rFonts w:asciiTheme="minorHAnsi" w:hAnsiTheme="minorHAnsi" w:cstheme="minorHAnsi"/>
          <w:i w:val="0"/>
          <w:sz w:val="22"/>
          <w:szCs w:val="22"/>
        </w:rPr>
        <w:t>Department of Medicine</w:t>
      </w:r>
      <w:r w:rsidR="00FE4344">
        <w:rPr>
          <w:rStyle w:val="addr-line"/>
          <w:rFonts w:asciiTheme="minorHAnsi" w:hAnsiTheme="minorHAnsi" w:cstheme="minorHAnsi"/>
          <w:i w:val="0"/>
          <w:sz w:val="22"/>
          <w:szCs w:val="22"/>
        </w:rPr>
        <w:t xml:space="preserve"> and Surgery</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 xml:space="preserve">University of </w:t>
      </w:r>
      <w:proofErr w:type="spellStart"/>
      <w:r w:rsidRPr="007770B2">
        <w:rPr>
          <w:rStyle w:val="institution"/>
          <w:rFonts w:asciiTheme="minorHAnsi" w:eastAsia="SimSun" w:hAnsiTheme="minorHAnsi" w:cstheme="minorHAnsi"/>
          <w:i w:val="0"/>
          <w:sz w:val="22"/>
          <w:szCs w:val="22"/>
        </w:rPr>
        <w:t>Insubria</w:t>
      </w:r>
      <w:proofErr w:type="spellEnd"/>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Varese</w:t>
      </w:r>
      <w:r w:rsidRPr="007770B2">
        <w:rPr>
          <w:rFonts w:asciiTheme="minorHAnsi" w:hAnsiTheme="minorHAnsi" w:cstheme="minorHAnsi"/>
          <w:i w:val="0"/>
          <w:sz w:val="22"/>
          <w:szCs w:val="22"/>
        </w:rPr>
        <w:t>, Italy</w:t>
      </w:r>
    </w:p>
    <w:p w14:paraId="11FE42DE" w14:textId="77777777" w:rsidR="00F8697D" w:rsidRDefault="00F8697D" w:rsidP="00F8697D">
      <w:pPr>
        <w:pStyle w:val="HTMLAddress"/>
        <w:numPr>
          <w:ilvl w:val="0"/>
          <w:numId w:val="7"/>
        </w:numPr>
        <w:rPr>
          <w:rStyle w:val="addr-line"/>
          <w:rFonts w:asciiTheme="minorHAnsi" w:hAnsiTheme="minorHAnsi" w:cstheme="minorHAnsi"/>
          <w:i w:val="0"/>
          <w:sz w:val="22"/>
          <w:szCs w:val="22"/>
        </w:rPr>
      </w:pPr>
      <w:bookmarkStart w:id="17" w:name="aff-26"/>
      <w:bookmarkStart w:id="18" w:name="aff-27"/>
      <w:bookmarkEnd w:id="17"/>
      <w:bookmarkEnd w:id="18"/>
      <w:r w:rsidRPr="00F8697D">
        <w:rPr>
          <w:rStyle w:val="addr-line"/>
          <w:rFonts w:asciiTheme="minorHAnsi" w:hAnsiTheme="minorHAnsi" w:cstheme="minorHAnsi"/>
          <w:i w:val="0"/>
          <w:sz w:val="22"/>
          <w:szCs w:val="22"/>
        </w:rPr>
        <w:t xml:space="preserve">Queen’s Centre for Oncology and Haematology, Castle Hill Hospital, Hull and East Yorkshire Hospitals NHS Trust, Cottingham, UK </w:t>
      </w:r>
    </w:p>
    <w:p w14:paraId="62580767" w14:textId="77777777" w:rsidR="007770B2" w:rsidRPr="007770B2" w:rsidRDefault="007770B2" w:rsidP="00F8697D">
      <w:pPr>
        <w:pStyle w:val="HTMLAddress"/>
        <w:numPr>
          <w:ilvl w:val="0"/>
          <w:numId w:val="7"/>
        </w:numPr>
        <w:rPr>
          <w:rFonts w:asciiTheme="minorHAnsi" w:hAnsiTheme="minorHAnsi" w:cstheme="minorHAnsi"/>
          <w:i w:val="0"/>
          <w:sz w:val="22"/>
          <w:szCs w:val="22"/>
        </w:rPr>
      </w:pPr>
      <w:r w:rsidRPr="007770B2">
        <w:rPr>
          <w:rStyle w:val="addr-line"/>
          <w:rFonts w:asciiTheme="minorHAnsi" w:hAnsiTheme="minorHAnsi" w:cstheme="minorHAnsi"/>
          <w:i w:val="0"/>
          <w:sz w:val="22"/>
          <w:szCs w:val="22"/>
        </w:rPr>
        <w:lastRenderedPageBreak/>
        <w:t xml:space="preserve">Department of </w:t>
      </w:r>
      <w:proofErr w:type="spellStart"/>
      <w:r w:rsidRPr="007770B2">
        <w:rPr>
          <w:rStyle w:val="addr-line"/>
          <w:rFonts w:asciiTheme="minorHAnsi" w:hAnsiTheme="minorHAnsi" w:cstheme="minorHAnsi"/>
          <w:i w:val="0"/>
          <w:sz w:val="22"/>
          <w:szCs w:val="22"/>
        </w:rPr>
        <w:t>Readaptation</w:t>
      </w:r>
      <w:proofErr w:type="spellEnd"/>
      <w:r w:rsidRPr="007770B2">
        <w:rPr>
          <w:rStyle w:val="addr-line"/>
          <w:rFonts w:asciiTheme="minorHAnsi" w:hAnsiTheme="minorHAnsi" w:cstheme="minorHAnsi"/>
          <w:i w:val="0"/>
          <w:sz w:val="22"/>
          <w:szCs w:val="22"/>
        </w:rPr>
        <w:t xml:space="preserve"> and Palliative Medicine</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Geneva University Hospitals</w:t>
      </w:r>
      <w:r w:rsidRPr="007770B2">
        <w:rPr>
          <w:rFonts w:asciiTheme="minorHAnsi" w:hAnsiTheme="minorHAnsi" w:cstheme="minorHAnsi"/>
          <w:i w:val="0"/>
          <w:sz w:val="22"/>
          <w:szCs w:val="22"/>
        </w:rPr>
        <w:t>, Switzerland</w:t>
      </w:r>
    </w:p>
    <w:p w14:paraId="6620E291" w14:textId="77777777" w:rsidR="007770B2" w:rsidRPr="007770B2" w:rsidRDefault="007770B2" w:rsidP="007770B2">
      <w:pPr>
        <w:pStyle w:val="ListParagraph"/>
        <w:numPr>
          <w:ilvl w:val="0"/>
          <w:numId w:val="7"/>
        </w:numPr>
        <w:spacing w:line="240" w:lineRule="auto"/>
        <w:ind w:left="714" w:hanging="357"/>
        <w:rPr>
          <w:rFonts w:asciiTheme="minorHAnsi" w:hAnsiTheme="minorHAnsi" w:cstheme="minorHAnsi"/>
          <w:szCs w:val="22"/>
        </w:rPr>
      </w:pPr>
      <w:r w:rsidRPr="007770B2">
        <w:rPr>
          <w:rStyle w:val="addr-line"/>
          <w:rFonts w:asciiTheme="minorHAnsi" w:hAnsiTheme="minorHAnsi" w:cstheme="minorHAnsi"/>
          <w:szCs w:val="22"/>
        </w:rPr>
        <w:t>Division of Cancer-Hull York Medical School</w:t>
      </w:r>
      <w:r w:rsidRPr="007770B2">
        <w:rPr>
          <w:rFonts w:asciiTheme="minorHAnsi" w:hAnsiTheme="minorHAnsi" w:cstheme="minorHAnsi"/>
          <w:szCs w:val="22"/>
        </w:rPr>
        <w:t xml:space="preserve">, </w:t>
      </w:r>
      <w:r w:rsidRPr="007770B2">
        <w:rPr>
          <w:rStyle w:val="institution"/>
          <w:rFonts w:asciiTheme="minorHAnsi" w:hAnsiTheme="minorHAnsi" w:cstheme="minorHAnsi"/>
          <w:szCs w:val="22"/>
        </w:rPr>
        <w:t>University of Hull</w:t>
      </w:r>
      <w:r w:rsidRPr="007770B2">
        <w:rPr>
          <w:rFonts w:asciiTheme="minorHAnsi" w:hAnsiTheme="minorHAnsi" w:cstheme="minorHAnsi"/>
          <w:szCs w:val="22"/>
        </w:rPr>
        <w:t xml:space="preserve">, </w:t>
      </w:r>
      <w:r w:rsidRPr="007770B2">
        <w:rPr>
          <w:rStyle w:val="addr-line"/>
          <w:rFonts w:asciiTheme="minorHAnsi" w:hAnsiTheme="minorHAnsi" w:cstheme="minorHAnsi"/>
          <w:szCs w:val="22"/>
        </w:rPr>
        <w:t>Hull</w:t>
      </w:r>
      <w:r w:rsidRPr="007770B2">
        <w:rPr>
          <w:rFonts w:asciiTheme="minorHAnsi" w:hAnsiTheme="minorHAnsi" w:cstheme="minorHAnsi"/>
          <w:szCs w:val="22"/>
        </w:rPr>
        <w:t>, UK</w:t>
      </w:r>
    </w:p>
    <w:p w14:paraId="16A0C0F3" w14:textId="77777777" w:rsidR="007770B2" w:rsidRPr="007770B2" w:rsidRDefault="007770B2" w:rsidP="007770B2">
      <w:pPr>
        <w:pStyle w:val="HTMLAddress"/>
        <w:numPr>
          <w:ilvl w:val="0"/>
          <w:numId w:val="7"/>
        </w:numPr>
        <w:ind w:left="714" w:hanging="357"/>
        <w:rPr>
          <w:rFonts w:asciiTheme="minorHAnsi" w:hAnsiTheme="minorHAnsi" w:cstheme="minorHAnsi"/>
          <w:i w:val="0"/>
          <w:sz w:val="22"/>
          <w:szCs w:val="22"/>
        </w:rPr>
      </w:pPr>
      <w:bookmarkStart w:id="19" w:name="aff-29"/>
      <w:bookmarkEnd w:id="19"/>
      <w:r w:rsidRPr="007770B2">
        <w:rPr>
          <w:rStyle w:val="addr-line"/>
          <w:rFonts w:asciiTheme="minorHAnsi" w:hAnsiTheme="minorHAnsi" w:cstheme="minorHAnsi"/>
          <w:i w:val="0"/>
          <w:sz w:val="22"/>
          <w:szCs w:val="22"/>
        </w:rPr>
        <w:t xml:space="preserve">Service de </w:t>
      </w:r>
      <w:proofErr w:type="spellStart"/>
      <w:r w:rsidRPr="007770B2">
        <w:rPr>
          <w:rStyle w:val="addr-line"/>
          <w:rFonts w:asciiTheme="minorHAnsi" w:hAnsiTheme="minorHAnsi" w:cstheme="minorHAnsi"/>
          <w:i w:val="0"/>
          <w:sz w:val="22"/>
          <w:szCs w:val="22"/>
        </w:rPr>
        <w:t>Pneumologie</w:t>
      </w:r>
      <w:proofErr w:type="spellEnd"/>
      <w:r w:rsidRPr="007770B2">
        <w:rPr>
          <w:rFonts w:asciiTheme="minorHAnsi" w:hAnsiTheme="minorHAnsi" w:cstheme="minorHAnsi"/>
          <w:i w:val="0"/>
          <w:sz w:val="22"/>
          <w:szCs w:val="22"/>
        </w:rPr>
        <w:t xml:space="preserve">, </w:t>
      </w:r>
      <w:proofErr w:type="spellStart"/>
      <w:r w:rsidRPr="007770B2">
        <w:rPr>
          <w:rStyle w:val="institution"/>
          <w:rFonts w:asciiTheme="minorHAnsi" w:eastAsia="SimSun" w:hAnsiTheme="minorHAnsi" w:cstheme="minorHAnsi"/>
          <w:i w:val="0"/>
          <w:sz w:val="22"/>
          <w:szCs w:val="22"/>
        </w:rPr>
        <w:t>Hôpital</w:t>
      </w:r>
      <w:proofErr w:type="spellEnd"/>
      <w:r w:rsidRPr="007770B2">
        <w:rPr>
          <w:rStyle w:val="institution"/>
          <w:rFonts w:asciiTheme="minorHAnsi" w:eastAsia="SimSun" w:hAnsiTheme="minorHAnsi" w:cstheme="minorHAnsi"/>
          <w:i w:val="0"/>
          <w:sz w:val="22"/>
          <w:szCs w:val="22"/>
        </w:rPr>
        <w:t xml:space="preserve"> Saint-Antoine, Assistance </w:t>
      </w:r>
      <w:proofErr w:type="spellStart"/>
      <w:r w:rsidRPr="007770B2">
        <w:rPr>
          <w:rStyle w:val="institution"/>
          <w:rFonts w:asciiTheme="minorHAnsi" w:eastAsia="SimSun" w:hAnsiTheme="minorHAnsi" w:cstheme="minorHAnsi"/>
          <w:i w:val="0"/>
          <w:sz w:val="22"/>
          <w:szCs w:val="22"/>
        </w:rPr>
        <w:t>Publique</w:t>
      </w:r>
      <w:proofErr w:type="spellEnd"/>
      <w:r w:rsidRPr="007770B2">
        <w:rPr>
          <w:rStyle w:val="institution"/>
          <w:rFonts w:asciiTheme="minorHAnsi" w:eastAsia="SimSun" w:hAnsiTheme="minorHAnsi" w:cstheme="minorHAnsi"/>
          <w:i w:val="0"/>
          <w:sz w:val="22"/>
          <w:szCs w:val="22"/>
        </w:rPr>
        <w:t>—</w:t>
      </w:r>
      <w:proofErr w:type="spellStart"/>
      <w:r w:rsidRPr="007770B2">
        <w:rPr>
          <w:rStyle w:val="institution"/>
          <w:rFonts w:asciiTheme="minorHAnsi" w:eastAsia="SimSun" w:hAnsiTheme="minorHAnsi" w:cstheme="minorHAnsi"/>
          <w:i w:val="0"/>
          <w:sz w:val="22"/>
          <w:szCs w:val="22"/>
        </w:rPr>
        <w:t>Hôpitaux</w:t>
      </w:r>
      <w:proofErr w:type="spellEnd"/>
      <w:r w:rsidRPr="007770B2">
        <w:rPr>
          <w:rStyle w:val="institution"/>
          <w:rFonts w:asciiTheme="minorHAnsi" w:eastAsia="SimSun" w:hAnsiTheme="minorHAnsi" w:cstheme="minorHAnsi"/>
          <w:i w:val="0"/>
          <w:sz w:val="22"/>
          <w:szCs w:val="22"/>
        </w:rPr>
        <w:t xml:space="preserve"> de Paris, </w:t>
      </w:r>
      <w:proofErr w:type="spellStart"/>
      <w:r w:rsidRPr="007770B2">
        <w:rPr>
          <w:rStyle w:val="institution"/>
          <w:rFonts w:asciiTheme="minorHAnsi" w:eastAsia="SimSun" w:hAnsiTheme="minorHAnsi" w:cstheme="minorHAnsi"/>
          <w:i w:val="0"/>
          <w:sz w:val="22"/>
          <w:szCs w:val="22"/>
        </w:rPr>
        <w:t>Université</w:t>
      </w:r>
      <w:proofErr w:type="spellEnd"/>
      <w:r w:rsidRPr="007770B2">
        <w:rPr>
          <w:rStyle w:val="institution"/>
          <w:rFonts w:asciiTheme="minorHAnsi" w:eastAsia="SimSun" w:hAnsiTheme="minorHAnsi" w:cstheme="minorHAnsi"/>
          <w:i w:val="0"/>
          <w:sz w:val="22"/>
          <w:szCs w:val="22"/>
        </w:rPr>
        <w:t xml:space="preserve"> Pierre et Marie Curie</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Paris</w:t>
      </w:r>
      <w:r w:rsidRPr="007770B2">
        <w:rPr>
          <w:rFonts w:asciiTheme="minorHAnsi" w:hAnsiTheme="minorHAnsi" w:cstheme="minorHAnsi"/>
          <w:i w:val="0"/>
          <w:sz w:val="22"/>
          <w:szCs w:val="22"/>
        </w:rPr>
        <w:t>, France</w:t>
      </w:r>
    </w:p>
    <w:p w14:paraId="3016EFD0" w14:textId="1C1E9A6D" w:rsidR="00822917" w:rsidRDefault="00E400F7" w:rsidP="00E400F7">
      <w:pPr>
        <w:pStyle w:val="HTMLAddress"/>
        <w:numPr>
          <w:ilvl w:val="0"/>
          <w:numId w:val="7"/>
        </w:numPr>
        <w:rPr>
          <w:rStyle w:val="addr-line"/>
          <w:rFonts w:asciiTheme="minorHAnsi" w:hAnsiTheme="minorHAnsi" w:cstheme="minorHAnsi"/>
          <w:i w:val="0"/>
          <w:sz w:val="22"/>
          <w:szCs w:val="22"/>
        </w:rPr>
      </w:pPr>
      <w:bookmarkStart w:id="20" w:name="aff-30"/>
      <w:bookmarkEnd w:id="20"/>
      <w:r w:rsidRPr="00E400F7">
        <w:rPr>
          <w:rStyle w:val="addr-line"/>
          <w:rFonts w:asciiTheme="minorHAnsi" w:hAnsiTheme="minorHAnsi" w:cstheme="minorHAnsi"/>
          <w:i w:val="0"/>
          <w:sz w:val="22"/>
          <w:szCs w:val="22"/>
        </w:rPr>
        <w:t>Hematology Service</w:t>
      </w:r>
      <w:r w:rsidR="00B54CB5">
        <w:rPr>
          <w:rStyle w:val="addr-line"/>
          <w:rFonts w:asciiTheme="minorHAnsi" w:hAnsiTheme="minorHAnsi" w:cstheme="minorHAnsi"/>
          <w:i w:val="0"/>
          <w:sz w:val="22"/>
          <w:szCs w:val="22"/>
        </w:rPr>
        <w:t>,</w:t>
      </w:r>
      <w:r w:rsidRPr="00E400F7">
        <w:rPr>
          <w:rStyle w:val="addr-line"/>
          <w:rFonts w:asciiTheme="minorHAnsi" w:hAnsiTheme="minorHAnsi" w:cstheme="minorHAnsi"/>
          <w:i w:val="0"/>
          <w:sz w:val="22"/>
          <w:szCs w:val="22"/>
        </w:rPr>
        <w:t xml:space="preserve"> University Cli</w:t>
      </w:r>
      <w:r>
        <w:rPr>
          <w:rStyle w:val="addr-line"/>
          <w:rFonts w:asciiTheme="minorHAnsi" w:hAnsiTheme="minorHAnsi" w:cstheme="minorHAnsi"/>
          <w:i w:val="0"/>
          <w:sz w:val="22"/>
          <w:szCs w:val="22"/>
        </w:rPr>
        <w:t>nic of Navarra, Pamplona, Spain</w:t>
      </w:r>
    </w:p>
    <w:p w14:paraId="7AFAC79D" w14:textId="77777777" w:rsidR="00631C3D" w:rsidRPr="007770B2" w:rsidRDefault="00631C3D" w:rsidP="00631C3D">
      <w:pPr>
        <w:pStyle w:val="HTMLAddress"/>
        <w:numPr>
          <w:ilvl w:val="0"/>
          <w:numId w:val="7"/>
        </w:numPr>
        <w:ind w:left="714" w:hanging="357"/>
        <w:rPr>
          <w:rFonts w:asciiTheme="minorHAnsi" w:hAnsiTheme="minorHAnsi" w:cstheme="minorHAnsi"/>
          <w:i w:val="0"/>
          <w:sz w:val="22"/>
          <w:szCs w:val="22"/>
        </w:rPr>
      </w:pPr>
      <w:r>
        <w:rPr>
          <w:rStyle w:val="addr-line"/>
          <w:rFonts w:asciiTheme="minorHAnsi" w:hAnsiTheme="minorHAnsi" w:cstheme="minorHAnsi"/>
          <w:i w:val="0"/>
          <w:sz w:val="22"/>
          <w:szCs w:val="22"/>
        </w:rPr>
        <w:t xml:space="preserve">Divisions of Medical Oncology, </w:t>
      </w:r>
      <w:r w:rsidRPr="007770B2">
        <w:rPr>
          <w:rStyle w:val="addr-line"/>
          <w:rFonts w:asciiTheme="minorHAnsi" w:hAnsiTheme="minorHAnsi" w:cstheme="minorHAnsi"/>
          <w:i w:val="0"/>
          <w:sz w:val="22"/>
          <w:szCs w:val="22"/>
        </w:rPr>
        <w:t>Cardiology and Hematology</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Mayo Clinic</w:t>
      </w:r>
      <w:r w:rsidRPr="007770B2">
        <w:rPr>
          <w:rFonts w:asciiTheme="minorHAnsi" w:hAnsiTheme="minorHAnsi" w:cstheme="minorHAnsi"/>
          <w:i w:val="0"/>
          <w:sz w:val="22"/>
          <w:szCs w:val="22"/>
        </w:rPr>
        <w:t xml:space="preserve">, </w:t>
      </w:r>
      <w:r w:rsidRPr="007770B2">
        <w:rPr>
          <w:rStyle w:val="addr-line"/>
          <w:rFonts w:asciiTheme="minorHAnsi" w:hAnsiTheme="minorHAnsi" w:cstheme="minorHAnsi"/>
          <w:i w:val="0"/>
          <w:sz w:val="22"/>
          <w:szCs w:val="22"/>
        </w:rPr>
        <w:t>Rochester, Minnesota</w:t>
      </w:r>
      <w:r w:rsidRPr="007770B2">
        <w:rPr>
          <w:rFonts w:asciiTheme="minorHAnsi" w:hAnsiTheme="minorHAnsi" w:cstheme="minorHAnsi"/>
          <w:i w:val="0"/>
          <w:sz w:val="22"/>
          <w:szCs w:val="22"/>
        </w:rPr>
        <w:t>, USA</w:t>
      </w:r>
    </w:p>
    <w:p w14:paraId="01C8D610" w14:textId="77777777" w:rsidR="007770B2" w:rsidRDefault="007770B2" w:rsidP="007770B2">
      <w:pPr>
        <w:pStyle w:val="ListParagraph"/>
        <w:numPr>
          <w:ilvl w:val="0"/>
          <w:numId w:val="7"/>
        </w:numPr>
        <w:spacing w:line="240" w:lineRule="auto"/>
        <w:ind w:left="714" w:hanging="357"/>
        <w:rPr>
          <w:rFonts w:asciiTheme="minorHAnsi" w:hAnsiTheme="minorHAnsi" w:cstheme="minorHAnsi"/>
          <w:szCs w:val="22"/>
        </w:rPr>
      </w:pPr>
      <w:r w:rsidRPr="007770B2">
        <w:rPr>
          <w:rStyle w:val="addr-line"/>
          <w:rFonts w:asciiTheme="minorHAnsi" w:hAnsiTheme="minorHAnsi" w:cstheme="minorHAnsi"/>
          <w:szCs w:val="22"/>
        </w:rPr>
        <w:t>Division of Hematology, Oncology and Tumor Immunology, Medical Department</w:t>
      </w:r>
      <w:r w:rsidRPr="007770B2">
        <w:rPr>
          <w:rFonts w:asciiTheme="minorHAnsi" w:hAnsiTheme="minorHAnsi" w:cstheme="minorHAnsi"/>
          <w:szCs w:val="22"/>
        </w:rPr>
        <w:t xml:space="preserve">, </w:t>
      </w:r>
      <w:proofErr w:type="spellStart"/>
      <w:r w:rsidRPr="007770B2">
        <w:rPr>
          <w:rStyle w:val="institution"/>
          <w:rFonts w:asciiTheme="minorHAnsi" w:hAnsiTheme="minorHAnsi" w:cstheme="minorHAnsi"/>
          <w:szCs w:val="22"/>
        </w:rPr>
        <w:t>Charité</w:t>
      </w:r>
      <w:proofErr w:type="spellEnd"/>
      <w:r w:rsidRPr="007770B2">
        <w:rPr>
          <w:rStyle w:val="institution"/>
          <w:rFonts w:asciiTheme="minorHAnsi" w:hAnsiTheme="minorHAnsi" w:cstheme="minorHAnsi"/>
          <w:szCs w:val="22"/>
        </w:rPr>
        <w:t xml:space="preserve"> Comprehensive Cancer Center, </w:t>
      </w:r>
      <w:proofErr w:type="spellStart"/>
      <w:r w:rsidRPr="007770B2">
        <w:rPr>
          <w:rStyle w:val="institution"/>
          <w:rFonts w:asciiTheme="minorHAnsi" w:hAnsiTheme="minorHAnsi" w:cstheme="minorHAnsi"/>
          <w:szCs w:val="22"/>
        </w:rPr>
        <w:t>Charité</w:t>
      </w:r>
      <w:proofErr w:type="spellEnd"/>
      <w:r w:rsidRPr="007770B2">
        <w:rPr>
          <w:rStyle w:val="institution"/>
          <w:rFonts w:asciiTheme="minorHAnsi" w:hAnsiTheme="minorHAnsi" w:cstheme="minorHAnsi"/>
          <w:szCs w:val="22"/>
        </w:rPr>
        <w:t xml:space="preserve"> Medical University</w:t>
      </w:r>
      <w:r w:rsidRPr="007770B2">
        <w:rPr>
          <w:rFonts w:asciiTheme="minorHAnsi" w:hAnsiTheme="minorHAnsi" w:cstheme="minorHAnsi"/>
          <w:szCs w:val="22"/>
        </w:rPr>
        <w:t xml:space="preserve">, </w:t>
      </w:r>
      <w:r w:rsidRPr="007770B2">
        <w:rPr>
          <w:rStyle w:val="addr-line"/>
          <w:rFonts w:asciiTheme="minorHAnsi" w:hAnsiTheme="minorHAnsi" w:cstheme="minorHAnsi"/>
          <w:szCs w:val="22"/>
        </w:rPr>
        <w:t>Berlin</w:t>
      </w:r>
      <w:r w:rsidRPr="007770B2">
        <w:rPr>
          <w:rFonts w:asciiTheme="minorHAnsi" w:hAnsiTheme="minorHAnsi" w:cstheme="minorHAnsi"/>
          <w:szCs w:val="22"/>
        </w:rPr>
        <w:t>, Germany</w:t>
      </w:r>
    </w:p>
    <w:p w14:paraId="07E3CA28" w14:textId="45CA8E9E" w:rsidR="004D45E3" w:rsidRPr="004D45E3" w:rsidRDefault="00412CF2" w:rsidP="004D45E3">
      <w:pPr>
        <w:pStyle w:val="ListParagraph"/>
        <w:numPr>
          <w:ilvl w:val="0"/>
          <w:numId w:val="7"/>
        </w:numPr>
        <w:spacing w:line="240" w:lineRule="auto"/>
        <w:rPr>
          <w:rFonts w:eastAsia="Times New Roman" w:cs="Calibri"/>
          <w:color w:val="000000"/>
          <w:szCs w:val="22"/>
          <w:lang w:val="en-CA" w:eastAsia="en-CA"/>
        </w:rPr>
      </w:pPr>
      <w:bookmarkStart w:id="21" w:name="aff-32"/>
      <w:bookmarkEnd w:id="21"/>
      <w:r>
        <w:rPr>
          <w:rFonts w:eastAsia="Times New Roman" w:cs="Calibri"/>
          <w:color w:val="000000"/>
          <w:szCs w:val="22"/>
          <w:lang w:val="en-CA" w:eastAsia="en-CA"/>
        </w:rPr>
        <w:t>Department of Pathology and Laboratory Medicine, Schulich School of Medicine and Dentistry, Western University, London, Ontario, Canada</w:t>
      </w:r>
    </w:p>
    <w:p w14:paraId="04487FF1" w14:textId="31B856B9" w:rsidR="00860C8F" w:rsidRPr="00860C8F" w:rsidRDefault="00860C8F" w:rsidP="00860C8F">
      <w:pPr>
        <w:pStyle w:val="ListParagraph"/>
        <w:numPr>
          <w:ilvl w:val="0"/>
          <w:numId w:val="7"/>
        </w:numPr>
        <w:autoSpaceDE w:val="0"/>
        <w:autoSpaceDN w:val="0"/>
        <w:adjustRightInd w:val="0"/>
        <w:spacing w:line="240" w:lineRule="auto"/>
        <w:rPr>
          <w:rFonts w:asciiTheme="minorHAnsi" w:hAnsiTheme="minorHAnsi" w:cstheme="minorHAnsi"/>
          <w:szCs w:val="16"/>
          <w:lang w:val="en-CA" w:eastAsia="en-US"/>
        </w:rPr>
      </w:pPr>
      <w:r w:rsidRPr="00860C8F">
        <w:rPr>
          <w:rFonts w:asciiTheme="minorHAnsi" w:hAnsiTheme="minorHAnsi" w:cstheme="minorHAnsi"/>
          <w:szCs w:val="16"/>
          <w:lang w:val="en-CA" w:eastAsia="en-US"/>
        </w:rPr>
        <w:t xml:space="preserve">Division of Neurology, Sunnybrook Health Science Centre, Toronto; Ontario Clinical Oncology Group and </w:t>
      </w:r>
      <w:r>
        <w:rPr>
          <w:rFonts w:asciiTheme="minorHAnsi" w:hAnsiTheme="minorHAnsi" w:cstheme="minorHAnsi"/>
          <w:szCs w:val="16"/>
          <w:lang w:val="en-CA" w:eastAsia="en-US"/>
        </w:rPr>
        <w:t>Department of Oncology, McMaster University, Hamilton, Canada</w:t>
      </w:r>
    </w:p>
    <w:p w14:paraId="6C60E3EA" w14:textId="77777777" w:rsidR="007770B2" w:rsidRDefault="007770B2" w:rsidP="00860C8F">
      <w:pPr>
        <w:pStyle w:val="HTMLAddress"/>
        <w:numPr>
          <w:ilvl w:val="0"/>
          <w:numId w:val="7"/>
        </w:numPr>
        <w:rPr>
          <w:rFonts w:asciiTheme="minorHAnsi" w:hAnsiTheme="minorHAnsi" w:cstheme="minorHAnsi"/>
          <w:i w:val="0"/>
          <w:sz w:val="22"/>
          <w:szCs w:val="22"/>
        </w:rPr>
      </w:pPr>
      <w:r w:rsidRPr="007770B2">
        <w:rPr>
          <w:rStyle w:val="addr-line"/>
          <w:rFonts w:asciiTheme="minorHAnsi" w:hAnsiTheme="minorHAnsi" w:cstheme="minorHAnsi"/>
          <w:i w:val="0"/>
          <w:sz w:val="22"/>
          <w:szCs w:val="22"/>
        </w:rPr>
        <w:t>Department of Internal Medicine</w:t>
      </w:r>
      <w:r w:rsidRPr="007770B2">
        <w:rPr>
          <w:rFonts w:asciiTheme="minorHAnsi" w:hAnsiTheme="minorHAnsi" w:cstheme="minorHAnsi"/>
          <w:i w:val="0"/>
          <w:sz w:val="22"/>
          <w:szCs w:val="22"/>
        </w:rPr>
        <w:t xml:space="preserve">, </w:t>
      </w:r>
      <w:r w:rsidRPr="007770B2">
        <w:rPr>
          <w:rStyle w:val="institution"/>
          <w:rFonts w:asciiTheme="minorHAnsi" w:eastAsia="SimSun" w:hAnsiTheme="minorHAnsi" w:cstheme="minorHAnsi"/>
          <w:i w:val="0"/>
          <w:sz w:val="22"/>
          <w:szCs w:val="22"/>
        </w:rPr>
        <w:t>American University of Beirut</w:t>
      </w:r>
      <w:r w:rsidRPr="007770B2">
        <w:rPr>
          <w:rFonts w:asciiTheme="minorHAnsi" w:hAnsiTheme="minorHAnsi" w:cstheme="minorHAnsi"/>
          <w:i w:val="0"/>
          <w:sz w:val="22"/>
          <w:szCs w:val="22"/>
        </w:rPr>
        <w:t>, Lebanon</w:t>
      </w:r>
    </w:p>
    <w:p w14:paraId="5C147E05" w14:textId="157213EF" w:rsidR="00D037BB" w:rsidRDefault="00D037BB" w:rsidP="00822917">
      <w:pPr>
        <w:pStyle w:val="ListParagraph"/>
        <w:numPr>
          <w:ilvl w:val="0"/>
          <w:numId w:val="7"/>
        </w:numPr>
        <w:spacing w:line="240" w:lineRule="auto"/>
        <w:ind w:left="714" w:hanging="357"/>
        <w:rPr>
          <w:rFonts w:asciiTheme="minorHAnsi" w:hAnsiTheme="minorHAnsi" w:cstheme="minorHAnsi"/>
          <w:szCs w:val="22"/>
        </w:rPr>
      </w:pPr>
      <w:r w:rsidRPr="007770B2">
        <w:rPr>
          <w:rFonts w:asciiTheme="minorHAnsi" w:hAnsiTheme="minorHAnsi" w:cstheme="minorHAnsi"/>
          <w:szCs w:val="22"/>
        </w:rPr>
        <w:t>Department of Clinical Epidemiology, Biostatistics, and Bioinformatics, Amsterdam Public Health Research Institute, Academic Medical Center, Amsterdam, The Netherlands</w:t>
      </w:r>
    </w:p>
    <w:p w14:paraId="547363F5" w14:textId="7182C83B" w:rsidR="009E32BE" w:rsidRDefault="009E32BE" w:rsidP="00822917">
      <w:pPr>
        <w:pStyle w:val="ListParagraph"/>
        <w:numPr>
          <w:ilvl w:val="0"/>
          <w:numId w:val="7"/>
        </w:numPr>
        <w:spacing w:line="240" w:lineRule="auto"/>
        <w:ind w:left="714" w:hanging="357"/>
        <w:rPr>
          <w:rFonts w:asciiTheme="minorHAnsi" w:hAnsiTheme="minorHAnsi" w:cstheme="minorHAnsi"/>
          <w:szCs w:val="22"/>
        </w:rPr>
      </w:pPr>
      <w:r w:rsidRPr="009E32BE">
        <w:rPr>
          <w:rFonts w:asciiTheme="minorHAnsi" w:hAnsiTheme="minorHAnsi" w:cstheme="minorHAnsi"/>
          <w:szCs w:val="22"/>
        </w:rPr>
        <w:t xml:space="preserve">Department of Internal Medicine, </w:t>
      </w:r>
      <w:proofErr w:type="spellStart"/>
      <w:r w:rsidRPr="009E32BE">
        <w:rPr>
          <w:rFonts w:asciiTheme="minorHAnsi" w:hAnsiTheme="minorHAnsi" w:cstheme="minorHAnsi"/>
          <w:szCs w:val="22"/>
        </w:rPr>
        <w:t>Dijklanderziekenhuis</w:t>
      </w:r>
      <w:proofErr w:type="spellEnd"/>
      <w:r w:rsidRPr="009E32BE">
        <w:rPr>
          <w:rFonts w:asciiTheme="minorHAnsi" w:hAnsiTheme="minorHAnsi" w:cstheme="minorHAnsi"/>
          <w:szCs w:val="22"/>
        </w:rPr>
        <w:t>, Hoorn, The Netherlands</w:t>
      </w:r>
    </w:p>
    <w:p w14:paraId="6367FC03" w14:textId="77777777" w:rsidR="00A60D65" w:rsidRPr="008B0392" w:rsidRDefault="00A60D65" w:rsidP="00A60D65">
      <w:pPr>
        <w:rPr>
          <w:lang w:val="nl-NL"/>
        </w:rPr>
      </w:pPr>
    </w:p>
    <w:p w14:paraId="29A74048" w14:textId="3DEEDE2C" w:rsidR="00FD7092" w:rsidRDefault="008B1B97" w:rsidP="00FD7092">
      <w:pPr>
        <w:pStyle w:val="NormalWeb"/>
        <w:spacing w:after="0" w:afterAutospacing="0" w:line="240" w:lineRule="auto"/>
        <w:rPr>
          <w:rStyle w:val="Strong"/>
          <w:b w:val="0"/>
        </w:rPr>
      </w:pPr>
      <w:r w:rsidRPr="008B1B97">
        <w:rPr>
          <w:rStyle w:val="Strong"/>
          <w:rFonts w:eastAsia="SimSun"/>
        </w:rPr>
        <w:t>Corresponding author:</w:t>
      </w:r>
      <w:r>
        <w:rPr>
          <w:rStyle w:val="Strong"/>
          <w:rFonts w:eastAsia="SimSun"/>
          <w:b w:val="0"/>
        </w:rPr>
        <w:br/>
      </w:r>
      <w:r w:rsidR="00B00CA9" w:rsidRPr="008B1B97">
        <w:rPr>
          <w:rStyle w:val="Strong"/>
          <w:rFonts w:eastAsia="SimSun"/>
          <w:b w:val="0"/>
        </w:rPr>
        <w:t xml:space="preserve">Holger </w:t>
      </w:r>
      <w:proofErr w:type="spellStart"/>
      <w:r w:rsidR="00B00CA9" w:rsidRPr="008B1B97">
        <w:rPr>
          <w:rStyle w:val="Strong"/>
          <w:rFonts w:eastAsia="SimSun"/>
          <w:b w:val="0"/>
        </w:rPr>
        <w:t>Schünemann</w:t>
      </w:r>
      <w:proofErr w:type="spellEnd"/>
      <w:r w:rsidR="00B00CA9" w:rsidRPr="008B1B97">
        <w:rPr>
          <w:rStyle w:val="Strong"/>
          <w:rFonts w:eastAsia="SimSun"/>
          <w:b w:val="0"/>
        </w:rPr>
        <w:t>, MD, PhD FRCP(C)</w:t>
      </w:r>
      <w:r w:rsidR="00B00CA9" w:rsidRPr="008B1B97">
        <w:rPr>
          <w:rStyle w:val="Strong"/>
          <w:b w:val="0"/>
        </w:rPr>
        <w:t xml:space="preserve"> </w:t>
      </w:r>
      <w:r w:rsidR="00B00CA9" w:rsidRPr="008B1B97">
        <w:rPr>
          <w:bCs/>
        </w:rPr>
        <w:br/>
      </w:r>
      <w:r w:rsidR="00FD7092" w:rsidRPr="008B1B97" w:rsidDel="003F3F02">
        <w:rPr>
          <w:rStyle w:val="Strong"/>
          <w:b w:val="0"/>
        </w:rPr>
        <w:t xml:space="preserve"> </w:t>
      </w:r>
      <w:r w:rsidR="00B00CA9" w:rsidRPr="008B1B97">
        <w:rPr>
          <w:bCs/>
        </w:rPr>
        <w:br/>
      </w:r>
      <w:r w:rsidR="00B00CA9" w:rsidRPr="008B1B97">
        <w:rPr>
          <w:rStyle w:val="Strong"/>
          <w:b w:val="0"/>
        </w:rPr>
        <w:t>Professor, Department of Health Research Methods, Evidence, and Impact,</w:t>
      </w:r>
      <w:r w:rsidR="00B00CA9" w:rsidRPr="008B1B97">
        <w:rPr>
          <w:bCs/>
        </w:rPr>
        <w:br/>
      </w:r>
      <w:r w:rsidR="00B00CA9" w:rsidRPr="008B1B97">
        <w:rPr>
          <w:rStyle w:val="Strong"/>
          <w:b w:val="0"/>
        </w:rPr>
        <w:t>Department of Medicine</w:t>
      </w:r>
    </w:p>
    <w:p w14:paraId="438A301D" w14:textId="39D48962" w:rsidR="00FD7092" w:rsidRDefault="00FD7092" w:rsidP="00FD7092">
      <w:pPr>
        <w:pStyle w:val="NormalWeb"/>
        <w:spacing w:before="0" w:beforeAutospacing="0" w:line="240" w:lineRule="auto"/>
        <w:rPr>
          <w:rStyle w:val="Strong"/>
          <w:b w:val="0"/>
        </w:rPr>
      </w:pPr>
      <w:r>
        <w:rPr>
          <w:rStyle w:val="Strong"/>
          <w:b w:val="0"/>
        </w:rPr>
        <w:t xml:space="preserve">Director Cochrane Canada and McMaster </w:t>
      </w:r>
      <w:proofErr w:type="spellStart"/>
      <w:r>
        <w:rPr>
          <w:rStyle w:val="Strong"/>
          <w:b w:val="0"/>
        </w:rPr>
        <w:t>MacGrade</w:t>
      </w:r>
      <w:proofErr w:type="spellEnd"/>
      <w:r>
        <w:rPr>
          <w:rStyle w:val="Strong"/>
          <w:b w:val="0"/>
        </w:rPr>
        <w:t xml:space="preserve"> Centre</w:t>
      </w:r>
    </w:p>
    <w:p w14:paraId="039CADD3" w14:textId="77777777" w:rsidR="00B00CA9" w:rsidRPr="008B1B97" w:rsidRDefault="00B00CA9" w:rsidP="00B00CA9">
      <w:pPr>
        <w:pStyle w:val="NormalWeb"/>
        <w:spacing w:line="240" w:lineRule="auto"/>
      </w:pPr>
      <w:r w:rsidRPr="008B1B97">
        <w:t>Department of Health Research Methods, Evidence, and Impact</w:t>
      </w:r>
      <w:r w:rsidRPr="008B1B97">
        <w:br/>
        <w:t>McMaster University Health Sciences Centre, Room 2C16</w:t>
      </w:r>
      <w:r w:rsidRPr="008B1B97">
        <w:br/>
        <w:t>1280 Main Street West</w:t>
      </w:r>
      <w:r w:rsidRPr="008B1B97">
        <w:br/>
        <w:t>Hamilton, ON L8S 4K1, Canada</w:t>
      </w:r>
    </w:p>
    <w:p w14:paraId="094FF4D7" w14:textId="3A12CADD" w:rsidR="00B00CA9" w:rsidRDefault="00B00CA9" w:rsidP="008B1B97">
      <w:pPr>
        <w:pStyle w:val="NormalWeb"/>
        <w:spacing w:line="240" w:lineRule="auto"/>
      </w:pPr>
      <w:r>
        <w:t xml:space="preserve">Telephone:  + 1 905 525 9140 x 24931 </w:t>
      </w:r>
      <w:r>
        <w:br/>
      </w:r>
      <w:r w:rsidRPr="008B1B97">
        <w:rPr>
          <w:rStyle w:val="Emphasis"/>
          <w:i w:val="0"/>
        </w:rPr>
        <w:t>Email</w:t>
      </w:r>
      <w:r>
        <w:rPr>
          <w:noProof/>
        </w:rPr>
        <w:t>:</w:t>
      </w:r>
      <w:r>
        <w:rPr>
          <w:rStyle w:val="Emphasis"/>
        </w:rPr>
        <w:t xml:space="preserve"> </w:t>
      </w:r>
      <w:r>
        <w:rPr>
          <w:rStyle w:val="Emphasis"/>
          <w:i w:val="0"/>
        </w:rPr>
        <w:t>holger.schunemann@mcmaster.ca</w:t>
      </w:r>
    </w:p>
    <w:p w14:paraId="65338DEA" w14:textId="77777777" w:rsidR="008B1B97" w:rsidRDefault="008B1B97"/>
    <w:p w14:paraId="528A6EFB" w14:textId="49961458" w:rsidR="008B1B97" w:rsidRDefault="008B1B97">
      <w:pPr>
        <w:rPr>
          <w:b/>
        </w:rPr>
      </w:pPr>
    </w:p>
    <w:p w14:paraId="1D9753E1" w14:textId="5179A565" w:rsidR="00602C15" w:rsidRDefault="00602C15">
      <w:pPr>
        <w:rPr>
          <w:b/>
        </w:rPr>
      </w:pPr>
    </w:p>
    <w:p w14:paraId="42CAF88C" w14:textId="77777777" w:rsidR="00602C15" w:rsidRDefault="00602C15">
      <w:pPr>
        <w:rPr>
          <w:b/>
        </w:rPr>
      </w:pPr>
    </w:p>
    <w:p w14:paraId="4C2F85BA" w14:textId="77777777" w:rsidR="00C73B01" w:rsidRDefault="00C73B01">
      <w:pPr>
        <w:rPr>
          <w:b/>
        </w:rPr>
      </w:pPr>
    </w:p>
    <w:p w14:paraId="5B082275" w14:textId="77777777" w:rsidR="00746F1B" w:rsidRDefault="00746F1B">
      <w:pPr>
        <w:rPr>
          <w:b/>
        </w:rPr>
      </w:pPr>
    </w:p>
    <w:p w14:paraId="27AA7551" w14:textId="77777777" w:rsidR="00613EFB" w:rsidRDefault="00613EFB">
      <w:pPr>
        <w:spacing w:line="240" w:lineRule="auto"/>
        <w:rPr>
          <w:b/>
        </w:rPr>
      </w:pPr>
      <w:r>
        <w:rPr>
          <w:b/>
        </w:rPr>
        <w:br w:type="page"/>
      </w:r>
    </w:p>
    <w:p w14:paraId="17154B04" w14:textId="79A74F88" w:rsidR="001256D3" w:rsidRDefault="007704FD">
      <w:pPr>
        <w:rPr>
          <w:b/>
        </w:rPr>
      </w:pPr>
      <w:r>
        <w:rPr>
          <w:b/>
        </w:rPr>
        <w:lastRenderedPageBreak/>
        <w:t>ABSTRACT</w:t>
      </w:r>
    </w:p>
    <w:p w14:paraId="48A3D984" w14:textId="702584D9" w:rsidR="001256D3" w:rsidRPr="00197CB6" w:rsidRDefault="00236687" w:rsidP="002152B3">
      <w:pPr>
        <w:tabs>
          <w:tab w:val="left" w:pos="1632"/>
        </w:tabs>
      </w:pPr>
      <w:r>
        <w:t>Oncology g</w:t>
      </w:r>
      <w:r w:rsidR="00337794" w:rsidRPr="00197CB6">
        <w:t>uidelines suggest us</w:t>
      </w:r>
      <w:r w:rsidR="00712524">
        <w:t>ing</w:t>
      </w:r>
      <w:r w:rsidR="00337794" w:rsidRPr="00197CB6">
        <w:t xml:space="preserve"> the Khorana score to select</w:t>
      </w:r>
      <w:r>
        <w:t xml:space="preserve"> ambulatory cancer</w:t>
      </w:r>
      <w:r w:rsidR="00337794" w:rsidRPr="00197CB6">
        <w:t xml:space="preserve"> patients receiving chemotherapy for </w:t>
      </w:r>
      <w:r>
        <w:t>primary</w:t>
      </w:r>
      <w:r w:rsidR="00337794" w:rsidRPr="00197CB6">
        <w:t xml:space="preserve"> venous thromboembolism (VTE)</w:t>
      </w:r>
      <w:r>
        <w:t xml:space="preserve"> prevention</w:t>
      </w:r>
      <w:r w:rsidR="00337794" w:rsidRPr="00197CB6">
        <w:t>, but its performance in different cancers remains uncertain.</w:t>
      </w:r>
      <w:r w:rsidR="00646BAE">
        <w:t xml:space="preserve"> </w:t>
      </w:r>
      <w:r w:rsidR="00337794" w:rsidRPr="00197CB6">
        <w:t>Th</w:t>
      </w:r>
      <w:r>
        <w:t>is individual patient data meta-</w:t>
      </w:r>
      <w:r w:rsidR="00337794" w:rsidRPr="00197CB6">
        <w:t xml:space="preserve">analysis </w:t>
      </w:r>
      <w:r>
        <w:t>of</w:t>
      </w:r>
      <w:r w:rsidR="00337794" w:rsidRPr="00197CB6">
        <w:t xml:space="preserve"> seven </w:t>
      </w:r>
      <w:r w:rsidR="00780086" w:rsidRPr="00197CB6">
        <w:t>randomi</w:t>
      </w:r>
      <w:r w:rsidR="00B602AD">
        <w:t>z</w:t>
      </w:r>
      <w:r w:rsidR="00780086" w:rsidRPr="00197CB6">
        <w:t>ed</w:t>
      </w:r>
      <w:r w:rsidR="00337794" w:rsidRPr="00197CB6">
        <w:t xml:space="preserve"> controlled trials </w:t>
      </w:r>
      <w:r>
        <w:t>that evaluated</w:t>
      </w:r>
      <w:r w:rsidR="00337794" w:rsidRPr="00197CB6">
        <w:t xml:space="preserve"> (ultra)-low-molecular-weight heparin (LMWH) </w:t>
      </w:r>
      <w:r>
        <w:t xml:space="preserve">in </w:t>
      </w:r>
      <w:r w:rsidR="00337794" w:rsidRPr="00197CB6">
        <w:t xml:space="preserve">patients with solid cancer </w:t>
      </w:r>
      <w:r w:rsidR="00B602AD">
        <w:t>addresses the</w:t>
      </w:r>
      <w:r w:rsidR="00337794" w:rsidRPr="00197CB6">
        <w:t xml:space="preserve"> performance of </w:t>
      </w:r>
      <w:r w:rsidR="00B602AD">
        <w:t>this</w:t>
      </w:r>
      <w:r w:rsidR="00337794" w:rsidRPr="00197CB6">
        <w:t xml:space="preserve"> score in </w:t>
      </w:r>
      <w:r w:rsidR="000C12BE">
        <w:t>assessing</w:t>
      </w:r>
      <w:r w:rsidR="00337794" w:rsidRPr="00197CB6">
        <w:t xml:space="preserve"> 6-month</w:t>
      </w:r>
      <w:r w:rsidR="000C12BE">
        <w:t xml:space="preserve"> VTE</w:t>
      </w:r>
      <w:r w:rsidR="00337794" w:rsidRPr="00197CB6">
        <w:t xml:space="preserve"> risk, </w:t>
      </w:r>
      <w:r w:rsidR="00B7140D">
        <w:t>and</w:t>
      </w:r>
      <w:r w:rsidR="00337794" w:rsidRPr="00197CB6">
        <w:t xml:space="preserve"> the efficacy and safety of LMWH among patients with a high</w:t>
      </w:r>
      <w:r w:rsidR="000E639C" w:rsidRPr="00197CB6">
        <w:t>-</w:t>
      </w:r>
      <w:r w:rsidR="00337794" w:rsidRPr="00197CB6">
        <w:t xml:space="preserve">risk Khorana score. </w:t>
      </w:r>
      <w:r w:rsidR="007F1745">
        <w:t>T</w:t>
      </w:r>
      <w:r w:rsidR="00E10E43" w:rsidRPr="00197CB6">
        <w:t>he 3,</w:t>
      </w:r>
      <w:r w:rsidR="00AE55D9">
        <w:t>293</w:t>
      </w:r>
      <w:r w:rsidR="00E10E43" w:rsidRPr="00197CB6">
        <w:t xml:space="preserve"> </w:t>
      </w:r>
      <w:r w:rsidR="00576091" w:rsidRPr="00197CB6">
        <w:t xml:space="preserve">patients </w:t>
      </w:r>
      <w:r w:rsidR="00E10E43" w:rsidRPr="00197CB6">
        <w:t>from the control groups</w:t>
      </w:r>
      <w:r w:rsidR="007F1745">
        <w:t xml:space="preserve"> </w:t>
      </w:r>
      <w:r w:rsidR="00AE55D9">
        <w:t xml:space="preserve">with an available Khorana score </w:t>
      </w:r>
      <w:r w:rsidR="007F1745">
        <w:t>had lung (n=1,913</w:t>
      </w:r>
      <w:r w:rsidR="001A20E2">
        <w:t>; 58%</w:t>
      </w:r>
      <w:r w:rsidR="007F1745">
        <w:t xml:space="preserve">), </w:t>
      </w:r>
      <w:r w:rsidR="007F1745" w:rsidRPr="00F35BF8">
        <w:t>colorectal</w:t>
      </w:r>
      <w:r w:rsidR="007F1745">
        <w:t xml:space="preserve"> (n</w:t>
      </w:r>
      <w:r w:rsidR="007F1745" w:rsidRPr="00F35BF8">
        <w:t>=452</w:t>
      </w:r>
      <w:r w:rsidR="000104DF">
        <w:t xml:space="preserve">; </w:t>
      </w:r>
      <w:r w:rsidR="009077B6">
        <w:t>14%</w:t>
      </w:r>
      <w:r w:rsidR="007F1745">
        <w:t>)</w:t>
      </w:r>
      <w:r w:rsidR="007F1745" w:rsidRPr="00F35BF8">
        <w:t xml:space="preserve">, pancreatic </w:t>
      </w:r>
      <w:r w:rsidR="007F1745">
        <w:t>(n</w:t>
      </w:r>
      <w:r w:rsidR="007F1745" w:rsidRPr="00F35BF8">
        <w:t>=</w:t>
      </w:r>
      <w:r w:rsidR="007F1745">
        <w:t>264</w:t>
      </w:r>
      <w:r w:rsidR="009077B6">
        <w:t>; 8%)</w:t>
      </w:r>
      <w:r w:rsidR="007F1745">
        <w:t>, gastric (n=201</w:t>
      </w:r>
      <w:r w:rsidR="009077B6">
        <w:t>; 6%</w:t>
      </w:r>
      <w:r w:rsidR="007F1745">
        <w:t>), ovarian (n=184</w:t>
      </w:r>
      <w:r w:rsidR="009077B6">
        <w:t>; 56%</w:t>
      </w:r>
      <w:r w:rsidR="007F1745">
        <w:t>), breast (n=164</w:t>
      </w:r>
      <w:r w:rsidR="009077B6">
        <w:t xml:space="preserve">; </w:t>
      </w:r>
      <w:r w:rsidR="00731327">
        <w:t>5%</w:t>
      </w:r>
      <w:r w:rsidR="007F1745">
        <w:t>), brain (n=84</w:t>
      </w:r>
      <w:r w:rsidR="00731327">
        <w:t>; 3%</w:t>
      </w:r>
      <w:r w:rsidR="007F1745">
        <w:t>), or bladder cancer (n=31</w:t>
      </w:r>
      <w:r w:rsidR="00731327">
        <w:t>; 1%</w:t>
      </w:r>
      <w:r w:rsidR="007F1745">
        <w:t>)</w:t>
      </w:r>
      <w:r w:rsidR="001A20E2">
        <w:t>.</w:t>
      </w:r>
      <w:r w:rsidR="007F1745">
        <w:t xml:space="preserve"> </w:t>
      </w:r>
      <w:r w:rsidR="001A20E2">
        <w:t xml:space="preserve">Overall, </w:t>
      </w:r>
      <w:r w:rsidR="002D53DD">
        <w:t>t</w:t>
      </w:r>
      <w:r w:rsidR="001676F1" w:rsidRPr="00197CB6">
        <w:t>he 6-month VTE incidence was 9</w:t>
      </w:r>
      <w:r w:rsidR="00746F1B">
        <w:t>.</w:t>
      </w:r>
      <w:r w:rsidR="001676F1" w:rsidRPr="00197CB6">
        <w:t>8% among high-risk Khorana score patients and 6</w:t>
      </w:r>
      <w:r w:rsidR="00746F1B">
        <w:t>.</w:t>
      </w:r>
      <w:r w:rsidR="001676F1" w:rsidRPr="00197CB6">
        <w:t>4% among low-to-intermediate</w:t>
      </w:r>
      <w:r w:rsidR="00746F1B">
        <w:t>-</w:t>
      </w:r>
      <w:r w:rsidR="001676F1" w:rsidRPr="00197CB6">
        <w:t>risk patients (OR 1</w:t>
      </w:r>
      <w:r w:rsidR="00D536C3">
        <w:t>.</w:t>
      </w:r>
      <w:r w:rsidR="001676F1" w:rsidRPr="00197CB6">
        <w:t>6; 95%-CI</w:t>
      </w:r>
      <w:r w:rsidR="00303066" w:rsidRPr="00197CB6">
        <w:t>,</w:t>
      </w:r>
      <w:r w:rsidR="001676F1" w:rsidRPr="00197CB6">
        <w:t xml:space="preserve"> 1</w:t>
      </w:r>
      <w:r w:rsidR="000C12BE">
        <w:t>.</w:t>
      </w:r>
      <w:r w:rsidR="001676F1" w:rsidRPr="00197CB6">
        <w:t>1-2</w:t>
      </w:r>
      <w:r w:rsidR="000C12BE">
        <w:t>.</w:t>
      </w:r>
      <w:r w:rsidR="001676F1" w:rsidRPr="00197CB6">
        <w:t xml:space="preserve">2). The dichotomous Khorana score </w:t>
      </w:r>
      <w:r w:rsidR="00337794" w:rsidRPr="00197CB6">
        <w:t>performed differently</w:t>
      </w:r>
      <w:r w:rsidR="001676F1" w:rsidRPr="00197CB6">
        <w:t xml:space="preserve"> in lung cancer patients (OR 1</w:t>
      </w:r>
      <w:r w:rsidR="00D536C3">
        <w:t>.</w:t>
      </w:r>
      <w:r w:rsidR="001676F1" w:rsidRPr="00197CB6">
        <w:t>1; 95%-CI, 0</w:t>
      </w:r>
      <w:r w:rsidR="000C12BE">
        <w:t>.</w:t>
      </w:r>
      <w:r w:rsidR="001676F1" w:rsidRPr="00197CB6">
        <w:t>72-1</w:t>
      </w:r>
      <w:r w:rsidR="000C12BE">
        <w:t>.</w:t>
      </w:r>
      <w:r w:rsidR="001676F1" w:rsidRPr="00197CB6">
        <w:t xml:space="preserve">7) than in </w:t>
      </w:r>
      <w:r w:rsidR="007A02D2">
        <w:t>the group</w:t>
      </w:r>
      <w:r w:rsidR="007A02D2" w:rsidRPr="00197CB6">
        <w:t xml:space="preserve"> </w:t>
      </w:r>
      <w:r w:rsidR="001676F1" w:rsidRPr="00197CB6">
        <w:t xml:space="preserve">with other types of cancer (OR </w:t>
      </w:r>
      <w:r w:rsidR="000C1CD6" w:rsidRPr="00197CB6">
        <w:t>3</w:t>
      </w:r>
      <w:r w:rsidR="000C12BE">
        <w:t>.</w:t>
      </w:r>
      <w:r w:rsidR="000C1CD6" w:rsidRPr="00197CB6">
        <w:t>2</w:t>
      </w:r>
      <w:r w:rsidR="001676F1" w:rsidRPr="00197CB6">
        <w:t xml:space="preserve">; 95%-CI, </w:t>
      </w:r>
      <w:r w:rsidR="000C1CD6" w:rsidRPr="00197CB6">
        <w:t>1</w:t>
      </w:r>
      <w:r w:rsidR="002152B3">
        <w:t>.</w:t>
      </w:r>
      <w:r w:rsidR="000C1CD6" w:rsidRPr="00197CB6">
        <w:t>8</w:t>
      </w:r>
      <w:r w:rsidR="001676F1" w:rsidRPr="00197CB6">
        <w:t>-</w:t>
      </w:r>
      <w:r w:rsidR="000C1CD6" w:rsidRPr="00197CB6">
        <w:t>5</w:t>
      </w:r>
      <w:r w:rsidR="002152B3">
        <w:t>.</w:t>
      </w:r>
      <w:r w:rsidR="000C1CD6" w:rsidRPr="00197CB6">
        <w:t>6</w:t>
      </w:r>
      <w:r w:rsidR="001676F1" w:rsidRPr="00197CB6">
        <w:t xml:space="preserve">; </w:t>
      </w:r>
      <w:proofErr w:type="spellStart"/>
      <w:r w:rsidR="001676F1" w:rsidRPr="00197CB6">
        <w:t>P</w:t>
      </w:r>
      <w:r w:rsidR="001676F1" w:rsidRPr="00197CB6">
        <w:rPr>
          <w:i/>
          <w:vertAlign w:val="subscript"/>
        </w:rPr>
        <w:t>interaction</w:t>
      </w:r>
      <w:proofErr w:type="spellEnd"/>
      <w:r w:rsidR="001676F1" w:rsidRPr="00197CB6">
        <w:t>=0</w:t>
      </w:r>
      <w:r w:rsidR="000C12BE">
        <w:t>.</w:t>
      </w:r>
      <w:r w:rsidR="001676F1" w:rsidRPr="00197CB6">
        <w:t>002). Among</w:t>
      </w:r>
      <w:r w:rsidR="00337794" w:rsidRPr="00197CB6">
        <w:t xml:space="preserve"> </w:t>
      </w:r>
      <w:r w:rsidR="001676F1" w:rsidRPr="00197CB6">
        <w:t>high</w:t>
      </w:r>
      <w:r w:rsidR="001A046E" w:rsidRPr="00197CB6">
        <w:t>-</w:t>
      </w:r>
      <w:r w:rsidR="001676F1" w:rsidRPr="00197CB6">
        <w:t xml:space="preserve">risk patients, LMWH decreased the risk of VTE by 64% compared to placebo or observation (OR </w:t>
      </w:r>
      <w:r w:rsidR="001239E9" w:rsidRPr="00197CB6">
        <w:t>0</w:t>
      </w:r>
      <w:r w:rsidR="00D536C3">
        <w:t>.</w:t>
      </w:r>
      <w:r w:rsidR="001239E9" w:rsidRPr="00197CB6">
        <w:t>36; 95%-CI, 0</w:t>
      </w:r>
      <w:r w:rsidR="00D536C3">
        <w:t>.</w:t>
      </w:r>
      <w:r w:rsidR="001239E9" w:rsidRPr="00197CB6">
        <w:t>22-0</w:t>
      </w:r>
      <w:r w:rsidR="00D536C3">
        <w:t>.</w:t>
      </w:r>
      <w:r w:rsidR="001239E9" w:rsidRPr="00197CB6">
        <w:t>58)</w:t>
      </w:r>
      <w:r w:rsidR="001676F1" w:rsidRPr="00197CB6">
        <w:t xml:space="preserve">, </w:t>
      </w:r>
      <w:r w:rsidR="00712524">
        <w:t xml:space="preserve">without </w:t>
      </w:r>
      <w:r w:rsidR="001676F1" w:rsidRPr="00197CB6">
        <w:t>increas</w:t>
      </w:r>
      <w:r w:rsidR="00712524">
        <w:t>ing</w:t>
      </w:r>
      <w:r w:rsidR="001676F1" w:rsidRPr="00197CB6">
        <w:t xml:space="preserve"> </w:t>
      </w:r>
      <w:r w:rsidR="00337794" w:rsidRPr="00197CB6">
        <w:t xml:space="preserve">the </w:t>
      </w:r>
      <w:r w:rsidR="001676F1" w:rsidRPr="00197CB6">
        <w:t>risk of major bleeding (OR 1</w:t>
      </w:r>
      <w:r w:rsidR="002152B3">
        <w:t>.</w:t>
      </w:r>
      <w:r w:rsidR="001676F1" w:rsidRPr="00197CB6">
        <w:t>1; 95%-CI</w:t>
      </w:r>
      <w:r w:rsidR="00303066" w:rsidRPr="00197CB6">
        <w:t>,</w:t>
      </w:r>
      <w:r w:rsidR="001676F1" w:rsidRPr="00197CB6">
        <w:t xml:space="preserve"> 0</w:t>
      </w:r>
      <w:r w:rsidR="002152B3">
        <w:t>.</w:t>
      </w:r>
      <w:r w:rsidR="001676F1" w:rsidRPr="00197CB6">
        <w:t>59-2</w:t>
      </w:r>
      <w:r w:rsidR="002152B3">
        <w:t>.</w:t>
      </w:r>
      <w:r w:rsidR="001676F1" w:rsidRPr="00197CB6">
        <w:t>1).</w:t>
      </w:r>
      <w:r w:rsidR="00337794" w:rsidRPr="00197CB6">
        <w:t xml:space="preserve"> </w:t>
      </w:r>
      <w:r w:rsidR="00746F1B">
        <w:t>In conclusion, t</w:t>
      </w:r>
      <w:r w:rsidR="001239E9" w:rsidRPr="00197CB6">
        <w:t xml:space="preserve">he Khorana score </w:t>
      </w:r>
      <w:r w:rsidR="002C0D37">
        <w:t>was</w:t>
      </w:r>
      <w:r w:rsidR="00D6738F">
        <w:t xml:space="preserve"> </w:t>
      </w:r>
      <w:r w:rsidR="00712524">
        <w:t>un</w:t>
      </w:r>
      <w:r w:rsidR="00D6738F">
        <w:t>able to stratify</w:t>
      </w:r>
      <w:r w:rsidR="000F6D67" w:rsidRPr="00197CB6">
        <w:t xml:space="preserve"> patients with lung cancer</w:t>
      </w:r>
      <w:r w:rsidR="008E6198">
        <w:t xml:space="preserve"> based on their </w:t>
      </w:r>
      <w:r w:rsidR="00712524">
        <w:t xml:space="preserve">VTE </w:t>
      </w:r>
      <w:r w:rsidR="008E6198">
        <w:t>risk</w:t>
      </w:r>
      <w:r w:rsidR="00746F1B">
        <w:t>,</w:t>
      </w:r>
      <w:r w:rsidR="008E6198">
        <w:t xml:space="preserve"> while </w:t>
      </w:r>
      <w:r w:rsidR="0074753C">
        <w:t xml:space="preserve">in the group of </w:t>
      </w:r>
      <w:r w:rsidR="008E6198">
        <w:t>patie</w:t>
      </w:r>
      <w:r w:rsidR="00860029">
        <w:t xml:space="preserve">nts with other </w:t>
      </w:r>
      <w:r w:rsidR="00712524">
        <w:t xml:space="preserve">cancer </w:t>
      </w:r>
      <w:r w:rsidR="00860029">
        <w:t>types, a high-risk score</w:t>
      </w:r>
      <w:r w:rsidR="008E6198" w:rsidRPr="00197CB6">
        <w:t xml:space="preserve"> </w:t>
      </w:r>
      <w:r w:rsidR="002C0D37">
        <w:t>was</w:t>
      </w:r>
      <w:r w:rsidR="0074753C">
        <w:t xml:space="preserve"> </w:t>
      </w:r>
      <w:r w:rsidR="001239E9" w:rsidRPr="00197CB6">
        <w:t xml:space="preserve">associated with </w:t>
      </w:r>
      <w:proofErr w:type="gramStart"/>
      <w:r w:rsidR="001239E9" w:rsidRPr="00197CB6">
        <w:t>a</w:t>
      </w:r>
      <w:r w:rsidR="00E35E29">
        <w:t>n</w:t>
      </w:r>
      <w:proofErr w:type="gramEnd"/>
      <w:r w:rsidR="00E35E29">
        <w:t xml:space="preserve"> </w:t>
      </w:r>
      <w:r w:rsidR="007B5333" w:rsidRPr="00197CB6">
        <w:t>3</w:t>
      </w:r>
      <w:r w:rsidR="001239E9" w:rsidRPr="00197CB6">
        <w:t xml:space="preserve">-fold increased risk of VTE </w:t>
      </w:r>
      <w:r w:rsidR="00860029">
        <w:t>compared with a low-to-intermediate risk score</w:t>
      </w:r>
      <w:r w:rsidR="001239E9" w:rsidRPr="00197CB6">
        <w:t xml:space="preserve">. Thromboprophylaxis </w:t>
      </w:r>
      <w:r w:rsidR="002C0D37">
        <w:t>was</w:t>
      </w:r>
      <w:r w:rsidR="002C0D37" w:rsidRPr="00197CB6">
        <w:t xml:space="preserve"> </w:t>
      </w:r>
      <w:r w:rsidR="001239E9" w:rsidRPr="00197CB6">
        <w:t xml:space="preserve">effective and safe in patients with a </w:t>
      </w:r>
      <w:r w:rsidR="000E639C" w:rsidRPr="00197CB6">
        <w:t>high-</w:t>
      </w:r>
      <w:r w:rsidR="001239E9" w:rsidRPr="00197CB6">
        <w:t>risk Khorana score.</w:t>
      </w:r>
    </w:p>
    <w:p w14:paraId="35757388" w14:textId="77777777" w:rsidR="00780086" w:rsidRDefault="00780086">
      <w:pPr>
        <w:spacing w:line="240" w:lineRule="auto"/>
      </w:pPr>
      <w:r w:rsidRPr="00197CB6">
        <w:br w:type="page"/>
      </w:r>
    </w:p>
    <w:p w14:paraId="53371592" w14:textId="1556DB03" w:rsidR="0088031D" w:rsidRDefault="00484C64">
      <w:pPr>
        <w:rPr>
          <w:b/>
        </w:rPr>
      </w:pPr>
      <w:r>
        <w:rPr>
          <w:b/>
        </w:rPr>
        <w:lastRenderedPageBreak/>
        <w:t>INTRODUCTION</w:t>
      </w:r>
    </w:p>
    <w:p w14:paraId="03435B48" w14:textId="0223E890" w:rsidR="0088031D" w:rsidRDefault="00861A04">
      <w:r>
        <w:t>Venous thromboembolism</w:t>
      </w:r>
      <w:r w:rsidR="00A621B4">
        <w:t xml:space="preserve"> (VTE)</w:t>
      </w:r>
      <w:r>
        <w:t xml:space="preserve">, </w:t>
      </w:r>
      <w:r w:rsidR="00DF093D">
        <w:t>comprising</w:t>
      </w:r>
      <w:r>
        <w:t xml:space="preserve"> pulmonary embolism </w:t>
      </w:r>
      <w:r w:rsidR="00F16A38">
        <w:t xml:space="preserve">(PE) </w:t>
      </w:r>
      <w:r>
        <w:t>and deep vein thrombosis</w:t>
      </w:r>
      <w:r w:rsidR="00F16A38">
        <w:t xml:space="preserve"> (DVT)</w:t>
      </w:r>
      <w:r>
        <w:t xml:space="preserve">, </w:t>
      </w:r>
      <w:r w:rsidR="0088031D">
        <w:t xml:space="preserve">is </w:t>
      </w:r>
      <w:r>
        <w:t>a frequent and burdensome complication of cancer</w:t>
      </w:r>
      <w:r w:rsidR="0088031D">
        <w:t xml:space="preserve">. </w:t>
      </w:r>
      <w:r w:rsidR="00D57281">
        <w:t xml:space="preserve">Current evidence </w:t>
      </w:r>
      <w:r w:rsidR="00C16013">
        <w:t>shows</w:t>
      </w:r>
      <w:r w:rsidR="00D57281">
        <w:t xml:space="preserve"> that between</w:t>
      </w:r>
      <w:r w:rsidR="0088031D">
        <w:t xml:space="preserve"> 1% and </w:t>
      </w:r>
      <w:r>
        <w:t>15</w:t>
      </w:r>
      <w:r w:rsidR="0088031D">
        <w:t>% of cancer patients will develop VTE during the course of their disease, depending on cancer type, stage, and treatment</w:t>
      </w:r>
      <w:r w:rsidR="00533DCA">
        <w:t>.</w:t>
      </w:r>
      <w:r w:rsidR="00524A1E">
        <w:fldChar w:fldCharType="begin" w:fldLock="1"/>
      </w:r>
      <w:r w:rsidR="00524A1E">
        <w:instrText>ADDIN CSL_CITATION {"citationItems":[{"id":"ITEM-1","itemData":{"DOI":"10.1182/blood-2013-04-460121","ISSN":"1528-0020","PMID":"23908465","abstract":"Cancer-associated venous thrombosis is a common condition, although the reported incidence varies widely between studies depending on patient population, start and duration of follow-up, and the method of detecting and reporting thrombotic events. Furthermore, as cancer is a heterogeneous disease, the risk of venous thrombosis depends on cancer types and stages, treatment measures, and patient-related factors. In general, cancer patients with venous thrombosis do not fare well and have an increased mortality compared with cancer patients without. This may be explained by the more aggressive type of malignancies associated with this condition. It is hypothesized that thromboprophylaxis in cancer patients might improve prognosis and quality of life by preventing thrombotic events. However, anticoagulant treatment leads to increased bleeding, particularly in this patient group, so in case of proven benefit of thromboprophylaxis, only patients with a high risk of venous thrombosis should be considered. This review describes the literature on incidence of and risk factors for cancer-associated venous thrombosis, with the aim to provide a basis for identification of high-risk patients and for further development and refinement of prediction models. Furthermore, knowledge on risk factors for cancer-related venous thrombosis may enhance the understanding of the pathophysiology of thrombosis in these patients.","author":[{"dropping-particle":"","family":"Timp","given":"Jasmijn F","non-dropping-particle":"","parse-names":false,"suffix":""},{"dropping-particle":"","family":"Braekkan","given":"Sigrid K","non-dropping-particle":"","parse-names":false,"suffix":""},{"dropping-particle":"","family":"Versteeg","given":"Henri H","non-dropping-particle":"","parse-names":false,"suffix":""},{"dropping-particle":"","family":"Cannegieter","given":"Suzanne C","non-dropping-particle":"","parse-names":false,"suffix":""}],"container-title":"Blood","id":"ITEM-1","issue":"10","issued":{"date-parts":[["2013","10","5"]]},"page":"1712-23","title":"Epidemiology of cancer-associated venous thrombosis.","type":"article-journal","volume":"122"},"uris":["http://www.mendeley.com/documents/?uuid=ad1b7695-f2eb-4f0b-830e-2a3f41ebde8f"]}],"mendeley":{"formattedCitation":"&lt;sup&gt;1&lt;/sup&gt;","plainTextFormattedCitation":"1","previouslyFormattedCitation":"&lt;sup&gt;1&lt;/sup&gt;"},"properties":{"noteIndex":0},"schema":"https://github.com/citation-style-language/schema/raw/master/csl-citation.json"}</w:instrText>
      </w:r>
      <w:r w:rsidR="00524A1E">
        <w:fldChar w:fldCharType="separate"/>
      </w:r>
      <w:r w:rsidR="00524A1E" w:rsidRPr="00E10E43">
        <w:rPr>
          <w:noProof/>
          <w:vertAlign w:val="superscript"/>
        </w:rPr>
        <w:t>1</w:t>
      </w:r>
      <w:r w:rsidR="00524A1E">
        <w:fldChar w:fldCharType="end"/>
      </w:r>
      <w:r w:rsidR="0088031D">
        <w:t xml:space="preserve"> </w:t>
      </w:r>
      <w:r w:rsidR="003105C7">
        <w:t xml:space="preserve">With the substantial </w:t>
      </w:r>
      <w:r w:rsidR="002C4431">
        <w:t>increase</w:t>
      </w:r>
      <w:r w:rsidR="003105C7">
        <w:t xml:space="preserve"> in cancer</w:t>
      </w:r>
      <w:r w:rsidR="002C4431">
        <w:t xml:space="preserve"> survival, aging of the cancer population,</w:t>
      </w:r>
      <w:r w:rsidR="003105C7">
        <w:t xml:space="preserve"> and</w:t>
      </w:r>
      <w:r w:rsidR="002C4431">
        <w:t xml:space="preserve"> the</w:t>
      </w:r>
      <w:r w:rsidR="003105C7">
        <w:t xml:space="preserve"> introduction of</w:t>
      </w:r>
      <w:r w:rsidR="0088031D">
        <w:t xml:space="preserve"> novel, </w:t>
      </w:r>
      <w:r w:rsidR="00A621B4">
        <w:t xml:space="preserve">often </w:t>
      </w:r>
      <w:r w:rsidR="0088031D">
        <w:t>thrombogenic cancer therapies,</w:t>
      </w:r>
      <w:r w:rsidR="00EC73DB">
        <w:fldChar w:fldCharType="begin" w:fldLock="1"/>
      </w:r>
      <w:r w:rsidR="00EC73DB">
        <w:instrText>ADDIN CSL_CITATION {"citationItems":[{"id":"ITEM-1","itemData":{"DOI":"10.1093/annonc/mdr592","ISSN":"09237534","PMID":"22241897","abstract":"Purpose: Anti-epidermal growth factor receptor (EGFR) agents [monoclonal antibodies (MoAbs), tyrosine kinase inhibitors (TKIs)] are targeted therapies used in advanced cancers. Arterial and venous thromboembolic events (ATEs and VTEs excluding catheter-related events) were not investigated with these agents, and the risk of these events is still unknown. Patients and methods: We have carried out a meta-analysis in order to determine the incidence and the relative risk (RR) of VTEs and ATEs associated with these agents. Statistical analyses were conducted to calculate the summary incidence, RRs and 95% confidence intervals (CIs) by using either random effects or fixed effect models according to the heterogeneity of the included studies. Results: A total of 13 studies (7611 patients) was selected for this meta-analysis. The associated RRs of VTEs (11 studies comprising 7073 patients) and ATEs (5 studies consisting of 3030 patients) were 1.32 (95% CI 1.07-1.63; P equals 0.01) and 1.34 (95% CI 0.94-1.9; P equals 0.11) compared with control patients. The analysis of VTEs was also stratified by class of agents: MoAbs (RR 1.34; P equals 0.01) and oral TKIs (RR 1.16; P equals 0.65). Conclusion: Anti-EGFR agents are associated with a significant increase in the risk of VTEs. In particular, the risk is significant with cetuximab and panitumumab in settings where these drugs are currently approved. The Author 2012. Published by Oxford University Press on behalf of the European Society for Medical Oncology. All rights reserved.","author":[{"dropping-particle":"","family":"Petrelli","given":"F.","non-dropping-particle":"","parse-names":false,"suffix":""},{"dropping-particle":"","family":"Cabiddu","given":"M.","non-dropping-particle":"","parse-names":false,"suffix":""},{"dropping-particle":"","family":"Borgonovo","given":"K.","non-dropping-particle":"","parse-names":false,"suffix":""},{"dropping-particle":"","family":"Barni","given":"S.","non-dropping-particle":"","parse-names":false,"suffix":""}],"container-title":"Annals of Oncology","id":"ITEM-1","issue":"7","issued":{"date-parts":[["2012"]]},"page":"1672-1679","title":"Risk of venous and arterial thromboembolic events associated with anti-EGFR agents: A meta-analysis of randomized clinical trials","type":"article-journal","volume":"23"},"uris":["http://www.mendeley.com/documents/?uuid=2fbd4392-5448-483f-ba8a-548f296a7c69"]},{"id":"ITEM-2","itemData":{"DOI":"10.1001/jama.2008.656","ISSN":"1538-3598","PMID":"19017914","abstract":"CONTEXT: Venous thromboembolism is one of the leading causes of morbidity and mortality in patients with cancer. Concerns have arisen regarding the risk of venous thromboembolism with the novel antiangiogenic agent bevacizumab, a recombinant humanized monoclonal antibody to vascular endothelial growth factor that is widely used in cancer treatment. Currently, the role of bevacizumab in venous thromboembolism is controversial. OBJECTIVE: To assess the overall risk of venous thromboembolism associated with the use of bevacizumab, a systematic review and meta-analysis of published randomized controlled trials was performed. DATA SOURCES: The databases of PubMed and Web of Science were searched for articles published in the English language from January 1966 until January 2008 and abstracts presented at American Society of Clinical Oncology conferences held between January 2000 and January 2008 were searched to identify relevant clinical trials. STUDY SELECTION AND DATA EXTRACTION: Eligible studies included prospective randomized controlled trials in which standard antineoplastic therapy was used with and without bevacizumab and data on venous thromboembolism were available. Summary incidence rates, relative risks (RRs), and 95% confidence intervals (CIs) were calculated using random-effects or fixed-effects models based on the heterogeneity of included studies. DATA SYNTHESIS: A total of 7956 patients with a variety of advanced solid tumors from 15 randomized controlled trials were identified and included for analysis. Among those patients receiving bevacizumab, the summary incidences of all-grade and high-grade venous thromboembolism were 11.9% (95% CI, 6.8%-19.9%) and 6.3% (95% CI, 4.8%-8.3%), respectively. Patients treated with bevacizumab had a significantly increased risk of venous thromboembolism with an RR of 1.33 (95% CI, 1.13-1.56; P &lt; .001) compared with controls. The risk was significantly increased for both all-grade and high-grade venous thromboembolism. In addition, the risk was similarly increased for bevacizumab at 2.5 mg/kg per week (low dose; RR, 1.31 [95% CI, 1.08-1.60]; P = .007) and 5 mg/kg per week (high dose; RR, 1.31 [95% CI, 1.02-1.68]; P = .04). CONCLUSION: The use of bevacizumab was significantly associated with an increased risk of developing venous thromboembolism in cancer patients receiving this drug.","author":[{"dropping-particle":"","family":"Nalluri","given":"Shobha Rani","non-dropping-particle":"","parse-names":false,"suffix":""},{"dropping-particle":"","family":"Chu","given":"David","non-dropping-particle":"","parse-names":false,"suffix":""},{"dropping-particle":"","family":"Keresztes","given":"Roger","non-dropping-particle":"","parse-names":false,"suffix":""},{"dropping-particle":"","family":"Zhu","given":"Xiaolei","non-dropping-particle":"","parse-names":false,"suffix":""},{"dropping-particle":"","family":"Wu","given":"Shenhong","non-dropping-particle":"","parse-names":false,"suffix":""}],"container-title":"JAMA : the journal of the American Medical Association","id":"ITEM-2","issue":"19","issued":{"date-parts":[["2008","11","19"]]},"page":"2277-85","title":"Risk of venous thromboembolism with the angiogenesis inhibitor bevacizumab in cancer patients: a meta-analysis.","type":"article-journal","volume":"300"},"uris":["http://www.mendeley.com/documents/?uuid=1c29c8d9-41b4-41da-8a6b-ecda7f3eebb7"]}],"mendeley":{"formattedCitation":"&lt;sup&gt;2,3&lt;/sup&gt;","plainTextFormattedCitation":"2,3","previouslyFormattedCitation":"&lt;sup&gt;2,3&lt;/sup&gt;"},"properties":{"noteIndex":0},"schema":"https://github.com/citation-style-language/schema/raw/master/csl-citation.json"}</w:instrText>
      </w:r>
      <w:r w:rsidR="00EC73DB">
        <w:fldChar w:fldCharType="separate"/>
      </w:r>
      <w:r w:rsidR="00EC73DB" w:rsidRPr="00E10E43">
        <w:rPr>
          <w:noProof/>
          <w:vertAlign w:val="superscript"/>
        </w:rPr>
        <w:t>2,3</w:t>
      </w:r>
      <w:r w:rsidR="00EC73DB">
        <w:fldChar w:fldCharType="end"/>
      </w:r>
      <w:r w:rsidR="0088031D">
        <w:t xml:space="preserve"> </w:t>
      </w:r>
      <w:r w:rsidR="002C4431">
        <w:t>VTE incidence in cancer patients</w:t>
      </w:r>
      <w:r w:rsidR="0088031D">
        <w:t xml:space="preserve"> is likely to rise</w:t>
      </w:r>
      <w:r w:rsidR="002C4431">
        <w:t xml:space="preserve"> in the coming years</w:t>
      </w:r>
      <w:r w:rsidR="0088031D">
        <w:t xml:space="preserve">. </w:t>
      </w:r>
    </w:p>
    <w:p w14:paraId="4A119972" w14:textId="12FF5731" w:rsidR="00861A04" w:rsidRPr="00197CB6" w:rsidRDefault="00242AF5">
      <w:r>
        <w:t>I</w:t>
      </w:r>
      <w:r w:rsidR="00861A04">
        <w:t xml:space="preserve">nternational guidelines recommend against routine </w:t>
      </w:r>
      <w:r w:rsidR="00AF0CE1">
        <w:t xml:space="preserve">use of </w:t>
      </w:r>
      <w:r w:rsidR="00861A04">
        <w:t>thromboprophylaxis</w:t>
      </w:r>
      <w:r w:rsidR="00AF0CE1">
        <w:t xml:space="preserve"> in cancer outpatients, </w:t>
      </w:r>
      <w:r w:rsidR="00E10E43">
        <w:t>while</w:t>
      </w:r>
      <w:r w:rsidR="007A2D80">
        <w:t xml:space="preserve"> </w:t>
      </w:r>
      <w:r w:rsidR="00E10E43">
        <w:t>mos</w:t>
      </w:r>
      <w:r w:rsidR="00064A31">
        <w:t>t</w:t>
      </w:r>
      <w:r w:rsidR="00AF0CE1">
        <w:t xml:space="preserve"> </w:t>
      </w:r>
      <w:r w:rsidR="00EF05F2">
        <w:t xml:space="preserve">recommend or </w:t>
      </w:r>
      <w:r w:rsidR="00AF0CE1">
        <w:t xml:space="preserve">suggest primary prevention </w:t>
      </w:r>
      <w:r w:rsidR="00DF60E6">
        <w:t>for</w:t>
      </w:r>
      <w:r w:rsidR="00A621B4">
        <w:t xml:space="preserve"> patients </w:t>
      </w:r>
      <w:r w:rsidR="00A64E30">
        <w:t>at high risk</w:t>
      </w:r>
      <w:r w:rsidR="00AF0CE1">
        <w:t xml:space="preserve"> of VTE</w:t>
      </w:r>
      <w:r w:rsidR="00EF05F2">
        <w:t xml:space="preserve"> </w:t>
      </w:r>
      <w:r w:rsidR="00AF0CE1">
        <w:t>as assessed by the Khorana score.</w:t>
      </w:r>
      <w:r w:rsidR="00EF05F2">
        <w:fldChar w:fldCharType="begin" w:fldLock="1"/>
      </w:r>
      <w:r w:rsidR="00BC28CF">
        <w:instrText>ADDIN CSL_CITATION {"citationItems":[{"id":"ITEM-1","itemData":{"DOI":"10.1093/annonc/mdr392","ISSN":"1569-8041","PMID":"21908511","author":[{"dropping-particle":"","family":"Mandala","given":"M.","non-dropping-particle":"","parse-names":false,"suffix":""},{"dropping-particle":"","family":"Falanga","given":"A.","non-dropping-particle":"","parse-names":false,"suffix":""},{"dropping-particle":"","family":"Roila","given":"F.","non-dropping-particle":"","parse-names":false,"suffix":""},{"dropping-particle":"","family":"Mandalà","given":"M","non-dropping-particle":"","parse-names":false,"suffix":""},{"dropping-particle":"","family":"Falanga","given":"A.","non-dropping-particle":"","parse-names":false,"suffix":""},{"dropping-particle":"","family":"Roila","given":"F.","non-dropping-particle":"","parse-names":false,"suffix":""}],"container-title":"Annals of oncology : official journal of the European Society for Medical Oncology / ESMO","id":"ITEM-1","issue":"Supplement 6","issued":{"date-parts":[["2011","9"]]},"page":"vi85-92","title":"Management of venous thromboembolism (VTE) in cancer patients: ESMO Clinical Practice Guidelines.","type":"article-journal","volume":"22 Suppl 6"},"uris":["http://www.mendeley.com/documents/?uuid=28dbd9df-9ccb-4d66-949b-6a8d4dc191cf"]},{"id":"ITEM-2","itemData":{"DOI":"10.6004/jnccn.2018.0084","ISSN":"1540-1413","PMID":"30442731","abstract":"Venous thromboembolism (VTE) is common in patients with cancer and increases morbidity and mortality. VTE prevention and treatment are more complex in patients with cancer. The NCCN Guidelines for Cancer-Associated Venous Thromboembolic Disease outline strategies for treatment and prevention of VTE in adult patients diagnosed with cancer or in whom cancer is clinically suspected. These NCCN Guidelines Insights explain recent changes in anticoagulants recommended for the treatment of cancer-associated VTE.","author":[{"dropping-particle":"","family":"Streiff","given":"Michael B","non-dropping-particle":"","parse-names":false,"suffix":""},{"dropping-particle":"","family":"Holmstrom","given":"Bjorn","non-dropping-particle":"","parse-names":false,"suffix":""},{"dropping-particle":"","family":"Angelini","given":"Dana","non-dropping-particle":"","parse-names":false,"suffix":""},{"dropping-particle":"","family":"Ashrani","given":"Aneel","non-dropping-particle":"","parse-names":false,"suffix":""},{"dropping-particle":"","family":"Bockenstedt","given":"Paula L","non-dropping-particle":"","parse-names":false,"suffix":""},{"dropping-particle":"","family":"Chesney","given":"Carolyn","non-dropping-particle":"","parse-names":false,"suffix":""},{"dropping-particle":"","family":"Fanikos","given":"John","non-dropping-particle":"","parse-names":false,"suffix":""},{"dropping-particle":"","family":"Fenninger","given":"Randolph B","non-dropping-particle":"","parse-names":false,"suffix":""},{"dropping-particle":"","family":"Fogerty","given":"Annemarie E","non-dropping-particle":"","parse-names":false,"suffix":""},{"dropping-particle":"","family":"Gao","given":"Shuwei","non-dropping-particle":"","parse-names":false,"suffix":""},{"dropping-particle":"","family":"Goldhaber","given":"Samuel Z","non-dropping-particle":"","parse-names":false,"suffix":""},{"dropping-particle":"","family":"Gundabolu","given":"Krishna","non-dropping-particle":"","parse-names":false,"suffix":""},{"dropping-particle":"","family":"Hendrie","given":"Paul","non-dropping-particle":"","parse-names":false,"suffix":""},{"dropping-particle":"","family":"Lee","given":"Alfred I","non-dropping-particle":"","parse-names":false,"suffix":""},{"dropping-particle":"","family":"Lee","given":"Jason T","non-dropping-particle":"","parse-names":false,"suffix":""},{"dropping-particle":"","family":"Mann","given":"Janelle","non-dropping-particle":"","parse-names":false,"suffix":""},{"dropping-particle":"","family":"McMahon","given":"Brandon","non-dropping-particle":"","parse-names":false,"suffix":""},{"dropping-particle":"","family":"Millenson","given":"Michael M","non-dropping-particle":"","parse-names":false,"suffix":""},{"dropping-particle":"","family":"Morton","given":"Colleen","non-dropping-particle":"","parse-names":false,"suffix":""},{"dropping-particle":"","family":"Ortel","given":"Thomas L","non-dropping-particle":"","parse-names":false,"suffix":""},{"dropping-particle":"","family":"Ozair","given":"Sadat","non-dropping-particle":"","parse-names":false,"suffix":""},{"dropping-particle":"","family":"Paschal","given":"Rita","non-dropping-particle":"","parse-names":false,"suffix":""},{"dropping-particle":"","family":"Shattil","given":"Sanford","non-dropping-particle":"","parse-names":false,"suffix":""},{"dropping-particle":"","family":"Siddiqi","given":"Tanya","non-dropping-particle":"","parse-names":false,"suffix":""},{"dropping-particle":"","family":"Smock","given":"Kristi J","non-dropping-particle":"","parse-names":false,"suffix":""},{"dropping-particle":"","family":"Soff","given":"Gerald","non-dropping-particle":"","parse-names":false,"suffix":""},{"dropping-particle":"","family":"Wang","given":"Tzu-Fei","non-dropping-particle":"","parse-names":false,"suffix":""},{"dropping-particle":"","family":"Williams","given":"Eliot","non-dropping-particle":"","parse-names":false,"suffix":""},{"dropping-particle":"","family":"Zakarija","given":"Anaadriana","non-dropping-particle":"","parse-names":false,"suffix":""},{"dropping-particle":"","family":"Hammond","given":"Lydia","non-dropping-particle":"","parse-names":false,"suffix":""},{"dropping-particle":"","family":"Dwyer","given":"Mary A","non-dropping-particle":"","parse-names":false,"suffix":""},{"dropping-particle":"","family":"Engh","given":"Anita M","non-dropping-particle":"","parse-names":false,"suffix":""}],"container-title":"Journal of the National Comprehensive Cancer Network : JNCCN","id":"ITEM-2","issue":"11","issued":{"date-parts":[["2018"]]},"page":"1289-1303","title":"NCCN Guidelines Insights: Cancer-Associated Venous Thromboembolic Disease, Version 2.2018.","type":"article-journal","volume":"16"},"uris":["http://www.mendeley.com/documents/?uuid=bea2adfa-1082-4ebb-9f3d-9d93ddb76761"]},{"id":"ITEM-3","itemData":{"DOI":"10.1200/JCO.19.01461","ISSN":"0732-183X","author":[{"dropping-particle":"","family":"Key","given":"Nigel S.","non-dropping-particle":"","parse-names":false,"suffix":""},{"dropping-particle":"","family":"Khorana","given":"Alok A.","non-dropping-particle":"","parse-names":false,"suffix":""},{"dropping-particle":"","family":"Kuderer","given":"Nicole M.","non-dropping-particle":"","parse-names":false,"suffix":""},{"dropping-particle":"","family":"Bohlke","given":"Kari","non-dropping-particle":"","parse-names":false,"suffix":""},{"dropping-particle":"","family":"Lee","given":"Agnes Y.Y.","non-dropping-particle":"","parse-names":false,"suffix":""},{"dropping-particle":"","family":"Arcelus","given":"Juan I.","non-dropping-particle":"","parse-names":false,"suffix":""},{"dropping-particle":"","family":"Wong","given":"Sandra L.","non-dropping-particle":"","parse-names":false,"suffix":""},{"dropping-particle":"","family":"Balaban","given":"Edward P.","non-dropping-particle":"","parse-names":false,"suffix":""},{"dropping-particle":"","family":"Flowers","given":"Christopher R.","non-dropping-particle":"","parse-names":false,"suffix":""},{"dropping-particle":"","family":"Francis","given":"Charles W.","non-dropping-particle":"","parse-names":false,"suffix":""},{"dropping-particle":"","family":"Gates","given":"Leigh E.","non-dropping-particle":"","parse-names":false,"suffix":""},{"dropping-particle":"","family":"Kakkar","given":"Ajay K.","non-dropping-particle":"","parse-names":false,"suffix":""},{"dropping-particle":"","family":"Levine","given":"Mark N.","non-dropping-particle":"","parse-names":false,"suffix":""},{"dropping-particle":"","family":"Liebman","given":"Howard A.","non-dropping-particle":"","parse-names":false,"suffix":""},{"dropping-particle":"","family":"Tempero","given":"Margaret A.","non-dropping-particle":"","parse-names":false,"suffix":""},{"dropping-particle":"","family":"Lyman","given":"Gary H.","non-dropping-particle":"","parse-names":false,"suffix":""},{"dropping-particle":"","family":"Falanga","given":"Anna","non-dropping-particle":"","parse-names":false,"suffix":""}],"container-title":"Journal of Clinical Oncology","id":"ITEM-3","issued":{"date-parts":[["2019","8","5"]]},"page":"JCO.19.01461","title":"Venous Thromboembolism Prophylaxis and Treatment in Patients With Cancer: ASCO Clinical Practice Guideline Update","type":"article-journal"},"uris":["http://www.mendeley.com/documents/?uuid=78f8fc54-fa0e-4450-8831-386c83267c41"]},{"id":"ITEM-4","itemData":{"DOI":"10.1111/bjh.13556","ISSN":"1365-2141","PMID":"26114207","abstract":"The guideline was drafted by a writing group identified by the Haemostasis and Thrombosis Task Force of the British Committee for Standards in Haematology (BCSH). All the authors are consultants in haematology in the UK. A search was performed of PubMed and Embase using the term 'cancer' combined with 'thrombosis', 'treatment', 'prophylaxis' and 'clinical presentation'. The search covered articles published up until December 2014. Only human studies were included and articles not written in English were excluded. References in recent reviews were also examined. The writing group produced the draft guideline, which was subsequently revised by consensus by members of the Haemostasis and Thrombosis Task Force of the BCSH and the BCSH executive. The guideline was then reviewed by the sounding board of the British Society for Haematology (BSH). This comprises 50 or more members of the BSH who have reviewed the guidance and commented on the content and application to the UK setting. The 'GRADE' system was used to quote levels and grades of evidence, details of which can be found at: http://www.bcshguidelines.com/BCSH_PROCESS/EVIDENCE_LEVELS_AND_GRADES_OF_RECOMMENDATION/43_GRADE.html. The objective of this guideline is to provide healthcare professionals with clear guidance on the prevention and management of venous thromboembolism (VTE) in patients with cancer and to advise on an approach to screening for cancer in patients with unprovoked VTE in whom cancer was not initially suspected based on clinical grounds.","author":[{"dropping-particle":"","family":"Watson","given":"Henry G.","non-dropping-particle":"","parse-names":false,"suffix":""},{"dropping-particle":"","family":"Keeling","given":"David M.","non-dropping-particle":"","parse-names":false,"suffix":""},{"dropping-particle":"","family":"Laffan","given":"Mike","non-dropping-particle":"","parse-names":false,"suffix":""},{"dropping-particle":"","family":"Tait","given":"Robert Campbell","non-dropping-particle":"","parse-names":false,"suffix":""},{"dropping-particle":"","family":"Makris","given":"Mike","non-dropping-particle":"","parse-names":false,"suffix":""},{"dropping-particle":"","family":"British Committee for Standards in Haematology","given":"","non-dropping-particle":"","parse-names":false,"suffix":""}],"container-title":"British journal of haematology","id":"ITEM-4","issue":"5","issued":{"date-parts":[["2015","9"]]},"page":"640-8","title":"Guideline on aspects of cancer-related venous thrombosis.","type":"article-journal","volume":"170"},"uris":["http://www.mendeley.com/documents/?uuid=fba8a4f1-0a92-46e5-a07d-b681e76c0b22"]},{"id":"ITEM-5","itemData":{"DOI":"10.1016/S1470-2045(19)30336-5","ISSN":"14702045","author":[{"dropping-particle":"","family":"Farge","given":"Dominique","non-dropping-particle":"","parse-names":false,"suffix":""},{"dropping-particle":"","family":"Frere","given":"Corinne","non-dropping-particle":"","parse-names":false,"suffix":""},{"dropping-particle":"","family":"Connors","given":"Jean M","non-dropping-particle":"","parse-names":false,"suffix":""},{"dropping-particle":"","family":"Ay","given":"Cihan","non-dropping-particle":"","parse-names":false,"suffix":""},{"dropping-particle":"","family":"Khorana","given":"Alok A","non-dropping-particle":"","parse-names":false,"suffix":""},{"dropping-particle":"","family":"Munoz","given":"Andres","non-dropping-particle":"","parse-names":false,"suffix":""},{"dropping-particle":"","family":"Brenner","given":"Benjamin","non-dropping-particle":"","parse-names":false,"suffix":""},{"dropping-particle":"","family":"Kakkar","given":"Ajay","non-dropping-particle":"","parse-names":false,"suffix":""},{"dropping-particle":"","family":"Rafii","given":"Hanadi","non-dropping-particle":"","parse-names":false,"suffix":""},{"dropping-particle":"","family":"Solymoss","given":"Susan","non-dropping-particle":"","parse-names":false,"suffix":""},{"dropping-particle":"","family":"Brilhante","given":"Dialina","non-dropping-particle":"","parse-names":false,"suffix":""},{"dropping-particle":"","family":"Monreal","given":"Manuel","non-dropping-particle":"","parse-names":false,"suffix":""},{"dropping-particle":"","family":"Bounameaux","given":"Henri","non-dropping-particle":"","parse-names":false,"suffix":""},{"dropping-particle":"","family":"Pabinger","given":"Ingrid","non-dropping-particle":"","parse-names":false,"suffix":""},{"dropping-particle":"","family":"Douketis","given":"James","non-dropping-particle":"","parse-names":false,"suffix":""},{"dropping-particle":"","family":"Ageno","given":"Walter","non-dropping-particle":"","parse-names":false,"suffix":""},{"dropping-particle":"","family":"Ajauro","given":"Fernando","non-dropping-particle":"","parse-names":false,"suffix":""},{"dropping-particle":"","family":"Al-Aboudi","given":"Kamal R.","non-dropping-particle":"","parse-names":false,"suffix":""},{"dropping-particle":"","family":"Alcindor","given":"Thierry","non-dropping-particle":"","parse-names":false,"suffix":""},{"dropping-particle":"","family":"Andre","given":"Thierry","non-dropping-particle":"","parse-names":false,"suffix":""},{"dropping-particle":"","family":"Angchaisuksiri","given":"Pantep","non-dropping-particle":"","parse-names":false,"suffix":""},{"dropping-particle":"","family":"Antic","given":"Darko","non-dropping-particle":"","parse-names":false,"suffix":""},{"dropping-particle":"","family":"Arcelus","given":"Juan I.","non-dropping-particle":"","parse-names":false,"suffix":""},{"dropping-particle":"","family":"Assenat","given":"Eric","non-dropping-particle":"","parse-names":false,"suffix":""},{"dropping-particle":"","family":"Bauer","given":"Kenneth A.","non-dropping-particle":"","parse-names":false,"suffix":""},{"dropping-particle":"","family":"Bazarbachii","given":"Ali","non-dropping-particle":"","parse-names":false,"suffix":""},{"dropping-particle":"","family":"Benzidia","given":"Ilham","non-dropping-particle":"","parse-names":false,"suffix":""},{"dropping-particle":"","family":"Beyer-Westendorf","given":"Jan","non-dropping-particle":"","parse-names":false,"suffix":""},{"dropping-particle":"","family":"Bitsadze","given":"Viktoria","non-dropping-particle":"","parse-names":false,"suffix":""},{"dropping-particle":"","family":"Blickstein","given":"Dorit","non-dropping-particle":"","parse-names":false,"suffix":""},{"dropping-particle":"","family":"Blostein","given":"Mark","non-dropping-particle":"","parse-names":false,"suffix":""},{"dropping-particle":"","family":"Bogalho","given":"Isabel","non-dropping-particle":"","parse-names":false,"suffix":""},{"dropping-particle":"","family":"Bournet","given":"Barbara","non-dropping-particle":"","parse-names":false,"suffix":""},{"dropping-particle":"","family":"Casais","given":"Patricia","non-dropping-particle":"","parse-names":false,"suffix":""},{"dropping-particle":"","family":"Carpentier","given":"Antoine F.","non-dropping-particle":"","parse-names":false,"suffix":""},{"dropping-particle":"","family":"Cesarman-Maus","given":"Gabriela","non-dropping-particle":"","parse-names":false,"suffix":""},{"dropping-particle":"","family":"Chakbrabartty","given":"Joydeep","non-dropping-particle":"","parse-names":false,"suffix":""},{"dropping-particle":"","family":"Clemente","given":"Hugo","non-dropping-particle":"","parse-names":false,"suffix":""},{"dropping-particle":"","family":"Connault","given":"Jérôme","non-dropping-particle":"","parse-names":false,"suffix":""},{"dropping-particle":"","family":"Doucet","given":"Ludovic","non-dropping-particle":"","parse-names":false,"suffix":""},{"dropping-particle":"","family":"Durant","given":"Cécile","non-dropping-particle":"","parse-names":false,"suffix":""},{"dropping-particle":"","family":"Emmerich","given":"Joseph","non-dropping-particle":"","parse-names":false,"suffix":""},{"dropping-particle":"","family":"Falanga","given":"Anna","non-dropping-particle":"","parse-names":false,"suffix":""},{"dropping-particle":"","family":"Feistritzer","given":"Clemens","non-dropping-particle":"","parse-names":false,"suffix":""},{"dropping-particle":"","family":"Font","given":"Carme","non-dropping-particle":"","parse-names":false,"suffix":""},{"dropping-particle":"","family":"Francis","given":"Charles","non-dropping-particle":"","parse-names":false,"suffix":""},{"dropping-particle":"","family":"Gallardo","given":"Enrique","non-dropping-particle":"","parse-names":false,"suffix":""},{"dropping-particle":"","family":"Gary","given":"Thomas","non-dropping-particle":"","parse-names":false,"suffix":""},{"dropping-particle":"","family":"Gris","given":"Jean-Christophe","non-dropping-particle":"","parse-names":false,"suffix":""},{"dropping-particle":"","family":"Guillermo","given":"Cecilia","non-dropping-particle":"","parse-names":false,"suffix":""},{"dropping-particle":"","family":"Hij","given":"Adrian","non-dropping-particle":"","parse-names":false,"suffix":""},{"dropping-particle":"","family":"Hull","given":"Russel D.","non-dropping-particle":"","parse-names":false,"suffix":""},{"dropping-particle":"","family":"IKezoe","given":"Takayuki","non-dropping-particle":"","parse-names":false,"suffix":""},{"dropping-particle":"","family":"Jara-Palomares","given":"Luis","non-dropping-particle":"","parse-names":false,"suffix":""},{"dropping-particle":"","family":"Key","given":"Nigel S.","non-dropping-particle":"","parse-names":false,"suffix":""},{"dropping-particle":"","family":"Khrizroeva","given":"Jamilya","non-dropping-particle":"","parse-names":false,"suffix":""},{"dropping-particle":"","family":"Koolian","given":"Maral","non-dropping-particle":"","parse-names":false,"suffix":""},{"dropping-particle":"","family":"Langer","given":"Florian","non-dropping-particle":"","parse-names":false,"suffix":""},{"dropping-particle":"","family":"Hello","given":"Claire","non-dropping-particle":"Le","parse-names":false,"suffix":""},{"dropping-particle":"","family":"Lecumberri","given":"Ramón","non-dropping-particle":"","parse-names":false,"suffix":""},{"dropping-particle":"","family":"Lee","given":"Lai Heng","non-dropping-particle":"","parse-names":false,"suffix":""},{"dropping-particle":"","family":"Liebman","given":"Howard","non-dropping-particle":"","parse-names":false,"suffix":""},{"dropping-particle":"","family":"Lopes Dos Santos","given":"Luisa","non-dropping-particle":"","parse-names":false,"suffix":""},{"dropping-particle":"","family":"Machado","given":"Duarte Henrique","non-dropping-particle":"","parse-names":false,"suffix":""},{"dropping-particle":"","family":"Madelaine","given":"Isabelle","non-dropping-particle":"","parse-names":false,"suffix":""},{"dropping-particle":"","family":"Makatsariya","given":"Alexander","non-dropping-particle":"","parse-names":false,"suffix":""},{"dropping-particle":"","family":"Mandala","given":"Mario","non-dropping-particle":"","parse-names":false,"suffix":""},{"dropping-particle":"","family":"Marayevas","given":"Anthony","non-dropping-particle":"","parse-names":false,"suffix":""},{"dropping-particle":"","family":"Marjanovic","given":"Zora","non-dropping-particle":"","parse-names":false,"suffix":""},{"dropping-particle":"","family":"Marosi","given":"Christine","non-dropping-particle":"","parse-names":false,"suffix":""},{"dropping-particle":"","family":"Martin","given":"Ellis","non-dropping-particle":"","parse-names":false,"suffix":""},{"dropping-particle":"","family":"Meillon","given":"Luis","non-dropping-particle":"","parse-names":false,"suffix":""},{"dropping-particle":"","family":"Messas","given":"Emmanuel","non-dropping-particle":"","parse-names":false,"suffix":""},{"dropping-particle":"","family":"Moreira","given":"Antonio","non-dropping-particle":"","parse-names":false,"suffix":""},{"dropping-particle":"","family":"Demir","given":"Ahmet M.","non-dropping-particle":"","parse-names":false,"suffix":""},{"dropping-particle":"","family":"Ndour","given":"Arlette","non-dropping-particle":"","parse-names":false,"suffix":""},{"dropping-particle":"","family":"Nguessan","given":"Michel","non-dropping-particle":"","parse-names":false,"suffix":""},{"dropping-particle":"","family":"Otero-Candelera","given":"Remedios","non-dropping-particle":"","parse-names":false,"suffix":""},{"dropping-particle":"","family":"Pachon Olmos","given":"Vanessa","non-dropping-particle":"","parse-names":false,"suffix":""},{"dropping-particle":"","family":"Pais","given":"Ana","non-dropping-particle":"","parse-names":false,"suffix":""},{"dropping-particle":"","family":"Posch","given":"Florian","non-dropping-particle":"","parse-names":false,"suffix":""},{"dropping-particle":"","family":"Preusser","given":"Matthias","non-dropping-particle":"","parse-names":false,"suffix":""},{"dropping-particle":"","family":"Riess","given":"Hanno","non-dropping-particle":"","parse-names":false,"suffix":""},{"dropping-particle":"","family":"Righini","given":"Marc","non-dropping-particle":"","parse-names":false,"suffix":""},{"dropping-particle":"","family":"Rothschild","given":"Cynthia","non-dropping-particle":"","parse-names":false,"suffix":""},{"dropping-particle":"","family":"Roussin","given":"Andre","non-dropping-particle":"","parse-names":false,"suffix":""},{"dropping-particle":"","family":"Rueda-Camino","given":"José Antonio","non-dropping-particle":"","parse-names":false,"suffix":""},{"dropping-particle":"","family":"Ruiz-Artacho","given":"Pedro","non-dropping-particle":"","parse-names":false,"suffix":""},{"dropping-particle":"","family":"Saseedharan","given":"Sanjith","non-dropping-particle":"","parse-names":false,"suffix":""},{"dropping-particle":"","family":"Shamseddine","given":"Ali","non-dropping-particle":"","parse-names":false,"suffix":""},{"dropping-particle":"","family":"Soff","given":"Gerald","non-dropping-particle":"","parse-names":false,"suffix":""},{"dropping-particle":"","family":"Stricker","given":"Hans","non-dropping-particle":"","parse-names":false,"suffix":""},{"dropping-particle":"","family":"Tagalakis","given":"Vicky","non-dropping-particle":"","parse-names":false,"suffix":""},{"dropping-particle":"","family":"Taher","given":"Ali","non-dropping-particle":"","parse-names":false,"suffix":""},{"dropping-particle":"","family":"Toussaint","given":"Toutou","non-dropping-particle":"","parse-names":false,"suffix":""},{"dropping-particle":"","family":"Trujillo-Santos","given":"Javier","non-dropping-particle":"","parse-names":false,"suffix":""},{"dropping-particle":"","family":"Villiers","given":"Stéphane","non-dropping-particle":"","parse-names":false,"suffix":""},{"dropping-particle":"","family":"Wong","given":"Raymond","non-dropping-particle":"","parse-names":false,"suffix":""},{"dropping-particle":"","family":"Yamada","given":"Norizaku","non-dropping-particle":"","parse-names":false,"suffix":""}],"container-title":"The Lancet Oncology","id":"ITEM-5","issue":"10","issued":{"date-parts":[["2019","10"]]},"page":"e566-e581","title":"2019 international clinical practice guidelines for the treatment and prophylaxis of venous thromboembolism in patients with cancer","type":"article-journal","volume":"20"},"uris":["http://www.mendeley.com/documents/?uuid=fba4ea87-4f99-4a94-ae74-c6c5937e8b41"]}],"mendeley":{"formattedCitation":"&lt;sup&gt;4–8&lt;/sup&gt;","plainTextFormattedCitation":"4–8","previouslyFormattedCitation":"&lt;sup&gt;4–8&lt;/sup&gt;"},"properties":{"noteIndex":0},"schema":"https://github.com/citation-style-language/schema/raw/master/csl-citation.json"}</w:instrText>
      </w:r>
      <w:r w:rsidR="00EF05F2">
        <w:fldChar w:fldCharType="separate"/>
      </w:r>
      <w:r w:rsidR="00EF05F2" w:rsidRPr="00E853F5">
        <w:rPr>
          <w:noProof/>
          <w:vertAlign w:val="superscript"/>
        </w:rPr>
        <w:t>4–8</w:t>
      </w:r>
      <w:r w:rsidR="00EF05F2">
        <w:fldChar w:fldCharType="end"/>
      </w:r>
      <w:r w:rsidR="004D3F01">
        <w:t xml:space="preserve"> </w:t>
      </w:r>
      <w:r w:rsidR="00AF0CE1">
        <w:t xml:space="preserve">This score </w:t>
      </w:r>
      <w:r w:rsidR="007A2D80">
        <w:t xml:space="preserve">calculates </w:t>
      </w:r>
      <w:r w:rsidR="0098576F">
        <w:t xml:space="preserve">the risk of VTE </w:t>
      </w:r>
      <w:r w:rsidR="00AF0CE1">
        <w:t xml:space="preserve">from five </w:t>
      </w:r>
      <w:r w:rsidR="0098576F">
        <w:t xml:space="preserve">clinical and laboratory </w:t>
      </w:r>
      <w:r w:rsidR="00AF0CE1">
        <w:t>items</w:t>
      </w:r>
      <w:r w:rsidR="007A2D80">
        <w:t xml:space="preserve">: </w:t>
      </w:r>
      <w:r w:rsidR="0098576F">
        <w:t>type of cancer (</w:t>
      </w:r>
      <w:r w:rsidR="00F56AF8">
        <w:t xml:space="preserve">0 points for </w:t>
      </w:r>
      <w:r w:rsidR="0098576F">
        <w:t xml:space="preserve">low, </w:t>
      </w:r>
      <w:r w:rsidR="00F56AF8">
        <w:t xml:space="preserve">1 point for </w:t>
      </w:r>
      <w:r w:rsidR="0098576F">
        <w:t>high, or</w:t>
      </w:r>
      <w:r w:rsidR="00F56AF8">
        <w:t xml:space="preserve"> 2 points for</w:t>
      </w:r>
      <w:r w:rsidR="0098576F">
        <w:t xml:space="preserve"> very </w:t>
      </w:r>
      <w:r w:rsidR="00314D5B">
        <w:t>high-risk</w:t>
      </w:r>
      <w:r w:rsidR="0098576F">
        <w:t xml:space="preserve">), hemoglobin level &lt;10 g/dL or use of erythropoietin stimulating </w:t>
      </w:r>
      <w:r w:rsidR="0098576F" w:rsidRPr="00197CB6">
        <w:t>agents</w:t>
      </w:r>
      <w:r w:rsidR="00F56AF8">
        <w:t xml:space="preserve"> (1 point)</w:t>
      </w:r>
      <w:r w:rsidR="0098576F" w:rsidRPr="00197CB6">
        <w:t>, white blood cell count &gt;11 x 10</w:t>
      </w:r>
      <w:r w:rsidR="0098576F" w:rsidRPr="00197CB6">
        <w:rPr>
          <w:vertAlign w:val="superscript"/>
        </w:rPr>
        <w:t>9</w:t>
      </w:r>
      <w:r w:rsidR="0098576F" w:rsidRPr="00197CB6">
        <w:t>/L</w:t>
      </w:r>
      <w:r w:rsidR="00F56AF8">
        <w:t xml:space="preserve"> (1 point</w:t>
      </w:r>
      <w:r w:rsidR="0098576F" w:rsidRPr="00197CB6">
        <w:t>), platelet count ≥350 x 10</w:t>
      </w:r>
      <w:r w:rsidR="0098576F" w:rsidRPr="00197CB6">
        <w:rPr>
          <w:vertAlign w:val="superscript"/>
        </w:rPr>
        <w:t>9</w:t>
      </w:r>
      <w:r w:rsidR="0098576F" w:rsidRPr="00197CB6">
        <w:t>/L</w:t>
      </w:r>
      <w:r w:rsidR="00F56AF8">
        <w:t xml:space="preserve"> (1 point)</w:t>
      </w:r>
      <w:r w:rsidR="0098576F" w:rsidRPr="00197CB6">
        <w:t>, and body mass index &gt;35 kg/m</w:t>
      </w:r>
      <w:r w:rsidR="0098576F" w:rsidRPr="00197CB6">
        <w:rPr>
          <w:vertAlign w:val="superscript"/>
        </w:rPr>
        <w:t>2</w:t>
      </w:r>
      <w:r w:rsidR="00F56AF8">
        <w:t xml:space="preserve"> (1 point</w:t>
      </w:r>
      <w:r w:rsidR="0098576F" w:rsidRPr="00197CB6">
        <w:t>). Patient</w:t>
      </w:r>
      <w:r w:rsidR="003105C7" w:rsidRPr="00197CB6">
        <w:t>s</w:t>
      </w:r>
      <w:r w:rsidR="0098576F" w:rsidRPr="00197CB6">
        <w:t xml:space="preserve"> scoring </w:t>
      </w:r>
      <w:r w:rsidR="00F56AF8">
        <w:t xml:space="preserve">0 points are classified as low-risk of developing VTE, those with 1 or 2 point as intermediate-risk, and those scoring </w:t>
      </w:r>
      <w:r w:rsidR="0098576F" w:rsidRPr="00197CB6">
        <w:t>3 or more poi</w:t>
      </w:r>
      <w:r w:rsidR="00A621B4" w:rsidRPr="00197CB6">
        <w:t xml:space="preserve">nts as </w:t>
      </w:r>
      <w:r w:rsidR="00314D5B" w:rsidRPr="00197CB6">
        <w:t>high-risk</w:t>
      </w:r>
      <w:r w:rsidR="00A621B4" w:rsidRPr="00197CB6">
        <w:t xml:space="preserve">. </w:t>
      </w:r>
    </w:p>
    <w:p w14:paraId="20387E6A" w14:textId="71AB32E6" w:rsidR="007A2D80" w:rsidRDefault="00B56B71" w:rsidP="00314D5B">
      <w:r>
        <w:t xml:space="preserve">Although </w:t>
      </w:r>
      <w:r w:rsidR="00DF093D">
        <w:t xml:space="preserve">several studies have evaluated </w:t>
      </w:r>
      <w:r>
        <w:t xml:space="preserve">the Khorana score </w:t>
      </w:r>
      <w:r w:rsidR="007A2D80">
        <w:t xml:space="preserve">in </w:t>
      </w:r>
      <w:r>
        <w:t xml:space="preserve">mixed </w:t>
      </w:r>
      <w:r w:rsidR="00F16A38">
        <w:t xml:space="preserve">cancer </w:t>
      </w:r>
      <w:r>
        <w:t>populations,</w:t>
      </w:r>
      <w:r w:rsidR="00611CEF">
        <w:fldChar w:fldCharType="begin" w:fldLock="1"/>
      </w:r>
      <w:r w:rsidR="00BC28CF">
        <w:instrText>ADDIN CSL_CITATION {"citationItems":[{"id":"ITEM-1","itemData":{"DOI":"10.1200/JCO.2011.35.5669","ISBN":"1527-7755 (Electronic)\\r0732-183X (Linking)","ISSN":"1527-7755","PMID":"21810688","abstract":"PURPOSE This study was designed to determine the incidence of venous and arterial thromboembolic events (TEEs) in patients treated with cisplatin-based chemotherapy and to analyze the prognostic value of patients' baseline and treatment characteristics in predicting TEE occurrence. PATIENTS AND METHODS We performed a large retrospective analysis of all patients treated with cisplatin-based chemotherapy for any type of malignancy at Memorial Sloan-Kettering Cancer Center in 2008. A TEE was cisplatin-associated if it occurred between the time of the first dose of cisplatin and 4 weeks after the last dose. RESULTS Among 932 patients, 169 (18.1%) experienced a TEE during treatment or within 4 weeks of the last dose. TEEs included deep vein thrombosis (DVT) alone in 49.7%, pulmonary embolus (PE) alone in 25.4%, DVT plus PE in 13.6%, arterial TEE alone in 8.3%, or DVT plus arterial TEE in 3.0%. TEEs occurred within 100 days of initiation of treatment in 88% of patients. By univariate analysis, sex, age, race, Karnofsky performance status (KPS), exposure to erythropoiesis-stimulating agents, presence of central venous catheter (CVC), site of cancer, stage of cancer, leukocyte and hemoglobin levels, and Khorana score were all identified as risk factors. However, by multivariate analysis, only age, KPS, presence of CVC, and Khorana score retained significance. CONCLUSION This large retrospective analysis confirms the unacceptable incidence of TEEs in patients receiving cisplatin-based chemotherapy. In view of the controversy associated with prophylactic anticoagulation in patients with cancer treated with chemotherapy, randomized studies are urgently needed in this specific cancer population treated with cisplatin-based regimens.","author":[{"dropping-particle":"","family":"Moore","given":"Russell a.","non-dropping-particle":"","parse-names":false,"suffix":""},{"dropping-particle":"","family":"Adel","given":"Nelly","non-dropping-particle":"","parse-names":false,"suffix":""},{"dropping-particle":"","family":"Riedel","given":"Elyn","non-dropping-particle":"","parse-names":false,"suffix":""},{"dropping-particle":"","family":"Bhutani","given":"Manisha","non-dropping-particle":"","parse-names":false,"suffix":""},{"dropping-particle":"","family":"Feldman","given":"Darren R.","non-dropping-particle":"","parse-names":false,"suffix":""},{"dropping-particle":"","family":"Tabbara","given":"Nour Elise","non-dropping-particle":"","parse-names":false,"suffix":""},{"dropping-particle":"","family":"Soff","given":"Gerald","non-dropping-particle":"","parse-names":false,"suffix":""},{"dropping-particle":"","family":"Parameswaran","given":"Rekha","non-dropping-particle":"","parse-names":false,"suffix":""},{"dropping-particle":"","family":"Hassoun","given":"Hani","non-dropping-particle":"","parse-names":false,"suffix":""}],"container-title":"Journal of Clinical Oncology","id":"ITEM-1","issue":"25","issued":{"date-parts":[["2011","9","1"]]},"page":"3466-73","title":"High incidence of thromboembolic events in patients treated with cisplatin-based chemotherapy: A large retrospective analysis","type":"article-journal","volume":"29"},"uris":["http://www.mendeley.com/documents/?uuid=2cf3ada3-3787-444c-a3f1-f9ed538bf0b0"]},{"id":"ITEM-2","itemData":{"DOI":"10.1182/blood-2010-02-270116","ISBN":"1528-0020 (Electronic)\\r0006-4971 (Linking)","ISSN":"1528-0020","PMID":"20829374","abstract":"The risk of venous thromboembolism (VTE) is increased in cancer patients. To improve prediction of VTE in cancer patients, we performed a prospective and observational cohort study of patients with newly diagnosed cancer or progression of disease after remission. A previously developed risk scoring model for prediction of VTE that included clinical (tumor entity and body mass index) and laboratory (hemoglobin level and thrombocyte and leukocyte count) parameters was expanded by incorporating 2 biomarkers, soluble P-selectin, and D-Dimer. Of 819 patients 61 (7.4%) experienced VTE during a median follow-up of 656 days. The cumulative VTE probability in the original risk model after 6 months was 17.7% in patients wi</w:instrText>
      </w:r>
      <w:r w:rsidR="00BC28CF">
        <w:rPr>
          <w:rFonts w:hint="eastAsia"/>
        </w:rPr>
        <w:instrText>th the highest risk score (</w:instrText>
      </w:r>
      <w:r w:rsidR="00BC28CF">
        <w:rPr>
          <w:rFonts w:hint="eastAsia"/>
        </w:rPr>
        <w:instrText>≥</w:instrText>
      </w:r>
      <w:r w:rsidR="00BC28CF">
        <w:rPr>
          <w:rFonts w:hint="eastAsia"/>
        </w:rPr>
        <w:instrText xml:space="preserve"> 3, n = 93), 9.6% in those with score 2 (n = 221), 3.8% in those with score 1 (n = 229), and 1.5% in those with score 0 (n = 276). In the expanded risk model, the cumulative VTE probability after 6 months in patients with the highest score (</w:instrText>
      </w:r>
      <w:r w:rsidR="00BC28CF">
        <w:rPr>
          <w:rFonts w:hint="eastAsia"/>
        </w:rPr>
        <w:instrText>≥</w:instrText>
      </w:r>
      <w:r w:rsidR="00BC28CF">
        <w:rPr>
          <w:rFonts w:hint="eastAsia"/>
        </w:rPr>
        <w:instrText xml:space="preserve"> 5, n = 30) was 35.0% and 10.3% in those with an intermediate score (score 3, n = 130) as opposed to only 1.0% in patients with score 0 (n = 200); the hazard ratio of patients with the highest compared with those with the lowest score was 2</w:instrText>
      </w:r>
      <w:r w:rsidR="00BC28CF">
        <w:instrText>5.9 (8.0-84.6). Clinical and standard laboratory parameters with addition of biomarkers enable prediction of VTE and allow identification of cancer patients at high or low risk of VTE.","author":[{"dropping-particle":"","family":"Ay","given":"Cihan","non-dropping-particle":"","parse-names":false,"suffix":""},{"dropping-particle":"","family":"Dunkler","given":"Daniela","non-dropping-particle":"","parse-names":false,"suffix":""},{"dropping-particle":"","family":"Marosi","given":"Christine","non-dropping-particle":"","parse-names":false,"suffix":""},{"dropping-particle":"","family":"Chiriac","given":"Alexandru-Laurentiu","non-dropping-particle":"","parse-names":false,"suffix":""},{"dropping-particle":"","family":"Vormittag","given":"Rainer","non-dropping-particle":"","parse-names":false,"suffix":""},{"dropping-particle":"","family":"Simanek","given":"Ralph","non-dropping-particle":"","parse-names":false,"suffix":""},{"dropping-particle":"","family":"Quehenberger","given":"Peter","non-dropping-particle":"","parse-names":false,"suffix":""},{"dropping-particle":"","family":"Zielinski","given":"Christoph","non-dropping-particle":"","parse-names":false,"suffix":""},{"dropping-particle":"","family":"Pabinger","given":"Ingrid","non-dropping-particle":"","parse-names":false,"suffix":""}],"container-title":"Blood","id":"ITEM-2","issue":"24","issued":{"date-parts":[["2010","12","9"]]},"page":"5377-82","title":"Prediction of venous thromboembolism in cancer patients.","type":"article-journal","volume":"116"},"uris":["http://www.mendeley.com/documents/?uuid=7253a8ff-c772-441e-96b5-dce3ce85093a"]}],"mendeley":{"formattedCitation":"&lt;sup&gt;9,10&lt;/sup&gt;","plainTextFormattedCitation":"9,10","previouslyFormattedCitation":"&lt;sup&gt;9,10&lt;/sup&gt;"},"properties":{"noteIndex":0},"schema":"https://github.com/citation-style-language/schema/raw/master/csl-citation.json"}</w:instrText>
      </w:r>
      <w:r w:rsidR="00611CEF">
        <w:fldChar w:fldCharType="separate"/>
      </w:r>
      <w:r w:rsidR="00EF05F2" w:rsidRPr="00EF05F2">
        <w:rPr>
          <w:noProof/>
          <w:vertAlign w:val="superscript"/>
        </w:rPr>
        <w:t>9,10</w:t>
      </w:r>
      <w:r w:rsidR="00611CEF">
        <w:fldChar w:fldCharType="end"/>
      </w:r>
      <w:r>
        <w:t xml:space="preserve"> its performance appear</w:t>
      </w:r>
      <w:r w:rsidR="004C1571">
        <w:t>s</w:t>
      </w:r>
      <w:r>
        <w:t xml:space="preserve"> to </w:t>
      </w:r>
      <w:r w:rsidR="002C4431">
        <w:t xml:space="preserve">be </w:t>
      </w:r>
      <w:r w:rsidR="00A621B4">
        <w:t>less robust</w:t>
      </w:r>
      <w:r>
        <w:t xml:space="preserve"> in studies </w:t>
      </w:r>
      <w:r w:rsidR="007A2D80">
        <w:t xml:space="preserve">recruiting </w:t>
      </w:r>
      <w:r>
        <w:t>single types of cancer.</w:t>
      </w:r>
      <w:r w:rsidR="00B61DAC">
        <w:fldChar w:fldCharType="begin" w:fldLock="1"/>
      </w:r>
      <w:r w:rsidR="00BC28CF">
        <w:instrText>ADDIN CSL_CITATION {"citationItems":[{"id":"ITEM-1","itemData":{"DOI":"10.1016/j.thromres.2016.12.013","ISSN":"00493848","author":[{"dropping-particle":"","family":"Es","given":"N.","non-dropping-particle":"van","parse-names":false,"suffix":""},{"dropping-particle":"","family":"Franke","given":"V.F.","non-dropping-particle":"","parse-names":false,"suffix":""},{"dropping-particle":"","family":"Middeldorp","given":"S.","non-dropping-particle":"","parse-names":false,"suffix":""},{"dropping-particle":"","family":"Wilmink","given":"J.W.","non-dropping-particle":"","parse-names":false,"suffix":""},{"dropping-particle":"","family":"Büller","given":"H.R.","non-dropping-particle":"","parse-names":false,"suffix":""}],"container-title":"Thrombosis Research","id":"ITEM-1","issued":{"date-parts":[["2017"]]},"page":"30-32","title":"The Khorana score for the prediction of venous thromboembolism in patients with pancreatic cancer","type":"article-journal","volume":"150"},"uris":["http://www.mendeley.com/documents/?uuid=12122b43-6a52-4de8-b937-f1a9b9ecbbef"]},{"id":"ITEM-2","itemData":{"DOI":"10.1002/cncr.29801","ISSN":"10970142","PMID":"26618338","abstract":"&lt;bold&gt;Background: &lt;/bold&gt;The current study compared the incidence of vascular thromboembolic events (VTEs) in patients with metastatic or unresectable urothelial carcinoma (UC) who were treated with gemcitabine and carboplatin (GCb); gemcitabine, carboplatin, and bevacizumab (GCbBev); or gemcitabine and cisplatin (GCis).&lt;bold&gt;Methods: &lt;/bold&gt;Patients with UC who were treated with GCbBev on protocol were analyzed prospectively and 2 contemporary control cohorts receiving GCb or GCis were evaluated retrospectively. VTE was defined as either venous or arterial (myocardial infarctions or cerebral vascular accidents) thrombosis. VTEs were considered to be related to treatment if they occurred during treatment or within 4 weeks of the completion of treatment. Associations with chemotherapy regimen were tested using either the Fisher exact test or Kruskal-Wallis test. Clinical factors associated with VTEs were analyzed using conditional logistic regression stratified by treatment regimen.&lt;bold&gt;Results: &lt;/bold&gt;Among 198 patients, VTEs occurred in 13 of 51 patients treated with GCbBev (26%), 22 of 92 patients treated with GCb (24%), and 8 of 55 patients treated with GCis (15%). Patient characteristics were significantly different between the treatment cohorts in terms of age, prior cystectomy, tumor location near pelvic vessels, Khorana risk group, and receipt of antiplatelet therapy. The incidence of VTE and type of VTE (arterial vs venous) did not differ by type of chemotherapy. Prior cystectomy was associated with an increased risk of VTE (odds ratio, 2.2; 95% confidence interval, 1.0-4.9 [P = .047]).&lt;bold&gt;Conclusions: &lt;/bold&gt;The incidence of VTE in Cis-treated patients was similar to prior reports. However, the VTE rate in Cb-treated patients was &gt; 20%, a figure not previously defined in patients with UC and higher than expected. This high incidence of both Cis-related and Cb-related VTEs warrants greater awareness by treating physicians and deserves further study. Cancer 2016;122:712-721. © 2015 American Cancer Society. [ABSTRACT FROM AUTHOR]","author":[{"dropping-particle":"","family":"Tully","given":"Christopher M.","non-dropping-particle":"","parse-names":false,"suffix":""},{"dropping-particle":"","family":"Apolo","given":"Andrea B.","non-dropping-particle":"","parse-names":false,"suffix":""},{"dropping-particle":"","family":"Zabor","given":"Emily C.","non-dropping-particle":"","parse-names":false,"suffix":""},{"dropping-particle":"","family":"Regazzi","given":"Ashley M.","non-dropping-particle":"","parse-names":false,"suffix":""},{"dropping-particle":"","family":"Ostrovnaya","given":"Irina","non-dropping-particle":"","parse-names":false,"suffix":""},{"dropping-particle":"","family":"Furberg","given":"Helena F.","non-dropping-particle":"","parse-names":false,"suffix":""},{"dropping-particle":"","family":"Rosenberg","given":"Jonathan E.","non-dropping-particle":"","parse-names":false,"suffix":""},{"dropping-particle":"","family":"Bajorin","given":"Dean F.","non-dropping-particle":"","parse-names":false,"suffix":""}],"container-title":"Cancer","id":"ITEM-2","issue":"5","issued":{"date-parts":[["2016"]]},"page":"712-721","title":"The high incidence of vascular thromboembolic events in patients with metastatic or unresectable urothelial cancer treated with platinum chemotherapy agents","type":"article-journal","volume":"122"},"uris":["http://www.mendeley.com/documents/?uuid=08d60665-6467-4bc9-b54b-2fdcf379be9b"]},{"id":"ITEM-3","itemData":{"DOI":"10.1111/jth.13594","ISSN":"1538-7836","PMID":"27992116","author":[{"dropping-particle":"","family":"Noble","given":"S","non-dropping-particle":"","parse-names":false,"suffix":""},{"dropping-particle":"","family":"Alikhan","given":"R","non-dropping-particle":"","parse-names":false,"suffix":""},{"dropping-particle":"","family":"Robbins","given":"A","non-dropping-particle":"","parse-names":false,"suffix":""},{"dropping-particle":"","family":"Macbeth","given":"F","non-dropping-particle":"","parse-names":false,"suffix":""},{"dropping-particle":"","family":"Hood","given":"K","non-dropping-particle":"","parse-names":false,"suffix":""}],"container-title":"Journal of thrombosis and haemostasis : JTH","id":"ITEM-3","issue":"3","issued":{"date-parts":[["2017","3"]]},"page":"590-591","title":"Predictors of active cancer thromboembolic outcomes: validation of the Khorana score among patients with lung cancer: comment.","type":"article-journal","volume":"15"},"uris":["http://www.mendeley.com/documents/?uuid=3a2f1bc0-370d-4508-b3bc-bdea3e2c12cd"]}],"mendeley":{"formattedCitation":"&lt;sup&gt;11–13&lt;/sup&gt;","plainTextFormattedCitation":"11–13","previouslyFormattedCitation":"&lt;sup&gt;11–13&lt;/sup&gt;"},"properties":{"noteIndex":0},"schema":"https://github.com/citation-style-language/schema/raw/master/csl-citation.json"}</w:instrText>
      </w:r>
      <w:r w:rsidR="00B61DAC">
        <w:fldChar w:fldCharType="separate"/>
      </w:r>
      <w:r w:rsidR="00EF05F2" w:rsidRPr="00EF05F2">
        <w:rPr>
          <w:noProof/>
          <w:vertAlign w:val="superscript"/>
        </w:rPr>
        <w:t>11–13</w:t>
      </w:r>
      <w:r w:rsidR="00B61DAC">
        <w:fldChar w:fldCharType="end"/>
      </w:r>
      <w:r w:rsidR="00F46B19">
        <w:t xml:space="preserve"> This has </w:t>
      </w:r>
      <w:r w:rsidR="007A2D80">
        <w:t xml:space="preserve">potential implications </w:t>
      </w:r>
      <w:r w:rsidR="00F46B19">
        <w:t>for the use of the Khorana score in c</w:t>
      </w:r>
      <w:r w:rsidR="004663BF">
        <w:t>urrent practice</w:t>
      </w:r>
      <w:r w:rsidR="007A2D80">
        <w:t>,</w:t>
      </w:r>
      <w:r w:rsidR="00F16A38">
        <w:t xml:space="preserve"> </w:t>
      </w:r>
      <w:r w:rsidR="00DF093D">
        <w:t>in which</w:t>
      </w:r>
      <w:r w:rsidR="004663BF">
        <w:t xml:space="preserve"> oncologists increasingly specialize in the treatment of only a few or a single cancer type.</w:t>
      </w:r>
      <w:r w:rsidR="002B7B49" w:rsidRPr="002B7B49">
        <w:t xml:space="preserve"> </w:t>
      </w:r>
      <w:r w:rsidR="00A621B4">
        <w:t>Treating physicians</w:t>
      </w:r>
      <w:r w:rsidR="002B7B49">
        <w:t xml:space="preserve"> also need information </w:t>
      </w:r>
      <w:r w:rsidR="00DF093D">
        <w:t>regarding</w:t>
      </w:r>
      <w:r w:rsidR="002B7B49">
        <w:t xml:space="preserve"> the risks and benefits of thromboprophylaxis</w:t>
      </w:r>
      <w:r w:rsidR="004663BF">
        <w:t xml:space="preserve"> </w:t>
      </w:r>
      <w:r w:rsidR="002C4431">
        <w:t xml:space="preserve">in patients </w:t>
      </w:r>
      <w:r w:rsidR="007A2D80">
        <w:t xml:space="preserve">classified as </w:t>
      </w:r>
      <w:r w:rsidR="00314D5B">
        <w:t>high-risk</w:t>
      </w:r>
      <w:r w:rsidR="007A2D80">
        <w:t xml:space="preserve"> </w:t>
      </w:r>
      <w:r w:rsidR="00DF093D">
        <w:t>by</w:t>
      </w:r>
      <w:r w:rsidR="007A2D80">
        <w:t xml:space="preserve"> </w:t>
      </w:r>
      <w:r w:rsidR="002C4431">
        <w:t>the Khorana score,</w:t>
      </w:r>
      <w:r w:rsidR="004663BF">
        <w:t xml:space="preserve"> </w:t>
      </w:r>
      <w:r w:rsidR="002B7B49">
        <w:t xml:space="preserve">since this is the group </w:t>
      </w:r>
      <w:r w:rsidR="00DF093D">
        <w:t xml:space="preserve">often considered for primary </w:t>
      </w:r>
      <w:r w:rsidR="002B7B49">
        <w:t>prevention</w:t>
      </w:r>
      <w:r w:rsidR="003C36FA">
        <w:t xml:space="preserve"> </w:t>
      </w:r>
      <w:r w:rsidR="00DF093D">
        <w:t xml:space="preserve">of VTE. </w:t>
      </w:r>
      <w:r w:rsidR="002C4431">
        <w:t xml:space="preserve"> </w:t>
      </w:r>
    </w:p>
    <w:p w14:paraId="32566460" w14:textId="2EB9B04D" w:rsidR="0098576F" w:rsidRDefault="002C4431" w:rsidP="00E51FA1">
      <w:r>
        <w:t xml:space="preserve">By using individual patient data of almost 7,000 patients enrolled in seven </w:t>
      </w:r>
      <w:r w:rsidR="009427B9">
        <w:t xml:space="preserve">randomized </w:t>
      </w:r>
      <w:r>
        <w:t xml:space="preserve">studies, we </w:t>
      </w:r>
      <w:r w:rsidR="00DF093D">
        <w:t>a</w:t>
      </w:r>
      <w:r>
        <w:t>ssess</w:t>
      </w:r>
      <w:r w:rsidR="00DF093D">
        <w:t>ed</w:t>
      </w:r>
      <w:r>
        <w:t xml:space="preserve"> the performance of the Khorana score across different types of cancer and evaluate</w:t>
      </w:r>
      <w:r w:rsidR="00DF093D">
        <w:t>d</w:t>
      </w:r>
      <w:r>
        <w:t xml:space="preserve"> the efficacy and safety of </w:t>
      </w:r>
      <w:r w:rsidR="004C1571">
        <w:t>primary VTE prophylaxis</w:t>
      </w:r>
      <w:r>
        <w:t xml:space="preserve"> among </w:t>
      </w:r>
      <w:r w:rsidR="00314D5B">
        <w:t>high-risk</w:t>
      </w:r>
      <w:r>
        <w:t xml:space="preserve"> </w:t>
      </w:r>
      <w:r w:rsidR="004C1571">
        <w:t xml:space="preserve">cancer </w:t>
      </w:r>
      <w:r>
        <w:t>patients</w:t>
      </w:r>
      <w:r w:rsidR="004C1571">
        <w:t xml:space="preserve"> receiving chemotherapy</w:t>
      </w:r>
      <w:r>
        <w:t xml:space="preserve">. </w:t>
      </w:r>
    </w:p>
    <w:p w14:paraId="375595BC" w14:textId="77777777" w:rsidR="0098576F" w:rsidRDefault="0098576F"/>
    <w:p w14:paraId="695E257C" w14:textId="77777777" w:rsidR="0088031D" w:rsidRPr="0088031D" w:rsidRDefault="0088031D"/>
    <w:p w14:paraId="5BD0FE3B" w14:textId="77777777" w:rsidR="00A5537F" w:rsidRDefault="00A5537F">
      <w:pPr>
        <w:rPr>
          <w:b/>
        </w:rPr>
      </w:pPr>
      <w:r>
        <w:rPr>
          <w:b/>
        </w:rPr>
        <w:t>METHO</w:t>
      </w:r>
      <w:r w:rsidR="002C4431">
        <w:rPr>
          <w:b/>
        </w:rPr>
        <w:t>D</w:t>
      </w:r>
      <w:r>
        <w:rPr>
          <w:b/>
        </w:rPr>
        <w:t>S</w:t>
      </w:r>
    </w:p>
    <w:p w14:paraId="7BB604C2" w14:textId="6A7D358B" w:rsidR="006C1994" w:rsidRPr="00D07415" w:rsidRDefault="00DF093D" w:rsidP="006C1994">
      <w:r>
        <w:t>The present analysis includes i</w:t>
      </w:r>
      <w:r w:rsidR="00D07415">
        <w:t>ndividual patient data from</w:t>
      </w:r>
      <w:r w:rsidR="00441CA9">
        <w:t xml:space="preserve"> multicenter</w:t>
      </w:r>
      <w:r w:rsidR="00D07415">
        <w:t xml:space="preserve"> </w:t>
      </w:r>
      <w:r w:rsidR="00780086">
        <w:t>randomi</w:t>
      </w:r>
      <w:r w:rsidR="009427B9">
        <w:t>z</w:t>
      </w:r>
      <w:r w:rsidR="00780086">
        <w:t>ed</w:t>
      </w:r>
      <w:r w:rsidR="00D07415">
        <w:t xml:space="preserve"> studies </w:t>
      </w:r>
      <w:r w:rsidR="001F57C8">
        <w:t>of</w:t>
      </w:r>
      <w:r w:rsidR="00D07415">
        <w:t xml:space="preserve"> </w:t>
      </w:r>
      <w:r w:rsidR="001F57C8">
        <w:t>prophylactic parenteral anticoagulants</w:t>
      </w:r>
      <w:r w:rsidR="00D07415">
        <w:t xml:space="preserve"> in ambulatory patients with solid cancer. These studies were identified by a systematic </w:t>
      </w:r>
      <w:r w:rsidR="00F16A38">
        <w:t>search of the literature</w:t>
      </w:r>
      <w:r w:rsidR="00C00891">
        <w:t>.</w:t>
      </w:r>
      <w:r>
        <w:t xml:space="preserve"> The methods are reported in full elsewhere.</w:t>
      </w:r>
      <w:r w:rsidR="009E7AFA">
        <w:fldChar w:fldCharType="begin" w:fldLock="1"/>
      </w:r>
      <w:r w:rsidR="00BC28CF">
        <w:instrText>ADDIN CSL_CITATION {"citationItems":[{"id":"ITEM-1","itemData":{"DOI":"10.1136/bmjopen-2015-010569","ISSN":"2044-6055","PMID":"27130164","abstract":"INTRODUCTION Parenteral anticoagulants may improve outcomes in patients with cancer by reducing risk of venous thromboembolic disease and through a direct antitumour effect. Study-level systematic reviews indicate a reduction in venous thromboembolism and provide moderate confidence that a small survival benefit exists. It remains unclear if any patient subgroups experience potential benefits. METHODS AND ANALYSIS First, we will perform a comprehensive systematic search of MEDLINE, EMBASE and The Cochrane Library, hand search scientific conference abstracts and check clinical trials registries for randomised control trials of participants with solid cancers who are administered parenteral anticoagulants. We anticipate identifying at least 15 trials, exceeding 9000 participants. Second, we will perform an individual participant data meta-analysis to explore the magnitude of survival benefit and address whether subgroups of patients are more likely to benefit from parenteral anticoagulants. All analyses will follow the intention-to-treat principle. For our primary outcome, mortality, we will use multivariable hierarchical models with patient-level variables as fixed effects and a categorical trial variable as a random effect. We will adjust analysis for important prognostic characteristics. To investigate whether intervention effects vary by predefined subgroups of patients, we will test interaction terms in the statistical model. Furthermore, we will develop a risk-prediction model for venous thromboembolism, with a focus on control patients of randomised trials. ETHICS AND DISSEMINATION Aside from maintaining participant anonymity, there are no major ethical concerns. This will be the first individual participant data meta-analysis addressing heparin use among patients with cancer and will directly influence recommendations in clinical practice guidelines. Major cancer guideline development organisations will use eventual results to inform their guideline recommendations. Several knowledge users will disseminate results through presentations at clinical rounds as well as national and international conferences. We will prepare an evidence brief and facilitate dialogue to engage policymakers and stakeholders in acting on findings. TRIAL REGISTRATION NUMBER PROSPERO CRD42013003526.","author":[{"dropping-particle":"","family":"Schünemann","given":"Holger J","non-dropping-particle":"","parse-names":false,"suffix":""},{"dropping-particle":"","family":"Ventresca","given":"Matthew","non-dropping-particle":"","parse-names":false,"suffix":""},{"dropping-particle":"","family":"Crowther","given":"Mark","non-dropping-particle":"","parse-names":false,"suffix":""},{"dropping-particle":"","family":"Briel","given":"Matthias","non-dropping-particle":"","parse-names":false,"suffix":""},{"dropping-particle":"","family":"Zhou","given":"Qi","non-dropping-particle":"","parse-names":false,"suffix":""},{"dropping-particle":"","family":"Garcia","given":"David","non-dropping-particle":"","parse-names":false,"suffix":""},{"dropping-particle":"","family":"Lyman","given":"Gary","non-dropping-particle":"","parse-names":false,"suffix":""},{"dropping-particle":"","family":"Noble","given":"Simon","non-dropping-particle":"","parse-names":false,"suffix":""},{"dropping-particle":"","family":"Macbeth","given":"Fergus","non-dropping-particle":"","parse-names":false,"suffix":""},{"dropping-particle":"","family":"Griffiths","given":"Gareth","non-dropping-particle":"","parse-names":false,"suffix":""},{"dropping-particle":"","family":"DiNisio","given":"Marcello","non-dropping-particle":"","parse-names":false,"suffix":""},{"dropping-particle":"","family":"Iorio","given":"Alfonso","non-dropping-particle":"","parse-names":false,"suffix":""},{"dropping-particle":"","family":"Beyene","given":"Joseph","non-dropping-particle":"","parse-names":false,"suffix":""},{"dropping-particle":"","family":"Mbuagbaw","given":"Lawrance","non-dropping-particle":"","parse-names":false,"suffix":""},{"dropping-particle":"","family":"Neumann","given":"Ignacio","non-dropping-particle":"","parse-names":false,"suffix":""},{"dropping-particle":"","family":"Es","given":"Nick","non-dropping-particle":"Van","parse-names":false,"suffix":""},{"dropping-particle":"","family":"Brouwers","given":"Melissa","non-dropping-particle":"","parse-names":false,"suffix":""},{"dropping-particle":"","family":"Brozek","given":"Jan","non-dropping-particle":"","parse-names":false,"suffix":""},{"dropping-particle":"","family":"Guyatt","given":"Gordon","non-dropping-particle":"","parse-names":false,"suffix":""},{"dropping-particle":"","family":"Levine","given":"Mark","non-dropping-particle":"","parse-names":false,"suffix":""},{"dropping-particle":"","family":"Moll","given":"Stephan","non-dropping-particle":"","parse-names":false,"suffix":""},{"dropping-particle":"","family":"Santesso","given":"Nancy","non-dropping-particle":"","parse-names":false,"suffix":""},{"dropping-particle":"","family":"Streiff","given":"Michael","non-dropping-particle":"","parse-names":false,"suffix":""},{"dropping-particle":"","family":"Baldeh","given":"Tejan","non-dropping-particle":"","parse-names":false,"suffix":""},{"dropping-particle":"","family":"Florez","given":"Ivan","non-dropping-particle":"","parse-names":false,"suffix":""},{"dropping-particle":"","family":"Gurunlu Alma","given":"Ozlem","non-dropping-particle":"","parse-names":false,"suffix":""},{"dropping-particle":"","family":"Solh","given":"Ziad","non-dropping-particle":"","parse-names":false,"suffix":""},{"dropping-particle":"","family":"Ageno","given":"Walter","non-dropping-particle":"","parse-names":false,"suffix":""},{"dropping-particle":"","family":"Marcucci","given":"Maura","non-dropping-particle":"","parse-names":false,"suffix":""},{"dropping-particle":"","family":"Bozas","given":"George","non-dropping-particle":"","parse-names":false,"suffix":""},{"dropping-particle":"","family":"Zulian","given":"Gilbert","non-dropping-particle":"","parse-names":false,"suffix":""},{"dropping-particle":"","family":"Maraveyas","given":"Anthony","non-dropping-particle":"","parse-names":false,"suffix":""},{"dropping-particle":"","family":"Lebeau","given":"Bernard","non-dropping-particle":"","parse-names":false,"suffix":""},{"dropping-particle":"","family":"Buller","given":"Harry","non-dropping-particle":"","parse-names":false,"suffix":""},{"dropping-particle":"","family":"Evans","given":"Jessica","non-dropping-particle":"","parse-names":false,"suffix":""},{"dropping-particle":"","family":"McBane","given":"Robert","non-dropping-particle":"","parse-names":false,"suffix":""},{"dropping-particle":"","family":"Bleker","given":"Suzanne","non-dropping-particle":"","parse-names":false,"suffix":""},{"dropping-particle":"","family":"Pelzer","given":"Uwe","non-dropping-particle":"","parse-names":false,"suffix":""},{"dropping-particle":"","family":"Akl","given":"Elie A","non-dropping-particle":"","parse-names":false,"suffix":""},{"dropping-particle":"","family":"IPDMA heparin use in cancer patients research group","given":"","non-dropping-particle":"","parse-names":false,"suffix":""}],"container-title":"BMJ open","id":"ITEM-1","issue":"4","issued":{"date-parts":[["2016"]]},"page":"e010569","title":"Use of heparins in patients with cancer: individual participant data meta-analysis of randomised trials study protocol.","type":"article-journal","volume":"6"},"uris":["http://www.mendeley.com/documents/?uuid=8aa78edf-b815-46c2-ae23-48841891abd6"]}],"mendeley":{"formattedCitation":"&lt;sup&gt;14&lt;/sup&gt;","plainTextFormattedCitation":"14","previouslyFormattedCitation":"&lt;sup&gt;14&lt;/sup&gt;"},"properties":{"noteIndex":0},"schema":"https://github.com/citation-style-language/schema/raw/master/csl-citation.json"}</w:instrText>
      </w:r>
      <w:r w:rsidR="009E7AFA">
        <w:fldChar w:fldCharType="separate"/>
      </w:r>
      <w:r w:rsidR="00EF05F2" w:rsidRPr="00EF05F2">
        <w:rPr>
          <w:noProof/>
          <w:vertAlign w:val="superscript"/>
        </w:rPr>
        <w:t>14</w:t>
      </w:r>
      <w:r w:rsidR="009E7AFA">
        <w:fldChar w:fldCharType="end"/>
      </w:r>
      <w:r w:rsidR="009E7AFA">
        <w:t xml:space="preserve"> </w:t>
      </w:r>
      <w:r w:rsidR="001F57C8">
        <w:t xml:space="preserve">Briefly, </w:t>
      </w:r>
      <w:r>
        <w:t xml:space="preserve">a search of </w:t>
      </w:r>
      <w:r w:rsidR="004C1571">
        <w:t xml:space="preserve">EMBASE, MEDLINE, and </w:t>
      </w:r>
      <w:r w:rsidR="004C1571" w:rsidRPr="001F57C8">
        <w:t>The Cochrane Library</w:t>
      </w:r>
      <w:r w:rsidR="004C1571">
        <w:t xml:space="preserve"> from inception up to January 2017 </w:t>
      </w:r>
      <w:r>
        <w:t xml:space="preserve">identified </w:t>
      </w:r>
      <w:r w:rsidR="009427B9">
        <w:t xml:space="preserve">randomized </w:t>
      </w:r>
      <w:r w:rsidR="001F57C8">
        <w:t xml:space="preserve">controlled trials </w:t>
      </w:r>
      <w:r>
        <w:t>comparing</w:t>
      </w:r>
      <w:r w:rsidR="00BC7C31">
        <w:t xml:space="preserve"> </w:t>
      </w:r>
      <w:r w:rsidR="001F57C8">
        <w:t>unfractionated heparin, (ultra)-low-molecular-</w:t>
      </w:r>
      <w:r w:rsidR="001F57C8">
        <w:lastRenderedPageBreak/>
        <w:t>weight heparin</w:t>
      </w:r>
      <w:r w:rsidR="00D461BB">
        <w:t xml:space="preserve"> (LMWH)</w:t>
      </w:r>
      <w:r w:rsidR="001F57C8">
        <w:t>, or fondaparinux with placebo or observation in patients with solid cancer</w:t>
      </w:r>
      <w:r w:rsidR="006C1994">
        <w:t xml:space="preserve">. </w:t>
      </w:r>
      <w:r w:rsidR="00FF200C">
        <w:t xml:space="preserve">Authors of </w:t>
      </w:r>
      <w:r w:rsidR="00F856D9">
        <w:t xml:space="preserve">thirteen </w:t>
      </w:r>
      <w:r w:rsidR="006C1994">
        <w:t xml:space="preserve">of </w:t>
      </w:r>
      <w:r w:rsidR="00F856D9">
        <w:t xml:space="preserve">nineteen </w:t>
      </w:r>
      <w:r w:rsidR="006C1994">
        <w:t>studies that met the eligibility criteria</w:t>
      </w:r>
      <w:r w:rsidR="00FF200C">
        <w:t xml:space="preserve"> provided individual patient data</w:t>
      </w:r>
      <w:r w:rsidR="006C1994">
        <w:t>.</w:t>
      </w:r>
      <w:r w:rsidR="00E91A50">
        <w:t xml:space="preserve"> Studies that had not</w:t>
      </w:r>
      <w:r w:rsidR="00CD4D68">
        <w:t xml:space="preserve"> prospectively</w:t>
      </w:r>
      <w:r w:rsidR="00E91A50">
        <w:t xml:space="preserve"> collected data on one or more of the Khorana score items were excluded.</w:t>
      </w:r>
      <w:r w:rsidR="006C1994">
        <w:t xml:space="preserve"> The present analysis was a pre-specified secondary objective of this collaborative project.</w:t>
      </w:r>
      <w:r w:rsidR="009E7AFA">
        <w:fldChar w:fldCharType="begin" w:fldLock="1"/>
      </w:r>
      <w:r w:rsidR="00BC28CF">
        <w:instrText>ADDIN CSL_CITATION {"citationItems":[{"id":"ITEM-1","itemData":{"DOI":"10.1136/bmjopen-2015-010569","ISSN":"2044-6055","PMID":"27130164","abstract":"INTRODUCTION Parenteral anticoagulants may improve outcomes in patients with cancer by reducing risk of venous thromboembolic disease and through a direct antitumour effect. Study-level systematic reviews indicate a reduction in venous thromboembolism and provide moderate confidence that a small survival benefit exists. It remains unclear if any patient subgroups experience potential benefits. METHODS AND ANALYSIS First, we will perform a comprehensive systematic search of MEDLINE, EMBASE and The Cochrane Library, hand search scientific conference abstracts and check clinical trials registries for randomised control trials of participants with solid cancers who are administered parenteral anticoagulants. We anticipate identifying at least 15 trials, exceeding 9000 participants. Second, we will perform an individual participant data meta-analysis to explore the magnitude of survival benefit and address whether subgroups of patients are more likely to benefit from parenteral anticoagulants. All analyses will follow the intention-to-treat principle. For our primary outcome, mortality, we will use multivariable hierarchical models with patient-level variables as fixed effects and a categorical trial variable as a random effect. We will adjust analysis for important prognostic characteristics. To investigate whether intervention effects vary by predefined subgroups of patients, we will test interaction terms in the statistical model. Furthermore, we will develop a risk-prediction model for venous thromboembolism, with a focus on control patients of randomised trials. ETHICS AND DISSEMINATION Aside from maintaining participant anonymity, there are no major ethical concerns. This will be the first individual participant data meta-analysis addressing heparin use among patients with cancer and will directly influence recommendations in clinical practice guidelines. Major cancer guideline development organisations will use eventual results to inform their guideline recommendations. Several knowledge users will disseminate results through presentations at clinical rounds as well as national and international conferences. We will prepare an evidence brief and facilitate dialogue to engage policymakers and stakeholders in acting on findings. TRIAL REGISTRATION NUMBER PROSPERO CRD42013003526.","author":[{"dropping-particle":"","family":"Schünemann","given":"Holger J","non-dropping-particle":"","parse-names":false,"suffix":""},{"dropping-particle":"","family":"Ventresca","given":"Matthew","non-dropping-particle":"","parse-names":false,"suffix":""},{"dropping-particle":"","family":"Crowther","given":"Mark","non-dropping-particle":"","parse-names":false,"suffix":""},{"dropping-particle":"","family":"Briel","given":"Matthias","non-dropping-particle":"","parse-names":false,"suffix":""},{"dropping-particle":"","family":"Zhou","given":"Qi","non-dropping-particle":"","parse-names":false,"suffix":""},{"dropping-particle":"","family":"Garcia","given":"David","non-dropping-particle":"","parse-names":false,"suffix":""},{"dropping-particle":"","family":"Lyman","given":"Gary","non-dropping-particle":"","parse-names":false,"suffix":""},{"dropping-particle":"","family":"Noble","given":"Simon","non-dropping-particle":"","parse-names":false,"suffix":""},{"dropping-particle":"","family":"Macbeth","given":"Fergus","non-dropping-particle":"","parse-names":false,"suffix":""},{"dropping-particle":"","family":"Griffiths","given":"Gareth","non-dropping-particle":"","parse-names":false,"suffix":""},{"dropping-particle":"","family":"DiNisio","given":"Marcello","non-dropping-particle":"","parse-names":false,"suffix":""},{"dropping-particle":"","family":"Iorio","given":"Alfonso","non-dropping-particle":"","parse-names":false,"suffix":""},{"dropping-particle":"","family":"Beyene","given":"Joseph","non-dropping-particle":"","parse-names":false,"suffix":""},{"dropping-particle":"","family":"Mbuagbaw","given":"Lawrance","non-dropping-particle":"","parse-names":false,"suffix":""},{"dropping-particle":"","family":"Neumann","given":"Ignacio","non-dropping-particle":"","parse-names":false,"suffix":""},{"dropping-particle":"","family":"Es","given":"Nick","non-dropping-particle":"Van","parse-names":false,"suffix":""},{"dropping-particle":"","family":"Brouwers","given":"Melissa","non-dropping-particle":"","parse-names":false,"suffix":""},{"dropping-particle":"","family":"Brozek","given":"Jan","non-dropping-particle":"","parse-names":false,"suffix":""},{"dropping-particle":"","family":"Guyatt","given":"Gordon","non-dropping-particle":"","parse-names":false,"suffix":""},{"dropping-particle":"","family":"Levine","given":"Mark","non-dropping-particle":"","parse-names":false,"suffix":""},{"dropping-particle":"","family":"Moll","given":"Stephan","non-dropping-particle":"","parse-names":false,"suffix":""},{"dropping-particle":"","family":"Santesso","given":"Nancy","non-dropping-particle":"","parse-names":false,"suffix":""},{"dropping-particle":"","family":"Streiff","given":"Michael","non-dropping-particle":"","parse-names":false,"suffix":""},{"dropping-particle":"","family":"Baldeh","given":"Tejan","non-dropping-particle":"","parse-names":false,"suffix":""},{"dropping-particle":"","family":"Florez","given":"Ivan","non-dropping-particle":"","parse-names":false,"suffix":""},{"dropping-particle":"","family":"Gurunlu Alma","given":"Ozlem","non-dropping-particle":"","parse-names":false,"suffix":""},{"dropping-particle":"","family":"Solh","given":"Ziad","non-dropping-particle":"","parse-names":false,"suffix":""},{"dropping-particle":"","family":"Ageno","given":"Walter","non-dropping-particle":"","parse-names":false,"suffix":""},{"dropping-particle":"","family":"Marcucci","given":"Maura","non-dropping-particle":"","parse-names":false,"suffix":""},{"dropping-particle":"","family":"Bozas","given":"George","non-dropping-particle":"","parse-names":false,"suffix":""},{"dropping-particle":"","family":"Zulian","given":"Gilbert","non-dropping-particle":"","parse-names":false,"suffix":""},{"dropping-particle":"","family":"Maraveyas","given":"Anthony","non-dropping-particle":"","parse-names":false,"suffix":""},{"dropping-particle":"","family":"Lebeau","given":"Bernard","non-dropping-particle":"","parse-names":false,"suffix":""},{"dropping-particle":"","family":"Buller","given":"Harry","non-dropping-particle":"","parse-names":false,"suffix":""},{"dropping-particle":"","family":"Evans","given":"Jessica","non-dropping-particle":"","parse-names":false,"suffix":""},{"dropping-particle":"","family":"McBane","given":"Robert","non-dropping-particle":"","parse-names":false,"suffix":""},{"dropping-particle":"","family":"Bleker","given":"Suzanne","non-dropping-particle":"","parse-names":false,"suffix":""},{"dropping-particle":"","family":"Pelzer","given":"Uwe","non-dropping-particle":"","parse-names":false,"suffix":""},{"dropping-particle":"","family":"Akl","given":"Elie A","non-dropping-particle":"","parse-names":false,"suffix":""},{"dropping-particle":"","family":"IPDMA heparin use in cancer patients research group","given":"","non-dropping-particle":"","parse-names":false,"suffix":""}],"container-title":"BMJ open","id":"ITEM-1","issue":"4","issued":{"date-parts":[["2016"]]},"page":"e010569","title":"Use of heparins in patients with cancer: individual participant data meta-analysis of randomised trials study protocol.","type":"article-journal","volume":"6"},"uris":["http://www.mendeley.com/documents/?uuid=8aa78edf-b815-46c2-ae23-48841891abd6"]}],"mendeley":{"formattedCitation":"&lt;sup&gt;14&lt;/sup&gt;","plainTextFormattedCitation":"14","previouslyFormattedCitation":"&lt;sup&gt;14&lt;/sup&gt;"},"properties":{"noteIndex":0},"schema":"https://github.com/citation-style-language/schema/raw/master/csl-citation.json"}</w:instrText>
      </w:r>
      <w:r w:rsidR="009E7AFA">
        <w:fldChar w:fldCharType="separate"/>
      </w:r>
      <w:r w:rsidR="00EF05F2" w:rsidRPr="00EF05F2">
        <w:rPr>
          <w:noProof/>
          <w:vertAlign w:val="superscript"/>
        </w:rPr>
        <w:t>14</w:t>
      </w:r>
      <w:r w:rsidR="009E7AFA">
        <w:fldChar w:fldCharType="end"/>
      </w:r>
    </w:p>
    <w:p w14:paraId="10E172D3" w14:textId="77777777" w:rsidR="001F57C8" w:rsidRDefault="001F57C8"/>
    <w:p w14:paraId="33FED54E" w14:textId="77777777" w:rsidR="006C1994" w:rsidRDefault="006C1994">
      <w:r>
        <w:rPr>
          <w:i/>
        </w:rPr>
        <w:t>Risk of bias</w:t>
      </w:r>
      <w:r w:rsidR="009409F8">
        <w:rPr>
          <w:i/>
        </w:rPr>
        <w:t xml:space="preserve"> and evidence grading</w:t>
      </w:r>
    </w:p>
    <w:p w14:paraId="5249E435" w14:textId="120DF26F" w:rsidR="006C1994" w:rsidRDefault="006C1994">
      <w:r>
        <w:t xml:space="preserve">For the evaluation of the performance of the Khorana score, two authors independently assessed risk of bias for the studies using the </w:t>
      </w:r>
      <w:r w:rsidRPr="006C1994">
        <w:t>Quality In Prognosis Studies</w:t>
      </w:r>
      <w:r>
        <w:t xml:space="preserve"> (QUIPS) tool.</w:t>
      </w:r>
      <w:r w:rsidR="00A77C8E">
        <w:fldChar w:fldCharType="begin" w:fldLock="1"/>
      </w:r>
      <w:r w:rsidR="00BC28CF">
        <w:instrText>ADDIN CSL_CITATION {"citationItems":[{"id":"ITEM-1","itemData":{"DOI":"10.7326/0003-4819-158-4-201302190-00009","ISSN":"1539-3704","PMID":"23420236","abstract":"Previous work has identified 6 important areas to consider when evaluating validity and bias in studies of prognostic factors: participation, attrition, prognostic factor measurement, confounding measurement and account, outcome measurement, and analysis and reporting. This article describes the Quality In Prognosis Studies tool, which includes questions related to these areas that can inform judgments of risk of bias in prognostic research.A working group comprising epidemiologists, statisticians, and clinicians developed the tool as they considered prognosis studies of low back pain. Forty-three groups reviewing studies addressing prognosis in other topic areas used the tool and provided feedback. Most reviewers (74%) reported that reaching consensus on judgments was easy. Median completion time per study was 20 minutes; interrater agreement (κ statistic) reported by 9 review teams varied from 0.56 to 0.82 (median, 0.75). Some reviewers reported challenges making judgments across prompting items, which were addressed by providing comprehensive guidance and examples. The refined Quality In Prognosis Studies tool may be useful to assess the risk of bias in studies of prognostic factors.","author":[{"dropping-particle":"","family":"Hayden","given":"Jill A","non-dropping-particle":"","parse-names":false,"suffix":""},{"dropping-particle":"","family":"Windt","given":"Danielle A","non-dropping-particle":"van der","parse-names":false,"suffix":""},{"dropping-particle":"","family":"Cartwright","given":"Jennifer L","non-dropping-particle":"","parse-names":false,"suffix":""},{"dropping-particle":"","family":"Côté","given":"Pierre","non-dropping-particle":"","parse-names":false,"suffix":""},{"dropping-particle":"","family":"Bombardier","given":"Claire","non-dropping-particle":"","parse-names":false,"suffix":""}],"container-title":"Annals of internal medicine","id":"ITEM-1","issue":"4","issued":{"date-parts":[["2013","2","19"]]},"page":"280-6","title":"Assessing bias in studies of prognostic factors.","type":"article-journal","volume":"158"},"uris":["http://www.mendeley.com/documents/?uuid=f7b55d97-e986-46ac-8ddb-33ab8ac5e423"]}],"mendeley":{"formattedCitation":"&lt;sup&gt;15&lt;/sup&gt;","plainTextFormattedCitation":"15","previouslyFormattedCitation":"&lt;sup&gt;15&lt;/sup&gt;"},"properties":{"noteIndex":0},"schema":"https://github.com/citation-style-language/schema/raw/master/csl-citation.json"}</w:instrText>
      </w:r>
      <w:r w:rsidR="00A77C8E">
        <w:fldChar w:fldCharType="separate"/>
      </w:r>
      <w:r w:rsidR="00EF05F2" w:rsidRPr="00EF05F2">
        <w:rPr>
          <w:noProof/>
          <w:vertAlign w:val="superscript"/>
        </w:rPr>
        <w:t>15</w:t>
      </w:r>
      <w:r w:rsidR="00A77C8E">
        <w:fldChar w:fldCharType="end"/>
      </w:r>
      <w:r>
        <w:t xml:space="preserve"> </w:t>
      </w:r>
      <w:r w:rsidR="000044D4">
        <w:t>Three of six</w:t>
      </w:r>
      <w:r w:rsidR="007A2D80">
        <w:t xml:space="preserve"> QUIPS</w:t>
      </w:r>
      <w:r w:rsidR="000044D4">
        <w:t xml:space="preserve"> items were omitted because they were irrelevant to the research question (study confounding) or irrelevant at a study level because data were aggregated at a patient level (prognostic</w:t>
      </w:r>
      <w:r w:rsidR="000044D4" w:rsidRPr="000044D4">
        <w:t xml:space="preserve"> </w:t>
      </w:r>
      <w:r w:rsidR="000044D4">
        <w:t>factor m</w:t>
      </w:r>
      <w:r w:rsidR="000044D4" w:rsidRPr="000044D4">
        <w:t>easurement</w:t>
      </w:r>
      <w:r w:rsidR="000044D4">
        <w:t xml:space="preserve"> and statistical analysis).</w:t>
      </w:r>
      <w:r w:rsidR="00FF200C">
        <w:t xml:space="preserve"> </w:t>
      </w:r>
      <w:r w:rsidR="00295597">
        <w:t xml:space="preserve">For the evaluation of efficacy and safety of </w:t>
      </w:r>
      <w:r w:rsidR="00EC292E">
        <w:t>thromboprophylaxis, t</w:t>
      </w:r>
      <w:r w:rsidR="00295597">
        <w:t>wo authors independently assess</w:t>
      </w:r>
      <w:r w:rsidR="00B46093">
        <w:t>ed</w:t>
      </w:r>
      <w:r w:rsidR="00295597">
        <w:t xml:space="preserve"> risk of bias using the Cochrane Risk of Bias Tool. </w:t>
      </w:r>
      <w:r w:rsidR="00FF200C">
        <w:t>Reviewers resolved d</w:t>
      </w:r>
      <w:r w:rsidR="00974579">
        <w:t>isagreement</w:t>
      </w:r>
      <w:r>
        <w:t xml:space="preserve"> by discussion. </w:t>
      </w:r>
      <w:r w:rsidR="009409F8">
        <w:t>The GRADE framework was used to assess evidence for the prognostic performance of the Khorana score as well as for the efficacy and safety of thrombopro</w:t>
      </w:r>
      <w:r w:rsidR="008F4EB2">
        <w:t>p</w:t>
      </w:r>
      <w:r w:rsidR="009409F8">
        <w:t>hylaxis</w:t>
      </w:r>
      <w:r w:rsidR="007B5B43">
        <w:t>.</w:t>
      </w:r>
      <w:r w:rsidR="00440AED">
        <w:fldChar w:fldCharType="begin" w:fldLock="1"/>
      </w:r>
      <w:r w:rsidR="00BC28CF">
        <w:instrText>ADDIN CSL_CITATION {"citationItems":[{"id":"ITEM-1","itemData":{"DOI":"10.1136/bmj.e7401","ISSN":"1756-1833","PMID":"23152569","author":[{"dropping-particle":"","family":"Spencer","given":"Frederick A.","non-dropping-particle":"","parse-names":false,"suffix":""},{"dropping-particle":"","family":"Iorio","given":"Alfonso","non-dropping-particle":"","parse-names":false,"suffix":""},{"dropping-particle":"","family":"You","given":"John","non-dropping-particle":"","parse-names":false,"suffix":""},{"dropping-particle":"","family":"Murad","given":"M. Hassad","non-dropping-particle":"","parse-names":false,"suffix":""},{"dropping-particle":"","family":"Schünemann","given":"Holger J","non-dropping-particle":"","parse-names":false,"suffix":""},{"dropping-particle":"","family":"Vandvik","given":"Per O.","non-dropping-particle":"","parse-names":false,"suffix":""},{"dropping-particle":"","family":"Crowther","given":"Mark A.","non-dropping-particle":"","parse-names":false,"suffix":""},{"dropping-particle":"","family":"Pottie","given":"Kevin","non-dropping-particle":"","parse-names":false,"suffix":""},{"dropping-particle":"","family":"Lang","given":"Eddy S.","non-dropping-particle":"","parse-names":false,"suffix":""},{"dropping-particle":"","family":"Meerpohl","given":"Joerg J.","non-dropping-particle":"","parse-names":false,"suffix":""},{"dropping-particle":"","family":"Falck-Ytter","given":"Yngve","non-dropping-particle":"","parse-names":false,"suffix":""},{"dropping-particle":"","family":"Alonso-Coello","given":"Pablo","non-dropping-particle":"","parse-names":false,"suffix":""},{"dropping-particle":"","family":"Guyatt","given":"Gordon H.","non-dropping-particle":"","parse-names":false,"suffix":""},{"dropping-particle":"","family":"Schunemann","given":"H. J.","non-dropping-particle":"","parse-names":false,"suffix":""},{"dropping-particle":"","family":"Vandvik","given":"Per O.","non-dropping-particle":"","parse-names":false,"suffix":""},{"dropping-particle":"","family":"Crowther","given":"Mark A.","non-dropping-particle":"","parse-names":false,"suffix":""},{"dropping-particle":"","family":"Pottie","given":"Kevin","non-dropping-particle":"","parse-names":false,"suffix":""},{"dropping-particle":"","family":"Lang","given":"Eddy S.","non-dropping-particle":"","parse-names":false,"suffix":""},{"dropping-particle":"","family":"Meerpohl","given":"Joerg J.","non-dropping-particle":"","parse-names":false,"suffix":""},{"dropping-particle":"","family":"Falck-Ytter","given":"Yngve","non-dropping-particle":"","parse-names":false,"suffix":""},{"dropping-particle":"","family":"Alonso-Coello","given":"Pablo","non-dropping-particle":"","parse-names":false,"suffix":""},{"dropping-particle":"","family":"Guyatt","given":"Gordon H.","non-dropping-particle":"","parse-names":false,"suffix":""}],"container-title":"BMJ (Clinical research ed.)","id":"ITEM-1","issue":"November","issued":{"date-parts":[["2012","1"]]},"page":"e7401","title":"Uncertainties in baseline risk estimates and confidence in treatment effects.","type":"article-journal","volume":"345"},"uris":["http://www.mendeley.com/documents/?uuid=9717d580-e261-4a3f-8318-2c471e3ec562"]},{"id":"ITEM-2","itemData":{"DOI":"10.1136/bmj.h870","ISBN":"1756-1833 (Electronic)\\r0959-535X (Linking)","ISSN":"1756-1833","PMID":"25775931","abstract":"The SIPPET trial [1] has provided a quite strong evidence that, in patients with severe haemophilia A, recombinant Factor VIII increases the risk of developing high-titre inhibitors as compared with plasma-derived Factor VIII. These findings have important clinical implications, but also the economic consequences deserve to be considered. If one examines the absolute incidence of high-titre inhibitor development, the SIPPET trial found 28.4% (95%CI: 19.6 to 37.2%) with recombinant Factor VIII and 18.5% (95%CI: 12.1 to 26.9%) with plasma-derived Factor VIII. The number needed to harm, calculated from these data, is 10. In other words, for every 10 patients who are treated with recombinant Factor VIII as opposed to plasma-derived factor VIII, one patient is expected to develop high-titre inhibitors. From an economic point of view, this means that the use of recombinant Factor VIII can be associated with an average increase in the treatment cost per patient equal to the average cost of treating 1 case of high titre inhibitors divided by 10. This in turn raises the need to estimate the average cost to treat 1 patient who develops high-titre inhibitors. Although numerous studies have addressed this issue [2-10], the current information on this point still shows important differences from study to study. The analysis by Bohn et al [3] found a mean cost per patient per year of $141,000 (EUR 125,701; US$ 1 = EUR 0.8915) for patients with inhibitors vs $80,000 (EUR 71,320) for patients without inhibitors (difference = $61,000 per patient per year). In the same period, Gringeri et al [5] recorded a monthly cost of EUR 18,000 in patients with inhibitors (i.e. about EUR 215,000 yearly). The oldest of these studies [7] found an average yearly cost of Can$96,000 (EUR 63,859; Can$ 1 = EUR 0.6652) as compared with Can$43,000 (EUR 28,604) without inhibitors. As pointed out by DiMinno et al. [2], the wide variability of these cost estimates is intrinsically related to the clinical variability of the disease course in these patients.","author":[{"dropping-particle":"","family":"Iorio","given":"Alfonso","non-dropping-particle":"","parse-names":false,"suffix":""},{"dropping-particle":"","family":"Spencer","given":"Frederick A.","non-dropping-particle":"","parse-names":false,"suffix":""},{"dropping-particle":"","family":"Falavigna","given":"Maicon","non-dropping-particle":"","parse-names":false,"suffix":""},{"dropping-particle":"","family":"Alba","given":"Carolina","non-dropping-particle":"","parse-names":false,"suffix":""},{"dropping-particle":"","family":"Lang","given":"Eddie","non-dropping-particle":"","parse-names":false,"suffix":""},{"dropping-particle":"","family":"Burnand","given":"Bernard","non-dropping-particle":"","parse-names":false,"suffix":""},{"dropping-particle":"","family":"McGinn","given":"Tom","non-dropping-particle":"","parse-names":false,"suffix":""},{"dropping-particle":"","family":"Hayden","given":"Jill","non-dropping-particle":"","parse-names":false,"suffix":""},{"dropping-particle":"","family":"Williams","given":"Katrina","non-dropping-particle":"","parse-names":false,"suffix":""},{"dropping-particle":"","family":"Shea","given":"Beverly","non-dropping-particle":"","parse-names":false,"suffix":""},{"dropping-particle":"","family":"Wolff","given":"Robert","non-dropping-particle":"","parse-names":false,"suffix":""},{"dropping-particle":"","family":"Kujpers","given":"Ton","non-dropping-particle":"","parse-names":false,"suffix":""},{"dropping-particle":"","family":"Perel","given":"Pablo","non-dropping-particle":"","parse-names":false,"suffix":""},{"dropping-particle":"","family":"Vandvik","given":"Per Olav","non-dropping-particle":"","parse-names":false,"suffix":""},{"dropping-particle":"","family":"Glasziou","given":"Paul","non-dropping-particle":"","parse-names":false,"suffix":""},{"dropping-particle":"","family":"Schunemann","given":"Holger","non-dropping-particle":"","parse-names":false,"suffix":""},{"dropping-particle":"","family":"Guyatt","given":"Gordon","non-dropping-particle":"","parse-names":false,"suffix":""}],"container-title":"BMJ (Clinical research ed.)","id":"ITEM-2","issue":"mar16 7","issued":{"date-parts":[["2015","3","16"]]},"page":"h870","title":"Use of GRADE for assessment of evidence about prognosis: rating confidence in estimates of event rates in broad categories of patients.","type":"article-journal","volume":"350"},"uris":["http://www.mendeley.com/documents/?uuid=9c6612e0-81dd-422d-ba74-228ec82b6cff"]},{"id":"ITEM-3","itemData":{"DOI":"10.1016/j.jclinepi.2010.04.026","ISBN":"9055243841","ISSN":"08954356","PMID":"22818160","abstract":"This article is the first of a series providing guidance for use of the Grading of Recommendations Assessment, Development, and Evaluation (GRADE) system of rating quality of evidence and grading strength of recommendations in systematic reviews, health technology assessments (HTAs), and clinical practice guidelines addressing alternative management options. The GRADE process begins with asking an explicit question, including specification of all important outcomes. After the evidence is collected and summarized, GRADE provides explicit criteria for rating the quality of evidence that include study design, risk of bias, imprecision, inconsistency, indirectness, and magnitude of effect. Recommendations are characterized as strong or weak (alternative terms conditional or discretionary) according to the quality of the supporting evidence and the balance between desirable and undesirable consequences of the alternative management options. GRADE suggests summarizing evidence in succinct, transparent, and informative summary of findings tables that show the quality of evidence and the magnitude of relative and absolute effects for each important outcome and/or as evidence profiles that provide, in addition, detailed information about the reason for the quality of evidence rating. Subsequent articles in this series will address GRADE's approach to formulating questions, assessing quality of evidence, and developing recommendations. © 2011 Elsevier Inc. All rights reserved.","author":[{"dropping-particle":"","family":"Guyatt","given":"Gordon","non-dropping-particle":"","parse-names":false,"suffix":""},{"dropping-particle":"","family":"Oxman","given":"Andrew D.","non-dropping-particle":"","parse-names":false,"suffix":""},{"dropping-particle":"","family":"Akl","given":"Elie A.","non-dropping-particle":"","parse-names":false,"suffix":""},{"dropping-particle":"","family":"Kunz","given":"Regina","non-dropping-particle":"","parse-names":false,"suffix":""},{"dropping-particle":"","family":"Vist","given":"Gunn","non-dropping-particle":"","parse-names":false,"suffix":""},{"dropping-particle":"","family":"Brozek","given":"Jan","non-dropping-particle":"","parse-names":false,"suffix":""},{"dropping-particle":"","family":"Norris","given":"Susan","non-dropping-particle":"","parse-names":false,"suffix":""},{"dropping-particle":"","family":"Falck-Ytter","given":"Yngve","non-dropping-particle":"","parse-names":false,"suffix":""},{"dropping-particle":"","family":"Glasziou","given":"Paul","non-dropping-particle":"","parse-names":false,"suffix":""},{"dropping-particle":"","family":"Debeer","given":"Hans","non-dropping-particle":"","parse-names":false,"suffix":""},{"dropping-particle":"","family":"Jaeschke","given":"Roman","non-dropping-particle":"","parse-names":false,"suffix":""},{"dropping-particle":"","family":"Rind","given":"David","non-dropping-particle":"","parse-names":false,"suffix":""},{"dropping-particle":"","family":"Meerpohl","given":"Joerg","non-dropping-particle":"","parse-names":false,"suffix":""},{"dropping-particle":"","family":"Dahm","given":"Philipp","non-dropping-particle":"","parse-names":false,"suffix":""},{"dropping-particle":"","family":"Schünemann","given":"Holger J.","non-dropping-particle":"","parse-names":false,"suffix":""}],"container-title":"Journal of Clinical Epidemiology","id":"ITEM-3","issue":"4","issued":{"date-parts":[["2011"]]},"page":"383-394","title":"GRADE guidelines: 1. Introduction - GRADE evidence profiles and summary of findings tables","type":"article-journal","volume":"64"},"uris":["http://www.mendeley.com/documents/?uuid=06381ced-7eb0-4653-a2c6-98692715cbff"]}],"mendeley":{"formattedCitation":"&lt;sup&gt;16–18&lt;/sup&gt;","plainTextFormattedCitation":"16–18","previouslyFormattedCitation":"&lt;sup&gt;16–18&lt;/sup&gt;"},"properties":{"noteIndex":0},"schema":"https://github.com/citation-style-language/schema/raw/master/csl-citation.json"}</w:instrText>
      </w:r>
      <w:r w:rsidR="00440AED">
        <w:fldChar w:fldCharType="separate"/>
      </w:r>
      <w:r w:rsidR="00EF05F2" w:rsidRPr="00EF05F2">
        <w:rPr>
          <w:noProof/>
          <w:vertAlign w:val="superscript"/>
        </w:rPr>
        <w:t>16–18</w:t>
      </w:r>
      <w:r w:rsidR="00440AED">
        <w:fldChar w:fldCharType="end"/>
      </w:r>
    </w:p>
    <w:p w14:paraId="77C49B0B" w14:textId="77777777" w:rsidR="00821552" w:rsidRDefault="00821552"/>
    <w:p w14:paraId="4C7CF460" w14:textId="77777777" w:rsidR="00821552" w:rsidRDefault="00821552">
      <w:pPr>
        <w:rPr>
          <w:i/>
        </w:rPr>
      </w:pPr>
      <w:r>
        <w:rPr>
          <w:i/>
        </w:rPr>
        <w:t>Outcome</w:t>
      </w:r>
      <w:r w:rsidR="00432503">
        <w:rPr>
          <w:i/>
        </w:rPr>
        <w:t>s</w:t>
      </w:r>
    </w:p>
    <w:p w14:paraId="70B7D89E" w14:textId="77777777" w:rsidR="00821552" w:rsidRPr="00821552" w:rsidRDefault="00821552">
      <w:r>
        <w:t>The primary outcome was objectively confirmed DVT</w:t>
      </w:r>
      <w:r w:rsidR="00E91A50">
        <w:t xml:space="preserve"> or</w:t>
      </w:r>
      <w:r>
        <w:t xml:space="preserve"> PE </w:t>
      </w:r>
      <w:r w:rsidR="001E45DB">
        <w:t>in the first</w:t>
      </w:r>
      <w:r>
        <w:t xml:space="preserve"> 6 months </w:t>
      </w:r>
      <w:r w:rsidR="001E45DB">
        <w:t xml:space="preserve">of </w:t>
      </w:r>
      <w:r>
        <w:t>follow-up</w:t>
      </w:r>
      <w:r w:rsidR="00DB7E18">
        <w:t xml:space="preserve"> from randomization</w:t>
      </w:r>
      <w:r w:rsidR="00A621B4">
        <w:t>, either symptomatic or incidentally detected</w:t>
      </w:r>
      <w:r>
        <w:t>. The study definitions of VTE</w:t>
      </w:r>
      <w:r w:rsidR="00E91A50">
        <w:t xml:space="preserve">, which varied somewhat, </w:t>
      </w:r>
      <w:r>
        <w:t>were accepted</w:t>
      </w:r>
      <w:r w:rsidR="00E91A50">
        <w:t xml:space="preserve"> and used in the present analysis</w:t>
      </w:r>
      <w:r>
        <w:t xml:space="preserve">. Secondary outcomes included symptomatic VTE, </w:t>
      </w:r>
      <w:r w:rsidR="009A4527">
        <w:t xml:space="preserve">DVT, PE, </w:t>
      </w:r>
      <w:r>
        <w:t>major bleeding, and all-cause mortality.</w:t>
      </w:r>
    </w:p>
    <w:p w14:paraId="57FE2C1E" w14:textId="77777777" w:rsidR="00C31B35" w:rsidRDefault="00C31B35"/>
    <w:p w14:paraId="4CEF6B84" w14:textId="77777777" w:rsidR="00C31B35" w:rsidRPr="00197CB6" w:rsidRDefault="00C31B35">
      <w:pPr>
        <w:rPr>
          <w:i/>
        </w:rPr>
      </w:pPr>
      <w:r>
        <w:rPr>
          <w:i/>
        </w:rPr>
        <w:t>Data synthesis</w:t>
      </w:r>
    </w:p>
    <w:p w14:paraId="17FC8105" w14:textId="48027AC6" w:rsidR="00492CA8" w:rsidRDefault="00492CA8" w:rsidP="00F460F1">
      <w:r w:rsidRPr="00197CB6">
        <w:t xml:space="preserve">The Khorana score was calculated </w:t>
      </w:r>
      <w:r w:rsidR="007E27DE" w:rsidRPr="00197CB6">
        <w:t xml:space="preserve">by </w:t>
      </w:r>
      <w:r w:rsidRPr="00197CB6">
        <w:t>using</w:t>
      </w:r>
      <w:r w:rsidR="00A621B4" w:rsidRPr="00197CB6">
        <w:t xml:space="preserve"> baseline</w:t>
      </w:r>
      <w:r w:rsidRPr="00197CB6">
        <w:t xml:space="preserve"> data routinely collected in the studies.</w:t>
      </w:r>
      <w:r w:rsidR="009115A9">
        <w:fldChar w:fldCharType="begin" w:fldLock="1"/>
      </w:r>
      <w:r w:rsidR="009115A9">
        <w:instrText>ADDIN CSL_CITATION {"citationItems":[{"id":"ITEM-1","itemData":{"DOI":"10.1182/blood-2007-10-116327","ISBN":"1528-0020 (Electronic)\\r0006-4971 (Linking)","ISSN":"1528-0020","PMID":"18216292","abstract":"Risk of venous thromboembolism (VTE) is elevated in cancer, but individual risk factors cannot identify a sufficiently high-risk group of outpatients for thromboprophylaxis. We developed a simple model for predicting chemotherapy-associated VTE using baseline clinical and laboratory variables. The association of VTE with multiple variables was characterized in a derivation cohort of 2701 cancer outpatients from a prospective observational study. A risk model was derived and validated in an independent cohort of 1365 patients from the same study. Five predictive variables were identified in a multivariate model: site of cancer (2 points for very high-risk site, 1 point for high-risk site), platelet count of 350 x 10(9)/L or more, hemoglobin less than 100 g/L (10 g/dL) and/or use of erythropoiesis-stimulating agents, leukocyte count more than 11 x 10(9)/L, and body mass index of 35 kg/m(2) or more (1 point each). Rates of VTE in the derivation and validation cohorts, respectively, were 0.8% and 0.3% in low-risk (score = 0), 1.8% and 2% in intermediate-risk (score = 1-2), and 7.1% and 6.7% in high-risk (score &gt;/= 3) category over a median of 2.5 months (C-statistic = 0.7 for both cohorts). This model can identify patients with a nearly 7% short-term risk of symptomatic VTE and may be used to select cancer outpatients for studies of thromboprophylaxis.","author":[{"dropping-particle":"","family":"Khorana","given":"Alok A","non-dropping-particle":"","parse-names":false,"suffix":""},{"dropping-particle":"","family":"Kuderer","given":"Nicole M","non-dropping-particle":"","parse-names":false,"suffix":""},{"dropping-particle":"","family":"Culakova","given":"Eva","non-dropping-particle":"","parse-names":false,"suffix":""},{"dropping-particle":"","family":"Lyman","given":"Gary H","non-dropping-particle":"","parse-names":false,"suffix":""},{"dropping-particle":"","family":"Francis","given":"Charles W","non-dropping-particle":"","parse-names":false,"suffix":""}],"container-title":"Blood","id":"ITEM-1","issue":"10","issued":{"date-parts":[["2008","5","15"]]},"page":"4902-7","title":"Development and validation of a predictive model for chemotherapy-associated thrombosis.","type":"article-journal","volume":"111"},"uris":["http://www.mendeley.com/documents/?uuid=c8faa677-c113-41de-82c7-b662caaa9e1d"]}],"mendeley":{"formattedCitation":"&lt;sup&gt;19&lt;/sup&gt;","plainTextFormattedCitation":"19"},"properties":{"noteIndex":0},"schema":"https://github.com/citation-style-language/schema/raw/master/csl-citation.json"}</w:instrText>
      </w:r>
      <w:r w:rsidR="009115A9">
        <w:fldChar w:fldCharType="separate"/>
      </w:r>
      <w:r w:rsidR="009115A9" w:rsidRPr="009115A9">
        <w:rPr>
          <w:noProof/>
          <w:vertAlign w:val="superscript"/>
        </w:rPr>
        <w:t>19</w:t>
      </w:r>
      <w:r w:rsidR="009115A9">
        <w:fldChar w:fldCharType="end"/>
      </w:r>
      <w:r w:rsidRPr="00197CB6">
        <w:t xml:space="preserve"> We applied the modifications proposed</w:t>
      </w:r>
      <w:r>
        <w:t xml:space="preserve"> by Ay and colleagues, </w:t>
      </w:r>
      <w:r w:rsidR="007E27DE">
        <w:t xml:space="preserve">wherein </w:t>
      </w:r>
      <w:r w:rsidR="000B0A6C">
        <w:t xml:space="preserve">primary </w:t>
      </w:r>
      <w:r>
        <w:t xml:space="preserve">brain cancer </w:t>
      </w:r>
      <w:r w:rsidR="007E27DE">
        <w:t xml:space="preserve">is considered </w:t>
      </w:r>
      <w:r>
        <w:t xml:space="preserve">as </w:t>
      </w:r>
      <w:r w:rsidR="001E45DB">
        <w:t xml:space="preserve">a </w:t>
      </w:r>
      <w:r>
        <w:t xml:space="preserve">‘very </w:t>
      </w:r>
      <w:r w:rsidR="00314D5B">
        <w:t>high-risk</w:t>
      </w:r>
      <w:r>
        <w:t xml:space="preserve">’ </w:t>
      </w:r>
      <w:r w:rsidR="001E45DB">
        <w:t xml:space="preserve">tumor </w:t>
      </w:r>
      <w:r>
        <w:t>type.</w:t>
      </w:r>
      <w:r w:rsidR="00170B79">
        <w:fldChar w:fldCharType="begin" w:fldLock="1"/>
      </w:r>
      <w:r w:rsidR="00BC28CF">
        <w:instrText>ADDIN CSL_CITATION {"citationItems":[{"id":"ITEM-1","itemData":{"DOI":"10.1182/blood-2010-02-270116","ISBN":"1528-0020 (Electronic)\\r0006-4971 (Linking)","ISSN":"1528-0020","PMID":"20829374","abstract":"The risk of venous thromboembolism (VTE) is increased in cancer patients. To improve prediction of VTE in cancer patients, we performed a prospective and observational cohort study of patients with newly diagnosed cancer or progression of disease after remission. A previously developed risk scoring model for prediction of VTE that included clinical (tumor entity and body mass index) and laboratory (hemoglobin level and thrombocyte and leukocyte count) parameters was expanded by incorporating 2 biomarkers, soluble P-selectin, and D-Dimer. Of 819 patients 6</w:instrText>
      </w:r>
      <w:r w:rsidR="00BC28CF">
        <w:rPr>
          <w:rFonts w:hint="eastAsia"/>
        </w:rPr>
        <w:instrText>1 (7.4%) experienced VTE during a median follow-up of 656 days. The cumulative VTE probability in the original risk model after 6 months was 17.7% in patients with the highest risk score (</w:instrText>
      </w:r>
      <w:r w:rsidR="00BC28CF">
        <w:rPr>
          <w:rFonts w:hint="eastAsia"/>
        </w:rPr>
        <w:instrText>≥</w:instrText>
      </w:r>
      <w:r w:rsidR="00BC28CF">
        <w:rPr>
          <w:rFonts w:hint="eastAsia"/>
        </w:rPr>
        <w:instrText xml:space="preserve"> 3, n = 93), 9.6% in those with score 2 (n = 221), 3.8% in those with score 1 (n = 229), and 1.5% in those with score 0 (n = 276). In the expanded risk model, the cumulative VTE probability after 6 months in patients with the highest score (</w:instrText>
      </w:r>
      <w:r w:rsidR="00BC28CF">
        <w:rPr>
          <w:rFonts w:hint="eastAsia"/>
        </w:rPr>
        <w:instrText>≥</w:instrText>
      </w:r>
      <w:r w:rsidR="00BC28CF">
        <w:rPr>
          <w:rFonts w:hint="eastAsia"/>
        </w:rPr>
        <w:instrText xml:space="preserve"> 5, n = 30) was 35.0% and 10.3% in those with an intermediate score (score 3, n</w:instrText>
      </w:r>
      <w:r w:rsidR="00BC28CF">
        <w:instrText xml:space="preserve"> = 130) as opposed to only 1.0% in patients with score 0 (n = 200); the hazard ratio of patients with the highest compared with those with the lowest score was 25.9 (8.0-84.6). Clinical and standard laboratory parameters with addition of biomarkers enable prediction of VTE and allow identification of cancer patients at high or low risk of VTE.","author":[{"dropping-particle":"","family":"Ay","given":"Cihan","non-dropping-particle":"","parse-names":false,"suffix":""},{"dropping-particle":"","family":"Dunkler","given":"Daniela","non-dropping-particle":"","parse-names":false,"suffix":""},{"dropping-particle":"","family":"Marosi","given":"Christine","non-dropping-particle":"","parse-names":false,"suffix":""},{"dropping-particle":"","family":"Chiriac","given":"Alexandru-Laurentiu","non-dropping-particle":"","parse-names":false,"suffix":""},{"dropping-particle":"","family":"Vormittag","given":"Rainer","non-dropping-particle":"","parse-names":false,"suffix":""},{"dropping-particle":"","family":"Simanek","given":"Ralph","non-dropping-particle":"","parse-names":false,"suffix":""},{"dropping-particle":"","family":"Quehenberger","given":"Peter","non-dropping-particle":"","parse-names":false,"suffix":""},{"dropping-particle":"","family":"Zielinski","given":"Christoph","non-dropping-particle":"","parse-names":false,"suffix":""},{"dropping-particle":"","family":"Pabinger","given":"Ingrid","non-dropping-particle":"","parse-names":false,"suffix":""}],"container-title":"Blood","id":"ITEM-1","issue":"24","issued":{"date-parts":[["2010","12","9"]]},"page":"5377-82","title":"Prediction of venous thromboembolism in cancer patients.","type":"article-journal","volume":"116"},"uris":["http://www.mendeley.com/documents/?uuid=7253a8ff-c772-441e-96b5-dce3ce85093a"]}],"mendeley":{"formattedCitation":"&lt;sup&gt;10&lt;/sup&gt;","plainTextFormattedCitation":"10","previouslyFormattedCitation":"&lt;sup&gt;10&lt;/sup&gt;"},"properties":{"noteIndex":0},"schema":"https://github.com/citation-style-language/schema/raw/master/csl-citation.json"}</w:instrText>
      </w:r>
      <w:r w:rsidR="00170B79">
        <w:fldChar w:fldCharType="separate"/>
      </w:r>
      <w:r w:rsidR="00EF05F2" w:rsidRPr="00EF05F2">
        <w:rPr>
          <w:noProof/>
          <w:vertAlign w:val="superscript"/>
        </w:rPr>
        <w:t>10</w:t>
      </w:r>
      <w:r w:rsidR="00170B79">
        <w:fldChar w:fldCharType="end"/>
      </w:r>
      <w:r>
        <w:t xml:space="preserve"> Patients with a score of 0 points were classified as ‘</w:t>
      </w:r>
      <w:r w:rsidR="00314D5B">
        <w:t>low-risk</w:t>
      </w:r>
      <w:r>
        <w:t>’, those with 1 or 2 points as ‘intermediate</w:t>
      </w:r>
      <w:r w:rsidR="00314D5B">
        <w:t>-</w:t>
      </w:r>
      <w:r>
        <w:t>risk’, and those with 3 points as ‘</w:t>
      </w:r>
      <w:r w:rsidR="00314D5B">
        <w:t>high-risk</w:t>
      </w:r>
      <w:r>
        <w:t xml:space="preserve">’. </w:t>
      </w:r>
      <w:r w:rsidR="00F460F1">
        <w:t>The prognostic performance of the Khorana score was evaluated in the patients allocated to the control groups (placebo or observation).</w:t>
      </w:r>
    </w:p>
    <w:p w14:paraId="4CEE5D08" w14:textId="332DCFAA" w:rsidR="00BE4370" w:rsidRDefault="00BE4370" w:rsidP="00E51FA1">
      <w:r>
        <w:t xml:space="preserve">To assess overall discrimination, the area under the receiver operating characteristic (ROC)-curve of the continuous Khorana score for predicting VTE was calculated for each study. Variances were obtained by DeLong’s method, and study estimates were transformed to the logit scale to better approximate underlying assumptions, before they were aggregated in an inverse variance weighted </w:t>
      </w:r>
      <w:r>
        <w:lastRenderedPageBreak/>
        <w:t>random-effects meta-analysis. Maximum likelihood estimation was adopted and the Knapp-Hartung-</w:t>
      </w:r>
      <w:proofErr w:type="spellStart"/>
      <w:r>
        <w:t>Sidik</w:t>
      </w:r>
      <w:proofErr w:type="spellEnd"/>
      <w:r>
        <w:t>-</w:t>
      </w:r>
      <w:proofErr w:type="spellStart"/>
      <w:r>
        <w:t>Jonkman</w:t>
      </w:r>
      <w:proofErr w:type="spellEnd"/>
      <w:r>
        <w:t xml:space="preserve"> method was used.</w:t>
      </w:r>
      <w:r w:rsidR="00EA0C18">
        <w:fldChar w:fldCharType="begin" w:fldLock="1"/>
      </w:r>
      <w:r w:rsidR="009115A9">
        <w:instrText>ADDIN CSL_CITATION {"citationItems":[{"id":"ITEM-1","itemData":{"DOI":"10.1136/bmj.i6460","ISSN":"1756-1833","PMID":"28057641","author":[{"dropping-particle":"","family":"Debray","given":"Thomas P A","non-dropping-particle":"","parse-names":false,"suffix":""},{"dropping-particle":"","family":"Damen","given":"Johanna A A G","non-dropping-particle":"","parse-names":false,"suffix":""},{"dropping-particle":"","family":"Snell","given":"Kym I E","non-dropping-particle":"","parse-names":false,"suffix":""},{"dropping-particle":"","family":"Ensor","given":"Joie","non-dropping-particle":"","parse-names":false,"suffix":""},{"dropping-particle":"","family":"Hooft","given":"Lotty","non-dropping-particle":"","parse-names":false,"suffix":""},{"dropping-particle":"","family":"Reitsma","given":"Johannes B","non-dropping-particle":"","parse-names":false,"suffix":""},{"dropping-particle":"","family":"Riley","given":"Richard D","non-dropping-particle":"","parse-names":false,"suffix":""},{"dropping-particle":"","family":"Moons","given":"Karel G M","non-dropping-particle":"","parse-names":false,"suffix":""}],"container-title":"BMJ (Clinical research ed.)","id":"ITEM-1","issued":{"date-parts":[["2017","1","5"]]},"page":"i6460","title":"A guide to systematic review and meta-analysis of prediction model performance.","type":"article-journal","volume":"356"},"uris":["http://www.mendeley.com/documents/?uuid=afbd2759-ecc1-4f15-82e9-b1293d987db9"]}],"mendeley":{"formattedCitation":"&lt;sup&gt;20&lt;/sup&gt;","plainTextFormattedCitation":"20","previouslyFormattedCitation":"&lt;sup&gt;19&lt;/sup&gt;"},"properties":{"noteIndex":0},"schema":"https://github.com/citation-style-language/schema/raw/master/csl-citation.json"}</w:instrText>
      </w:r>
      <w:r w:rsidR="00EA0C18">
        <w:fldChar w:fldCharType="separate"/>
      </w:r>
      <w:r w:rsidR="009115A9" w:rsidRPr="009115A9">
        <w:rPr>
          <w:noProof/>
          <w:vertAlign w:val="superscript"/>
        </w:rPr>
        <w:t>20</w:t>
      </w:r>
      <w:r w:rsidR="00EA0C18">
        <w:fldChar w:fldCharType="end"/>
      </w:r>
      <w:r>
        <w:t xml:space="preserve"> Summary estimates obtained in meta-analysis were presented on the conventional probability scale. Heterogeneity was assessed by calculating the I</w:t>
      </w:r>
      <w:r w:rsidRPr="00C203AE">
        <w:rPr>
          <w:vertAlign w:val="superscript"/>
        </w:rPr>
        <w:t>2</w:t>
      </w:r>
      <w:r>
        <w:t xml:space="preserve"> statistic.</w:t>
      </w:r>
    </w:p>
    <w:p w14:paraId="6F73C8EE" w14:textId="012A200C" w:rsidR="00314D5B" w:rsidRDefault="00BC28CF" w:rsidP="00DB7E18">
      <w:r>
        <w:t>W</w:t>
      </w:r>
      <w:r w:rsidR="00FF200C">
        <w:t xml:space="preserve">e examined the performance of the </w:t>
      </w:r>
      <w:r>
        <w:t xml:space="preserve">Khorana </w:t>
      </w:r>
      <w:r w:rsidR="00FF200C">
        <w:t>score when dichotomized</w:t>
      </w:r>
      <w:r w:rsidR="003E3080">
        <w:t xml:space="preserve"> at the </w:t>
      </w:r>
      <w:r w:rsidR="001E45DB">
        <w:t xml:space="preserve">conventional </w:t>
      </w:r>
      <w:r w:rsidR="003E3080">
        <w:t>positivity threshold of 3 points</w:t>
      </w:r>
      <w:r w:rsidR="00FC5BF5">
        <w:t>, in the overall study group</w:t>
      </w:r>
      <w:r w:rsidR="00E7024E">
        <w:t xml:space="preserve"> and in subgroups</w:t>
      </w:r>
      <w:r w:rsidR="00FC5BF5">
        <w:t xml:space="preserve"> defined</w:t>
      </w:r>
      <w:r w:rsidR="00E7024E">
        <w:t xml:space="preserve"> by tumor type and</w:t>
      </w:r>
      <w:r w:rsidR="00FC5BF5">
        <w:t xml:space="preserve"> presence of</w:t>
      </w:r>
      <w:r w:rsidR="00E7024E">
        <w:t xml:space="preserve"> metastasis</w:t>
      </w:r>
      <w:r w:rsidR="003E3080">
        <w:t>.</w:t>
      </w:r>
      <w:r w:rsidR="009F7868">
        <w:t xml:space="preserve"> </w:t>
      </w:r>
      <w:r w:rsidR="00254825">
        <w:t xml:space="preserve">Given recent reports that the Khorana score may perform </w:t>
      </w:r>
      <w:r w:rsidR="009E1327">
        <w:t>poorly in lung cancer patients,</w:t>
      </w:r>
      <w:r w:rsidR="002E519D">
        <w:fldChar w:fldCharType="begin" w:fldLock="1"/>
      </w:r>
      <w:r w:rsidR="009115A9">
        <w:instrText>ADDIN CSL_CITATION {"citationItems":[{"id":"ITEM-1","itemData":{"DOI":"10.1634/theoncologist.2017-0205","ISSN":"1083-7159","author":[{"dropping-particle":"","family":"Kuderer","given":"Nicole M.","non-dropping-particle":"","parse-names":false,"suffix":""},{"dropping-particle":"","family":"Poniewierski","given":"Marek S.","non-dropping-particle":"","parse-names":false,"suffix":""},{"dropping-particle":"","family":"Culakova","given":"Eva","non-dropping-particle":"","parse-names":false,"suffix":""},{"dropping-particle":"","family":"Lyman","given":"Gary H.","non-dropping-particle":"","parse-names":false,"suffix":""},{"dropping-particle":"","family":"Khorana","given":"Alok A.","non-dropping-particle":"","parse-names":false,"suffix":""},{"dropping-particle":"","family":"Pabinger","given":"Ingrid","non-dropping-particle":"","parse-names":false,"suffix":""},{"dropping-particle":"","family":"Agnelli","given":"Giancarlo","non-dropping-particle":"","parse-names":false,"suffix":""},{"dropping-particle":"","family":"Liebman","given":"Howard A.","non-dropping-particle":"","parse-names":false,"suffix":""},{"dropping-particle":"","family":"Vicaut","given":"Eric","non-dropping-particle":"","parse-names":false,"suffix":""},{"dropping-particle":"","family":"Meyer","given":"Guy","non-dropping-particle":"","parse-names":false,"suffix":""},{"dropping-particle":"","family":"Shepherd","given":"Frances A.","non-dropping-particle":"","parse-names":false,"suffix":""}],"container-title":"The Oncologist","id":"ITEM-1","issue":"2","issued":{"date-parts":[["2018","2"]]},"page":"247-255","title":"Predictors of Venous Thromboembolism and Early Mortality in Lung Cancer: Results from a Global Prospective Study (CANTARISK)","type":"article-journal","volume":"23"},"uris":["http://www.mendeley.com/documents/?uuid=356c971f-e16c-42d1-9789-3764e342ee5f"]}],"mendeley":{"formattedCitation":"&lt;sup&gt;21&lt;/sup&gt;","plainTextFormattedCitation":"21","previouslyFormattedCitation":"&lt;sup&gt;20&lt;/sup&gt;"},"properties":{"noteIndex":0},"schema":"https://github.com/citation-style-language/schema/raw/master/csl-citation.json"}</w:instrText>
      </w:r>
      <w:r w:rsidR="002E519D">
        <w:fldChar w:fldCharType="separate"/>
      </w:r>
      <w:r w:rsidR="009115A9" w:rsidRPr="009115A9">
        <w:rPr>
          <w:noProof/>
          <w:vertAlign w:val="superscript"/>
        </w:rPr>
        <w:t>21</w:t>
      </w:r>
      <w:r w:rsidR="002E519D">
        <w:fldChar w:fldCharType="end"/>
      </w:r>
      <w:r w:rsidR="009E1327">
        <w:t xml:space="preserve"> we evaluated</w:t>
      </w:r>
      <w:r w:rsidR="0058153F">
        <w:t xml:space="preserve"> the dichotomous score </w:t>
      </w:r>
      <w:r w:rsidR="008F582D">
        <w:t xml:space="preserve">separately </w:t>
      </w:r>
      <w:r w:rsidR="009E1327">
        <w:t xml:space="preserve">in this group </w:t>
      </w:r>
      <w:r w:rsidR="000B0A6C">
        <w:t>and, separately, in the combined group of all other</w:t>
      </w:r>
      <w:r w:rsidR="0058153F">
        <w:t xml:space="preserve"> types of cancer. </w:t>
      </w:r>
    </w:p>
    <w:p w14:paraId="47F0482C" w14:textId="20888CE7" w:rsidR="00314D5B" w:rsidRDefault="00432503" w:rsidP="00E51FA1">
      <w:r>
        <w:t xml:space="preserve">The </w:t>
      </w:r>
      <w:r w:rsidR="00E91A50">
        <w:t xml:space="preserve">proportion of </w:t>
      </w:r>
      <w:r>
        <w:t xml:space="preserve">patients with VTE among </w:t>
      </w:r>
      <w:r w:rsidR="00314D5B">
        <w:t>high-risk</w:t>
      </w:r>
      <w:r>
        <w:t xml:space="preserve"> patients, the proportion of patients with VTE among </w:t>
      </w:r>
      <w:r w:rsidR="00314D5B">
        <w:t>low-risk</w:t>
      </w:r>
      <w:r>
        <w:t xml:space="preserve"> patients</w:t>
      </w:r>
      <w:r w:rsidR="00A24139">
        <w:t>, and the odds ratio for the difference between high-risk and low-risk patients</w:t>
      </w:r>
      <w:r>
        <w:t xml:space="preserve"> </w:t>
      </w:r>
      <w:r w:rsidR="007E27DE">
        <w:t xml:space="preserve">along with 95% confidence intervals (CI) </w:t>
      </w:r>
      <w:r>
        <w:t xml:space="preserve">were estimated </w:t>
      </w:r>
      <w:r w:rsidR="00E91A50">
        <w:t xml:space="preserve">from </w:t>
      </w:r>
      <w:r>
        <w:t xml:space="preserve">a multi-level logistic regression model, in which a random effect was </w:t>
      </w:r>
      <w:r w:rsidR="00FF200C">
        <w:t>modeled</w:t>
      </w:r>
      <w:r>
        <w:t xml:space="preserve"> for study</w:t>
      </w:r>
      <w:r w:rsidR="00FF200C">
        <w:t xml:space="preserve"> and </w:t>
      </w:r>
      <w:r w:rsidR="00BC0C5C">
        <w:t xml:space="preserve">the dichotomous score result was </w:t>
      </w:r>
      <w:r w:rsidR="00FF200C">
        <w:t>added</w:t>
      </w:r>
      <w:r w:rsidR="00BC0C5C">
        <w:t xml:space="preserve"> as fixed effect</w:t>
      </w:r>
      <w:r>
        <w:t xml:space="preserve">. </w:t>
      </w:r>
    </w:p>
    <w:p w14:paraId="680DA79C" w14:textId="77777777" w:rsidR="00BE4370" w:rsidRDefault="00BE4370" w:rsidP="00E51FA1">
      <w:r>
        <w:t xml:space="preserve">Summary odds ratios for risk of VTE, bleeding, and death in patients allocated to LMWH compared to those allocated to control (placebo or observation) were calculated in a multi-level logistic regression model with a random effect for study. The risks of VTE and bleeding associated with LMWH were evaluated separately in patients with a high-risk Khorana score. </w:t>
      </w:r>
    </w:p>
    <w:p w14:paraId="6EE3ED87" w14:textId="5ABC5408" w:rsidR="00BE4370" w:rsidRDefault="00BE4370" w:rsidP="00E51FA1">
      <w:r>
        <w:t>Heterogeneity across studies was illustrated by calculating 95% prediction intervals (PI) around the point estimates.</w:t>
      </w:r>
      <w:r w:rsidR="00DD4B7E">
        <w:fldChar w:fldCharType="begin" w:fldLock="1"/>
      </w:r>
      <w:r w:rsidR="009115A9">
        <w:instrText>ADDIN CSL_CITATION {"citationItems":[{"id":"ITEM-1","itemData":{"DOI":"10.1371/journal.pone.0060650","ISSN":"1932-6203","PMID":"23585842","abstract":"BACKGROUND: A fundamental aspect of epidemiological studies concerns the estimation of factor-outcome associations to identify risk factors, prognostic factors and potential causal factors. Because reliable estimates for these associations are important, there is a growing interest in methods for combining the results from multiple studies in individual participant data meta-analyses (IPD-MA). When there is substantial heterogeneity across studies, various random-effects meta-analysis models are possible that employ a one-stage or two-stage method. These are generally thought to produce similar results, but empirical comparisons are few. OBJECTIVE: We describe and compare several one- and two-stage random-effects IPD-MA methods for estimating factor-outcome associations from multiple risk-factor or predictor finding studies with a binary outcome. One-stage methods use the IPD of each study and meta-analyse using the exact binomial distribution, whereas two-stage methods reduce evidence to the aggregated level (e.g. odds ratios) and then meta-analyse assuming approximate normality. We compare the methods in an empirical dataset for unadjusted and adjusted risk-factor estimates. RESULTS: Though often similar, on occasion the one-stage and two-stage methods provide different parameter estimates and different conclusions. For example, the effect of erythema and its statistical significance was different for a one-stage (OR = 1.35, [Formula: see text]) and univariate two-stage (OR = 1.55, [Formula: see text]). Estimation issues can also arise: two-stage models suffer unstable estimates when zero cell counts occur and one-stage models do not always converge. CONCLUSION: When planning an IPD-MA, the choice and implementation (e.g. univariate or multivariate) of a one-stage or two-stage method should be prespecified in the protocol as occasionally they lead to different conclusions about which factors are associated with outcome. Though both approaches can suffer from estimation challenges, we recommend employing the one-stage method, as it uses a more exact statistical approach and accounts for parameter correlation.","author":[{"dropping-particle":"","family":"Debray","given":"Thomas P A","non-dropping-particle":"","parse-names":false,"suffix":""},{"dropping-particle":"","family":"Moons","given":"Karel G M","non-dropping-particle":"","parse-names":false,"suffix":""},{"dropping-particle":"","family":"Abo-Zaid","given":"Ghada Mohammed Abdallah","non-dropping-particle":"","parse-names":false,"suffix":""},{"dropping-particle":"","family":"Koffijberg","given":"Hendrik","non-dropping-particle":"","parse-names":false,"suffix":""},{"dropping-particle":"","family":"Riley","given":"Richard David","non-dropping-particle":"","parse-names":false,"suffix":""}],"container-title":"PloS one","id":"ITEM-1","issue":"4","issued":{"date-parts":[["2013","1"]]},"page":"e60650","title":"Individual participant data meta-analysis for a binary outcome: one-stage or two-stage?","type":"article-journal","volume":"8"},"uris":["http://www.mendeley.com/documents/?uuid=0c46b353-5142-416d-9776-d9c45cccbf33"]}],"mendeley":{"formattedCitation":"&lt;sup&gt;22&lt;/sup&gt;","plainTextFormattedCitation":"22","previouslyFormattedCitation":"&lt;sup&gt;21&lt;/sup&gt;"},"properties":{"noteIndex":0},"schema":"https://github.com/citation-style-language/schema/raw/master/csl-citation.json"}</w:instrText>
      </w:r>
      <w:r w:rsidR="00DD4B7E">
        <w:fldChar w:fldCharType="separate"/>
      </w:r>
      <w:r w:rsidR="009115A9" w:rsidRPr="009115A9">
        <w:rPr>
          <w:noProof/>
          <w:vertAlign w:val="superscript"/>
        </w:rPr>
        <w:t>22</w:t>
      </w:r>
      <w:r w:rsidR="00DD4B7E">
        <w:fldChar w:fldCharType="end"/>
      </w:r>
      <w:r>
        <w:t xml:space="preserve"> Suc</w:t>
      </w:r>
      <w:r w:rsidR="00196A6F">
        <w:t>h an interval takes the between-</w:t>
      </w:r>
      <w:r>
        <w:t xml:space="preserve">study variability into account; it </w:t>
      </w:r>
      <w:r w:rsidRPr="0028361A">
        <w:t>indicate</w:t>
      </w:r>
      <w:r>
        <w:t>s</w:t>
      </w:r>
      <w:r w:rsidRPr="0028361A">
        <w:t xml:space="preserve"> a range for the predicted </w:t>
      </w:r>
      <w:r>
        <w:t>point estimate in a new study.</w:t>
      </w:r>
    </w:p>
    <w:p w14:paraId="391C366D" w14:textId="77777777" w:rsidR="00BE4370" w:rsidRDefault="00BE4370" w:rsidP="00BE4370">
      <w:pPr>
        <w:ind w:firstLine="708"/>
      </w:pPr>
    </w:p>
    <w:p w14:paraId="0A60BA1C" w14:textId="77777777" w:rsidR="00BE4370" w:rsidRPr="00BE4370" w:rsidRDefault="00BE4370" w:rsidP="00BE4370">
      <w:pPr>
        <w:rPr>
          <w:i/>
        </w:rPr>
      </w:pPr>
      <w:r>
        <w:rPr>
          <w:i/>
        </w:rPr>
        <w:t xml:space="preserve">Sensitivity and exploratory analyses </w:t>
      </w:r>
    </w:p>
    <w:p w14:paraId="3BD074BA" w14:textId="732065C6" w:rsidR="00BE4370" w:rsidRDefault="002B1786" w:rsidP="00BE4370">
      <w:r>
        <w:t xml:space="preserve">The predictive performance of the individual Khorana score items was evaluated in </w:t>
      </w:r>
      <w:r w:rsidR="00FF200C">
        <w:t xml:space="preserve">a </w:t>
      </w:r>
      <w:r>
        <w:t>multivariable, multi-level logistic regression model</w:t>
      </w:r>
      <w:r w:rsidR="00FF200C">
        <w:t xml:space="preserve"> with a random effect </w:t>
      </w:r>
      <w:r w:rsidR="00CE5138">
        <w:t xml:space="preserve">modeled </w:t>
      </w:r>
      <w:r w:rsidR="00FF200C">
        <w:t>for study</w:t>
      </w:r>
      <w:r>
        <w:t xml:space="preserve">. </w:t>
      </w:r>
      <w:r w:rsidR="00C9560B">
        <w:t xml:space="preserve">Sensitivity analyses were performed in which follow-up was restricted to the first </w:t>
      </w:r>
      <w:r w:rsidR="00DB7E18">
        <w:t>90 days</w:t>
      </w:r>
      <w:r w:rsidR="00AA24AB">
        <w:t>, since the Khorana score was derived in a study with a median follow-up of 2.5 months,</w:t>
      </w:r>
      <w:r w:rsidR="00C9560B">
        <w:t xml:space="preserve"> and in which studies enrolling patients during chemotherapy </w:t>
      </w:r>
      <w:r w:rsidR="00CE5138">
        <w:t xml:space="preserve">or shortly after surgery </w:t>
      </w:r>
      <w:r w:rsidR="00C9560B">
        <w:t>were excluded</w:t>
      </w:r>
      <w:r w:rsidR="00AA24AB">
        <w:t>, since blood counts can be affected by chemotherapy</w:t>
      </w:r>
      <w:r w:rsidR="00CE5138">
        <w:t xml:space="preserve"> and surgery is a well-known risk factor for VTE</w:t>
      </w:r>
      <w:r w:rsidR="00C9560B">
        <w:t xml:space="preserve">. </w:t>
      </w:r>
      <w:r w:rsidR="00BE4370">
        <w:t xml:space="preserve">The performance of the Khorana score was also assessed using an exploratory high-risk positivity threshold of 2 points, since this cut-off </w:t>
      </w:r>
      <w:r w:rsidR="00E063EF">
        <w:t xml:space="preserve">was </w:t>
      </w:r>
      <w:r w:rsidR="00BC6884">
        <w:t xml:space="preserve">adopted by several guidelines after publication of </w:t>
      </w:r>
      <w:r w:rsidR="00E063EF">
        <w:t>t</w:t>
      </w:r>
      <w:r w:rsidR="00BE4370">
        <w:t xml:space="preserve">wo </w:t>
      </w:r>
      <w:r w:rsidR="00E063EF">
        <w:t>recent</w:t>
      </w:r>
      <w:r w:rsidR="00BE4370">
        <w:t xml:space="preserve"> trials.</w:t>
      </w:r>
      <w:r w:rsidR="005615F6">
        <w:fldChar w:fldCharType="begin" w:fldLock="1"/>
      </w:r>
      <w:r w:rsidR="009115A9">
        <w:instrText>ADDIN CSL_CITATION {"citationItems":[{"id":"ITEM-1","itemData":{"DOI":"10.1056/NEJMoa1814468","ISSN":"0028-4793","PMID":"30511879","author":[{"dropping-particle":"","family":"Carrier","given":"Marc","non-dropping-particle":"","parse-names":false,"suffix":""},{"dropping-particle":"","family":"Abou-Nassar","given":"Karim","non-dropping-particle":"","parse-names":false,"suffix":""},{"dropping-particle":"","family":"Mallick","given":"Ranjeeta","non-dropping-particle":"","parse-names":false,"suffix":""},{"dropping-particle":"","family":"Tagalakis","given":"Vicky","non-dropping-particle":"","parse-names":false,"suffix":""},{"dropping-particle":"","family":"Shivakumar","given":"Sudeep","non-dropping-particle":"","parse-names":false,"suffix":""},{"dropping-particle":"","family":"Schattner","given":"Ariah","non-dropping-particle":"","parse-names":false,"suffix":""},{"dropping-particle":"","family":"Kuruvilla","given":"Philip","non-dropping-particle":"","parse-names":false,"suffix":""},{"dropping-particle":"","family":"Hill","given":"Danny","non-dropping-particle":"","parse-names":false,"suffix":""},{"dropping-particle":"","family":"Spadafora","given":"Silvana","non-dropping-particle":"","parse-names":false,"suffix":""},{"dropping-particle":"","family":"Marquis","given":"Katerine","non-dropping-particle":"","parse-names":false,"suffix":""},{"dropping-particle":"","family":"Trinkaus","given":"Mateya","non-dropping-particle":"","parse-names":false,"suffix":""},{"dropping-particle":"","family":"Tomiak","given":"Anna","non-dropping-particle":"","parse-names":false,"suffix":""},{"dropping-particle":"","family":"Lee","given":"Agnes Y.Y.","non-dropping-particle":"","parse-names":false,"suffix":""},{"dropping-particle":"","family":"Gross","given":"Peter L.","non-dropping-particle":"","parse-names":false,"suffix":""},{"dropping-particle":"","family":"Lazo-Langner","given":"Alejandro","non-dropping-particle":"","parse-names":false,"suffix":""},{"dropping-particle":"","family":"El-Maraghi","given":"Robert","non-dropping-particle":"","parse-names":false,"suffix":""},{"dropping-particle":"","family":"Goss","given":"Glenwood","non-dropping-particle":"","parse-names":false,"suffix":""},{"dropping-particle":"","family":"Gal","given":"Gregoire","non-dropping-particle":"Le","parse-names":false,"suffix":""},{"dropping-particle":"","family":"Stewart","given":"David","non-dropping-particle":"","parse-names":false,"suffix":""},{"dropping-particle":"","family":"Ramsay","given":"Timothy","non-dropping-particle":"","parse-names":false,"suffix":""},{"dropping-particle":"","family":"Rodger","given":"Marc","non-dropping-particle":"","parse-names":false,"suffix":""},{"dropping-particle":"","family":"Witham","given":"Debra","non-dropping-particle":"","parse-names":false,"suffix":""},{"dropping-particle":"","family":"Wells","given":"Philip S.","non-dropping-particle":"","parse-names":false,"suffix":""}],"container-title":"New England Journal of Medicine","id":"ITEM-1","issued":{"date-parts":[["2018"]]},"page":"NEJMoa1814468","title":"Apixaban to Prevent Venous Thromboembolism in Patients with Cancer","type":"article-journal"},"uris":["http://www.mendeley.com/documents/?uuid=dc557f2f-22c3-4278-bb6a-b9ee773e47e1"]},{"id":"ITEM-2","itemData":{"DOI":"10.1056/NEJMoa1814630","ISSN":"0028-4793","PMID":"30786186","author":[{"dropping-particle":"","family":"Khorana","given":"Alok A.","non-dropping-particle":"","parse-names":false,"suffix":""},{"dropping-particle":"","family":"Soff","given":"Gerald A.","non-dropping-particle":"","parse-names":false,"suffix":""},{"dropping-particle":"","family":"Kakkar","given":"Ajay K.","non-dropping-particle":"","parse-names":false,"suffix":""},{"dropping-particle":"","family":"Vadhan-Raj","given":"Saroj","non-dropping-particle":"","parse-names":false,"suffix":""},{"dropping-particle":"","family":"Riess","given":"Hanno","non-dropping-particle":"","parse-names":false,"suffix":""},{"dropping-particle":"","family":"Wun","given":"Ted","non-dropping-particle":"","parse-names":false,"suffix":""},{"dropping-particle":"","family":"Streiff","given":"Michael B.","non-dropping-particle":"","parse-names":false,"suffix":""},{"dropping-particle":"","family":"Garcia","given":"David A.","non-dropping-particle":"","parse-names":false,"suffix":""},{"dropping-particle":"","family":"Liebman","given":"Howard A.","non-dropping-particle":"","parse-names":false,"suffix":""},{"dropping-particle":"","family":"Belani","given":"Chandra P.","non-dropping-particle":"","parse-names":false,"suffix":""},{"dropping-particle":"","family":"O’Reilly","given":"Eileen M.","non-dropping-particle":"","parse-names":false,"suffix":""},{"dropping-particle":"","family":"Patel","given":"Jai N.","non-dropping-particle":"","parse-names":false,"suffix":""},{"dropping-particle":"","family":"Yimer","given":"Habte A.","non-dropping-particle":"","parse-names":false,"suffix":""},{"dropping-particle":"","family":"Wildgoose","given":"Peter","non-dropping-particle":"","parse-names":false,"suffix":""},{"dropping-particle":"","family":"Burton","given":"Paul","non-dropping-particle":"","parse-names":false,"suffix":""},{"dropping-particle":"","family":"Vijapurkar","given":"Ujjwala","non-dropping-particle":"","parse-names":false,"suffix":""},{"dropping-particle":"","family":"Kaul","given":"Simrati","non-dropping-particle":"","parse-names":false,"suffix":""},{"dropping-particle":"","family":"Eikelboom","given":"John","non-dropping-particle":"","parse-names":false,"suffix":""},{"dropping-particle":"","family":"McBane","given":"Robert","non-dropping-particle":"","parse-names":false,"suffix":""},{"dropping-particle":"","family":"Bauer","given":"Kenneth A.","non-dropping-particle":"","parse-names":false,"suffix":""},{"dropping-particle":"","family":"Kuderer","given":"Nicole M.","non-dropping-particle":"","parse-names":false,"suffix":""},{"dropping-particle":"","family":"Lyman","given":"Gary H.","non-dropping-particle":"","parse-names":false,"suffix":""}],"container-title":"New England Journal of Medicine","id":"ITEM-2","issue":"8","issued":{"date-parts":[["2019"]]},"page":"720-728","title":"Rivaroxaban for Thromboprophylaxis in High-Risk Ambulatory Patients with Cancer","type":"article-journal","volume":"380"},"uris":["http://www.mendeley.com/documents/?uuid=c99bf2e2-4d2a-49cc-8167-c2c419363aa9"]}],"mendeley":{"formattedCitation":"&lt;sup&gt;23,24&lt;/sup&gt;","plainTextFormattedCitation":"23,24","previouslyFormattedCitation":"&lt;sup&gt;22,23&lt;/sup&gt;"},"properties":{"noteIndex":0},"schema":"https://github.com/citation-style-language/schema/raw/master/csl-citation.json"}</w:instrText>
      </w:r>
      <w:r w:rsidR="005615F6">
        <w:fldChar w:fldCharType="separate"/>
      </w:r>
      <w:r w:rsidR="009115A9" w:rsidRPr="009115A9">
        <w:rPr>
          <w:noProof/>
          <w:vertAlign w:val="superscript"/>
        </w:rPr>
        <w:t>23,24</w:t>
      </w:r>
      <w:r w:rsidR="005615F6">
        <w:fldChar w:fldCharType="end"/>
      </w:r>
    </w:p>
    <w:p w14:paraId="471AD205" w14:textId="77777777" w:rsidR="00BE4370" w:rsidRDefault="00BE4370" w:rsidP="00BE4370"/>
    <w:p w14:paraId="6AF7EA79" w14:textId="32DCEF9F" w:rsidR="00C53204" w:rsidRDefault="00970D73" w:rsidP="00BE4370">
      <w:r>
        <w:t xml:space="preserve">All analyses were based on the intention-to-treat principle. </w:t>
      </w:r>
      <w:r w:rsidR="00C53204">
        <w:t xml:space="preserve">A significance level of 0.05 was used in statistical testing. All analyses </w:t>
      </w:r>
      <w:r w:rsidR="00CA035B">
        <w:t>were performed with R, version 3</w:t>
      </w:r>
      <w:r w:rsidR="00D536C3">
        <w:t>.</w:t>
      </w:r>
      <w:r w:rsidR="00CA035B">
        <w:t>3</w:t>
      </w:r>
      <w:r w:rsidR="00D536C3">
        <w:t>.</w:t>
      </w:r>
      <w:r w:rsidR="00CA035B">
        <w:t>0</w:t>
      </w:r>
      <w:r w:rsidR="00C53204">
        <w:t xml:space="preserve"> (R Foundation for Statistical </w:t>
      </w:r>
      <w:r w:rsidR="00C53204">
        <w:lastRenderedPageBreak/>
        <w:t xml:space="preserve">Computing, Vienna, Austria, </w:t>
      </w:r>
      <w:r w:rsidR="00CC54E1">
        <w:t>www.R-project.org</w:t>
      </w:r>
      <w:r w:rsidR="00C53204">
        <w:t xml:space="preserve">) using the </w:t>
      </w:r>
      <w:proofErr w:type="spellStart"/>
      <w:r w:rsidR="00C53204">
        <w:rPr>
          <w:i/>
        </w:rPr>
        <w:t>pROC</w:t>
      </w:r>
      <w:proofErr w:type="spellEnd"/>
      <w:r w:rsidR="00C53204">
        <w:rPr>
          <w:i/>
        </w:rPr>
        <w:t xml:space="preserve"> </w:t>
      </w:r>
      <w:r w:rsidR="00C53204">
        <w:t>v</w:t>
      </w:r>
      <w:r w:rsidR="00CA035B">
        <w:t>1</w:t>
      </w:r>
      <w:r w:rsidR="00D536C3">
        <w:t>.</w:t>
      </w:r>
      <w:r w:rsidR="00CA035B">
        <w:t>8</w:t>
      </w:r>
      <w:r w:rsidR="00C53204">
        <w:t xml:space="preserve">, </w:t>
      </w:r>
      <w:r w:rsidR="00C53204">
        <w:rPr>
          <w:i/>
        </w:rPr>
        <w:t>lme4</w:t>
      </w:r>
      <w:r w:rsidR="00CA035B">
        <w:t xml:space="preserve"> v1</w:t>
      </w:r>
      <w:r w:rsidR="00D536C3">
        <w:t>.</w:t>
      </w:r>
      <w:r w:rsidR="00CA035B">
        <w:t>1-12</w:t>
      </w:r>
      <w:r w:rsidR="00C53204">
        <w:t xml:space="preserve">, and </w:t>
      </w:r>
      <w:r w:rsidR="00C53204">
        <w:rPr>
          <w:i/>
        </w:rPr>
        <w:t xml:space="preserve">meta </w:t>
      </w:r>
      <w:r w:rsidR="00C53204">
        <w:t>v</w:t>
      </w:r>
      <w:r w:rsidR="00CA035B">
        <w:t>4</w:t>
      </w:r>
      <w:r w:rsidR="00D536C3">
        <w:t>.</w:t>
      </w:r>
      <w:r w:rsidR="00CA035B">
        <w:t>8-1</w:t>
      </w:r>
      <w:r w:rsidR="00C53204">
        <w:t xml:space="preserve"> packages. </w:t>
      </w:r>
    </w:p>
    <w:p w14:paraId="5863806D" w14:textId="77777777" w:rsidR="00A60134" w:rsidRDefault="00A60134" w:rsidP="00BE4370"/>
    <w:p w14:paraId="7C42CBAE" w14:textId="1BF7ECAB" w:rsidR="00A60134" w:rsidRDefault="00A60134" w:rsidP="00BE4370">
      <w:pPr>
        <w:rPr>
          <w:i/>
        </w:rPr>
      </w:pPr>
      <w:r>
        <w:rPr>
          <w:i/>
        </w:rPr>
        <w:t>Role of the funding source</w:t>
      </w:r>
    </w:p>
    <w:p w14:paraId="113F251B" w14:textId="3BC5C147" w:rsidR="00A60134" w:rsidRPr="00A60134" w:rsidRDefault="00A60134" w:rsidP="00BE4370">
      <w:pPr>
        <w:rPr>
          <w:i/>
        </w:rPr>
      </w:pPr>
      <w:r>
        <w:t>The funding source (</w:t>
      </w:r>
      <w:r w:rsidRPr="001256D3">
        <w:t>Canadian</w:t>
      </w:r>
      <w:r>
        <w:t xml:space="preserve"> Institutes for Health Research) had no role in the study design, collection, analysis, or interpretation of the data, writing of the report, nor in the submission to submit the paper for publication. The corresponding author had full access to all the data in the study and had final responsibility to submit for publication. </w:t>
      </w:r>
    </w:p>
    <w:p w14:paraId="43EB09EF" w14:textId="77777777" w:rsidR="00821552" w:rsidRDefault="00821552"/>
    <w:p w14:paraId="2AE8F7E8" w14:textId="77777777" w:rsidR="00A5537F" w:rsidRDefault="00A5537F" w:rsidP="002C4431">
      <w:pPr>
        <w:contextualSpacing/>
        <w:rPr>
          <w:b/>
        </w:rPr>
      </w:pPr>
      <w:r>
        <w:rPr>
          <w:b/>
        </w:rPr>
        <w:t>RESULTS</w:t>
      </w:r>
    </w:p>
    <w:p w14:paraId="467B5034" w14:textId="12D28FC1" w:rsidR="000C6D2F" w:rsidRDefault="00FF200C" w:rsidP="00C9560B">
      <w:pPr>
        <w:contextualSpacing/>
      </w:pPr>
      <w:r>
        <w:t xml:space="preserve">Investigators of seven of thirteen </w:t>
      </w:r>
      <w:r w:rsidRPr="00197CB6">
        <w:t xml:space="preserve">available </w:t>
      </w:r>
      <w:r w:rsidR="00B359E1">
        <w:t>randomized</w:t>
      </w:r>
      <w:r w:rsidRPr="00197CB6">
        <w:t xml:space="preserve"> studies provided d</w:t>
      </w:r>
      <w:r w:rsidR="00503980" w:rsidRPr="00197CB6">
        <w:t>ata</w:t>
      </w:r>
      <w:r w:rsidRPr="00197CB6">
        <w:t xml:space="preserve"> required</w:t>
      </w:r>
      <w:r w:rsidR="00503980" w:rsidRPr="00197CB6">
        <w:t xml:space="preserve"> to calculate the Khorana score</w:t>
      </w:r>
      <w:r w:rsidR="00E91A50" w:rsidRPr="00197CB6">
        <w:t>;</w:t>
      </w:r>
      <w:r w:rsidR="002063F5" w:rsidRPr="00197CB6">
        <w:fldChar w:fldCharType="begin" w:fldLock="1"/>
      </w:r>
      <w:r w:rsidR="009115A9">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cancer.","type":"article-journal","volume":"18"},"uris":["http://www.mendeley.com/documents/?uuid=53f38820-ae1c-40f5-a5b6-b72e2afa8487"]},{"id":"ITEM-2","itemData":{"DOI":"10.1056/NEJMoa1108898","ISBN":"1533-4406 (Electronic)\\r0028-4793 (Linking)","ISSN":"1533-4406","PMID":"22335737","abstract":"Patients receiving chemotherapy for cancer are at increased risk for venous thromboembolism. Limited data support the clinical benefit of antithrombotic prophylaxis.","author":[{"dropping-particle":"","family":"Agnelli","given":"Giancarlo","non-dropping-particle":"","parse-names":false,"suffix":""},{"dropping-particle":"","family":"George","given":"Daniel J.","non-dropping-particle":"","parse-names":false,"suffix":""},{"dropping-particle":"","family":"Kakkar","given":"Ajay K.","non-dropping-particle":"","parse-names":false,"suffix":""},{"dropping-particle":"","family":"Fisher","given":"William","non-dropping-particle":"","parse-names":false,"suffix":""},{"dropping-particle":"","family":"Lassen","given":"Michael R.","non-dropping-particle":"","parse-names":false,"suffix":""},{"dropping-particle":"","family":"Mismetti","given":"Patrick","non-dropping-particle":"","parse-names":false,"suffix":""},{"dropping-particle":"","family":"Mouret","given":"Patrick","non-dropping-particle":"","parse-names":false,"suffix":""},{"dropping-particle":"","family":"Chaudhari","given":"Umesh","non-dropping-particle":"","parse-names":false,"suffix":""},{"dropping-particle":"","family":"Lawson","given":"Francesca","non-dropping-particle":"","parse-names":false,"suffix":""},{"dropping-particle":"","family":"Turpie","given":"Alexander G.G. G","non-dropping-particle":"","parse-names":false,"suffix":""}],"container-title":"The New England journal of medicine","id":"ITEM-2","issue":"7","issued":{"date-parts":[["2012","2","16"]]},"page":"601-9","title":"Semuloparin for thromboprophylaxis in patients receiving chemotherapy for cancer.","type":"article-journal","volume":"366"},"uris":["http://www.mendeley.com/documents/?uuid=163e97f3-3044-457c-b2b6-2ea1146a67b4"]},{"id":"ITEM-3","itemData":{"DOI":"10.1200/JCO.2015.64.0268","ISSN":"1527-7755","PMID":"26700124","abstract":"PURPOSE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Oncology","id":"ITEM-3","issue":"5","issued":{"date-parts":[["2015"]]},"page":"1-10","title":"Randomized Phase III Trial of Standard Therapy Plus Low Molecular Weight Heparin in Patients With Lung Cancer: FRAGMATIC Trial.","type":"article-journal","volume":"34"},"uris":["http://www.mendeley.com/documents/?uuid=a2c49b34-51df-4edc-9398-694226078cd1"]},{"id":"ITEM-4","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Oncology","id":"ITEM-4","issue":"18","issued":{"date-parts":[["2015","6","20"]]},"page":"2028-2034","title":"Efficacy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Trial","type":"article-journal","volume":"33"},"uris":["http://www.mendeley.com/documents/?uuid=fb1d5adb-b948-42cb-a181-c2ee1f60288d"]},{"id":"ITEM-5","itemData":{"DOI":"10.1111/j.1538-7836.2010.03973.x","ISBN":"1538-7836 (Electronic)\\r1538-7836 (Linking)","ISSN":"15387933","PMID":"20598077","abstract":"Venous thromboembolism (VTE) occurs in 20-30% of patients with malignant glioma per year of survival. We tested the efficacy of long-term dalteparin low-molecular-weight heparin (LMWH) for prevention of VTE in these patients.","author":[{"dropping-particle":"","family":"Perry","given":"J. R.","non-dropping-particle":"","parse-names":false,"suffix":""},{"dropping-particle":"","family":"Julian","given":"J. A.","non-dropping-particle":"","parse-names":false,"suffix":""},{"dropping-particle":"","family":"Laperriere","given":"N. J.","non-dropping-particle":"","parse-names":false,"suffix":""},{"dropping-particle":"","family":"Geerts","given":"W.","non-dropping-particle":"","parse-names":false,"suffix":""},{"dropping-particle":"","family":"Agnelli","given":"G.","non-dropping-particle":"","parse-names":false,"suffix":""},{"dropping-particle":"","family":"Rogers","given":"L. R.","non-dropping-particle":"","parse-names":false,"suffix":""},{"dropping-particle":"","family":"Malkin","given":"M. G.","non-dropping-particle":"","parse-names":false,"suffix":""},{"dropping-particle":"","family":"Sawaya","given":"R.","non-dropping-particle":"","parse-names":false,"suffix":""},{"dropping-particle":"","family":"Baker","given":"R.","non-dropping-particle":"","parse-names":false,"suffix":""},{"dropping-particle":"","family":"Falanga","given":"A.","non-dropping-particle":"","parse-names":false,"suffix":""},{"dropping-particle":"","family":"Parpia","given":"S.","non-dropping-particle":"","parse-names":false,"suffix":""},{"dropping-particle":"","family":"Finch","given":"T.","non-dropping-particle":"","parse-names":false,"suffix":""},{"dropping-particle":"","family":"Levine","given":"M. N.","non-dropping-particle":"","parse-names":false,"suffix":""}],"container-title":"Journal of Thrombosis and Haemostasis","id":"ITEM-5","issue":"9","issued":{"date-parts":[["2010"]]},"page":"1959-1965","title":"PRODIGE: A randomized placebo-controlled trial of dalteparin low-molecular-weight heparin thromboprophylaxis in patients with newly diagnosed malignant glioma","type":"article-journal","volume":"8"},"uris":["http://www.mendeley.com/documents/?uuid=958bc7bf-f2f2-467a-9e12-95870aa61658"]},{"id":"ITEM-6","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Research","id":"ITEM-6","issue":"6","issued":{"date-parts":[["2013"]]},"page":"666-670","publisher":"Elsevier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25–30&lt;/sup&gt;","plainTextFormattedCitation":"25–30","previouslyFormattedCitation":"&lt;sup&gt;24–29&lt;/sup&gt;"},"properties":{"noteIndex":0},"schema":"https://github.com/citation-style-language/schema/raw/master/csl-citation.json"}</w:instrText>
      </w:r>
      <w:r w:rsidR="002063F5" w:rsidRPr="00197CB6">
        <w:fldChar w:fldCharType="separate"/>
      </w:r>
      <w:r w:rsidR="009115A9" w:rsidRPr="009115A9">
        <w:rPr>
          <w:noProof/>
          <w:vertAlign w:val="superscript"/>
        </w:rPr>
        <w:t>25–30</w:t>
      </w:r>
      <w:r w:rsidR="002063F5" w:rsidRPr="00197CB6">
        <w:fldChar w:fldCharType="end"/>
      </w:r>
      <w:r w:rsidR="00E91A50" w:rsidRPr="00197CB6">
        <w:t xml:space="preserve"> </w:t>
      </w:r>
      <w:r w:rsidRPr="00197CB6">
        <w:t xml:space="preserve">we excluded </w:t>
      </w:r>
      <w:r w:rsidR="00E91A50" w:rsidRPr="00197CB6">
        <w:t>the other six studies.</w:t>
      </w:r>
      <w:r w:rsidR="00251FEE" w:rsidRPr="00197CB6">
        <w:fldChar w:fldCharType="begin" w:fldLock="1"/>
      </w:r>
      <w:r w:rsidR="009115A9">
        <w:instrText>ADDIN CSL_CITATION {"citationItems":[{"id":"ITEM-1","itemData":{"DOI":"10.1200/JCO.2005.03.134","ISSN":"0732-183X","PMID":"15699479","abstract":"Studies in cancer patients with venous thromboembolism suggested that low molecular weight heparin may prolong survival. In a double-blind study, we evaluated the effect of low molecular weight heparin on survival in patients with advanced malignancy without venous thromboembolism.","author":[{"dropping-particle":"","family":"Klerk","given":"Clara P W","non-dropping-particle":"","parse-names":false,"suffix":""},{"dropping-particle":"","family":"Smorenburg","given":"Susanne M","non-dropping-particle":"","parse-names":false,"suffix":""},{"dropping-particle":"","family":"Otten","given":"H M","non-dropping-particle":"","parse-names":false,"suffix":""},{"dropping-particle":"","family":"Lensing","given":"A W","non-dropping-particle":"","parse-names":false,"suffix":""},{"dropping-particle":"","family":"Prins","given":"Martin H","non-dropping-particle":"","parse-names":false,"suffix":""},{"dropping-particle":"","family":"Piovella","given":"Franco","non-dropping-particle":"","parse-names":false,"suffix":""},{"dropping-particle":"","family":"Prandoni","given":"Paolo","non-dropping-particle":"","parse-names":false,"suffix":""},{"dropping-particle":"","family":"Bos","given":"Monique M E M","non-dropping-particle":"","parse-names":false,"suffix":""},{"dropping-particle":"","family":"Richel","given":"Dick J","non-dropping-particle":"","parse-names":false,"suffix":""},{"dropping-particle":"","family":"Tienhoven","given":"Geertjan","non-dropping-particle":"van","parse-names":false,"suffix":""},{"dropping-particle":"","family":"Büller","given":"Harry R","non-dropping-particle":"","parse-names":false,"suffix":""}],"container-title":"Journal of clinical oncology : official journal of the American Society of Clinical Oncology","id":"ITEM-1","issue":"10","issued":{"date-parts":[["2005","4","1"]]},"page":"2130-5","title":"The effect of low molecular weight heparin on survival in patients with advanced malignancy.","type":"article-journal","volume":"23"},"uris":["http://www.mendeley.com/documents/?uuid=8dc20f5a-cc24-4c9b-b964-ab7ad6287858"]},{"id":"ITEM-2","itemData":{"DOI":"10.1200/JCO.2010.31.9293","ISSN":"1527-7755","PMID":"21502549","abstract":"Earlier studies showed that low molecular weight heparin significantly prolongs the survival of a wide variety of patients with cancer without venous thromboembolism. This study was designed to confirm these findings in a more homogeneous group of patients with cancer.","author":[{"dropping-particle":"","family":"Doormaal","given":"Frederiek F","non-dropping-particle":"van","parse-names":false,"suffix":""},{"dropping-particle":"","family":"Nisio","given":"Marcello","non-dropping-particle":"Di","parse-names":false,"suffix":""},{"dropping-particle":"","family":"Otten","given":"H M","non-dropping-particle":"","parse-names":false,"suffix":""},{"dropping-particle":"","family":"Richel","given":"Dick J","non-dropping-particle":"","parse-names":false,"suffix":""},{"dropping-particle":"","family":"Prins","given":"Martin","non-dropping-particle":"","parse-names":false,"suffix":""},{"dropping-particle":"","family":"Buller","given":"Harry R","non-dropping-particle":"","parse-names":false,"suffix":""}],"container-title":"Journal of clinical oncology : official journal of the American Society of Clinical Oncology","id":"ITEM-2","issue":"15","issued":{"date-parts":[["2011","5","20"]]},"page":"2071-6","title":"Randomized trial of the effect of the low molecular weight heparin nadroparin on survival in patients with cancer.","type":"article-journal","volume":"29"},"uris":["http://www.mendeley.com/documents/?uuid=ec2f7ec2-d5a6-4f7e-b51b-f75fe7d14da0"]},{"id":"ITEM-3","itemData":{"DOI":"10.1111/j.1538-7836.2004.00871.x","ISSN":"1538-7933","PMID":"15304029","abstract":"BACKGROUND: Small cell lung cancer (SCLC) is a chemotherapy-responsive tumor type but most patients ultimately experience disease progression. SCLC is associated with alterations in the coagulation system. The present randomized clinical trial (RCT) was designed to determine whether addition of low-molecular-weight heparin (LMWH) to combination chemotherapy (CT) would improve SCLC outcome compared with CT alone. METHODS: Combination CT consisted of cyclophosphamide, epirubicine and vincristine (CEV) given at 3-weekly intervals for six cycles. Eighty-four patients were randomized to receive either CT alone (n = 42) or CT plus LMWH (n = 42). LMWH consisted of dalteparin given at a dose of 5000 U once daily during the 18 weeks of CT. Results Overall tumor response rates were 42.5% with CT alone and 69.2% with CT plus LMWH (P = 0.07). Median progression-free survival was 6.0 months with CT alone and 10.0 months with CT plus LMWH (P = 0.01). Median overall survival was 8.0 months with CT alone and 13.0 months with CT plus LMWH (P = 0.01). Similar improvement in survival with LMWH treatment occurred in patients with both limited and extensive disease stages. The risk of death in the CT + LMWH group relative to that in the CT group was 0.56 (95% confidence interval 0.30, 0.86) (P = 0.012 by log rank test). Toxicity from the experimental treatment was minimal and there were no treatment-related deaths. CONCLUSIONS: These results support the concept that anticoagulants, and particularly LMWH, may improve clinical outcomes in SCLC. Further clinical trials of this relatively non-toxic treatment approach are indicated.","author":[{"dropping-particle":"","family":"Altinbas","given":"M","non-dropping-particle":"","parse-names":false,"suffix":""},{"dropping-particle":"","family":"Coskun","given":"H S","non-dropping-particle":"","parse-names":false,"suffix":""},{"dropping-particle":"","family":"Er","given":"O","non-dropping-particle":"","parse-names":false,"suffix":""},{"dropping-particle":"","family":"Ozkan","given":"M","non-dropping-particle":"","parse-names":false,"suffix":""},{"dropping-particle":"","family":"Eser","given":"B","non-dropping-particle":"","parse-names":false,"suffix":""},{"dropping-particle":"","family":"Unal","given":"a","non-dropping-particle":"","parse-names":false,"suffix":""},{"dropping-particle":"","family":"Cetin","given":"M","non-dropping-particle":"","parse-names":false,"suffix":""},{"dropping-particle":"","family":"Soyuer","given":"S","non-dropping-particle":"","parse-names":false,"suffix":""}],"container-title":"Journal of thrombosis and haemostasis : JTH","id":"ITEM-3","issue":"8","issued":{"date-parts":[["2004","8"]]},"page":"1266-71","title":"A randomized clinical trial of combination chemotherapy with and without low-molecular-weight heparin in small cell lung cancer.","type":"article-journal","volume":"2"},"uris":["http://www.mendeley.com/documents/?uuid=0ac5ba97-3b46-4818-b042-ee6bf708826d"]},{"id":"ITEM-4","itemData":{"ISSN":"0008-543X","PMID":"8004580","abstract":"BACKGROUND A positive influence of anticoagulant treatment in small cell lung cancer (SCLC) has been suggested by experimental and clinical data. METHODS In a multicenter clinical trial, 277 patients with SCLC were randomized either to receive or not to receive subcutaneous heparin injections for 5 weeks at effective doses, which were monitored by blood coagulation tests. All patients received one of the two chemotherapy regimens studied in this trial, for eight courses in the case of patients with complete or partial response, and subsequently were randomized to receive delayed thoracic radiotherapy after these eight courses. RESULTS In comparison to the 139 patients who did not receive heparin, the 138 patients who received anticoagulant treatment obtained better complete response rates (37% vs. 23%, P = 0.004), better median survival (317 days vs. 261 days, P = 0.01), and better survival rates at 1, 2, and 3 years (40% vs. 30%, 11% vs. 9% and 9% vs. 6%, respectively). At subgroups analysis, the results on survival were obtained for limited forms (P = 0.03) but not for extensive diseases (P = 0.31). No important bleeding or thrombocytopenia was related to heparin treatment. CONCLUSIONS These results confirm the value of anticoagulant treatment in SCLC, already suspected for warfarin and now proven for heparin, but the modes of administration and the biologic explanations for this activity still warrant further investigation.","author":[{"dropping-particle":"","family":"Lebeau","given":"B","non-dropping-particle":"","parse-names":false,"suffix":""},{"dropping-particle":"","family":"Chastang","given":"C","non-dropping-particle":"","parse-names":false,"suffix":""},{"dropping-particle":"","family":"Brechot","given":"J M","non-dropping-particle":"","parse-names":false,"suffix":""},{"dropping-particle":"","family":"Capron","given":"F","non-dropping-particle":"","parse-names":false,"suffix":""},{"dropping-particle":"","family":"Dautzenberg","given":"B","non-dropping-particle":"","parse-names":false,"suffix":""},{"dropping-particle":"","family":"Delaisements","given":"C","non-dropping-particle":"","parse-names":false,"suffix":""},{"dropping-particle":"","family":"Mornet","given":"M","non-dropping-particle":"","parse-names":false,"suffix":""},{"dropping-particle":"","family":"Brun","given":"J","non-dropping-particle":"","parse-names":false,"suffix":""},{"dropping-particle":"","family":"Hurdebourcq","given":"J P","non-dropping-particle":"","parse-names":false,"suffix":""},{"dropping-particle":"","family":"Lemarie","given":"E","non-dropping-particle":"","parse-names":false,"suffix":""}],"container-title":"Cancer","id":"ITEM-4","issue":"1","issued":{"date-parts":[["1994","7","1"]]},"page":"38-45","title":"Subcutaneous heparin treatment increases survival in small cell lung cancer. \"Petites Cellules\" Group.","type":"article-journal","volume":"74"},"uris":["http://www.mendeley.com/documents/?uuid=70e6a16d-20d8-4163-a818-29d964bd56b0"]},{"id":"ITEM-5","itemData":{"DOI":"10.1007/s00520-007-0339-3","ISSN":"0941-4355","PMID":"17940809","abstract":"GOALS The objective of this study was to determine utility of prophylactic anti-coagulation in cancer patients hospitalised for palliative care in a specialised centre. MATERIALS AND METHODS Prospective 1:1 open randomised study was designed. Twenty patients aged 55 to 88 years with advanced cancer and an estimated life expectancy of less than 6 months were assigned to either receive treatment with 2,850/3,800 U (&lt;70/&gt;70 kg) of daily subcutaneous nadroparin or no treatment. Suspicion of venous thrombo-embolism (deep vein thrombosis and pulmonary embolism) was confirmed by echo-Doppler examination of the lower limbs and/or by spiral computed tomography scan of the lungs. Bleeding episodes were recorded. Platelet count was measured on days 7 and 14. Survival time from study entry was determined. MAIN RESULTS One venous thrombo-embolism and one major bleeding occurred in the group receiving nadroparin, whereas two minor bleedings occurred in the control group. At 3 months, nine of ten participants had died in the control group vs five of ten in the group receiving nadroparin (P = 0.141). Five participants could be discharged home (P = 0.141). CONCLUSIONS Decision to administer prophylactic nadroparin in hospitalised cancer patients under palliative care remains a challenge. Better mobility score at admission and the likelihood to be discharged home may be useful for practical purposes. The observation of a potential influence of prophylactic nadroparin on survival deserves further studies.","author":[{"dropping-particle":"","family":"Weber","given":"Catherine","non-dropping-particle":"","parse-names":false,"suffix":""},{"dropping-particle":"","family":"Merminod","given":"Thierry","non-dropping-particle":"","parse-names":false,"suffix":""},{"dropping-particle":"","family":"Herrmann","given":"François R","non-dropping-particle":"","parse-names":false,"suffix":""},{"dropping-particle":"","family":"Zulian","given":"Gilbert B","non-dropping-particle":"","parse-names":false,"suffix":""}],"container-title":"Supportive care in cancer : official journal of the Multinational Association of Supportive Care in Cancer","id":"ITEM-5","issue":"7","issued":{"date-parts":[["2008","7"]]},"page":"847-52","title":"Prophylactic anti-coagulation in cancer palliative care: a prospective randomised study.","type":"article-journal","volume":"16"},"uris":["http://www.mendeley.com/documents/?uuid=a586ca26-3695-4fbc-8ce7-a33133ffc747"]},{"id":"ITEM-6","itemData":{"DOI":"10.1016/j.ejca.2011.10.017","ISBN":"1879-0852 (Electronic)\\r0959-8049 (Linking)","ISSN":"09598049","PMID":"22100906","abstract":"Background: Annualised figures show an up to 7-fold higher incidence of vascular thromboembolism (VTE) in patients with advanced pancreatic cancer (APC) compared to other common malignancies. Concurrent VTE has been shown to confer a worse overall prognosis in APC. Methods: One hundred and twenty three APC patients were randomised to receive either gemcitabine 1000 mg/m 2 or the same with weight-adjusted dalteparin (WAD) for 12 weeks. Primary end-point was the reduction of all-type VTE during the study period. NCT00462852, ISRCTN: 76464767. Findings: The incidence of all-type VTE during the WAD treatment period (&lt;100 days from randomisation) was reduced from 23% to 3.4% (p = 0.002), with a risk ratio (RR)of 0.145, 95% confidence interval (CI) (0.035-0.612) and an 85% risk reduction. All-type VTE throughout the whole follow-up period was reduced from 28% to 12% (p = 0.039), RR = 0.419, 95% CI (0.187-0.935) and a 58% risk reduction. Lethal VTE &lt;100 days was seen only in the control arm, 8.3% compared to 0% (p = 0.057), RR = 0.092, 95% CI (0.005-1.635). Interpretation: Weight adjusted dalteparin used as primary prophylaxis for 12 weeks is safe and produces a highly significant reduction of all-type VTE during the prophylaxis period. The benefit is maintained after dalteparin withdrawal although decreases with time. © 2011 Elsevier Ltd. All rights reserved.","author":[{"dropping-particle":"","family":"Maraveyas","given":"A.","non-dropping-particle":"","parse-names":false,"suffix":""},{"dropping-particle":"","family":"Waters","given":"J.","non-dropping-particle":"","parse-names":false,"suffix":""},{"dropping-particle":"","family":"Roy","given":"R.","non-dropping-particle":"","parse-names":false,"suffix":""},{"dropping-particle":"","family":"Fyfe","given":"D.","non-dropping-particle":"","parse-names":false,"suffix":""},{"dropping-particle":"","family":"Propper","given":"D.","non-dropping-particle":"","parse-names":false,"suffix":""},{"dropping-particle":"","family":"Lofts","given":"F.","non-dropping-particle":"","parse-names":false,"suffix":""},{"dropping-particle":"","family":"Sgouros","given":"J.","non-dropping-particle":"","parse-names":false,"suffix":""},{"dropping-particle":"","family":"Gardiner","given":"E.","non-dropping-particle":"","parse-names":false,"suffix":""},{"dropping-particle":"","family":"Wedgwood","given":"K.","non-dropping-particle":"","parse-names":false,"suffix":""},{"dropping-particle":"","family":"Ettelaie","given":"C.","non-dropping-particle":"","parse-names":false,"suffix":""},{"dropping-particle":"","family":"Bozas","given":"G.","non-dropping-particle":"","parse-names":false,"suffix":""}],"container-title":"European Journal of Cancer","id":"ITEM-6","issue":"9","issued":{"date-parts":[["2012"]]},"page":"1283-1292","publisher":"Elsevier Ltd","title":"Gemcitabine versus gemcitabine plus dalteparin thromboprophylaxis in pancreatic cancer","type":"article-journal","volume":"48"},"uris":["http://www.mendeley.com/documents/?uuid=051cd48d-a9f9-402c-a048-78994064347b"]}],"mendeley":{"formattedCitation":"&lt;sup&gt;31–36&lt;/sup&gt;","plainTextFormattedCitation":"31–36","previouslyFormattedCitation":"&lt;sup&gt;30–35&lt;/sup&gt;"},"properties":{"noteIndex":0},"schema":"https://github.com/citation-style-language/schema/raw/master/csl-citation.json"}</w:instrText>
      </w:r>
      <w:r w:rsidR="00251FEE" w:rsidRPr="00197CB6">
        <w:fldChar w:fldCharType="separate"/>
      </w:r>
      <w:r w:rsidR="009115A9" w:rsidRPr="009115A9">
        <w:rPr>
          <w:noProof/>
          <w:vertAlign w:val="superscript"/>
        </w:rPr>
        <w:t>31–36</w:t>
      </w:r>
      <w:r w:rsidR="00251FEE" w:rsidRPr="00197CB6">
        <w:fldChar w:fldCharType="end"/>
      </w:r>
      <w:r w:rsidR="00503980" w:rsidRPr="00197CB6">
        <w:t xml:space="preserve"> </w:t>
      </w:r>
      <w:r w:rsidRPr="00197CB6">
        <w:t xml:space="preserve">Table </w:t>
      </w:r>
      <w:r w:rsidR="000D4FA5">
        <w:t>1</w:t>
      </w:r>
      <w:r w:rsidRPr="00197CB6">
        <w:t xml:space="preserve"> presents c</w:t>
      </w:r>
      <w:r w:rsidR="00503980" w:rsidRPr="00197CB6">
        <w:t xml:space="preserve">haracteristics of </w:t>
      </w:r>
      <w:r w:rsidR="00E91A50" w:rsidRPr="00197CB6">
        <w:t>the included</w:t>
      </w:r>
      <w:r w:rsidRPr="00197CB6">
        <w:t xml:space="preserve"> studies.</w:t>
      </w:r>
      <w:r w:rsidR="00503980" w:rsidRPr="00197CB6">
        <w:t xml:space="preserve"> </w:t>
      </w:r>
      <w:r w:rsidR="00F4785E" w:rsidRPr="00197CB6">
        <w:t xml:space="preserve">Four had </w:t>
      </w:r>
      <w:r w:rsidRPr="00197CB6">
        <w:t>a blinded design</w:t>
      </w:r>
      <w:r w:rsidR="00F4785E" w:rsidRPr="00197CB6">
        <w:t xml:space="preserve"> and three an open-label design</w:t>
      </w:r>
      <w:r w:rsidR="00BA19EB" w:rsidRPr="00197CB6">
        <w:t xml:space="preserve">. </w:t>
      </w:r>
      <w:r w:rsidR="00EC19D2" w:rsidRPr="00197CB6">
        <w:t>The studies enro</w:t>
      </w:r>
      <w:r w:rsidR="00F4785E" w:rsidRPr="00197CB6">
        <w:t xml:space="preserve">lled patients with lung cancer, pancreatic cancer, breast cancer, </w:t>
      </w:r>
      <w:r w:rsidR="00EC19D2" w:rsidRPr="00197CB6">
        <w:t>glioma,</w:t>
      </w:r>
      <w:r w:rsidR="00F4785E" w:rsidRPr="00197CB6">
        <w:t xml:space="preserve"> or a mixed oncology population</w:t>
      </w:r>
      <w:r w:rsidR="00CF6691" w:rsidRPr="00197CB6">
        <w:t>, with</w:t>
      </w:r>
      <w:r w:rsidR="00F4785E" w:rsidRPr="00197CB6">
        <w:t xml:space="preserve"> sample size</w:t>
      </w:r>
      <w:r w:rsidR="00CF6691" w:rsidRPr="00197CB6">
        <w:t>s ranging</w:t>
      </w:r>
      <w:r w:rsidR="00F4785E" w:rsidRPr="00197CB6">
        <w:t xml:space="preserve"> from 39 to 3,212 patients. </w:t>
      </w:r>
      <w:r w:rsidR="00C9560B" w:rsidRPr="00197CB6">
        <w:t xml:space="preserve">In all studies, </w:t>
      </w:r>
      <w:r w:rsidRPr="00197CB6">
        <w:t>investigators followed patients</w:t>
      </w:r>
      <w:r w:rsidR="00C9560B" w:rsidRPr="00197CB6">
        <w:t xml:space="preserve"> for at least 6 months</w:t>
      </w:r>
      <w:r w:rsidR="00EC19D2" w:rsidRPr="00197CB6">
        <w:t>.</w:t>
      </w:r>
      <w:r w:rsidR="00FC5BF5" w:rsidRPr="00197CB6">
        <w:t xml:space="preserve"> </w:t>
      </w:r>
      <w:r w:rsidR="00EC19D2" w:rsidRPr="00197CB6">
        <w:t xml:space="preserve">The definition of VTE was </w:t>
      </w:r>
      <w:r w:rsidR="0021682A" w:rsidRPr="00197CB6">
        <w:t>similar</w:t>
      </w:r>
      <w:r w:rsidR="00CF6691" w:rsidRPr="00197CB6">
        <w:t xml:space="preserve"> across the studies, </w:t>
      </w:r>
      <w:r w:rsidR="00EC19D2" w:rsidRPr="00197CB6">
        <w:t xml:space="preserve">and </w:t>
      </w:r>
      <w:r w:rsidR="0021682A" w:rsidRPr="00197CB6">
        <w:t xml:space="preserve">typically included </w:t>
      </w:r>
      <w:r w:rsidR="00EC19D2" w:rsidRPr="00197CB6">
        <w:t xml:space="preserve">symptomatic or incidental lower extremity DVT, upper extremity DVT, </w:t>
      </w:r>
      <w:r w:rsidR="0021682A" w:rsidRPr="00197CB6">
        <w:t xml:space="preserve">and </w:t>
      </w:r>
      <w:r w:rsidR="00EC19D2" w:rsidRPr="00197CB6">
        <w:t>fatal or non-fatal PE</w:t>
      </w:r>
      <w:r w:rsidR="007E27DE" w:rsidRPr="00197CB6">
        <w:t xml:space="preserve"> (Table </w:t>
      </w:r>
      <w:r w:rsidR="0047478F">
        <w:t>1</w:t>
      </w:r>
      <w:r w:rsidR="007E27DE" w:rsidRPr="00197CB6">
        <w:t>)</w:t>
      </w:r>
      <w:r w:rsidR="00EC19D2" w:rsidRPr="00197CB6">
        <w:t>.</w:t>
      </w:r>
      <w:r w:rsidR="0021682A" w:rsidRPr="00197CB6">
        <w:t xml:space="preserve"> All studies defined ma</w:t>
      </w:r>
      <w:r w:rsidR="00EC19D2" w:rsidRPr="00197CB6">
        <w:t xml:space="preserve">jor bleeding </w:t>
      </w:r>
      <w:r w:rsidR="00A621B4" w:rsidRPr="00197CB6">
        <w:t xml:space="preserve">in </w:t>
      </w:r>
      <w:r w:rsidR="00EC19D2" w:rsidRPr="00197CB6">
        <w:t>accordance with criteria</w:t>
      </w:r>
      <w:r w:rsidR="00CF6691" w:rsidRPr="00197CB6">
        <w:t xml:space="preserve"> set by the International Society on Thrombosis and Haemostasis</w:t>
      </w:r>
      <w:r w:rsidR="00EB4596" w:rsidRPr="00197CB6">
        <w:t>.</w:t>
      </w:r>
      <w:r w:rsidR="00377737" w:rsidRPr="00197CB6">
        <w:fldChar w:fldCharType="begin" w:fldLock="1"/>
      </w:r>
      <w:r w:rsidR="009115A9">
        <w:instrText>ADDIN CSL_CITATION {"citationItems":[{"id":"ITEM-1","itemData":{"DOI":"10.1111/j.1538-7836.2005.01204.x","ISBN":"1538-7933 (Print) 1538-7836 (Linking)","ISSN":"1538-7933","PMID":"15842354","abstract":"Summary. A variety of definitions of major bleeding have been used in published clinical studies, and this diversity adds to the difficulty in comparing data between trials and in performing meta-analyses. In the first step towards unified definitions of bleeding complications, the definition of major bleeding in non-surgical patients was discussed at the Control of Anticoagulation Subcommittee of the International Society on Thrombosis and Haemostasis. Arising from that discussion, a definition was developed that should be applicable to studies with all agents that interfere with hemostasis, including anticoagulants, platelet function inhibitors and fibrinolytic drugs. The definition and the text that follows have been reviewed and approved by the cochairs of the subcommittee and the revised version is published here. The intention is to also seek approval of this definition from the regulatory authorities.","author":[{"dropping-particle":"","family":"Schulman","given":"Sam","non-dropping-particle":"","parse-names":false,"suffix":""},{"dropping-particle":"","family":"Kearon","given":"C.","non-dropping-particle":"","parse-names":false,"suffix":""}],"container-title":"Journal of thrombosis and haemostasis : JTH","id":"ITEM-1","issue":"4","issued":{"date-parts":[["2005","4"]]},"page":"692-4","title":"Definition of major bleeding in clinical investigations of antihemostatic medicinal products in non-surgical patients.","type":"article-journal","volume":"3"},"uris":["http://www.mendeley.com/documents/?uuid=eb5fe29a-8a68-4bac-a041-47c48618e70b"]}],"mendeley":{"formattedCitation":"&lt;sup&gt;37&lt;/sup&gt;","plainTextFormattedCitation":"37","previouslyFormattedCitation":"&lt;sup&gt;36&lt;/sup&gt;"},"properties":{"noteIndex":0},"schema":"https://github.com/citation-style-language/schema/raw/master/csl-citation.json"}</w:instrText>
      </w:r>
      <w:r w:rsidR="00377737" w:rsidRPr="00197CB6">
        <w:fldChar w:fldCharType="separate"/>
      </w:r>
      <w:r w:rsidR="009115A9" w:rsidRPr="009115A9">
        <w:rPr>
          <w:noProof/>
          <w:vertAlign w:val="superscript"/>
        </w:rPr>
        <w:t>37</w:t>
      </w:r>
      <w:r w:rsidR="00377737" w:rsidRPr="00197CB6">
        <w:fldChar w:fldCharType="end"/>
      </w:r>
      <w:r w:rsidR="00EB4596" w:rsidRPr="00197CB6">
        <w:t xml:space="preserve"> The individual patient dataset comprised 6,832 patients with cancer</w:t>
      </w:r>
      <w:r w:rsidR="00E22E8B" w:rsidRPr="00197CB6">
        <w:t>,</w:t>
      </w:r>
      <w:r w:rsidR="00EB4596" w:rsidRPr="00197CB6">
        <w:t xml:space="preserve"> random</w:t>
      </w:r>
      <w:r w:rsidR="00F60B9E" w:rsidRPr="00197CB6">
        <w:t>ly allocated</w:t>
      </w:r>
      <w:r w:rsidR="00EB4596" w:rsidRPr="00197CB6">
        <w:t xml:space="preserve"> t</w:t>
      </w:r>
      <w:r w:rsidR="0021682A" w:rsidRPr="00197CB6">
        <w:t>o LMWH (n</w:t>
      </w:r>
      <w:r w:rsidR="00EB4596" w:rsidRPr="00197CB6">
        <w:t xml:space="preserve">=3,429) or </w:t>
      </w:r>
      <w:r w:rsidR="00F60B9E" w:rsidRPr="00197CB6">
        <w:t xml:space="preserve">to </w:t>
      </w:r>
      <w:r w:rsidR="00EB4596" w:rsidRPr="00197CB6">
        <w:t>pla</w:t>
      </w:r>
      <w:r w:rsidR="00576091" w:rsidRPr="00197CB6">
        <w:t>cebo or observation (</w:t>
      </w:r>
      <w:r w:rsidR="0021682A" w:rsidRPr="00197CB6">
        <w:t>n</w:t>
      </w:r>
      <w:r w:rsidR="00576091" w:rsidRPr="00197CB6">
        <w:t xml:space="preserve">=3,403). </w:t>
      </w:r>
      <w:r w:rsidR="0021682A" w:rsidRPr="00197CB6">
        <w:t xml:space="preserve">Table </w:t>
      </w:r>
      <w:r w:rsidR="0047478F">
        <w:t>2</w:t>
      </w:r>
      <w:r w:rsidR="0021682A">
        <w:rPr>
          <w:b/>
        </w:rPr>
        <w:t xml:space="preserve"> </w:t>
      </w:r>
      <w:r w:rsidR="0021682A">
        <w:t>summarizes patient characteristics</w:t>
      </w:r>
      <w:r w:rsidR="00D10BD1">
        <w:t xml:space="preserve"> of patients allocated to placebo or observation</w:t>
      </w:r>
      <w:r w:rsidR="00EB4596" w:rsidRPr="00086015">
        <w:t xml:space="preserve">. </w:t>
      </w:r>
      <w:r w:rsidR="00576091">
        <w:t>During 6</w:t>
      </w:r>
      <w:r w:rsidR="0021682A">
        <w:t xml:space="preserve"> </w:t>
      </w:r>
      <w:r w:rsidR="00576091">
        <w:t>months of follow-up, 188 patients (5.5%) in the control group developed VTE</w:t>
      </w:r>
      <w:r w:rsidR="00474409">
        <w:t xml:space="preserve">, of </w:t>
      </w:r>
      <w:r w:rsidR="0021682A">
        <w:t>whom</w:t>
      </w:r>
      <w:r w:rsidR="00474409">
        <w:t xml:space="preserve"> 153 (81%) </w:t>
      </w:r>
      <w:r w:rsidR="0021682A">
        <w:t>experienced a</w:t>
      </w:r>
      <w:r w:rsidR="00474409">
        <w:t xml:space="preserve"> symptomatic event</w:t>
      </w:r>
      <w:r w:rsidR="00576091">
        <w:t xml:space="preserve">. </w:t>
      </w:r>
    </w:p>
    <w:p w14:paraId="03C0BB54" w14:textId="77777777" w:rsidR="00581A14" w:rsidRDefault="00581A14" w:rsidP="00C9560B">
      <w:pPr>
        <w:contextualSpacing/>
      </w:pPr>
    </w:p>
    <w:p w14:paraId="13DF303A" w14:textId="77777777" w:rsidR="000C6D2F" w:rsidRPr="00EB4596" w:rsidRDefault="00581A14" w:rsidP="00C9560B">
      <w:pPr>
        <w:contextualSpacing/>
        <w:rPr>
          <w:i/>
        </w:rPr>
      </w:pPr>
      <w:r w:rsidRPr="00EB4596">
        <w:rPr>
          <w:i/>
        </w:rPr>
        <w:t xml:space="preserve">Risk of bias </w:t>
      </w:r>
    </w:p>
    <w:p w14:paraId="7449E913" w14:textId="4319428B" w:rsidR="00F4785E" w:rsidRPr="00197CB6" w:rsidRDefault="0021682A" w:rsidP="00C9560B">
      <w:pPr>
        <w:contextualSpacing/>
      </w:pPr>
      <w:r w:rsidRPr="00197CB6">
        <w:t>Supplementary Table 1 present</w:t>
      </w:r>
      <w:r>
        <w:t xml:space="preserve"> r</w:t>
      </w:r>
      <w:r w:rsidR="002F1743">
        <w:t>esults of the risk</w:t>
      </w:r>
      <w:r>
        <w:t xml:space="preserve"> of bias assessment</w:t>
      </w:r>
      <w:r w:rsidR="00295597">
        <w:t xml:space="preserve"> f</w:t>
      </w:r>
      <w:r w:rsidR="00D70545">
        <w:t>or the evaluation of the Khorana score in the control groups</w:t>
      </w:r>
      <w:r w:rsidR="00295597">
        <w:t>.</w:t>
      </w:r>
      <w:r w:rsidR="00D70545">
        <w:t xml:space="preserve"> </w:t>
      </w:r>
      <w:r w:rsidR="00295597">
        <w:t>O</w:t>
      </w:r>
      <w:r w:rsidR="002F1743">
        <w:t xml:space="preserve">ne study was judged to be at moderate risk of </w:t>
      </w:r>
      <w:r w:rsidR="00974579">
        <w:t xml:space="preserve">bias with respect </w:t>
      </w:r>
      <w:r w:rsidR="00FC5BF5">
        <w:t xml:space="preserve">to </w:t>
      </w:r>
      <w:r w:rsidR="002F1743">
        <w:t>study participation</w:t>
      </w:r>
      <w:r w:rsidR="00974579">
        <w:t>,</w:t>
      </w:r>
      <w:r w:rsidR="002F1743">
        <w:t xml:space="preserve"> because a substantial proportion of eligible patients </w:t>
      </w:r>
      <w:r w:rsidR="000C6D2F">
        <w:t xml:space="preserve">was </w:t>
      </w:r>
      <w:r w:rsidR="002F1743">
        <w:t xml:space="preserve">not </w:t>
      </w:r>
      <w:r w:rsidR="00780086">
        <w:t>randomi</w:t>
      </w:r>
      <w:r w:rsidR="00106BA7">
        <w:t>z</w:t>
      </w:r>
      <w:r w:rsidR="00780086">
        <w:t>ed</w:t>
      </w:r>
      <w:r w:rsidR="00FC5BF5">
        <w:t>.</w:t>
      </w:r>
      <w:r w:rsidR="00164360">
        <w:fldChar w:fldCharType="begin" w:fldLock="1"/>
      </w:r>
      <w:r w:rsidR="009115A9">
        <w:instrText>ADDIN CSL_CITATION {"citationItems":[{"id":"ITEM-1","itemData":{"DOI":"10.1111/j.1538-7836.2010.03973.x","ISBN":"1538-7836 (Electronic)\\r1538-7836 (Linking)","ISSN":"15387933","PMID":"20598077","abstract":"Venous thromboembolism (VTE) occurs in 20-30% of patients with malignant glioma per year of survival. We tested the efficacy of long-term dalteparin low-molecular-weight heparin (LMWH) for prevention of VTE in these patients.","author":[{"dropping-particle":"","family":"Perry","given":"J. R.","non-dropping-particle":"","parse-names":false,"suffix":""},{"dropping-particle":"","family":"Julian","given":"J. A.","non-dropping-particle":"","parse-names":false,"suffix":""},{"dropping-particle":"","family":"Laperriere","given":"N. J.","non-dropping-particle":"","parse-names":false,"suffix":""},{"dropping-particle":"","family":"Geerts","given":"W.","non-dropping-particle":"","parse-names":false,"suffix":""},{"dropping-particle":"","family":"Agnelli","given":"G.","non-dropping-particle":"","parse-names":false,"suffix":""},{"dropping-particle":"","family":"Rogers","given":"L. R.","non-dropping-particle":"","parse-names":false,"suffix":""},{"dropping-particle":"","family":"Malkin","given":"M. G.","non-dropping-particle":"","parse-names":false,"suffix":""},{"dropping-particle":"","family":"Sawaya","given":"R.","non-dropping-particle":"","parse-names":false,"suffix":""},{"dropping-particle":"","family":"Baker","given":"R.","non-dropping-particle":"","parse-names":false,"suffix":""},{"dropping-particle":"","family":"Falanga","given":"A.","non-dropping-particle":"","parse-names":false,"suffix":""},{"dropping-particle":"","family":"Parpia","given":"S.","non-dropping-particle":"","parse-names":false,"suffix":""},{"dropping-particle":"","family":"Finch","given":"T.","non-dropping-particle":"","parse-names":false,"suffix":""},{"dropping-particle":"","family":"Levine","given":"M. N.","non-dropping-particle":"","parse-names":false,"suffix":""}],"container-title":"Journal of Thrombosis and Haemostasis","id":"ITEM-1","issue":"9","issued":{"date-parts":[["2010"]]},"page":"1959-1965","title":"PRODIGE: A randomized placebo-controlled trial of dalteparin low-molecular-weight heparin thromboprophylaxis in patients with newly diagnosed malignant glioma","type":"article-journal","volume":"8"},"uris":["http://www.mendeley.com/documents/?uuid=958bc7bf-f2f2-467a-9e12-95870aa61658"]}],"mendeley":{"formattedCitation":"&lt;sup&gt;29&lt;/sup&gt;","plainTextFormattedCitation":"29","previouslyFormattedCitation":"&lt;sup&gt;28&lt;/sup&gt;"},"properties":{"noteIndex":0},"schema":"https://github.com/citation-style-language/schema/raw/master/csl-citation.json"}</w:instrText>
      </w:r>
      <w:r w:rsidR="00164360">
        <w:fldChar w:fldCharType="separate"/>
      </w:r>
      <w:r w:rsidR="009115A9" w:rsidRPr="009115A9">
        <w:rPr>
          <w:noProof/>
          <w:vertAlign w:val="superscript"/>
        </w:rPr>
        <w:t>29</w:t>
      </w:r>
      <w:r w:rsidR="00164360">
        <w:fldChar w:fldCharType="end"/>
      </w:r>
      <w:r w:rsidR="002F1743">
        <w:t xml:space="preserve"> </w:t>
      </w:r>
      <w:r w:rsidR="00FC5BF5">
        <w:t>T</w:t>
      </w:r>
      <w:r w:rsidR="002F1743">
        <w:t>hree studies were judged to be at moderate to high risk of</w:t>
      </w:r>
      <w:r w:rsidR="00974579">
        <w:t xml:space="preserve"> bias regarding</w:t>
      </w:r>
      <w:r w:rsidR="002F1743">
        <w:t xml:space="preserve"> study attrition because of a substantial proportion of patients </w:t>
      </w:r>
      <w:r>
        <w:t xml:space="preserve">were </w:t>
      </w:r>
      <w:r w:rsidR="002F1743">
        <w:t>lost to follow-up</w:t>
      </w:r>
      <w:r w:rsidR="00714B8D">
        <w:fldChar w:fldCharType="begin" w:fldLock="1"/>
      </w:r>
      <w:r w:rsidR="009115A9">
        <w:instrText>ADDIN CSL_CITATION {"citationItems":[{"id":"ITEM-1","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Oncology","id":"ITEM-1","issue":"18","issued":{"date-parts":[["2015","6","20"]]},"page":"2028-2034","title":"Efficacy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28&lt;/sup&gt;","plainTextFormattedCitation":"28","previouslyFormattedCitation":"&lt;sup&gt;27&lt;/sup&gt;"},"properties":{"noteIndex":0},"schema":"https://github.com/citation-style-language/schema/raw/master/csl-citation.json"}</w:instrText>
      </w:r>
      <w:r w:rsidR="00714B8D">
        <w:fldChar w:fldCharType="separate"/>
      </w:r>
      <w:r w:rsidR="009115A9" w:rsidRPr="009115A9">
        <w:rPr>
          <w:noProof/>
          <w:vertAlign w:val="superscript"/>
        </w:rPr>
        <w:t>28</w:t>
      </w:r>
      <w:r w:rsidR="00714B8D">
        <w:fldChar w:fldCharType="end"/>
      </w:r>
      <w:r w:rsidR="002F1743">
        <w:t xml:space="preserve"> or </w:t>
      </w:r>
      <w:r w:rsidR="000C6D2F">
        <w:t>because</w:t>
      </w:r>
      <w:r w:rsidR="001552DE">
        <w:t xml:space="preserve"> patients were excluded because of a positive baseline VTE </w:t>
      </w:r>
      <w:r w:rsidR="002F1743">
        <w:t>screening</w:t>
      </w:r>
      <w:r w:rsidR="000C6D2F">
        <w:t xml:space="preserve"> for thrombosis</w:t>
      </w:r>
      <w:r w:rsidR="00FC5BF5">
        <w:t>.</w:t>
      </w:r>
      <w:r w:rsidR="00C2381E">
        <w:fldChar w:fldCharType="begin" w:fldLock="1"/>
      </w:r>
      <w:r w:rsidR="009115A9">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C2381E">
        <w:fldChar w:fldCharType="separate"/>
      </w:r>
      <w:r w:rsidR="009115A9" w:rsidRPr="009115A9">
        <w:rPr>
          <w:noProof/>
          <w:vertAlign w:val="superscript"/>
        </w:rPr>
        <w:t>25</w:t>
      </w:r>
      <w:r w:rsidR="00C2381E">
        <w:fldChar w:fldCharType="end"/>
      </w:r>
      <w:r w:rsidR="00F06EF0">
        <w:t xml:space="preserve"> </w:t>
      </w:r>
      <w:r w:rsidR="00FC5BF5">
        <w:t>T</w:t>
      </w:r>
      <w:r w:rsidR="00F06EF0">
        <w:t xml:space="preserve">wo </w:t>
      </w:r>
      <w:r w:rsidR="002F1743">
        <w:t xml:space="preserve">studies were </w:t>
      </w:r>
      <w:r w:rsidR="002F1743" w:rsidRPr="00197CB6">
        <w:t xml:space="preserve">judged to be at moderate risk of </w:t>
      </w:r>
      <w:r w:rsidR="00974579" w:rsidRPr="00197CB6">
        <w:t xml:space="preserve">bias with respect to </w:t>
      </w:r>
      <w:r w:rsidR="002F1743" w:rsidRPr="00197CB6">
        <w:t>outcome measurement because of unclear definitions of VTE</w:t>
      </w:r>
      <w:r w:rsidR="00E342DF" w:rsidRPr="00197CB6">
        <w:fldChar w:fldCharType="begin" w:fldLock="1"/>
      </w:r>
      <w:r w:rsidR="009115A9">
        <w:instrText>ADDIN CSL_CITATION {"citationItems":[{"id":"ITEM-1","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Oncology","id":"ITEM-1","issue":"18","issued":{"date-parts":[["2015","6","20"]]},"page":"2028-2034","title":"Efficacy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28&lt;/sup&gt;","plainTextFormattedCitation":"28","previouslyFormattedCitation":"&lt;sup&gt;27&lt;/sup&gt;"},"properties":{"noteIndex":0},"schema":"https://github.com/citation-style-language/schema/raw/master/csl-citation.json"}</w:instrText>
      </w:r>
      <w:r w:rsidR="00E342DF" w:rsidRPr="00197CB6">
        <w:fldChar w:fldCharType="separate"/>
      </w:r>
      <w:r w:rsidR="009115A9" w:rsidRPr="009115A9">
        <w:rPr>
          <w:noProof/>
          <w:vertAlign w:val="superscript"/>
        </w:rPr>
        <w:t>28</w:t>
      </w:r>
      <w:r w:rsidR="00E342DF" w:rsidRPr="00197CB6">
        <w:fldChar w:fldCharType="end"/>
      </w:r>
      <w:r w:rsidR="002F1743" w:rsidRPr="00197CB6">
        <w:t xml:space="preserve"> or absence of central adjudication of outcomes.</w:t>
      </w:r>
      <w:r w:rsidR="0046639A" w:rsidRPr="00197CB6">
        <w:fldChar w:fldCharType="begin" w:fldLock="1"/>
      </w:r>
      <w:r w:rsidR="009115A9">
        <w:instrText>ADDIN CSL_CITATION {"citationItems":[{"id":"ITEM-1","itemData":{"DOI":"10.1016/j.thromres.2013.09.026","ISBN":"0049-3848","ISSN":"00493848","PMID":"24491267","abstract":"Introduction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Research","id":"ITEM-1","issue":"6","issued":{"date-parts":[["2013"]]},"page":"666-670","publisher":"Elsevier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30&lt;/sup&gt;","plainTextFormattedCitation":"30","previouslyFormattedCitation":"&lt;sup&gt;29&lt;/sup&gt;"},"properties":{"noteIndex":0},"schema":"https://github.com/citation-style-language/schema/raw/master/csl-citation.json"}</w:instrText>
      </w:r>
      <w:r w:rsidR="0046639A" w:rsidRPr="00197CB6">
        <w:fldChar w:fldCharType="separate"/>
      </w:r>
      <w:r w:rsidR="009115A9" w:rsidRPr="009115A9">
        <w:rPr>
          <w:noProof/>
          <w:vertAlign w:val="superscript"/>
        </w:rPr>
        <w:t>30</w:t>
      </w:r>
      <w:r w:rsidR="0046639A" w:rsidRPr="00197CB6">
        <w:fldChar w:fldCharType="end"/>
      </w:r>
      <w:r w:rsidR="0046639A" w:rsidRPr="00197CB6">
        <w:t xml:space="preserve"> </w:t>
      </w:r>
      <w:r w:rsidR="00D70545" w:rsidRPr="00197CB6">
        <w:t xml:space="preserve"> </w:t>
      </w:r>
    </w:p>
    <w:p w14:paraId="527F6D18" w14:textId="781FD5D9" w:rsidR="00295597" w:rsidRDefault="00295597" w:rsidP="00C9560B">
      <w:pPr>
        <w:contextualSpacing/>
      </w:pPr>
      <w:r w:rsidRPr="00197CB6">
        <w:lastRenderedPageBreak/>
        <w:t xml:space="preserve">Supplementary Figure 1 presents results of the risk of bias assessment for the evaluation of </w:t>
      </w:r>
      <w:r w:rsidR="00B914F1" w:rsidRPr="00197CB6">
        <w:t xml:space="preserve">the efficacy and safety of </w:t>
      </w:r>
      <w:r w:rsidRPr="00197CB6">
        <w:t xml:space="preserve">thromboprophylaxis. </w:t>
      </w:r>
      <w:r w:rsidR="00750AD8" w:rsidRPr="00197CB6">
        <w:t>Three studies were not placebo controlled</w:t>
      </w:r>
      <w:r w:rsidR="00184D4A" w:rsidRPr="00197CB6">
        <w:fldChar w:fldCharType="begin" w:fldLock="1"/>
      </w:r>
      <w:r w:rsidR="009115A9">
        <w:instrText>ADDIN CSL_CITATION {"citationItems":[{"id":"ITEM-1","itemData":{"DOI":"10.1200/JCO.2015.64.0268","ISSN":"1527-7755","PMID":"26700124","abstract":"PURPOSE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Oncology","id":"ITEM-1","issue":"5","issued":{"date-parts":[["2015"]]},"page":"1-10","title":"Randomized Phase III Trial of Standard Therapy Plus Low Molecular Weight Heparin in Patients With Lung Cancer: FRAGMATIC Trial.","type":"article-journal","volume":"34"},"uris":["http://www.mendeley.com/documents/?uuid=a2c49b34-51df-4edc-9398-694226078cd1"]},{"id":"ITEM-2","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Research","id":"ITEM-2","issue":"6","issued":{"date-parts":[["2013"]]},"page":"666-670","publisher":"Elsevier Ltd","title":"Adjuvant therapy with bemiparin in patients with limited-stage small cell lung cancer: Results from the ABEL study","type":"article-journal","volume":"132"},"uris":["http://www.mendeley.com/documents/?uuid=335e4451-75e7-4dba-820c-494652d89a41"]},{"id":"ITEM-3","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Oncology","id":"ITEM-3","issue":"18","issued":{"date-parts":[["2015","6","20"]]},"page":"2028-2034","title":"Efficacy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27,28,30&lt;/sup&gt;","plainTextFormattedCitation":"27,28,30","previouslyFormattedCitation":"&lt;sup&gt;26,27,29&lt;/sup&gt;"},"properties":{"noteIndex":0},"schema":"https://github.com/citation-style-language/schema/raw/master/csl-citation.json"}</w:instrText>
      </w:r>
      <w:r w:rsidR="00184D4A" w:rsidRPr="00197CB6">
        <w:fldChar w:fldCharType="separate"/>
      </w:r>
      <w:r w:rsidR="009115A9" w:rsidRPr="009115A9">
        <w:rPr>
          <w:noProof/>
          <w:vertAlign w:val="superscript"/>
        </w:rPr>
        <w:t>27,28,30</w:t>
      </w:r>
      <w:r w:rsidR="00184D4A" w:rsidRPr="00197CB6">
        <w:fldChar w:fldCharType="end"/>
      </w:r>
      <w:r w:rsidR="00184D4A">
        <w:t xml:space="preserve"> </w:t>
      </w:r>
      <w:r w:rsidR="00750AD8" w:rsidRPr="00197CB6">
        <w:t>and outcomes were not adjudicated in two of these studies.</w:t>
      </w:r>
      <w:r w:rsidR="009054E8" w:rsidRPr="00197CB6">
        <w:fldChar w:fldCharType="begin" w:fldLock="1"/>
      </w:r>
      <w:r w:rsidR="009115A9">
        <w:instrText>ADDIN CSL_CITATION {"citationItems":[{"id":"ITEM-1","itemData":{"DOI":"10.1200/JCO.2015.64.0268","ISSN":"1527-7755","PMID":"26700124","abstract":"PURPOSE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Oncology","id":"ITEM-1","issue":"5","issued":{"date-parts":[["2015"]]},"page":"1-10","title":"Randomized Phase III Trial of Standard Therapy Plus Low Molecular Weight Heparin in Patients With Lung Cancer: FRAGMATIC Trial.","type":"article-journal","volume":"34"},"uris":["http://www.mendeley.com/documents/?uuid=a2c49b34-51df-4edc-9398-694226078cd1"]},{"id":"ITEM-2","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Oncology","id":"ITEM-2","issue":"18","issued":{"date-parts":[["2015","6","20"]]},"page":"2028-2034","title":"Efficacy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27,28&lt;/sup&gt;","plainTextFormattedCitation":"27,28","previouslyFormattedCitation":"&lt;sup&gt;26,27&lt;/sup&gt;"},"properties":{"noteIndex":0},"schema":"https://github.com/citation-style-language/schema/raw/master/csl-citation.json"}</w:instrText>
      </w:r>
      <w:r w:rsidR="009054E8" w:rsidRPr="00197CB6">
        <w:fldChar w:fldCharType="separate"/>
      </w:r>
      <w:r w:rsidR="009115A9" w:rsidRPr="009115A9">
        <w:rPr>
          <w:noProof/>
          <w:vertAlign w:val="superscript"/>
        </w:rPr>
        <w:t>27,28</w:t>
      </w:r>
      <w:r w:rsidR="009054E8" w:rsidRPr="00197CB6">
        <w:fldChar w:fldCharType="end"/>
      </w:r>
      <w:r w:rsidR="009054E8" w:rsidRPr="00197CB6">
        <w:t xml:space="preserve"> </w:t>
      </w:r>
      <w:r w:rsidR="00750AD8" w:rsidRPr="00197CB6">
        <w:t xml:space="preserve"> Data analysts were not blinded in six studies.</w:t>
      </w:r>
      <w:r w:rsidR="003F5241" w:rsidRPr="00197CB6">
        <w:fldChar w:fldCharType="begin" w:fldLock="1"/>
      </w:r>
      <w:r w:rsidR="009115A9">
        <w:instrText>ADDIN CSL_CITATION {"citationItems":[{"id":"ITEM-1","itemData":{"DOI":"10.1200/JCO.2015.64.0268","ISSN":"1527-7755","PMID":"26700124","abstract":"PURPOSE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Oncology","id":"ITEM-1","issue":"5","issued":{"date-parts":[["2015"]]},"page":"1-10","title":"Randomized Phase III Trial of Standard Therapy Plus Low Molecular Weight Heparin in Patients With Lung Cancer: FRAGMATIC Trial.","type":"article-journal","volume":"34"},"uris":["http://www.mendeley.com/documents/?uuid=a2c49b34-51df-4edc-9398-694226078cd1"]},{"id":"ITEM-2","itemData":{"DOI":"10.1177/1076029611433769","ISBN":"1111111111","ISSN":"1938-2723","PMID":"22275397","abstract":"In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Thrombosis/Hemostasis","id":"ITEM-2","issue":"2","issued":{"date-parts":[["2012"]]},"page":"159-65","title":"Low-molecular-weight heparin versus placebo for the prevention of venous thromboembolism in metastatic breast cancer or stage III/IV lung cancer.","type":"article-journal","volume":"18"},"uris":["http://www.mendeley.com/documents/?uuid=53f38820-ae1c-40f5-a5b6-b72e2afa8487"]},{"id":"ITEM-3","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Research","id":"ITEM-3","issue":"6","issued":{"date-parts":[["2013"]]},"page":"666-670","publisher":"Elsevier Ltd","title":"Adjuvant therapy with bemiparin in patients with limited-stage small cell lung cancer: Results from the ABEL study","type":"article-journal","volume":"132"},"uris":["http://www.mendeley.com/documents/?uuid=335e4451-75e7-4dba-820c-494652d89a41"]},{"id":"ITEM-4","itemData":{"DOI":"10.1111/j.1538-7836.2010.03973.x","ISBN":"1538-7836 (Electronic)\\r1538-7836 (Linking)","ISSN":"15387933","PMID":"20598077","abstract":"Venous thromboembolism (VTE) occurs in 20-30% of patients with malignant glioma per year of survival. We tested the efficacy of long-term dalteparin low-molecular-weight heparin (LMWH) for prevention of VTE in these patients.","author":[{"dropping-particle":"","family":"Perry","given":"J. R.","non-dropping-particle":"","parse-names":false,"suffix":""},{"dropping-particle":"","family":"Julian","given":"J. A.","non-dropping-particle":"","parse-names":false,"suffix":""},{"dropping-particle":"","family":"Laperriere","given":"N. J.","non-dropping-particle":"","parse-names":false,"suffix":""},{"dropping-particle":"","family":"Geerts","given":"W.","non-dropping-particle":"","parse-names":false,"suffix":""},{"dropping-particle":"","family":"Agnelli","given":"G.","non-dropping-particle":"","parse-names":false,"suffix":""},{"dropping-particle":"","family":"Rogers","given":"L. R.","non-dropping-particle":"","parse-names":false,"suffix":""},{"dropping-particle":"","family":"Malkin","given":"M. G.","non-dropping-particle":"","parse-names":false,"suffix":""},{"dropping-particle":"","family":"Sawaya","given":"R.","non-dropping-particle":"","parse-names":false,"suffix":""},{"dropping-particle":"","family":"Baker","given":"R.","non-dropping-particle":"","parse-names":false,"suffix":""},{"dropping-particle":"","family":"Falanga","given":"A.","non-dropping-particle":"","parse-names":false,"suffix":""},{"dropping-particle":"","family":"Parpia","given":"S.","non-dropping-particle":"","parse-names":false,"suffix":""},{"dropping-particle":"","family":"Finch","given":"T.","non-dropping-particle":"","parse-names":false,"suffix":""},{"dropping-particle":"","family":"Levine","given":"M. N.","non-dropping-particle":"","parse-names":false,"suffix":""}],"container-title":"Journal of Thrombosis and Haemostasis","id":"ITEM-4","issue":"9","issued":{"date-parts":[["2010"]]},"page":"1959-1965","title":"PRODIGE: A randomized placebo-controlled trial of dalteparin low-molecular-weight heparin thromboprophylaxis in patients with newly diagnosed malignant glioma","type":"article-journal","volume":"8"},"uris":["http://www.mendeley.com/documents/?uuid=958bc7bf-f2f2-467a-9e12-95870aa61658"]}],"mendeley":{"formattedCitation":"&lt;sup&gt;25,27,29,30&lt;/sup&gt;","plainTextFormattedCitation":"25,27,29,30","previouslyFormattedCitation":"&lt;sup&gt;24,26,28,29&lt;/sup&gt;"},"properties":{"noteIndex":0},"schema":"https://github.com/citation-style-language/schema/raw/master/csl-citation.json"}</w:instrText>
      </w:r>
      <w:r w:rsidR="003F5241" w:rsidRPr="00197CB6">
        <w:fldChar w:fldCharType="separate"/>
      </w:r>
      <w:r w:rsidR="009115A9" w:rsidRPr="009115A9">
        <w:rPr>
          <w:noProof/>
          <w:vertAlign w:val="superscript"/>
        </w:rPr>
        <w:t>25,27,29,30</w:t>
      </w:r>
      <w:r w:rsidR="003F5241" w:rsidRPr="00197CB6">
        <w:fldChar w:fldCharType="end"/>
      </w:r>
      <w:r w:rsidR="00801BC6">
        <w:t xml:space="preserve"> </w:t>
      </w:r>
      <w:r w:rsidR="00750AD8" w:rsidRPr="00197CB6">
        <w:t xml:space="preserve">One study was </w:t>
      </w:r>
      <w:r w:rsidR="00035C98" w:rsidRPr="00197CB6">
        <w:t xml:space="preserve">judged to be </w:t>
      </w:r>
      <w:r w:rsidR="00750AD8" w:rsidRPr="00197CB6">
        <w:t>at high risk of selection</w:t>
      </w:r>
      <w:r w:rsidR="00750AD8">
        <w:t xml:space="preserve"> and reporting bias.</w:t>
      </w:r>
      <w:r w:rsidR="00D824A0">
        <w:fldChar w:fldCharType="begin" w:fldLock="1"/>
      </w:r>
      <w:r w:rsidR="009115A9">
        <w:instrText>ADDIN CSL_CITATION {"citationItems":[{"id":"ITEM-1","itemData":{"DOI":"10.1016/j.thromres.2013.09.026","ISBN":"0049-3848","ISSN":"00493848","PMID":"24491267","abstract":"Introduction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Research","id":"ITEM-1","issue":"6","issued":{"date-parts":[["2013"]]},"page":"666-670","publisher":"Elsevier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30&lt;/sup&gt;","plainTextFormattedCitation":"30","previouslyFormattedCitation":"&lt;sup&gt;29&lt;/sup&gt;"},"properties":{"noteIndex":0},"schema":"https://github.com/citation-style-language/schema/raw/master/csl-citation.json"}</w:instrText>
      </w:r>
      <w:r w:rsidR="00D824A0">
        <w:fldChar w:fldCharType="separate"/>
      </w:r>
      <w:r w:rsidR="009115A9" w:rsidRPr="009115A9">
        <w:rPr>
          <w:noProof/>
          <w:vertAlign w:val="superscript"/>
        </w:rPr>
        <w:t>30</w:t>
      </w:r>
      <w:r w:rsidR="00D824A0">
        <w:fldChar w:fldCharType="end"/>
      </w:r>
    </w:p>
    <w:p w14:paraId="7D8920D5" w14:textId="77777777" w:rsidR="00EC19D2" w:rsidRDefault="00EC19D2" w:rsidP="002C4431">
      <w:pPr>
        <w:contextualSpacing/>
      </w:pPr>
    </w:p>
    <w:p w14:paraId="10BD99E5" w14:textId="77777777" w:rsidR="0018238F" w:rsidRPr="00086015" w:rsidRDefault="00086015" w:rsidP="002C4431">
      <w:pPr>
        <w:contextualSpacing/>
        <w:rPr>
          <w:i/>
        </w:rPr>
      </w:pPr>
      <w:r>
        <w:rPr>
          <w:i/>
        </w:rPr>
        <w:t>Khorana score</w:t>
      </w:r>
      <w:r w:rsidR="0021682A">
        <w:rPr>
          <w:i/>
        </w:rPr>
        <w:t xml:space="preserve"> prognostic performance</w:t>
      </w:r>
    </w:p>
    <w:p w14:paraId="54C5AC40" w14:textId="483810E7" w:rsidR="00086015" w:rsidRDefault="0021682A" w:rsidP="00AA24AB">
      <w:pPr>
        <w:contextualSpacing/>
      </w:pPr>
      <w:r>
        <w:t xml:space="preserve">Among the 3,293 patients allocated to </w:t>
      </w:r>
      <w:r w:rsidRPr="00197CB6">
        <w:t>placebo or observation</w:t>
      </w:r>
      <w:r w:rsidR="00DE5384" w:rsidRPr="00197CB6">
        <w:t xml:space="preserve"> in whom the Khorana score could be calculated</w:t>
      </w:r>
      <w:r w:rsidRPr="00197CB6">
        <w:t>, the summary area under the ROC-curve of the continuous Khorana score was 0</w:t>
      </w:r>
      <w:r w:rsidR="00D536C3">
        <w:t>.</w:t>
      </w:r>
      <w:r w:rsidRPr="00197CB6">
        <w:t xml:space="preserve">57 </w:t>
      </w:r>
      <w:r w:rsidR="00CE5138" w:rsidRPr="00197CB6">
        <w:t xml:space="preserve">(95% CI, 0.47 to 0.66) </w:t>
      </w:r>
      <w:r w:rsidR="00AA24AB" w:rsidRPr="00197CB6">
        <w:t>with evidence of between-study heterogeneity</w:t>
      </w:r>
      <w:r w:rsidR="00CE5138" w:rsidRPr="00197CB6">
        <w:t xml:space="preserve"> (</w:t>
      </w:r>
      <w:r w:rsidRPr="00197CB6">
        <w:t>I</w:t>
      </w:r>
      <w:r w:rsidRPr="00197CB6">
        <w:rPr>
          <w:vertAlign w:val="superscript"/>
        </w:rPr>
        <w:t>2</w:t>
      </w:r>
      <w:r w:rsidRPr="00197CB6">
        <w:t xml:space="preserve">=57%, </w:t>
      </w:r>
      <w:r w:rsidRPr="00197CB6">
        <w:rPr>
          <w:i/>
        </w:rPr>
        <w:t>P</w:t>
      </w:r>
      <w:r w:rsidRPr="00197CB6">
        <w:t>=0</w:t>
      </w:r>
      <w:r w:rsidR="00D536C3">
        <w:t>.</w:t>
      </w:r>
      <w:r w:rsidRPr="00197CB6">
        <w:t>03; Supplementary Figure</w:t>
      </w:r>
      <w:r w:rsidR="00E75042" w:rsidRPr="00197CB6">
        <w:t xml:space="preserve"> 2</w:t>
      </w:r>
      <w:r w:rsidRPr="00197CB6">
        <w:t>). T</w:t>
      </w:r>
      <w:r w:rsidR="005B01A1" w:rsidRPr="00197CB6">
        <w:t xml:space="preserve">he Khorana score </w:t>
      </w:r>
      <w:r w:rsidR="00ED7FEB" w:rsidRPr="00197CB6">
        <w:t xml:space="preserve">classified </w:t>
      </w:r>
      <w:r w:rsidRPr="00197CB6">
        <w:t>402</w:t>
      </w:r>
      <w:r w:rsidR="00ED7FEB" w:rsidRPr="00197CB6">
        <w:t xml:space="preserve"> patient</w:t>
      </w:r>
      <w:r w:rsidR="00974579" w:rsidRPr="00197CB6">
        <w:t>s (</w:t>
      </w:r>
      <w:r w:rsidRPr="00197CB6">
        <w:t>12</w:t>
      </w:r>
      <w:r w:rsidR="00974579" w:rsidRPr="00197CB6">
        <w:t>%) as ‘</w:t>
      </w:r>
      <w:r w:rsidR="00314D5B" w:rsidRPr="00197CB6">
        <w:t>low-risk</w:t>
      </w:r>
      <w:r w:rsidR="00974579" w:rsidRPr="00197CB6">
        <w:t>’</w:t>
      </w:r>
      <w:r w:rsidRPr="00197CB6">
        <w:t>, 2,121</w:t>
      </w:r>
      <w:r w:rsidR="00ED7FEB" w:rsidRPr="00197CB6">
        <w:t xml:space="preserve"> (6</w:t>
      </w:r>
      <w:r w:rsidR="00923001" w:rsidRPr="00197CB6">
        <w:t>2</w:t>
      </w:r>
      <w:r w:rsidR="00ED7FEB" w:rsidRPr="00197CB6">
        <w:t>%) as ‘intermediate</w:t>
      </w:r>
      <w:r w:rsidR="00314D5B" w:rsidRPr="00197CB6">
        <w:t>-</w:t>
      </w:r>
      <w:r w:rsidR="00BB49EE" w:rsidRPr="00197CB6">
        <w:t>risk’</w:t>
      </w:r>
      <w:r w:rsidR="00ED7FEB" w:rsidRPr="00197CB6">
        <w:t xml:space="preserve">, and </w:t>
      </w:r>
      <w:r w:rsidR="00923001" w:rsidRPr="00197CB6">
        <w:t>770</w:t>
      </w:r>
      <w:r w:rsidR="00ED7FEB" w:rsidRPr="00197CB6">
        <w:t xml:space="preserve"> (2</w:t>
      </w:r>
      <w:r w:rsidR="00923001" w:rsidRPr="00197CB6">
        <w:t>3</w:t>
      </w:r>
      <w:r w:rsidR="00ED7FEB" w:rsidRPr="00197CB6">
        <w:t>%) as ‘</w:t>
      </w:r>
      <w:r w:rsidR="00314D5B" w:rsidRPr="00197CB6">
        <w:t>high-risk</w:t>
      </w:r>
      <w:r w:rsidR="00ED7FEB" w:rsidRPr="00197CB6">
        <w:t xml:space="preserve">’. The score </w:t>
      </w:r>
      <w:r w:rsidRPr="00197CB6">
        <w:t>proved unavailable</w:t>
      </w:r>
      <w:r w:rsidR="00ED7FEB" w:rsidRPr="00197CB6">
        <w:t xml:space="preserve"> in </w:t>
      </w:r>
      <w:r w:rsidR="00923001" w:rsidRPr="00197CB6">
        <w:t>110</w:t>
      </w:r>
      <w:r w:rsidR="00ED7FEB" w:rsidRPr="00197CB6">
        <w:t xml:space="preserve"> patients</w:t>
      </w:r>
      <w:r w:rsidR="00974579" w:rsidRPr="00197CB6">
        <w:t xml:space="preserve"> </w:t>
      </w:r>
      <w:r w:rsidRPr="00197CB6">
        <w:t>(3</w:t>
      </w:r>
      <w:r w:rsidR="00D536C3">
        <w:t>.</w:t>
      </w:r>
      <w:r w:rsidRPr="00197CB6">
        <w:t xml:space="preserve">2%) </w:t>
      </w:r>
      <w:r w:rsidR="00974579" w:rsidRPr="00197CB6">
        <w:t>due to missing data</w:t>
      </w:r>
      <w:r w:rsidR="00ED7FEB" w:rsidRPr="00197CB6">
        <w:t xml:space="preserve">. </w:t>
      </w:r>
      <w:r w:rsidR="00923001" w:rsidRPr="00197CB6">
        <w:t>T</w:t>
      </w:r>
      <w:r w:rsidR="000D7738" w:rsidRPr="00197CB6">
        <w:t xml:space="preserve">he 6-month </w:t>
      </w:r>
      <w:r w:rsidR="00363471" w:rsidRPr="00197CB6">
        <w:t xml:space="preserve">cumulative </w:t>
      </w:r>
      <w:r w:rsidR="000D7738" w:rsidRPr="00197CB6">
        <w:t xml:space="preserve">VTE incidence was </w:t>
      </w:r>
      <w:r w:rsidR="00D3278D" w:rsidRPr="00197CB6">
        <w:t>4.1% among low-risk patients (95% CI, 1</w:t>
      </w:r>
      <w:r w:rsidR="00D536C3">
        <w:t>.</w:t>
      </w:r>
      <w:r w:rsidR="00D3278D" w:rsidRPr="00197CB6">
        <w:t>9</w:t>
      </w:r>
      <w:r w:rsidR="00D3278D">
        <w:t xml:space="preserve"> to 8</w:t>
      </w:r>
      <w:r w:rsidR="00D536C3">
        <w:t>.</w:t>
      </w:r>
      <w:r w:rsidR="00D3278D">
        <w:t>4), 6</w:t>
      </w:r>
      <w:r w:rsidR="00D536C3">
        <w:t>.</w:t>
      </w:r>
      <w:r w:rsidR="00D3278D">
        <w:t>8% among intermediate-risk patients (95% CI, 4</w:t>
      </w:r>
      <w:r w:rsidR="00D536C3">
        <w:t>.</w:t>
      </w:r>
      <w:r w:rsidR="00D3278D">
        <w:t>5 to 10), and 10</w:t>
      </w:r>
      <w:r w:rsidR="00AD79F0">
        <w:t xml:space="preserve">% </w:t>
      </w:r>
      <w:r w:rsidR="000D7738">
        <w:t xml:space="preserve">among the </w:t>
      </w:r>
      <w:r w:rsidR="00314D5B">
        <w:t>high-risk</w:t>
      </w:r>
      <w:r w:rsidR="000D7738">
        <w:t xml:space="preserve"> patients </w:t>
      </w:r>
      <w:r w:rsidR="00D3278D">
        <w:t>(95% CI, 6</w:t>
      </w:r>
      <w:r w:rsidR="00D536C3">
        <w:t>.</w:t>
      </w:r>
      <w:r w:rsidR="00D3278D">
        <w:t xml:space="preserve">7 to 15). The </w:t>
      </w:r>
      <w:r w:rsidR="00D4095F">
        <w:t>odds ratio for the relative difference between</w:t>
      </w:r>
      <w:r w:rsidR="00D3278D">
        <w:t xml:space="preserve"> low-to-intermediate patients and high-risk patients </w:t>
      </w:r>
      <w:r w:rsidR="00D4095F">
        <w:t xml:space="preserve">was </w:t>
      </w:r>
      <w:r w:rsidR="002A4DBD">
        <w:t>1</w:t>
      </w:r>
      <w:r w:rsidR="00D536C3">
        <w:t>.</w:t>
      </w:r>
      <w:r w:rsidR="002A4DBD">
        <w:t>6 (95% CI, 1</w:t>
      </w:r>
      <w:r w:rsidR="00D536C3">
        <w:t>.</w:t>
      </w:r>
      <w:r w:rsidR="002A4DBD">
        <w:t>1 to 2</w:t>
      </w:r>
      <w:r w:rsidR="00D536C3">
        <w:t>.</w:t>
      </w:r>
      <w:r w:rsidR="002A4DBD">
        <w:t>2; 95% PI, 0</w:t>
      </w:r>
      <w:r w:rsidR="00D536C3">
        <w:t>.</w:t>
      </w:r>
      <w:r w:rsidR="00EF77C9">
        <w:t>29 to 8</w:t>
      </w:r>
      <w:r w:rsidR="00D536C3">
        <w:t>.</w:t>
      </w:r>
      <w:r w:rsidR="00EF77C9">
        <w:t>6</w:t>
      </w:r>
      <w:r w:rsidR="00B437A0">
        <w:t xml:space="preserve">; </w:t>
      </w:r>
      <w:r w:rsidR="00B437A0">
        <w:rPr>
          <w:i/>
        </w:rPr>
        <w:t>P</w:t>
      </w:r>
      <w:r w:rsidR="00B437A0">
        <w:t>=0</w:t>
      </w:r>
      <w:r w:rsidR="00D536C3">
        <w:t>.</w:t>
      </w:r>
      <w:r w:rsidR="00B437A0">
        <w:t>00</w:t>
      </w:r>
      <w:r w:rsidR="00EF77C9">
        <w:t>6</w:t>
      </w:r>
      <w:r w:rsidR="002A4DBD">
        <w:t>)</w:t>
      </w:r>
      <w:r w:rsidR="00B437A0">
        <w:t xml:space="preserve">. </w:t>
      </w:r>
      <w:r w:rsidR="00DA6CB7">
        <w:t>The</w:t>
      </w:r>
      <w:r w:rsidR="00AA24AB">
        <w:t xml:space="preserve"> sensitivity analysis restricted </w:t>
      </w:r>
      <w:r w:rsidR="00086015">
        <w:t xml:space="preserve">to the </w:t>
      </w:r>
      <w:r w:rsidR="00DA6CB7">
        <w:t>four</w:t>
      </w:r>
      <w:r w:rsidR="00086015">
        <w:t xml:space="preserve"> studies that</w:t>
      </w:r>
      <w:r w:rsidR="00DA6CB7">
        <w:t xml:space="preserve"> did not enroll patients prior to chemot</w:t>
      </w:r>
      <w:r w:rsidR="00D4095F">
        <w:t>herapy or shortly after surgery</w:t>
      </w:r>
      <w:r w:rsidR="00550459">
        <w:fldChar w:fldCharType="begin" w:fldLock="1"/>
      </w:r>
      <w:r w:rsidR="009115A9">
        <w:instrText>ADDIN CSL_CITATION {"citationItems":[{"id":"ITEM-1","itemData":{"DOI":"10.1111/jth.12023","ISBN":"1538-7836 (Electronic)\\r1538-7836 (Linking)","ISSN":"1538-7836","PMID":"23362525","author":[{"dropping-particle":"","family":"Khorana","given":"A. A.","non-dropping-particle":"","parse-names":false,"suffix":""},{"dropping-particle":"","family":"O'Connell","given":"C","non-dropping-particle":"","parse-names":false,"suffix":""},{"dropping-particle":"","family":"Agnelli","given":"Giancarlo","non-dropping-particle":"","parse-names":false,"suffix":""},{"dropping-particle":"","family":"Liebman","given":"H. A.","non-dropping-particle":"","parse-names":false,"suffix":""},{"dropping-particle":"","family":"Lee","given":"Agnes Y. Y.","non-dropping-particle":"","parse-names":false,"suffix":""},{"dropping-particle":"","family":"Subcommittee on Hemostasis and Malignancy of the SSC of the ISTH","given":"","non-dropping-particle":"","parse-names":false,"suffix":""}],"container-title":"Journal of thrombosis and haemostasis : JTH","id":"ITEM-1","issue":"12","issued":{"date-parts":[["2012","12","12"]]},"page":"2602-4","title":"Incidental venous thromboembolism in oncology patients.","type":"article-journal","volume":"10"},"uris":["http://www.mendeley.com/documents/?uuid=f5f8ad89-1233-4789-9ed6-64b585990b9a"]},{"id":"ITEM-2","itemData":{"DOI":"10.1200/JCO.2015.64.0268","ISSN":"1527-7755","PMID":"26700124","abstract":"PURPOSE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Oncology","id":"ITEM-2","issue":"5","issued":{"date-parts":[["2015"]]},"page":"1-10","title":"Randomized Phase III Trial of Standard Therapy Plus Low Molecular Weight Heparin in Patients With Lung Cancer: FRAGMATIC Trial.","type":"article-journal","volume":"34"},"uris":["http://www.mendeley.com/documents/?uuid=a2c49b34-51df-4edc-9398-694226078cd1"]},{"id":"ITEM-3","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Oncology","id":"ITEM-3","issue":"18","issued":{"date-parts":[["2015","6","20"]]},"page":"2028-2034","title":"Efficacy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id":"ITEM-4","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Research","id":"ITEM-4","issue":"6","issued":{"date-parts":[["2013"]]},"page":"666-670","publisher":"Elsevier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27,28,30,38&lt;/sup&gt;","plainTextFormattedCitation":"27,28,30,38","previouslyFormattedCitation":"&lt;sup&gt;26,27,29,37&lt;/sup&gt;"},"properties":{"noteIndex":0},"schema":"https://github.com/citation-style-language/schema/raw/master/csl-citation.json"}</w:instrText>
      </w:r>
      <w:r w:rsidR="00550459">
        <w:fldChar w:fldCharType="separate"/>
      </w:r>
      <w:r w:rsidR="009115A9" w:rsidRPr="009115A9">
        <w:rPr>
          <w:noProof/>
          <w:vertAlign w:val="superscript"/>
        </w:rPr>
        <w:t>27,28,30,38</w:t>
      </w:r>
      <w:r w:rsidR="00550459">
        <w:fldChar w:fldCharType="end"/>
      </w:r>
      <w:r w:rsidR="00086015">
        <w:t xml:space="preserve"> </w:t>
      </w:r>
      <w:r w:rsidR="00AA24AB">
        <w:t xml:space="preserve">yielded comparable results: </w:t>
      </w:r>
      <w:r w:rsidR="00581A14">
        <w:t>OR</w:t>
      </w:r>
      <w:r w:rsidR="00B27418">
        <w:t xml:space="preserve"> 1</w:t>
      </w:r>
      <w:r w:rsidR="00D536C3">
        <w:t>.</w:t>
      </w:r>
      <w:r w:rsidR="00B27418">
        <w:t>5 (95% CI, 1</w:t>
      </w:r>
      <w:r w:rsidR="00D536C3">
        <w:t>.</w:t>
      </w:r>
      <w:r w:rsidR="00B27418">
        <w:t>01</w:t>
      </w:r>
      <w:r w:rsidR="00086015">
        <w:t xml:space="preserve"> to 2</w:t>
      </w:r>
      <w:r w:rsidR="00D536C3">
        <w:t>.</w:t>
      </w:r>
      <w:r w:rsidR="00B27418">
        <w:t>1; 95% PI, 0</w:t>
      </w:r>
      <w:r w:rsidR="00D536C3">
        <w:t>.</w:t>
      </w:r>
      <w:r w:rsidR="00B27418">
        <w:t>24</w:t>
      </w:r>
      <w:r w:rsidR="00086015">
        <w:t xml:space="preserve"> to 9</w:t>
      </w:r>
      <w:r w:rsidR="00D536C3">
        <w:t>.</w:t>
      </w:r>
      <w:r w:rsidR="00B27418">
        <w:t>1</w:t>
      </w:r>
      <w:r w:rsidR="00F340B1">
        <w:t xml:space="preserve">; </w:t>
      </w:r>
      <w:r w:rsidR="00F340B1">
        <w:rPr>
          <w:i/>
        </w:rPr>
        <w:t>P</w:t>
      </w:r>
      <w:r w:rsidR="00B27418">
        <w:t>=0</w:t>
      </w:r>
      <w:r w:rsidR="00D536C3">
        <w:t>.</w:t>
      </w:r>
      <w:r w:rsidR="00B27418">
        <w:t>04</w:t>
      </w:r>
      <w:r w:rsidR="00086015">
        <w:t>). In a sensitivity analysis of VTE during the first 90 days, the incidence was 5</w:t>
      </w:r>
      <w:r w:rsidR="00D536C3">
        <w:t>.</w:t>
      </w:r>
      <w:r w:rsidR="00086015">
        <w:t>7% (95% CI, 3</w:t>
      </w:r>
      <w:r w:rsidR="00D536C3">
        <w:t>.</w:t>
      </w:r>
      <w:r w:rsidR="00086015">
        <w:t>7 to 8</w:t>
      </w:r>
      <w:r w:rsidR="00D536C3">
        <w:t>.</w:t>
      </w:r>
      <w:r w:rsidR="00086015">
        <w:t xml:space="preserve">6) among patients with a </w:t>
      </w:r>
      <w:r w:rsidR="00314D5B">
        <w:t>high-risk</w:t>
      </w:r>
      <w:r w:rsidR="00086015">
        <w:t xml:space="preserve"> Khorana score compared </w:t>
      </w:r>
      <w:r w:rsidR="002C53BE">
        <w:t xml:space="preserve">with </w:t>
      </w:r>
      <w:r w:rsidR="00086015">
        <w:t>4</w:t>
      </w:r>
      <w:r w:rsidR="00D536C3">
        <w:t>.</w:t>
      </w:r>
      <w:r w:rsidR="00086015">
        <w:t>1% (95% CI, 2</w:t>
      </w:r>
      <w:r w:rsidR="00D536C3">
        <w:t>.</w:t>
      </w:r>
      <w:r w:rsidR="00086015">
        <w:t>8 to 6</w:t>
      </w:r>
      <w:r w:rsidR="00D536C3">
        <w:t>.</w:t>
      </w:r>
      <w:r w:rsidR="00086015">
        <w:t>0) in those with a low</w:t>
      </w:r>
      <w:r w:rsidR="00533984">
        <w:t>-to-</w:t>
      </w:r>
      <w:r w:rsidR="000C6D2F">
        <w:t>intermediate</w:t>
      </w:r>
      <w:r w:rsidR="00086015">
        <w:t xml:space="preserve"> risk score</w:t>
      </w:r>
      <w:r w:rsidR="00BE4370">
        <w:t>, yielding a similar OR of 1</w:t>
      </w:r>
      <w:r w:rsidR="00D536C3">
        <w:t>.</w:t>
      </w:r>
      <w:r w:rsidR="00BE4370">
        <w:t>4 (</w:t>
      </w:r>
      <w:r w:rsidR="00086015">
        <w:t>95% CI, 0</w:t>
      </w:r>
      <w:r w:rsidR="00D536C3">
        <w:t>.</w:t>
      </w:r>
      <w:r w:rsidR="00086015">
        <w:t>95 to 2</w:t>
      </w:r>
      <w:r w:rsidR="00D536C3">
        <w:t>.</w:t>
      </w:r>
      <w:r w:rsidR="00086015">
        <w:t>1; 95% PI, 0</w:t>
      </w:r>
      <w:r w:rsidR="00D536C3">
        <w:t>.</w:t>
      </w:r>
      <w:r w:rsidR="00086015">
        <w:t>32 to 6</w:t>
      </w:r>
      <w:r w:rsidR="00D536C3">
        <w:t>.</w:t>
      </w:r>
      <w:r w:rsidR="00086015">
        <w:t>2</w:t>
      </w:r>
      <w:r w:rsidR="00F340B1">
        <w:t xml:space="preserve">; </w:t>
      </w:r>
      <w:r w:rsidR="00F340B1">
        <w:rPr>
          <w:i/>
        </w:rPr>
        <w:t>P</w:t>
      </w:r>
      <w:r w:rsidR="00F340B1">
        <w:t>=0</w:t>
      </w:r>
      <w:r w:rsidR="00D536C3">
        <w:t>.</w:t>
      </w:r>
      <w:r w:rsidR="00F340B1">
        <w:t>09</w:t>
      </w:r>
      <w:r w:rsidR="00086015">
        <w:t>).</w:t>
      </w:r>
    </w:p>
    <w:p w14:paraId="17CE2B5A" w14:textId="77777777" w:rsidR="002B3F07" w:rsidRDefault="002B3F07" w:rsidP="00AA24AB">
      <w:pPr>
        <w:contextualSpacing/>
      </w:pPr>
    </w:p>
    <w:p w14:paraId="3E6DE6B8" w14:textId="4B9E7954" w:rsidR="009A4527" w:rsidRPr="00197CB6" w:rsidRDefault="009A4527" w:rsidP="00E51FA1">
      <w:pPr>
        <w:contextualSpacing/>
      </w:pPr>
      <w:r>
        <w:t>For the outcomes of symptomatic VTE, DVT, and PE the odds ratios for the relative difference between</w:t>
      </w:r>
      <w:r w:rsidR="00F5480C">
        <w:t xml:space="preserve"> patients with a</w:t>
      </w:r>
      <w:r>
        <w:t xml:space="preserve"> low-to-intermediate </w:t>
      </w:r>
      <w:r w:rsidR="00F5480C">
        <w:t>Khorana score</w:t>
      </w:r>
      <w:r>
        <w:t xml:space="preserve"> and </w:t>
      </w:r>
      <w:r w:rsidR="00F5480C">
        <w:t>those with a high-risk score were</w:t>
      </w:r>
      <w:r>
        <w:t xml:space="preserve"> 1</w:t>
      </w:r>
      <w:r w:rsidR="00D536C3">
        <w:t>.</w:t>
      </w:r>
      <w:r>
        <w:t>4 (95</w:t>
      </w:r>
      <w:r w:rsidRPr="00197CB6">
        <w:t>% CI, 0</w:t>
      </w:r>
      <w:r w:rsidR="00D536C3">
        <w:t>.</w:t>
      </w:r>
      <w:r w:rsidRPr="00197CB6">
        <w:t>98 to 1</w:t>
      </w:r>
      <w:r w:rsidR="00D536C3">
        <w:t>.</w:t>
      </w:r>
      <w:r w:rsidRPr="00197CB6">
        <w:t>9; 95% PI, 0</w:t>
      </w:r>
      <w:r w:rsidR="00D536C3">
        <w:t>.</w:t>
      </w:r>
      <w:r w:rsidRPr="00197CB6">
        <w:t xml:space="preserve">18 to 10; </w:t>
      </w:r>
      <w:r w:rsidRPr="00197CB6">
        <w:rPr>
          <w:i/>
        </w:rPr>
        <w:t>P</w:t>
      </w:r>
      <w:r w:rsidRPr="00197CB6">
        <w:t>=0</w:t>
      </w:r>
      <w:r w:rsidR="00D536C3">
        <w:t>.</w:t>
      </w:r>
      <w:r w:rsidRPr="00197CB6">
        <w:t>07), 1.5 (95% CI, 0</w:t>
      </w:r>
      <w:r w:rsidR="00D536C3">
        <w:t>.</w:t>
      </w:r>
      <w:r w:rsidRPr="00197CB6">
        <w:t>92 to 2</w:t>
      </w:r>
      <w:r w:rsidR="00D536C3">
        <w:t>.</w:t>
      </w:r>
      <w:r w:rsidRPr="00197CB6">
        <w:t>.4; 95% PI, 0</w:t>
      </w:r>
      <w:r w:rsidR="00D536C3">
        <w:t>.</w:t>
      </w:r>
      <w:r w:rsidRPr="00197CB6">
        <w:t xml:space="preserve">16 to 14; </w:t>
      </w:r>
      <w:r w:rsidRPr="00197CB6">
        <w:rPr>
          <w:i/>
        </w:rPr>
        <w:t>P</w:t>
      </w:r>
      <w:r w:rsidRPr="00197CB6">
        <w:t>=0</w:t>
      </w:r>
      <w:r w:rsidR="00D536C3">
        <w:t>.</w:t>
      </w:r>
      <w:r w:rsidRPr="00197CB6">
        <w:t>11), and 1</w:t>
      </w:r>
      <w:r w:rsidR="00D536C3">
        <w:t>.</w:t>
      </w:r>
      <w:r w:rsidRPr="00197CB6">
        <w:t>7 (95% CI, 1</w:t>
      </w:r>
      <w:r w:rsidR="00D536C3">
        <w:t>.</w:t>
      </w:r>
      <w:r w:rsidRPr="00197CB6">
        <w:t>1 to 2</w:t>
      </w:r>
      <w:r w:rsidR="00D536C3">
        <w:t>.</w:t>
      </w:r>
      <w:r w:rsidRPr="00197CB6">
        <w:t>6; 95% PI, 0</w:t>
      </w:r>
      <w:r w:rsidR="00D536C3">
        <w:t>.</w:t>
      </w:r>
      <w:r w:rsidRPr="00197CB6">
        <w:t>29 to 9</w:t>
      </w:r>
      <w:r w:rsidR="00D536C3">
        <w:t>.</w:t>
      </w:r>
      <w:r w:rsidRPr="00197CB6">
        <w:t xml:space="preserve">8; </w:t>
      </w:r>
      <w:r w:rsidRPr="00197CB6">
        <w:rPr>
          <w:i/>
        </w:rPr>
        <w:t>P</w:t>
      </w:r>
      <w:r w:rsidRPr="00197CB6">
        <w:t>=0</w:t>
      </w:r>
      <w:r w:rsidR="00D536C3">
        <w:t>.</w:t>
      </w:r>
      <w:r w:rsidRPr="00197CB6">
        <w:t>02), respectively.</w:t>
      </w:r>
    </w:p>
    <w:p w14:paraId="19390806" w14:textId="0E5FE451" w:rsidR="001E73B3" w:rsidRDefault="00BE4370" w:rsidP="00E51FA1">
      <w:pPr>
        <w:contextualSpacing/>
      </w:pPr>
      <w:r w:rsidRPr="00197CB6">
        <w:t xml:space="preserve">Table </w:t>
      </w:r>
      <w:r w:rsidR="0047478F">
        <w:t>3</w:t>
      </w:r>
      <w:r w:rsidRPr="00197CB6">
        <w:t xml:space="preserve"> presents t</w:t>
      </w:r>
      <w:r w:rsidR="00B437A0" w:rsidRPr="00197CB6">
        <w:t xml:space="preserve">he association between the Khorana score and VTE occurrence for various types of cancer </w:t>
      </w:r>
      <w:r w:rsidR="004D10A2" w:rsidRPr="00197CB6">
        <w:t xml:space="preserve">and for </w:t>
      </w:r>
      <w:r w:rsidRPr="00197CB6">
        <w:t>patients with metastatic cancer</w:t>
      </w:r>
      <w:r w:rsidR="00B437A0" w:rsidRPr="00197CB6">
        <w:t xml:space="preserve">. </w:t>
      </w:r>
      <w:r w:rsidR="00533984" w:rsidRPr="00197CB6">
        <w:t>A</w:t>
      </w:r>
      <w:r w:rsidR="001051AB" w:rsidRPr="00197CB6">
        <w:t xml:space="preserve"> </w:t>
      </w:r>
      <w:r w:rsidR="00314D5B" w:rsidRPr="00197CB6">
        <w:t>high-risk</w:t>
      </w:r>
      <w:r w:rsidR="001051AB" w:rsidRPr="00197CB6">
        <w:t xml:space="preserve"> Khorana score was significantly associated with VTE in pancreatic cancer patients (OR 2</w:t>
      </w:r>
      <w:r w:rsidR="00D536C3">
        <w:t>.</w:t>
      </w:r>
      <w:r w:rsidR="001051AB" w:rsidRPr="00197CB6">
        <w:t xml:space="preserve">2; </w:t>
      </w:r>
      <w:r w:rsidR="00BB49EE" w:rsidRPr="00197CB6">
        <w:t xml:space="preserve">95% CI, </w:t>
      </w:r>
      <w:r w:rsidR="001051AB" w:rsidRPr="00197CB6">
        <w:t>1</w:t>
      </w:r>
      <w:r w:rsidR="00D536C3">
        <w:t>.</w:t>
      </w:r>
      <w:r w:rsidR="001051AB" w:rsidRPr="00197CB6">
        <w:t>02 to 4</w:t>
      </w:r>
      <w:r w:rsidR="00D536C3">
        <w:t>.</w:t>
      </w:r>
      <w:r w:rsidR="001051AB" w:rsidRPr="00197CB6">
        <w:t xml:space="preserve">9), but not in </w:t>
      </w:r>
      <w:r w:rsidR="00533984" w:rsidRPr="00197CB6">
        <w:t xml:space="preserve">other </w:t>
      </w:r>
      <w:r w:rsidRPr="00197CB6">
        <w:t xml:space="preserve">individual </w:t>
      </w:r>
      <w:r w:rsidR="00533984" w:rsidRPr="00197CB6">
        <w:t>tumor types</w:t>
      </w:r>
      <w:r w:rsidR="001051AB" w:rsidRPr="00197CB6">
        <w:t>.</w:t>
      </w:r>
      <w:r w:rsidR="00211292" w:rsidRPr="00197CB6">
        <w:t xml:space="preserve"> </w:t>
      </w:r>
      <w:r w:rsidR="00390DB5" w:rsidRPr="00197CB6">
        <w:t>The OR was not homogenous across the various types of cancer (</w:t>
      </w:r>
      <w:proofErr w:type="spellStart"/>
      <w:r w:rsidR="00390DB5" w:rsidRPr="00197CB6">
        <w:t>Tarone</w:t>
      </w:r>
      <w:proofErr w:type="spellEnd"/>
      <w:r w:rsidR="00390DB5" w:rsidRPr="00197CB6">
        <w:t xml:space="preserve"> test </w:t>
      </w:r>
      <w:r w:rsidR="00390DB5" w:rsidRPr="00197CB6">
        <w:rPr>
          <w:i/>
        </w:rPr>
        <w:t>P</w:t>
      </w:r>
      <w:r w:rsidR="00390DB5" w:rsidRPr="00197CB6">
        <w:t>=0</w:t>
      </w:r>
      <w:r w:rsidR="00D536C3">
        <w:t>.</w:t>
      </w:r>
      <w:r w:rsidR="00390DB5" w:rsidRPr="00197CB6">
        <w:t>013)</w:t>
      </w:r>
      <w:r w:rsidR="00E33B35" w:rsidRPr="00197CB6">
        <w:t xml:space="preserve"> and there was evidence of a significantly different performance of the Khorana score in lung cancer (OR 1</w:t>
      </w:r>
      <w:r w:rsidR="00D536C3">
        <w:t>.</w:t>
      </w:r>
      <w:r w:rsidR="00E33B35" w:rsidRPr="00197CB6">
        <w:t>1; 95% CI, 0</w:t>
      </w:r>
      <w:r w:rsidR="00D536C3">
        <w:t>.</w:t>
      </w:r>
      <w:r w:rsidR="00E33B35" w:rsidRPr="00197CB6">
        <w:t>72 to 1</w:t>
      </w:r>
      <w:r w:rsidR="00D536C3">
        <w:t>.</w:t>
      </w:r>
      <w:r w:rsidR="00E33B35" w:rsidRPr="00197CB6">
        <w:t>7</w:t>
      </w:r>
      <w:r w:rsidR="0074006D" w:rsidRPr="00197CB6">
        <w:t>; 95% PI, 0</w:t>
      </w:r>
      <w:r w:rsidR="00D536C3">
        <w:t>.</w:t>
      </w:r>
      <w:r w:rsidR="0074006D" w:rsidRPr="00197CB6">
        <w:t>61 to 2</w:t>
      </w:r>
      <w:r w:rsidR="00D536C3">
        <w:t>.</w:t>
      </w:r>
      <w:r w:rsidR="0074006D" w:rsidRPr="00197CB6">
        <w:t>0</w:t>
      </w:r>
      <w:r w:rsidR="00E33B35" w:rsidRPr="00197CB6">
        <w:t xml:space="preserve">) </w:t>
      </w:r>
      <w:r w:rsidR="00FC5BF5" w:rsidRPr="00197CB6">
        <w:t>compared to</w:t>
      </w:r>
      <w:r w:rsidR="00E33B35" w:rsidRPr="00197CB6">
        <w:t xml:space="preserve"> other types of cancer (OR </w:t>
      </w:r>
      <w:r w:rsidR="000C1CD6" w:rsidRPr="00197CB6">
        <w:t>3</w:t>
      </w:r>
      <w:r w:rsidR="00D536C3">
        <w:t>.</w:t>
      </w:r>
      <w:r w:rsidR="000C1CD6" w:rsidRPr="00197CB6">
        <w:t>2</w:t>
      </w:r>
      <w:r w:rsidR="00E33B35" w:rsidRPr="00197CB6">
        <w:t xml:space="preserve">; 95% CI, </w:t>
      </w:r>
      <w:r w:rsidR="000C1CD6" w:rsidRPr="00197CB6">
        <w:t>1</w:t>
      </w:r>
      <w:r w:rsidR="00D536C3">
        <w:t>.</w:t>
      </w:r>
      <w:r w:rsidR="000C1CD6" w:rsidRPr="00197CB6">
        <w:t>8</w:t>
      </w:r>
      <w:r w:rsidR="00E33B35" w:rsidRPr="00197CB6">
        <w:t xml:space="preserve"> to </w:t>
      </w:r>
      <w:r w:rsidR="000C1CD6" w:rsidRPr="00197CB6">
        <w:t>5</w:t>
      </w:r>
      <w:r w:rsidR="00D536C3">
        <w:t>.</w:t>
      </w:r>
      <w:r w:rsidR="000C1CD6" w:rsidRPr="00197CB6">
        <w:t>6</w:t>
      </w:r>
      <w:r w:rsidR="00E33B35" w:rsidRPr="00197CB6">
        <w:t xml:space="preserve">; </w:t>
      </w:r>
      <w:r w:rsidR="000C1CD6" w:rsidRPr="00197CB6">
        <w:t>95% PI, 0</w:t>
      </w:r>
      <w:r w:rsidR="00D536C3">
        <w:t>.</w:t>
      </w:r>
      <w:r w:rsidR="000C1CD6" w:rsidRPr="00197CB6">
        <w:t xml:space="preserve">36 to 28; </w:t>
      </w:r>
      <w:proofErr w:type="spellStart"/>
      <w:r w:rsidR="00E33B35" w:rsidRPr="00197CB6">
        <w:rPr>
          <w:i/>
        </w:rPr>
        <w:t>P</w:t>
      </w:r>
      <w:r w:rsidR="00E33B35" w:rsidRPr="00197CB6">
        <w:rPr>
          <w:i/>
          <w:vertAlign w:val="subscript"/>
        </w:rPr>
        <w:t>interaction</w:t>
      </w:r>
      <w:proofErr w:type="spellEnd"/>
      <w:r w:rsidR="00E33B35" w:rsidRPr="00197CB6">
        <w:t>=0</w:t>
      </w:r>
      <w:r w:rsidR="00D536C3">
        <w:t>.</w:t>
      </w:r>
      <w:r w:rsidR="00E33B35" w:rsidRPr="00197CB6">
        <w:t>002)</w:t>
      </w:r>
      <w:r w:rsidR="00390DB5" w:rsidRPr="00197CB6">
        <w:t>.</w:t>
      </w:r>
      <w:r w:rsidR="004772EE" w:rsidRPr="00197CB6">
        <w:t xml:space="preserve"> Table </w:t>
      </w:r>
      <w:r w:rsidR="0047478F">
        <w:t>4</w:t>
      </w:r>
      <w:r w:rsidR="004772EE" w:rsidRPr="00197CB6">
        <w:t>A shows the summary of findings</w:t>
      </w:r>
      <w:r w:rsidR="004772EE">
        <w:t xml:space="preserve"> regarding the </w:t>
      </w:r>
      <w:r w:rsidR="004772EE">
        <w:lastRenderedPageBreak/>
        <w:t>prognostic performance of the Khorana score overall, in lung cancer patients, and in those with other types of cancer than lung cancer.</w:t>
      </w:r>
    </w:p>
    <w:p w14:paraId="51AEE428" w14:textId="77777777" w:rsidR="002B3F07" w:rsidRPr="004772EE" w:rsidRDefault="002B3F07" w:rsidP="00E51FA1">
      <w:pPr>
        <w:contextualSpacing/>
      </w:pPr>
    </w:p>
    <w:p w14:paraId="3BF5863A" w14:textId="20143D3C" w:rsidR="00BE4370" w:rsidRDefault="00211292" w:rsidP="00E51FA1">
      <w:pPr>
        <w:contextualSpacing/>
      </w:pPr>
      <w:r>
        <w:t>When applying the exploratory positivity threshold of 2 points, the overall incidence of VTE was 7</w:t>
      </w:r>
      <w:r w:rsidR="00D536C3">
        <w:t>.</w:t>
      </w:r>
      <w:r>
        <w:t>9% (95% CI, 5</w:t>
      </w:r>
      <w:r w:rsidR="00D536C3">
        <w:t>.</w:t>
      </w:r>
      <w:r>
        <w:t xml:space="preserve">1 to 12) in </w:t>
      </w:r>
      <w:r w:rsidR="00314D5B">
        <w:t>high-risk</w:t>
      </w:r>
      <w:r w:rsidR="00BA3481">
        <w:t xml:space="preserve"> Khorana score</w:t>
      </w:r>
      <w:r>
        <w:t xml:space="preserve"> patients and 6</w:t>
      </w:r>
      <w:r w:rsidR="00D536C3">
        <w:t>.</w:t>
      </w:r>
      <w:r>
        <w:t>7% (95% CI, 4</w:t>
      </w:r>
      <w:r w:rsidR="00D536C3">
        <w:t>.</w:t>
      </w:r>
      <w:r>
        <w:t xml:space="preserve">2 to 11) in </w:t>
      </w:r>
      <w:r w:rsidR="00314D5B">
        <w:t>low-risk</w:t>
      </w:r>
      <w:r>
        <w:t xml:space="preserve"> </w:t>
      </w:r>
      <w:r w:rsidR="00BA3481" w:rsidRPr="00197CB6">
        <w:t xml:space="preserve">Khorana score </w:t>
      </w:r>
      <w:r w:rsidRPr="00197CB6">
        <w:t>patients, corresponding to an OR of 1</w:t>
      </w:r>
      <w:r w:rsidR="00D536C3">
        <w:t>.</w:t>
      </w:r>
      <w:r w:rsidRPr="00197CB6">
        <w:t>2 (95% CI, 0</w:t>
      </w:r>
      <w:r w:rsidR="00D536C3">
        <w:t>.</w:t>
      </w:r>
      <w:r w:rsidRPr="00197CB6">
        <w:t>85 to 1</w:t>
      </w:r>
      <w:r w:rsidR="00D536C3">
        <w:t>.</w:t>
      </w:r>
      <w:r w:rsidRPr="00197CB6">
        <w:t>7;</w:t>
      </w:r>
      <w:r w:rsidR="00671A94" w:rsidRPr="00197CB6">
        <w:t xml:space="preserve"> 95% PI, 0</w:t>
      </w:r>
      <w:r w:rsidR="00D536C3">
        <w:t>.</w:t>
      </w:r>
      <w:r w:rsidR="00671A94" w:rsidRPr="00197CB6">
        <w:t>21 to 6</w:t>
      </w:r>
      <w:r w:rsidR="00D536C3">
        <w:t>.</w:t>
      </w:r>
      <w:r w:rsidR="00671A94" w:rsidRPr="00197CB6">
        <w:t>9;</w:t>
      </w:r>
      <w:r w:rsidRPr="00197CB6">
        <w:t xml:space="preserve"> </w:t>
      </w:r>
      <w:r w:rsidRPr="00197CB6">
        <w:rPr>
          <w:i/>
        </w:rPr>
        <w:t>P</w:t>
      </w:r>
      <w:r w:rsidRPr="00197CB6">
        <w:t>=0</w:t>
      </w:r>
      <w:r w:rsidR="00D536C3">
        <w:t>.</w:t>
      </w:r>
      <w:r w:rsidRPr="00197CB6">
        <w:t>31).</w:t>
      </w:r>
      <w:r w:rsidR="00BA3481" w:rsidRPr="00197CB6">
        <w:t xml:space="preserve"> </w:t>
      </w:r>
    </w:p>
    <w:p w14:paraId="1AEA7BB4" w14:textId="77777777" w:rsidR="002B3F07" w:rsidRPr="00197CB6" w:rsidRDefault="002B3F07" w:rsidP="00E51FA1">
      <w:pPr>
        <w:contextualSpacing/>
      </w:pPr>
    </w:p>
    <w:p w14:paraId="552B33D0" w14:textId="5E72BDBB" w:rsidR="004452D2" w:rsidRPr="003335D7" w:rsidRDefault="00BE4370" w:rsidP="00E51FA1">
      <w:pPr>
        <w:contextualSpacing/>
      </w:pPr>
      <w:bookmarkStart w:id="22" w:name="OLE_LINK11"/>
      <w:bookmarkStart w:id="23" w:name="OLE_LINK12"/>
      <w:r w:rsidRPr="00197CB6">
        <w:t xml:space="preserve">Supplementary Table </w:t>
      </w:r>
      <w:r w:rsidR="00E75042" w:rsidRPr="00197CB6">
        <w:t>2</w:t>
      </w:r>
      <w:r w:rsidRPr="00197CB6">
        <w:t xml:space="preserve"> presents r</w:t>
      </w:r>
      <w:r w:rsidR="00E35A1C" w:rsidRPr="00197CB6">
        <w:t xml:space="preserve">esults of the </w:t>
      </w:r>
      <w:r w:rsidR="004452D2" w:rsidRPr="00197CB6">
        <w:t>multivariable analysis</w:t>
      </w:r>
      <w:r w:rsidRPr="00197CB6">
        <w:t xml:space="preserve"> of </w:t>
      </w:r>
      <w:bookmarkStart w:id="24" w:name="OLE_LINK18"/>
      <w:bookmarkStart w:id="25" w:name="OLE_LINK19"/>
      <w:r w:rsidRPr="00197CB6">
        <w:t xml:space="preserve">the </w:t>
      </w:r>
      <w:bookmarkStart w:id="26" w:name="OLE_LINK15"/>
      <w:bookmarkStart w:id="27" w:name="OLE_LINK16"/>
      <w:bookmarkStart w:id="28" w:name="OLE_LINK17"/>
      <w:r w:rsidRPr="00197CB6">
        <w:t xml:space="preserve">Khorana score </w:t>
      </w:r>
      <w:bookmarkEnd w:id="24"/>
      <w:bookmarkEnd w:id="25"/>
      <w:bookmarkEnd w:id="26"/>
      <w:bookmarkEnd w:id="27"/>
      <w:bookmarkEnd w:id="28"/>
      <w:r w:rsidRPr="00197CB6">
        <w:t>items</w:t>
      </w:r>
      <w:r w:rsidR="00E35A1C" w:rsidRPr="00197CB6">
        <w:t xml:space="preserve">. Only </w:t>
      </w:r>
      <w:r w:rsidR="00314D5B" w:rsidRPr="00197CB6">
        <w:t>high-risk</w:t>
      </w:r>
      <w:r w:rsidR="00E35A1C" w:rsidRPr="00197CB6">
        <w:t xml:space="preserve"> tumor type (OR 1</w:t>
      </w:r>
      <w:r w:rsidR="00D536C3">
        <w:t>.</w:t>
      </w:r>
      <w:r w:rsidR="00E35A1C" w:rsidRPr="00197CB6">
        <w:t>8; 95</w:t>
      </w:r>
      <w:r w:rsidR="00E35A1C">
        <w:t>% CI, 1</w:t>
      </w:r>
      <w:r w:rsidR="00D536C3">
        <w:t>.</w:t>
      </w:r>
      <w:r w:rsidR="00E35A1C">
        <w:t>05 to 3</w:t>
      </w:r>
      <w:r w:rsidR="00D536C3">
        <w:t>.</w:t>
      </w:r>
      <w:r w:rsidR="00E35A1C">
        <w:t xml:space="preserve">1) and very </w:t>
      </w:r>
      <w:bookmarkStart w:id="29" w:name="OLE_LINK20"/>
      <w:bookmarkStart w:id="30" w:name="OLE_LINK21"/>
      <w:r w:rsidR="00314D5B">
        <w:t>high-</w:t>
      </w:r>
      <w:bookmarkStart w:id="31" w:name="OLE_LINK22"/>
      <w:bookmarkStart w:id="32" w:name="OLE_LINK23"/>
      <w:r w:rsidR="00314D5B">
        <w:t>risk</w:t>
      </w:r>
      <w:r w:rsidR="00E35A1C">
        <w:t xml:space="preserve"> </w:t>
      </w:r>
      <w:r w:rsidR="0061421E">
        <w:t xml:space="preserve">tumor type </w:t>
      </w:r>
      <w:bookmarkEnd w:id="29"/>
      <w:bookmarkEnd w:id="30"/>
      <w:bookmarkEnd w:id="31"/>
      <w:bookmarkEnd w:id="32"/>
      <w:r w:rsidR="00E35A1C">
        <w:t>(OR 2</w:t>
      </w:r>
      <w:r w:rsidR="00D536C3">
        <w:t>.</w:t>
      </w:r>
      <w:r w:rsidR="00E35A1C">
        <w:t>4; 95% CI, 1</w:t>
      </w:r>
      <w:r w:rsidR="00D536C3">
        <w:t>.</w:t>
      </w:r>
      <w:r w:rsidR="00E35A1C">
        <w:t>4 to 4</w:t>
      </w:r>
      <w:r w:rsidR="00D536C3">
        <w:t>.</w:t>
      </w:r>
      <w:r w:rsidR="00E35A1C">
        <w:t xml:space="preserve">4) were significantly associated with VTE. </w:t>
      </w:r>
      <w:r w:rsidR="003335D7">
        <w:t xml:space="preserve">Interaction terms between </w:t>
      </w:r>
      <w:r w:rsidR="00DF2CC8">
        <w:t xml:space="preserve">tumor risk category and </w:t>
      </w:r>
      <w:r w:rsidR="003335D7">
        <w:t>the</w:t>
      </w:r>
      <w:r w:rsidR="00DF2CC8">
        <w:t xml:space="preserve"> other</w:t>
      </w:r>
      <w:r w:rsidR="003335D7">
        <w:t xml:space="preserve"> score items were not statistically significant, except for the interaction between very high-risk tumor type and body mass index over 35 kg/m</w:t>
      </w:r>
      <w:r w:rsidR="003335D7" w:rsidRPr="003335D7">
        <w:rPr>
          <w:vertAlign w:val="superscript"/>
        </w:rPr>
        <w:t>2</w:t>
      </w:r>
      <w:r w:rsidR="003335D7">
        <w:t xml:space="preserve"> (OR 6</w:t>
      </w:r>
      <w:r w:rsidR="00D536C3">
        <w:t>.</w:t>
      </w:r>
      <w:r w:rsidR="003335D7">
        <w:t>6;</w:t>
      </w:r>
      <w:r w:rsidR="00DF2CC8">
        <w:t xml:space="preserve"> 95% CI, </w:t>
      </w:r>
      <w:r w:rsidR="00C54DDB">
        <w:t>1</w:t>
      </w:r>
      <w:r w:rsidR="00D536C3">
        <w:t>.</w:t>
      </w:r>
      <w:r w:rsidR="00C54DDB">
        <w:t>2</w:t>
      </w:r>
      <w:r w:rsidR="00DF2CC8">
        <w:t xml:space="preserve"> to </w:t>
      </w:r>
      <w:r w:rsidR="005939B6">
        <w:t>36</w:t>
      </w:r>
      <w:r w:rsidR="00DF2CC8">
        <w:t>;</w:t>
      </w:r>
      <w:r w:rsidR="003335D7">
        <w:t xml:space="preserve"> </w:t>
      </w:r>
      <w:proofErr w:type="spellStart"/>
      <w:r w:rsidR="00913A8A">
        <w:rPr>
          <w:i/>
        </w:rPr>
        <w:t>P</w:t>
      </w:r>
      <w:r w:rsidR="00913A8A" w:rsidRPr="00FD2CCB">
        <w:rPr>
          <w:i/>
          <w:vertAlign w:val="subscript"/>
        </w:rPr>
        <w:t>interactio</w:t>
      </w:r>
      <w:r w:rsidR="00913A8A">
        <w:rPr>
          <w:i/>
          <w:vertAlign w:val="subscript"/>
        </w:rPr>
        <w:t>n</w:t>
      </w:r>
      <w:proofErr w:type="spellEnd"/>
      <w:r w:rsidR="003335D7">
        <w:t>=0</w:t>
      </w:r>
      <w:r w:rsidR="00D536C3">
        <w:t>.</w:t>
      </w:r>
      <w:r w:rsidR="003335D7">
        <w:t>02</w:t>
      </w:r>
      <w:r w:rsidR="00D56266">
        <w:t>9</w:t>
      </w:r>
      <w:r w:rsidR="003335D7">
        <w:t>).</w:t>
      </w:r>
    </w:p>
    <w:bookmarkEnd w:id="22"/>
    <w:bookmarkEnd w:id="23"/>
    <w:p w14:paraId="756F9D1C" w14:textId="77777777" w:rsidR="00C8167C" w:rsidRDefault="00C8167C" w:rsidP="00C26664"/>
    <w:p w14:paraId="55EB2040" w14:textId="77777777" w:rsidR="00086015" w:rsidRPr="00086015" w:rsidRDefault="00086015" w:rsidP="00C26664">
      <w:pPr>
        <w:rPr>
          <w:i/>
        </w:rPr>
      </w:pPr>
      <w:r>
        <w:rPr>
          <w:i/>
        </w:rPr>
        <w:t xml:space="preserve">Efficacy and safety of </w:t>
      </w:r>
      <w:r w:rsidR="005775AE">
        <w:rPr>
          <w:i/>
        </w:rPr>
        <w:t>low-molecular-weight heparin</w:t>
      </w:r>
      <w:r w:rsidR="00B338EB">
        <w:rPr>
          <w:i/>
        </w:rPr>
        <w:t xml:space="preserve"> in patients with high risk Khorana score</w:t>
      </w:r>
    </w:p>
    <w:p w14:paraId="38411270" w14:textId="7C069DD3" w:rsidR="001051AB" w:rsidRDefault="00CA035B" w:rsidP="0028401D">
      <w:pPr>
        <w:contextualSpacing/>
      </w:pPr>
      <w:r>
        <w:t>Among the</w:t>
      </w:r>
      <w:r w:rsidR="00580E2B">
        <w:t xml:space="preserve"> 1</w:t>
      </w:r>
      <w:r w:rsidR="00671A94">
        <w:t>,514</w:t>
      </w:r>
      <w:r w:rsidR="00580E2B">
        <w:t xml:space="preserve"> patients classified as </w:t>
      </w:r>
      <w:r w:rsidR="00314D5B">
        <w:t>high-risk</w:t>
      </w:r>
      <w:r w:rsidR="00580E2B">
        <w:t xml:space="preserve"> by the Khorana score</w:t>
      </w:r>
      <w:r w:rsidR="00671A94">
        <w:t xml:space="preserve"> (≥3 points)</w:t>
      </w:r>
      <w:r>
        <w:t xml:space="preserve">, </w:t>
      </w:r>
      <w:r w:rsidR="00580E2B">
        <w:t>the 6-month VTE risk was 3</w:t>
      </w:r>
      <w:r w:rsidR="00D536C3">
        <w:t>.</w:t>
      </w:r>
      <w:r w:rsidR="00580E2B">
        <w:t>7% (95% CI, 2</w:t>
      </w:r>
      <w:r w:rsidR="00D536C3">
        <w:t>.</w:t>
      </w:r>
      <w:r w:rsidR="00F94A42">
        <w:t>1 to 6</w:t>
      </w:r>
      <w:r w:rsidR="00D536C3">
        <w:t>.</w:t>
      </w:r>
      <w:r w:rsidR="00F94A42">
        <w:t>4</w:t>
      </w:r>
      <w:r w:rsidR="00580E2B">
        <w:t>) among LMWH recipients and 9</w:t>
      </w:r>
      <w:r w:rsidR="00D536C3">
        <w:t>.</w:t>
      </w:r>
      <w:r w:rsidR="00580E2B">
        <w:t>8%</w:t>
      </w:r>
      <w:r w:rsidR="00F94A42">
        <w:t xml:space="preserve"> (95% CI, 6</w:t>
      </w:r>
      <w:r w:rsidR="00D536C3">
        <w:t>.</w:t>
      </w:r>
      <w:r w:rsidR="00F94A42">
        <w:t>3 to 15)</w:t>
      </w:r>
      <w:r w:rsidR="00580E2B">
        <w:t xml:space="preserve"> among those not receiving LMWH</w:t>
      </w:r>
      <w:r w:rsidR="00F94A42">
        <w:t>, corresponding to an OR of 0</w:t>
      </w:r>
      <w:r w:rsidR="00D536C3">
        <w:t>.</w:t>
      </w:r>
      <w:r w:rsidR="00F94A42">
        <w:t>36</w:t>
      </w:r>
      <w:r w:rsidR="00580E2B">
        <w:t xml:space="preserve"> (95% CI, 0</w:t>
      </w:r>
      <w:r w:rsidR="00D536C3">
        <w:t>.</w:t>
      </w:r>
      <w:r w:rsidR="00580E2B">
        <w:t>2</w:t>
      </w:r>
      <w:r w:rsidR="00F94A42">
        <w:t>2</w:t>
      </w:r>
      <w:r w:rsidR="00580E2B">
        <w:t xml:space="preserve"> to 0</w:t>
      </w:r>
      <w:r w:rsidR="00D536C3">
        <w:t>.</w:t>
      </w:r>
      <w:r w:rsidR="00F94A42">
        <w:t>58</w:t>
      </w:r>
      <w:r w:rsidR="00580E2B">
        <w:t xml:space="preserve">; </w:t>
      </w:r>
      <w:r w:rsidR="00261F6D">
        <w:t>95% PI, 0</w:t>
      </w:r>
      <w:r w:rsidR="00D536C3">
        <w:t>.</w:t>
      </w:r>
      <w:r w:rsidR="00261F6D">
        <w:t>07 to 1</w:t>
      </w:r>
      <w:r w:rsidR="00D536C3">
        <w:t>.</w:t>
      </w:r>
      <w:r w:rsidR="00261F6D">
        <w:t xml:space="preserve">9; </w:t>
      </w:r>
      <w:r w:rsidR="00580E2B">
        <w:rPr>
          <w:i/>
        </w:rPr>
        <w:t>P</w:t>
      </w:r>
      <w:r w:rsidR="00580E2B">
        <w:t>&lt;0</w:t>
      </w:r>
      <w:r w:rsidR="00D536C3">
        <w:t>.</w:t>
      </w:r>
      <w:r w:rsidR="00580E2B">
        <w:t>001</w:t>
      </w:r>
      <w:r w:rsidR="008E50B0">
        <w:t>; Supplementary Table 3A</w:t>
      </w:r>
      <w:r w:rsidR="00580E2B">
        <w:t>)</w:t>
      </w:r>
      <w:r w:rsidR="007502B6">
        <w:t xml:space="preserve">. </w:t>
      </w:r>
      <w:r w:rsidR="00FC5BF5">
        <w:t>The treatment effect of</w:t>
      </w:r>
      <w:r w:rsidR="00363471">
        <w:t xml:space="preserve"> LMWH </w:t>
      </w:r>
      <w:r w:rsidR="00FC5BF5">
        <w:t>was not</w:t>
      </w:r>
      <w:r w:rsidR="00FD2CCB">
        <w:t xml:space="preserve"> significantly </w:t>
      </w:r>
      <w:r w:rsidR="00FC5BF5">
        <w:t xml:space="preserve">modified by the </w:t>
      </w:r>
      <w:r w:rsidR="00FD2CCB">
        <w:t>dichotomous Khorana score</w:t>
      </w:r>
      <w:r w:rsidR="007502B6">
        <w:t xml:space="preserve"> (</w:t>
      </w:r>
      <w:proofErr w:type="spellStart"/>
      <w:r w:rsidR="007502B6">
        <w:rPr>
          <w:i/>
        </w:rPr>
        <w:t>P</w:t>
      </w:r>
      <w:r w:rsidR="00FD2CCB" w:rsidRPr="00FD2CCB">
        <w:rPr>
          <w:i/>
          <w:vertAlign w:val="subscript"/>
        </w:rPr>
        <w:t>interactio</w:t>
      </w:r>
      <w:r w:rsidR="00FD2CCB">
        <w:rPr>
          <w:i/>
          <w:vertAlign w:val="subscript"/>
        </w:rPr>
        <w:t>n</w:t>
      </w:r>
      <w:proofErr w:type="spellEnd"/>
      <w:r w:rsidR="007502B6">
        <w:t>=0</w:t>
      </w:r>
      <w:r w:rsidR="00D536C3">
        <w:t>.</w:t>
      </w:r>
      <w:r w:rsidR="007502B6">
        <w:t xml:space="preserve">16). </w:t>
      </w:r>
      <w:r w:rsidR="00B43690">
        <w:t xml:space="preserve">In patients with a high-risk Khorana score, </w:t>
      </w:r>
      <w:r w:rsidR="00ED6E18">
        <w:t>LMWH was not associated with a significantly increased risk of major bleeding (OR, 1</w:t>
      </w:r>
      <w:r w:rsidR="00D536C3">
        <w:t>.</w:t>
      </w:r>
      <w:r w:rsidR="00BB1873">
        <w:t>1</w:t>
      </w:r>
      <w:r w:rsidR="00ED6E18">
        <w:t>; 95% CI, 0</w:t>
      </w:r>
      <w:r w:rsidR="00D536C3">
        <w:t>.</w:t>
      </w:r>
      <w:r w:rsidR="00ED6E18">
        <w:t>5</w:t>
      </w:r>
      <w:r w:rsidR="00BB1873">
        <w:t>9</w:t>
      </w:r>
      <w:r w:rsidR="00ED6E18">
        <w:t xml:space="preserve"> to 2</w:t>
      </w:r>
      <w:r w:rsidR="00D536C3">
        <w:t>.</w:t>
      </w:r>
      <w:r w:rsidR="00BB1873">
        <w:t>1</w:t>
      </w:r>
      <w:r w:rsidR="00ED6E18">
        <w:t>;</w:t>
      </w:r>
      <w:r w:rsidR="00261F6D">
        <w:t xml:space="preserve"> 95% PI, 0</w:t>
      </w:r>
      <w:r w:rsidR="00D536C3">
        <w:t>.</w:t>
      </w:r>
      <w:r w:rsidR="00261F6D">
        <w:t>07 to 16;</w:t>
      </w:r>
      <w:r w:rsidR="00ED6E18">
        <w:t xml:space="preserve"> </w:t>
      </w:r>
      <w:r w:rsidR="00ED6E18">
        <w:rPr>
          <w:i/>
        </w:rPr>
        <w:t>P</w:t>
      </w:r>
      <w:r w:rsidR="00ED6E18">
        <w:t>=0</w:t>
      </w:r>
      <w:r w:rsidR="00D536C3">
        <w:t>.</w:t>
      </w:r>
      <w:r w:rsidR="00BB1873">
        <w:t>77</w:t>
      </w:r>
      <w:r w:rsidR="005010E8">
        <w:t>; Supplementary Table 3B</w:t>
      </w:r>
      <w:r w:rsidR="00ED6E18">
        <w:t>)</w:t>
      </w:r>
      <w:r w:rsidR="001A6A97">
        <w:t xml:space="preserve"> nor</w:t>
      </w:r>
      <w:r w:rsidR="00B43690">
        <w:t xml:space="preserve"> with a significantly</w:t>
      </w:r>
      <w:r w:rsidR="00F40294">
        <w:t xml:space="preserve"> different </w:t>
      </w:r>
      <w:r w:rsidR="00B43690">
        <w:t>mortality (OR, 0.8</w:t>
      </w:r>
      <w:r w:rsidR="00393ADB">
        <w:t>2; 95% CI,</w:t>
      </w:r>
      <w:r w:rsidR="00955A47">
        <w:t xml:space="preserve"> 0.66 to 1.01; PI,</w:t>
      </w:r>
      <w:r w:rsidR="00B9700F">
        <w:t xml:space="preserve"> 0.20 to 3.3; </w:t>
      </w:r>
      <w:r w:rsidR="00B9700F">
        <w:rPr>
          <w:i/>
          <w:iCs/>
        </w:rPr>
        <w:t>P</w:t>
      </w:r>
      <w:r w:rsidR="00B9700F">
        <w:t>=</w:t>
      </w:r>
      <w:r w:rsidR="002177AB">
        <w:t>0.06</w:t>
      </w:r>
      <w:r w:rsidR="005010E8">
        <w:t>; Supplementary Table 3C</w:t>
      </w:r>
      <w:r w:rsidR="002177AB">
        <w:t>)</w:t>
      </w:r>
      <w:r w:rsidR="00ED6E18">
        <w:t>.</w:t>
      </w:r>
      <w:r w:rsidR="005D0034">
        <w:t xml:space="preserve"> </w:t>
      </w:r>
      <w:r w:rsidR="0047478F" w:rsidRPr="00197CB6">
        <w:t xml:space="preserve">Table </w:t>
      </w:r>
      <w:r w:rsidR="0047478F">
        <w:t>4B</w:t>
      </w:r>
      <w:r w:rsidR="0047478F" w:rsidRPr="00197CB6">
        <w:t xml:space="preserve"> shows the summary of findings</w:t>
      </w:r>
      <w:r w:rsidR="0047478F">
        <w:t xml:space="preserve"> regarding the efficacy and safety of LMWH in high-risk patients. </w:t>
      </w:r>
      <w:r w:rsidR="00D40D1D">
        <w:t xml:space="preserve">In the sensitivity analysis applying the exploratory positivity threshold of 2 points, </w:t>
      </w:r>
      <w:r w:rsidR="005364A0">
        <w:t xml:space="preserve">LMWH was associated with a 53% </w:t>
      </w:r>
      <w:r w:rsidR="00822674">
        <w:t xml:space="preserve">reduction in the risk of VTE </w:t>
      </w:r>
      <w:r w:rsidR="004F0678">
        <w:t>(OR, 0.47; 95% CI, 0.34 to 0.65</w:t>
      </w:r>
      <w:r w:rsidR="001174C2">
        <w:t xml:space="preserve">; </w:t>
      </w:r>
      <w:r w:rsidR="001174C2">
        <w:rPr>
          <w:i/>
          <w:iCs/>
        </w:rPr>
        <w:t>P</w:t>
      </w:r>
      <w:r w:rsidR="001174C2">
        <w:t>&lt;0.001</w:t>
      </w:r>
      <w:r w:rsidR="004F0678">
        <w:t xml:space="preserve">) </w:t>
      </w:r>
      <w:r w:rsidR="006A58BB">
        <w:t>and a similar risk of major bleeding (OR, 1.04; 95% CI, 0.68 to 1.6</w:t>
      </w:r>
      <w:r w:rsidR="009162CE">
        <w:t xml:space="preserve">; </w:t>
      </w:r>
      <w:r w:rsidR="009162CE">
        <w:rPr>
          <w:i/>
          <w:iCs/>
        </w:rPr>
        <w:t>P</w:t>
      </w:r>
      <w:r w:rsidR="009162CE">
        <w:t>=0.85</w:t>
      </w:r>
      <w:r w:rsidR="006A58BB">
        <w:t xml:space="preserve">) </w:t>
      </w:r>
      <w:r w:rsidR="00822674">
        <w:t>compared to observation or placebo</w:t>
      </w:r>
      <w:r w:rsidR="00A12D18">
        <w:t>.</w:t>
      </w:r>
      <w:r w:rsidR="00822674">
        <w:t xml:space="preserve"> </w:t>
      </w:r>
    </w:p>
    <w:p w14:paraId="44BB4A34" w14:textId="77777777" w:rsidR="003F4EFA" w:rsidRDefault="003F4EFA" w:rsidP="0028401D"/>
    <w:p w14:paraId="336D2EB3" w14:textId="306C413B" w:rsidR="005D0034" w:rsidRPr="005D0034" w:rsidRDefault="005D0034" w:rsidP="00E51FA1">
      <w:pPr>
        <w:contextualSpacing/>
      </w:pPr>
      <w:r>
        <w:t xml:space="preserve">In the </w:t>
      </w:r>
      <w:r w:rsidR="00FD2CCB">
        <w:t xml:space="preserve">619 </w:t>
      </w:r>
      <w:r w:rsidRPr="00197CB6">
        <w:t>patients with types o</w:t>
      </w:r>
      <w:r w:rsidR="00FD2CCB" w:rsidRPr="00197CB6">
        <w:t xml:space="preserve">f cancer other than lung cancer, </w:t>
      </w:r>
      <w:r w:rsidRPr="00197CB6">
        <w:t>a high-risk Khorana score</w:t>
      </w:r>
      <w:r w:rsidR="00FD2CCB" w:rsidRPr="00197CB6">
        <w:t xml:space="preserve"> corresponded to a </w:t>
      </w:r>
      <w:r w:rsidRPr="00197CB6">
        <w:t xml:space="preserve">6-month VTE incidence </w:t>
      </w:r>
      <w:r w:rsidR="00FD2CCB" w:rsidRPr="00197CB6">
        <w:t>of</w:t>
      </w:r>
      <w:r w:rsidRPr="00197CB6">
        <w:t xml:space="preserve"> 3</w:t>
      </w:r>
      <w:r w:rsidR="00D536C3">
        <w:t>.</w:t>
      </w:r>
      <w:r w:rsidRPr="00197CB6">
        <w:t>3% (95% CI, 1</w:t>
      </w:r>
      <w:r w:rsidR="00D536C3">
        <w:t>.</w:t>
      </w:r>
      <w:r w:rsidRPr="00197CB6">
        <w:t>4 to 7</w:t>
      </w:r>
      <w:r w:rsidR="00D536C3">
        <w:t>.</w:t>
      </w:r>
      <w:r w:rsidRPr="00197CB6">
        <w:t>7) among LMWH recipients and 13% (95% CI, 6</w:t>
      </w:r>
      <w:r w:rsidR="00D536C3">
        <w:t>.</w:t>
      </w:r>
      <w:r w:rsidRPr="00197CB6">
        <w:t xml:space="preserve">8 to 24) </w:t>
      </w:r>
      <w:r w:rsidR="00FD2CCB" w:rsidRPr="00197CB6">
        <w:t>among those not receiving LMWH (OR, 0</w:t>
      </w:r>
      <w:r w:rsidR="00D536C3">
        <w:t>.</w:t>
      </w:r>
      <w:r w:rsidR="00FD2CCB" w:rsidRPr="00197CB6">
        <w:t xml:space="preserve">23; </w:t>
      </w:r>
      <w:r w:rsidRPr="00197CB6">
        <w:t>95% CI, 0</w:t>
      </w:r>
      <w:r w:rsidR="00D536C3">
        <w:t>.</w:t>
      </w:r>
      <w:r w:rsidRPr="00197CB6">
        <w:t>11 to 0</w:t>
      </w:r>
      <w:r w:rsidR="00D536C3">
        <w:t>.</w:t>
      </w:r>
      <w:r w:rsidRPr="00197CB6">
        <w:t xml:space="preserve">46; </w:t>
      </w:r>
      <w:r w:rsidR="00261F6D" w:rsidRPr="00197CB6">
        <w:t>95% PI, 0</w:t>
      </w:r>
      <w:r w:rsidR="00D536C3">
        <w:t>.</w:t>
      </w:r>
      <w:r w:rsidR="00261F6D" w:rsidRPr="00197CB6">
        <w:t>02 to 2</w:t>
      </w:r>
      <w:r w:rsidR="00D536C3">
        <w:t>.</w:t>
      </w:r>
      <w:r w:rsidR="00261F6D" w:rsidRPr="00197CB6">
        <w:t xml:space="preserve">3; </w:t>
      </w:r>
      <w:r w:rsidRPr="00197CB6">
        <w:rPr>
          <w:i/>
        </w:rPr>
        <w:t>P</w:t>
      </w:r>
      <w:r w:rsidRPr="00197CB6">
        <w:t>&lt;0</w:t>
      </w:r>
      <w:r w:rsidR="00D536C3">
        <w:t>.</w:t>
      </w:r>
      <w:r w:rsidRPr="00197CB6">
        <w:t>001). There was no difference in major bleeding (OR 1</w:t>
      </w:r>
      <w:r w:rsidR="00D536C3">
        <w:t>.</w:t>
      </w:r>
      <w:r w:rsidRPr="00197CB6">
        <w:t>2, 95% CI, 0</w:t>
      </w:r>
      <w:r w:rsidR="00D536C3">
        <w:t>.</w:t>
      </w:r>
      <w:r w:rsidRPr="00197CB6">
        <w:t>56 to 2</w:t>
      </w:r>
      <w:r w:rsidR="00D536C3">
        <w:t>.</w:t>
      </w:r>
      <w:r w:rsidRPr="00197CB6">
        <w:t>5</w:t>
      </w:r>
      <w:r w:rsidR="00261F6D" w:rsidRPr="00197CB6">
        <w:t>; 95% PI, 0</w:t>
      </w:r>
      <w:r w:rsidR="00D536C3">
        <w:t>.</w:t>
      </w:r>
      <w:r w:rsidR="00261F6D" w:rsidRPr="00197CB6">
        <w:t xml:space="preserve">04 to 37; </w:t>
      </w:r>
      <w:r w:rsidR="00261F6D" w:rsidRPr="00197CB6">
        <w:rPr>
          <w:i/>
        </w:rPr>
        <w:t>P</w:t>
      </w:r>
      <w:r w:rsidR="00261F6D" w:rsidRPr="00197CB6">
        <w:t>=0</w:t>
      </w:r>
      <w:r w:rsidR="00D536C3">
        <w:t>.</w:t>
      </w:r>
      <w:r w:rsidR="00261F6D" w:rsidRPr="00197CB6">
        <w:t>67</w:t>
      </w:r>
      <w:r w:rsidRPr="00197CB6">
        <w:t xml:space="preserve">). </w:t>
      </w:r>
      <w:r w:rsidR="001F098C">
        <w:t xml:space="preserve">In the sensitivity analysis </w:t>
      </w:r>
      <w:r w:rsidR="00D36918">
        <w:t>using</w:t>
      </w:r>
      <w:r w:rsidR="001F098C">
        <w:t xml:space="preserve"> the positivity threshold of 2 points, LMWH was associated with an OR of </w:t>
      </w:r>
      <w:r w:rsidR="002931B8">
        <w:t>0.34</w:t>
      </w:r>
      <w:r w:rsidR="001F098C">
        <w:t xml:space="preserve"> for VTE </w:t>
      </w:r>
      <w:r w:rsidR="002931B8">
        <w:t>(95% CI, 0.20 to 0.58</w:t>
      </w:r>
      <w:r w:rsidR="001174C2">
        <w:t xml:space="preserve">; </w:t>
      </w:r>
      <w:r w:rsidR="001174C2">
        <w:rPr>
          <w:i/>
          <w:iCs/>
        </w:rPr>
        <w:t>P</w:t>
      </w:r>
      <w:r w:rsidR="001174C2">
        <w:t>&lt;0.001</w:t>
      </w:r>
      <w:r w:rsidR="002931B8">
        <w:t xml:space="preserve">) and </w:t>
      </w:r>
      <w:r w:rsidR="007D71E0">
        <w:t xml:space="preserve">1.4 </w:t>
      </w:r>
      <w:r w:rsidR="002931B8">
        <w:t>for major bleeding</w:t>
      </w:r>
      <w:r w:rsidR="00B54BD9">
        <w:t xml:space="preserve"> (95% </w:t>
      </w:r>
      <w:r w:rsidR="00B54BD9">
        <w:lastRenderedPageBreak/>
        <w:t xml:space="preserve">CI, 0.74 to 2.7; </w:t>
      </w:r>
      <w:r w:rsidR="00B54BD9">
        <w:rPr>
          <w:i/>
          <w:iCs/>
        </w:rPr>
        <w:t>P</w:t>
      </w:r>
      <w:r w:rsidR="00B54BD9">
        <w:t>=0.29)</w:t>
      </w:r>
      <w:r w:rsidR="002931B8">
        <w:t xml:space="preserve">. </w:t>
      </w:r>
      <w:r w:rsidR="004772EE" w:rsidRPr="00197CB6">
        <w:t>Table 5B shows the summary of findings regarding the efficacy and safety of thromboprophylaxis in patients with a high-risk Khorana score, separately for all cancer types and those with non-lung cancer.</w:t>
      </w:r>
      <w:r w:rsidR="004772EE">
        <w:t xml:space="preserve">   </w:t>
      </w:r>
    </w:p>
    <w:p w14:paraId="7EA564F6" w14:textId="77777777" w:rsidR="001051AB" w:rsidRDefault="001051AB" w:rsidP="00C53204"/>
    <w:p w14:paraId="2A1F2CB3" w14:textId="77777777" w:rsidR="001051AB" w:rsidRDefault="001051AB" w:rsidP="00C53204">
      <w:pPr>
        <w:rPr>
          <w:b/>
        </w:rPr>
      </w:pPr>
      <w:r>
        <w:rPr>
          <w:b/>
        </w:rPr>
        <w:t>DISCUSSION</w:t>
      </w:r>
    </w:p>
    <w:p w14:paraId="0902A845" w14:textId="26CF5483" w:rsidR="00136E3F" w:rsidRDefault="00136E3F" w:rsidP="00C53204">
      <w:r>
        <w:t>In this</w:t>
      </w:r>
      <w:r w:rsidR="002C7B0F">
        <w:t xml:space="preserve"> large</w:t>
      </w:r>
      <w:r>
        <w:t xml:space="preserve"> individual patient data meta-analysis, </w:t>
      </w:r>
      <w:r w:rsidR="00D95647">
        <w:t xml:space="preserve">the </w:t>
      </w:r>
      <w:r w:rsidR="00B31EBC">
        <w:t xml:space="preserve">overall </w:t>
      </w:r>
      <w:r w:rsidR="00D95647">
        <w:t>discriminatory performance of the Khorana score</w:t>
      </w:r>
      <w:r w:rsidR="00B31EBC">
        <w:t xml:space="preserve"> </w:t>
      </w:r>
      <w:r w:rsidR="00D95647">
        <w:t xml:space="preserve">was </w:t>
      </w:r>
      <w:r w:rsidR="005775AE">
        <w:t>suboptimal</w:t>
      </w:r>
      <w:r w:rsidR="00D95647">
        <w:t xml:space="preserve">. </w:t>
      </w:r>
      <w:r w:rsidR="00017503">
        <w:t xml:space="preserve">Overall, </w:t>
      </w:r>
      <w:r>
        <w:t>patients</w:t>
      </w:r>
      <w:r w:rsidR="00FD2CCB">
        <w:t xml:space="preserve"> with solid cancer receiving chemotherapy</w:t>
      </w:r>
      <w:r>
        <w:t xml:space="preserve"> </w:t>
      </w:r>
      <w:r w:rsidR="00FD2CCB">
        <w:t>who had</w:t>
      </w:r>
      <w:r>
        <w:t xml:space="preserve"> </w:t>
      </w:r>
      <w:r w:rsidR="00D95647">
        <w:t xml:space="preserve">a </w:t>
      </w:r>
      <w:r w:rsidR="00314D5B">
        <w:t>high-risk</w:t>
      </w:r>
      <w:r w:rsidR="00D95647">
        <w:t xml:space="preserve"> Khorana score</w:t>
      </w:r>
      <w:r w:rsidR="00B31EBC">
        <w:t xml:space="preserve"> </w:t>
      </w:r>
      <w:r w:rsidR="009115A9">
        <w:t xml:space="preserve">(≥3 points) </w:t>
      </w:r>
      <w:r w:rsidR="00B31EBC">
        <w:t>had a 1</w:t>
      </w:r>
      <w:r w:rsidR="00D536C3">
        <w:t>.</w:t>
      </w:r>
      <w:r w:rsidR="00B31EBC">
        <w:t>6-fold higher</w:t>
      </w:r>
      <w:r w:rsidR="00D95647">
        <w:t xml:space="preserve"> </w:t>
      </w:r>
      <w:r w:rsidR="00B31EBC">
        <w:t xml:space="preserve">6-month VTE incidence </w:t>
      </w:r>
      <w:r>
        <w:t xml:space="preserve">compared to </w:t>
      </w:r>
      <w:r w:rsidR="00B31EBC">
        <w:t xml:space="preserve">patients </w:t>
      </w:r>
      <w:r>
        <w:t>with a low-to-intermediate risk score</w:t>
      </w:r>
      <w:r w:rsidR="002123E0">
        <w:t xml:space="preserve">, </w:t>
      </w:r>
      <w:r w:rsidR="007F2118">
        <w:t xml:space="preserve">corresponding to an </w:t>
      </w:r>
      <w:r w:rsidR="002123E0">
        <w:t>absolute risk difference of 3</w:t>
      </w:r>
      <w:r w:rsidR="00D536C3">
        <w:t>.</w:t>
      </w:r>
      <w:r w:rsidR="002123E0">
        <w:t>4%.</w:t>
      </w:r>
      <w:r>
        <w:t xml:space="preserve"> </w:t>
      </w:r>
      <w:r w:rsidR="00363471">
        <w:t>D</w:t>
      </w:r>
      <w:r w:rsidR="002123E0">
        <w:t>iscrimination of the score</w:t>
      </w:r>
      <w:r>
        <w:t xml:space="preserve"> </w:t>
      </w:r>
      <w:r w:rsidR="004A7031">
        <w:t xml:space="preserve">appeared </w:t>
      </w:r>
      <w:r>
        <w:t xml:space="preserve">inconsistent across </w:t>
      </w:r>
      <w:r w:rsidR="00B31EBC">
        <w:t xml:space="preserve">cancer </w:t>
      </w:r>
      <w:r>
        <w:t>types</w:t>
      </w:r>
      <w:r w:rsidR="007F2118">
        <w:t xml:space="preserve">, with poor performance in lung cancer patients and good performance in </w:t>
      </w:r>
      <w:r w:rsidR="00857E0B">
        <w:t xml:space="preserve">the combined group of </w:t>
      </w:r>
      <w:r w:rsidR="007F2118">
        <w:t>those with other types of cancer</w:t>
      </w:r>
      <w:r w:rsidR="00ED7FEB">
        <w:t xml:space="preserve">. </w:t>
      </w:r>
      <w:r w:rsidR="00A13FEE">
        <w:t xml:space="preserve">Among cancer patients with a </w:t>
      </w:r>
      <w:r w:rsidR="00314D5B">
        <w:t>high-risk</w:t>
      </w:r>
      <w:r w:rsidR="00A13FEE">
        <w:t xml:space="preserve"> Khorana score, LMWH in prophylactic doses </w:t>
      </w:r>
      <w:r w:rsidR="00363471">
        <w:t xml:space="preserve">reduced the </w:t>
      </w:r>
      <w:r w:rsidR="002C7B0F">
        <w:t xml:space="preserve">risk of VTE </w:t>
      </w:r>
      <w:r w:rsidR="007F2118">
        <w:t xml:space="preserve">at 6 months </w:t>
      </w:r>
      <w:r w:rsidR="00363471">
        <w:t xml:space="preserve">by two-thirds, compared to </w:t>
      </w:r>
      <w:r w:rsidR="002C7B0F">
        <w:t xml:space="preserve">placebo or observation, </w:t>
      </w:r>
      <w:r w:rsidR="00DD5B97">
        <w:t xml:space="preserve">with no increase in </w:t>
      </w:r>
      <w:r w:rsidR="002C7B0F">
        <w:t>major bleeding.</w:t>
      </w:r>
    </w:p>
    <w:p w14:paraId="4ED46706" w14:textId="77777777" w:rsidR="00B11598" w:rsidRDefault="00B11598" w:rsidP="00C53204"/>
    <w:p w14:paraId="45FE1F5B" w14:textId="259D19CF" w:rsidR="004A7031" w:rsidRDefault="00BE2BF4" w:rsidP="00E51FA1">
      <w:r>
        <w:t xml:space="preserve">A strength of </w:t>
      </w:r>
      <w:r w:rsidR="004A7031">
        <w:t>the present</w:t>
      </w:r>
      <w:r>
        <w:t xml:space="preserve"> study is that it combines patient-level data of almost 7,000 patients</w:t>
      </w:r>
      <w:r w:rsidR="00A82AFA">
        <w:t xml:space="preserve">, </w:t>
      </w:r>
      <w:r w:rsidR="004A7031">
        <w:t>enabling</w:t>
      </w:r>
      <w:r w:rsidR="00A82AFA">
        <w:t xml:space="preserve"> </w:t>
      </w:r>
      <w:r>
        <w:t>robust evaluation of the Khorana score</w:t>
      </w:r>
      <w:r w:rsidR="004A7031">
        <w:t xml:space="preserve"> as well as </w:t>
      </w:r>
      <w:r w:rsidR="00363471">
        <w:t xml:space="preserve">of </w:t>
      </w:r>
      <w:r w:rsidR="004A7031">
        <w:t xml:space="preserve">the </w:t>
      </w:r>
      <w:r w:rsidR="00363471">
        <w:t xml:space="preserve">effectiveness </w:t>
      </w:r>
      <w:r w:rsidR="004A7031">
        <w:t xml:space="preserve">and safety of LMWH among those with a </w:t>
      </w:r>
      <w:r w:rsidR="00314D5B">
        <w:t>high-risk</w:t>
      </w:r>
      <w:r w:rsidR="004A7031">
        <w:t xml:space="preserve"> score</w:t>
      </w:r>
      <w:r>
        <w:t xml:space="preserve">. </w:t>
      </w:r>
      <w:bookmarkStart w:id="33" w:name="_Hlk21106460"/>
      <w:r>
        <w:t>Data were collected in seve</w:t>
      </w:r>
      <w:r w:rsidR="004A7031">
        <w:t>n</w:t>
      </w:r>
      <w:r w:rsidR="002771E4">
        <w:t xml:space="preserve"> high-quality</w:t>
      </w:r>
      <w:r w:rsidR="004A7031">
        <w:t xml:space="preserve"> </w:t>
      </w:r>
      <w:r w:rsidR="00780086">
        <w:t>randomi</w:t>
      </w:r>
      <w:r w:rsidR="00106BA7">
        <w:t>z</w:t>
      </w:r>
      <w:r w:rsidR="00780086">
        <w:t>ed</w:t>
      </w:r>
      <w:r w:rsidR="004A7031">
        <w:t xml:space="preserve"> controlled t</w:t>
      </w:r>
      <w:r w:rsidR="007F2118">
        <w:t xml:space="preserve">rials which succeeded in limiting loss to follow-up. </w:t>
      </w:r>
      <w:bookmarkEnd w:id="33"/>
      <w:r w:rsidR="00286055">
        <w:t xml:space="preserve">A limitation is that only eight types of cancer could be evaluated, and the group of non-lung cancer patients was heterogeneous. </w:t>
      </w:r>
      <w:bookmarkStart w:id="34" w:name="_Hlk21105676"/>
      <w:r w:rsidR="007F2118">
        <w:t>S</w:t>
      </w:r>
      <w:r>
        <w:t>ome of the subgroup analys</w:t>
      </w:r>
      <w:r w:rsidR="00363471">
        <w:t>e</w:t>
      </w:r>
      <w:r>
        <w:t>s</w:t>
      </w:r>
      <w:r w:rsidR="005775AE">
        <w:t xml:space="preserve">, </w:t>
      </w:r>
      <w:proofErr w:type="spellStart"/>
      <w:r w:rsidR="009115A9">
        <w:t>particulary</w:t>
      </w:r>
      <w:proofErr w:type="spellEnd"/>
      <w:r w:rsidR="005775AE">
        <w:t xml:space="preserve"> </w:t>
      </w:r>
      <w:r w:rsidR="00363471">
        <w:t xml:space="preserve">in </w:t>
      </w:r>
      <w:r w:rsidR="005775AE">
        <w:t>patients with bladder or brain cancer,</w:t>
      </w:r>
      <w:r>
        <w:t xml:space="preserve"> were </w:t>
      </w:r>
      <w:r w:rsidR="006332C5">
        <w:t>based on</w:t>
      </w:r>
      <w:r>
        <w:t xml:space="preserve"> </w:t>
      </w:r>
      <w:r w:rsidR="00A042B0">
        <w:t xml:space="preserve">small </w:t>
      </w:r>
      <w:r>
        <w:t>number</w:t>
      </w:r>
      <w:r w:rsidR="00363471">
        <w:t>s</w:t>
      </w:r>
      <w:r w:rsidR="00CE72DA">
        <w:t xml:space="preserve"> of patients and events</w:t>
      </w:r>
      <w:r w:rsidR="006332C5">
        <w:t xml:space="preserve"> obtained from only one trial</w:t>
      </w:r>
      <w:r w:rsidR="00CE72DA">
        <w:t>, limiting the precision of the estimates</w:t>
      </w:r>
      <w:r>
        <w:t>.</w:t>
      </w:r>
      <w:r w:rsidR="00906072">
        <w:t xml:space="preserve"> </w:t>
      </w:r>
      <w:bookmarkEnd w:id="34"/>
      <w:r w:rsidR="00286055">
        <w:t>Similarly, n</w:t>
      </w:r>
      <w:r w:rsidR="005C201E">
        <w:t xml:space="preserve">o events were observed in patients with ovarian cancer </w:t>
      </w:r>
      <w:r w:rsidR="00164720">
        <w:t>or</w:t>
      </w:r>
      <w:r w:rsidR="005C201E">
        <w:t xml:space="preserve"> breast cancer patients with a high-risk Khorana score.</w:t>
      </w:r>
      <w:r w:rsidR="001E1751">
        <w:t xml:space="preserve"> </w:t>
      </w:r>
      <w:r w:rsidR="00CE72DA">
        <w:t>Although t</w:t>
      </w:r>
      <w:r>
        <w:t xml:space="preserve">he definition of VTE </w:t>
      </w:r>
      <w:r w:rsidR="004A7031">
        <w:t>was</w:t>
      </w:r>
      <w:r w:rsidR="00CE72DA">
        <w:t xml:space="preserve"> </w:t>
      </w:r>
      <w:r w:rsidR="007F2118">
        <w:t>similar</w:t>
      </w:r>
      <w:r w:rsidR="00CE72DA">
        <w:t xml:space="preserve"> across the studies, it was</w:t>
      </w:r>
      <w:r w:rsidR="004A7031">
        <w:t xml:space="preserve"> not identical</w:t>
      </w:r>
      <w:r>
        <w:t xml:space="preserve">. For example, incidentally detected VTE </w:t>
      </w:r>
      <w:r w:rsidR="004A7031">
        <w:t>was not always included in the outcome and the definition of DVT varied</w:t>
      </w:r>
      <w:r w:rsidR="00A82AFA">
        <w:t xml:space="preserve">. </w:t>
      </w:r>
      <w:r w:rsidR="009C59C0">
        <w:t xml:space="preserve">Since logistic regression rather than survival analysis was used to estimate the VTE risk at 6 months, </w:t>
      </w:r>
      <w:r w:rsidR="00106682">
        <w:t>our</w:t>
      </w:r>
      <w:r w:rsidR="00EF48E1">
        <w:t xml:space="preserve"> absolute risk</w:t>
      </w:r>
      <w:r w:rsidR="009C59C0">
        <w:t xml:space="preserve"> estim</w:t>
      </w:r>
      <w:r w:rsidR="004A7031">
        <w:t>ates may have been conservative, although</w:t>
      </w:r>
      <w:r w:rsidR="009C59C0">
        <w:t xml:space="preserve"> </w:t>
      </w:r>
      <w:r w:rsidR="004A7031">
        <w:t>loss to follow-up was minimal in most studies.</w:t>
      </w:r>
      <w:r w:rsidR="00AE1E6B">
        <w:t xml:space="preserve"> As reflected by the wide prediction intervals, substantial between-study heterogeneity was observed in the ev</w:t>
      </w:r>
      <w:r w:rsidR="00CE72DA">
        <w:t xml:space="preserve">aluations of the Khorana score. This was </w:t>
      </w:r>
      <w:r w:rsidR="00AE1E6B">
        <w:t xml:space="preserve">most likely due to the differences in cancer </w:t>
      </w:r>
      <w:r w:rsidR="00363471">
        <w:t xml:space="preserve">types across </w:t>
      </w:r>
      <w:r w:rsidR="00AE1E6B">
        <w:t>studies</w:t>
      </w:r>
      <w:r w:rsidR="00CE72DA">
        <w:t xml:space="preserve">, since </w:t>
      </w:r>
      <w:r w:rsidR="00CE72DA">
        <w:rPr>
          <w:rFonts w:cs="Calibri"/>
        </w:rPr>
        <w:t>τ</w:t>
      </w:r>
      <w:r w:rsidR="00CE72DA" w:rsidRPr="00CE72DA">
        <w:rPr>
          <w:rFonts w:cs="Calibri"/>
          <w:vertAlign w:val="superscript"/>
        </w:rPr>
        <w:t>2</w:t>
      </w:r>
      <w:r w:rsidR="00CE72DA">
        <w:rPr>
          <w:rFonts w:cs="Calibri"/>
        </w:rPr>
        <w:t xml:space="preserve"> of the random effect </w:t>
      </w:r>
      <w:r w:rsidR="00CE72DA">
        <w:t>decreased to 0 when type of cancer was added to the model</w:t>
      </w:r>
      <w:r w:rsidR="00623688">
        <w:t xml:space="preserve"> (data not shown)</w:t>
      </w:r>
      <w:r w:rsidR="00AE1E6B">
        <w:t xml:space="preserve">. </w:t>
      </w:r>
      <w:r w:rsidR="00BE054A">
        <w:t>The</w:t>
      </w:r>
      <w:r w:rsidR="00730C78">
        <w:t xml:space="preserve"> prediction intervals need to be interpreted with caution </w:t>
      </w:r>
      <w:r w:rsidR="00BE054A">
        <w:t xml:space="preserve">though, </w:t>
      </w:r>
      <w:r w:rsidR="00730C78">
        <w:t xml:space="preserve">since the number of studies was </w:t>
      </w:r>
      <w:r w:rsidR="00FD2CCB">
        <w:t>small</w:t>
      </w:r>
      <w:r w:rsidR="00730C78">
        <w:t xml:space="preserve">. </w:t>
      </w:r>
      <w:r w:rsidR="00257AA4">
        <w:t>The search was performed in 2017</w:t>
      </w:r>
      <w:r w:rsidR="00014F2F">
        <w:t>, but to the best of our knowledge</w:t>
      </w:r>
      <w:r w:rsidR="00343CC0">
        <w:t xml:space="preserve"> no new trials evaluating LMWH in patients with active cancer have been published</w:t>
      </w:r>
      <w:r w:rsidR="00DE7F68">
        <w:t>, only in the adjuvant treatment setting</w:t>
      </w:r>
      <w:r w:rsidR="00343CC0">
        <w:t>.</w:t>
      </w:r>
    </w:p>
    <w:p w14:paraId="059BC4AB" w14:textId="77777777" w:rsidR="00B11598" w:rsidRDefault="00B11598" w:rsidP="00E51FA1"/>
    <w:p w14:paraId="4105BA0E" w14:textId="70100737" w:rsidR="00623688" w:rsidRDefault="00623688" w:rsidP="00E51FA1">
      <w:bookmarkStart w:id="35" w:name="_Hlk21106389"/>
      <w:r>
        <w:t>Our findings are largely in line with other reports, in which results about the performance of the Khorana score have been conflicting. Some studies of mixed oncology populations,</w:t>
      </w:r>
      <w:r w:rsidR="00EC68A1">
        <w:fldChar w:fldCharType="begin" w:fldLock="1"/>
      </w:r>
      <w:r w:rsidR="00BC28CF">
        <w:instrText>ADDIN CSL_CITATION {"citationItems":[{"id":"ITEM-1","itemData":{"DOI":"10.1200/JCO.2011.35.5669","ISBN":"1527-7755 (Electronic)\\r0732-183X (Linking)","ISSN":"1527-7755","PMID":"21810688","abstract":"PURPOSE This study was designed to determine the incidence of venous and arterial thromboembolic events (TEEs) in patients treated with cisplatin-based chemotherapy and to analyze the prognostic value of patients' baseline and treatment characteristics in predicting TEE occurrence. PATIENTS AND METHODS We performed a large retrospective analysis of all patients treated with cisplatin-based chemotherapy for any type of malignancy at Memorial Sloan-Kettering Cancer Center in 2008. A TEE was cisplatin-associated if it occurred between the time of the first dose of cisplatin and 4 weeks after the last dose. RESULTS Among 932 patients, 169 (18.1%) experienced a TEE during treatment or within 4 weeks of the last dose. TEEs included deep vein thrombosis (DVT) alone in 49.7%, pulmonary embolus (PE) alone in 25.4%, DVT plus PE in 13.6%, arterial TEE alone in 8.3%, or DVT plus arterial TEE in 3.0%. TEEs occurred within 100 days of initiation of treatment in 88% of patients. By univariate analysis, sex, age, race, Karnofsky performance status (KPS), exposure to erythropoiesis-stimulating agents, presence of central venous catheter (CVC), site of cancer, stage of cancer, leukocyte and hemoglobin levels, and Khorana score were all identified as risk factors. However, by multivariate analysis, only age, KPS, presence of CVC, and Khorana score retained significance. CONCLUSION This large retrospective analysis confirms the unacceptable incidence of TEEs in patients receiving cisplatin-based chemotherapy. In view of the controversy associated with prophylactic anticoagulation in patients with cancer treated with chemotherapy, randomized studies are urgently needed in this specific cancer population treated with cisplatin-based regimens.","author":[{"dropping-particle":"","family":"Moore","given":"Russell a.","non-dropping-particle":"","parse-names":false,"suffix":""},{"dropping-particle":"","family":"Adel","given":"Nelly","non-dropping-particle":"","parse-names":false,"suffix":""},{"dropping-particle":"","family":"Riedel","given":"Elyn","non-dropping-particle":"","parse-names":false,"suffix":""},{"dropping-particle":"","family":"Bhutani","given":"Manisha","non-dropping-particle":"","parse-names":false,"suffix":""},{"dropping-particle":"","family":"Feldman","given":"Darren R.","non-dropping-particle":"","parse-names":false,"suffix":""},{"dropping-particle":"","family":"Tabbara","given":"Nour Elise","non-dropping-particle":"","parse-names":false,"suffix":""},{"dropping-particle":"","family":"Soff","given":"Gerald","non-dropping-particle":"","parse-names":false,"suffix":""},{"dropping-particle":"","family":"Parameswaran","given":"Rekha","non-dropping-particle":"","parse-names":false,"suffix":""},{"dropping-particle":"","family":"Hassoun","given":"Hani","non-dropping-particle":"","parse-names":false,"suffix":""}],"container-title":"Journal of Clinical Oncology","id":"ITEM-1","issue":"25","issued":{"date-parts":[["2011","9","1"]]},"page":"3466-73","title":"High incidence of thromboembolic events in patients treated with cisplatin-based chemotherapy: A large retrospective analysis","type":"article-journal","volume":"29"},"uris":["http://www.mendeley.com/documents/?uuid=2cf3ada3-3787-444c-a3f1-f9ed538bf0b0"]},{"id":"ITEM-2","itemData":{"DOI":"10.1182/blood-2010-02-270116","ISBN":"1528-0020 (Electronic)\\r0006-4971 (Linking)","ISSN":"1528-0020","PMID":"20829374","abstract":"The risk of venous thromboembolism (VTE) is increased in cancer patients. To improve prediction of VTE in cancer patients, we performed a prospective and observational cohort study of patients with newly diagnosed cancer or progression of disease after remission. A previously developed risk scoring model for prediction of VTE that included clinical (tumor entity and body mass index) and laboratory (hemoglobin level and thrombocyte and leukocyte count) parameters was expanded by incorporating 2 biomarkers, soluble P-selectin, and D-Dimer. Of 819 patients 61 (7.4%) experienced VTE during a median follow-up of 656 days. The cumulative VTE probability in the original risk model after 6 months was 17.7% in patients wi</w:instrText>
      </w:r>
      <w:r w:rsidR="00BC28CF">
        <w:rPr>
          <w:rFonts w:hint="eastAsia"/>
        </w:rPr>
        <w:instrText>th the highest risk score (</w:instrText>
      </w:r>
      <w:r w:rsidR="00BC28CF">
        <w:rPr>
          <w:rFonts w:hint="eastAsia"/>
        </w:rPr>
        <w:instrText>≥</w:instrText>
      </w:r>
      <w:r w:rsidR="00BC28CF">
        <w:rPr>
          <w:rFonts w:hint="eastAsia"/>
        </w:rPr>
        <w:instrText xml:space="preserve"> 3, n = 93), 9.6% in those with score 2 (n = 221), 3.8% in those with score 1 (n = 229), and 1.5% in those with score 0 (n = 276). In the expanded risk model, the cumulative VTE probability after 6 months in patients with the highest score (</w:instrText>
      </w:r>
      <w:r w:rsidR="00BC28CF">
        <w:rPr>
          <w:rFonts w:hint="eastAsia"/>
        </w:rPr>
        <w:instrText>≥</w:instrText>
      </w:r>
      <w:r w:rsidR="00BC28CF">
        <w:rPr>
          <w:rFonts w:hint="eastAsia"/>
        </w:rPr>
        <w:instrText xml:space="preserve"> 5, n = 30) was 35.0% and 10.3% in those with an intermediate score (score 3, n = 130) as opposed to only 1.0% in patients with score 0 (n = 200); the hazard ratio of patients with the highest compared with those with the lowest score was 2</w:instrText>
      </w:r>
      <w:r w:rsidR="00BC28CF">
        <w:instrText>5.9 (8.0-84.6). Clinical and standard laboratory parameters with addition of biomarkers enable prediction of VTE and allow identification of cancer patients at high or low risk of VTE.","author":[{"dropping-particle":"","family":"Ay","given":"Cihan","non-dropping-particle":"","parse-names":false,"suffix":""},{"dropping-particle":"","family":"Dunkler","given":"Daniela","non-dropping-particle":"","parse-names":false,"suffix":""},{"dropping-particle":"","family":"Marosi","given":"Christine","non-dropping-particle":"","parse-names":false,"suffix":""},{"dropping-particle":"","family":"Chiriac","given":"Alexandru-Laurentiu","non-dropping-particle":"","parse-names":false,"suffix":""},{"dropping-particle":"","family":"Vormittag","given":"Rainer","non-dropping-particle":"","parse-names":false,"suffix":""},{"dropping-particle":"","family":"Simanek","given":"Ralph","non-dropping-particle":"","parse-names":false,"suffix":""},{"dropping-particle":"","family":"Quehenberger","given":"Peter","non-dropping-particle":"","parse-names":false,"suffix":""},{"dropping-particle":"","family":"Zielinski","given":"Christoph","non-dropping-particle":"","parse-names":false,"suffix":""},{"dropping-particle":"","family":"Pabinger","given":"Ingrid","non-dropping-particle":"","parse-names":false,"suffix":""}],"container-title":"Blood","id":"ITEM-2","issue":"24","issued":{"date-parts":[["2010","12","9"]]},"page":"5377-82","title":"Prediction of venous thromboembolism in cancer patients.","type":"article-journal","volume":"116"},"uris":["http://www.mendeley.com/documents/?uuid=7253a8ff-c772-441e-96b5-dce3ce85093a"]}],"mendeley":{"formattedCitation":"&lt;sup&gt;9,10&lt;/sup&gt;","plainTextFormattedCitation":"9,10","previouslyFormattedCitation":"&lt;sup&gt;9,10&lt;/sup&gt;"},"properties":{"noteIndex":0},"schema":"https://github.com/citation-style-language/schema/raw/master/csl-citation.json"}</w:instrText>
      </w:r>
      <w:r w:rsidR="00EC68A1">
        <w:fldChar w:fldCharType="separate"/>
      </w:r>
      <w:r w:rsidR="00EF05F2" w:rsidRPr="00EF05F2">
        <w:rPr>
          <w:noProof/>
          <w:vertAlign w:val="superscript"/>
        </w:rPr>
        <w:t>9,10</w:t>
      </w:r>
      <w:r w:rsidR="00EC68A1">
        <w:fldChar w:fldCharType="end"/>
      </w:r>
      <w:r>
        <w:t xml:space="preserve"> germ cell tumors,</w:t>
      </w:r>
      <w:r w:rsidR="00EB50E0">
        <w:fldChar w:fldCharType="begin" w:fldLock="1"/>
      </w:r>
      <w:r w:rsidR="009115A9">
        <w:instrText>ADDIN CSL_CITATION {"citationItems":[{"id":"ITEM-1","itemData":{"DOI":"10.1200/jco.2014.58.6537","ISBN":"0732-183x","ISSN":"0732-183X","PMID":"25605848","abstract":"PURPOSE: Cisplatin-based chemotherapy, a mainstay of treatment for disseminated germ cell tumors (GCTs), is associated with venous thromboembolism (VTE). Many patients with disseminated GCTs have large retroperitoneal lymph node (RPLN) metastases that may cause venous stasis and increase the risk of VTE development. We hypothesized that there was an association between large RPLN and chemotherapy-associated VTE risk. PATIENTS AND METHODS: The training cohort was composed of patients with disseminated GCT receiving first-line chemotherapy at Princess Margaret Cancer Centre between January 2000 and December 2010. Large RPLN was defined as more than 5 cm in maximal axial diameter. The predictive and discriminatory accuracies of a model using large RPLN in predicting VTE were compared with high-risk Khorana score (&gt;/= 3) using logistic regression and area under receiver operator characteristic curves (AUROCs). The model was externally validated in a cohort of patients treated at the London Health Sciences Centre. RESULTS: The training cohort comprised 216 patients, 21 (10%) of whom developed VTE during chemotherapy. VTE was associated with large RPLN (odds ratio [OR], 5.26; P = .001), high-risk Khorana score (OR, 11.8; P &lt; .001), intermediate-/poor-risk disease (OR, 3.76; P = .005), and hospitalization during chemotherapy (OR, 4.24; P = .002). Large RPLN showed higher discriminatory accuracy than high-risk Khorana score (AUROC, 0.71 v 0.67, respectively). Superior discriminatory accuracy of large RPLN over high-risk Khorana score was validated in the London cohort (AUROC, 0.61 v 0.57, respectively). CONCLUSION: Large RPLN is associated with VTE in patients with disseminated GCT and provides higher discriminatory accuracy than high-risk Khorana score. Results should be validated in larger, prospective studies. Prophylactic anticoagulation may be considered in high-risk patients.","author":[{"dropping-particle":"","family":"Srikanthan","given":"A.","non-dropping-particle":"","parse-names":false,"suffix":""},{"dropping-particle":"","family":"Tran","given":"B.","non-dropping-particle":"","parse-names":false,"suffix":""},{"dropping-particle":"","family":"Beausoleil","given":"M.","non-dropping-particle":"","parse-names":false,"suffix":""},{"dropping-particle":"","family":"Jewett","given":"M. A. S.","non-dropping-particle":"","parse-names":false,"suffix":""},{"dropping-particle":"","family":"Hamilton","given":"R. J.","non-dropping-particle":"","parse-names":false,"suffix":""},{"dropping-particle":"","family":"Sturgeon","given":"J. F. G.","non-dropping-particle":"","parse-names":false,"suffix":""},{"dropping-particle":"","family":"O'Malley","given":"M.","non-dropping-particle":"","parse-names":false,"suffix":""},{"dropping-particle":"","family":"Anson-Cartwright","given":"L.","non-dropping-particle":"","parse-names":false,"suffix":""},{"dropping-particle":"","family":"Chung","given":"P. W. M.","non-dropping-particle":"","parse-names":false,"suffix":""},{"dropping-particle":"","family":"Warde","given":"P. R.","non-dropping-particle":"","parse-names":false,"suffix":""},{"dropping-particle":"","family":"Winquist","given":"E.","non-dropping-particle":"","parse-names":false,"suffix":""},{"dropping-particle":"","family":"Moore","given":"M. J.","non-dropping-particle":"","parse-names":false,"suffix":""},{"dropping-particle":"","family":"Amir","given":"E.","non-dropping-particle":"","parse-names":false,"suffix":""},{"dropping-particle":"","family":"Bedard","given":"P. L.","non-dropping-particle":"","parse-names":false,"suffix":""}],"container-title":"J Clin Oncol","id":"ITEM-1","issue":"6","issued":{"date-parts":[["2015"]]},"page":"582-587","title":"Large retroperitoneal lymphadenopathy as a predictor of venous thromboembolism in patients with disseminated germ cell tumors treated with chemotherapy","type":"article-journal","volume":"33"},"uris":["http://www.mendeley.com/documents/?uuid=09bcdb4d-69c3-4a36-8fd7-8e4d592aff54"]}],"mendeley":{"formattedCitation":"&lt;sup&gt;39&lt;/sup&gt;","plainTextFormattedCitation":"39","previouslyFormattedCitation":"&lt;sup&gt;38&lt;/sup&gt;"},"properties":{"noteIndex":0},"schema":"https://github.com/citation-style-language/schema/raw/master/csl-citation.json"}</w:instrText>
      </w:r>
      <w:r w:rsidR="00EB50E0">
        <w:fldChar w:fldCharType="separate"/>
      </w:r>
      <w:r w:rsidR="009115A9" w:rsidRPr="009115A9">
        <w:rPr>
          <w:noProof/>
          <w:vertAlign w:val="superscript"/>
        </w:rPr>
        <w:t>39</w:t>
      </w:r>
      <w:r w:rsidR="00EB50E0">
        <w:fldChar w:fldCharType="end"/>
      </w:r>
      <w:r>
        <w:t xml:space="preserve"> and colorectal cancer</w:t>
      </w:r>
      <w:r w:rsidR="0060078B">
        <w:fldChar w:fldCharType="begin" w:fldLock="1"/>
      </w:r>
      <w:r w:rsidR="009115A9">
        <w:instrText>ADDIN CSL_CITATION {"citationItems":[{"id":"ITEM-1","itemData":{"DOI":"10.1111/jth.12910","ISSN":"1538-7836","PMID":"25809746","abstract":"BACKGROUND Patients with metastatic colon cancer (mCRC) are at increased risk of venous thromboembolism (VTE). Limited preclinical data suggest that the oncogene (KRAS) mutational status of the tumor represents a plausible clinical link to systemic hypercoagulability in cancer patients. OBJECTIVES To determine if a tumor genetic characteristic, KRAS mutational status, is associated with an increased risk of VTE in patients with mCRC. PATIENTS/METHODS A retrospective cohort study of patients with mCRC and KRAS test results was conducted at multiple practice sites across New England in the United States. The primary outcome was a VTE event, defined as deep venous thrombosis (DVT) and/or pulmonary embolism (PE), either 6 months before or at any time after the diagnosis of mCRC. KRAS status (mutated vs. wild type) and other relevant predictors of thrombosis were collected. RESULTS Of 172 histologically confirmed patients with mCRC, 40 developed a VTE (23.3%). Sixty-five patients (37.8%) had a mutant KRAS status. The incidence of VTE and DVT among patients with mutated KRAS was 32.3 and 23.1%, respectively. The corresponding incidence among patients with wild-type KRAS was 17.8 and 9.4%. Odd ratios for the association were 2.21 (95% CI, 1.08-4.53) for VTE and 2.62 (95% CI, 1.12-6.12) for DVT, and remained significant despite adjustment for Khorana score and bevacizumab use. CONCLUSION Tumor mutant KRAS status is associated with an increased risk of VTE in patients with mCRC. The tumor genetic profile may represent a novel and important risk factor for thrombosis in patients with cancer.","author":[{"dropping-particle":"","family":"Ades","given":"S.","non-dropping-particle":"","parse-names":false,"suffix":""},{"dropping-particle":"","family":"Kumar","given":"S.","non-dropping-particle":"","parse-names":false,"suffix":""},{"dropping-particle":"","family":"Alam","given":"M.","non-dropping-particle":"","parse-names":false,"suffix":""},{"dropping-particle":"","family":"Goodwin","given":"A.","non-dropping-particle":"","parse-names":false,"suffix":""},{"dropping-particle":"","family":"Weckstein","given":"D.","non-dropping-particle":"","parse-names":false,"suffix":""},{"dropping-particle":"","family":"Dugan","given":"M.","non-dropping-particle":"","parse-names":false,"suffix":""},{"dropping-particle":"","family":"Ashikaga","given":"T.","non-dropping-particle":"","parse-names":false,"suffix":""},{"dropping-particle":"","family":"Evans","given":"M.","non-dropping-particle":"","parse-names":false,"suffix":""},{"dropping-particle":"","family":"Verschraegen","given":"C.","non-dropping-particle":"","parse-names":false,"suffix":""},{"dropping-particle":"","family":"Holmes","given":"C. E.","non-dropping-particle":"","parse-names":false,"suffix":""}],"container-title":"Journal of thrombosis and haemostasis : JTH","id":"ITEM-1","issue":"6","issued":{"date-parts":[["2015","6"]]},"page":"998-1003","title":"Tumor oncogene (KRAS) status and risk of venous thrombosis in patients with metastatic colorectal cancer.","type":"article-journal","volume":"13"},"uris":["http://www.mendeley.com/documents/?uuid=93098d59-0916-4831-8a51-67c582e16725"]}],"mendeley":{"formattedCitation":"&lt;sup&gt;40&lt;/sup&gt;","plainTextFormattedCitation":"40","previouslyFormattedCitation":"&lt;sup&gt;39&lt;/sup&gt;"},"properties":{"noteIndex":0},"schema":"https://github.com/citation-style-language/schema/raw/master/csl-citation.json"}</w:instrText>
      </w:r>
      <w:r w:rsidR="0060078B">
        <w:fldChar w:fldCharType="separate"/>
      </w:r>
      <w:r w:rsidR="009115A9" w:rsidRPr="009115A9">
        <w:rPr>
          <w:noProof/>
          <w:vertAlign w:val="superscript"/>
        </w:rPr>
        <w:t>40</w:t>
      </w:r>
      <w:r w:rsidR="0060078B">
        <w:fldChar w:fldCharType="end"/>
      </w:r>
      <w:r w:rsidR="0060078B">
        <w:t xml:space="preserve"> </w:t>
      </w:r>
      <w:r>
        <w:t>confirmed the discriminative performance of the Khorana score, whereas other studies including patients with different types of cancer,</w:t>
      </w:r>
      <w:r w:rsidR="007443CB">
        <w:fldChar w:fldCharType="begin" w:fldLock="1"/>
      </w:r>
      <w:r w:rsidR="009115A9">
        <w:instrText>ADDIN CSL_CITATION {"citationItems":[{"id":"ITEM-1","itemData":{"DOI":"10.3324/haematol.2017.169060","ISSN":"1592-8721","PMID":"28550192","abstract":"In ambulatory patients with solid cancer, routine thromboprophylaxis to prevent venous thromboembolism is not recommended. Several risk prediction scores to identify cancer patients at high risk of venous thromboembolism have been proposed, but their clinical usefulness remains a matter of debate. We evaluated and directly compared the performance of the Khorana, Vienna, PROTECHT, and CONKO scores in a multinational, prospective cohort study. Patients with advanced cancer were eligible if they were due to undergo chemotherapy or had started chemotherapy in the previous three months. The primary outcome was objectively confirmed symptomatic or incidental deep vein thrombosis or pulmonary embolism during a 6-month follow-up period. A total of 876 patients were enrolled, of whom 260 (30%) had not yet received chemotherapy. Fifty-three patients (6.1%) developed venous thromboembolism. The c-statistics of the scores ranged from 0.50 to 0.57. At the conventional positivity threshold of 3 points, the scores classified 13-34% of patients as high-risk; the 6-month incidence of venous thromboembolism in these patients ranged from 6.5% (95%CI: 2.8-12) for the Khorana score to 9.6% (95%CI: 6.6-13) for the PROTECHT score. High-risk patients had a significantly increased risk of venous thromboembolism when using the Vienna (subhazard ratio 1.7; 95%CI: 1.0-3.1) or PROTECHT (subhazard ratio 2.1; 95%CI: 1.2-3.6) scores. In conclusion, the prediction scores performed poorly in predicting venous thromboembolism in cancer patients. The Vienna CATS and PROTECHT scores appear to discriminate better between low- and high-risk patients, but further improvements are needed before they can be considered for introduction into clinical practice.","author":[{"dropping-particle":"","family":"Es","given":"Nick","non-dropping-particle":"van","parse-names":false,"suffix":""},{"dropping-particle":"","family":"Nisio","given":"Marcello","non-dropping-particle":"Di","parse-names":false,"suffix":""},{"dropping-particle":"","family":"Cesarman","given":"Gabriela","non-dropping-particle":"","parse-names":false,"suffix":""},{"dropping-particle":"","family":"Kleinjan","given":"Ankie","non-dropping-particle":"","parse-names":false,"suffix":""},{"dropping-particle":"","family":"Otten","given":"Hans-Martin","non-dropping-particle":"","parse-names":false,"suffix":""},{"dropping-particle":"","family":"Mahé","given":"Isabelle","non-dropping-particle":"","parse-names":false,"suffix":""},{"dropping-particle":"","family":"Wilts","given":"Ineke T.","non-dropping-particle":"","parse-names":false,"suffix":""},{"dropping-particle":"","family":"Twint","given":"Desirée C.","non-dropping-particle":"","parse-names":false,"suffix":""},{"dropping-particle":"","family":"Porreca","given":"Ettore","non-dropping-particle":"","parse-names":false,"suffix":""},{"dropping-particle":"","family":"Arrieta","given":"Oscar","non-dropping-particle":"","parse-names":false,"suffix":""},{"dropping-particle":"","family":"Stépanian","given":"Alain","non-dropping-particle":"","parse-names":false,"suffix":""},{"dropping-particle":"","family":"Smit","given":"Kirsten","non-dropping-particle":"","parse-names":false,"suffix":""},{"dropping-particle":"","family":"Tursi","given":"Michele","non-dropping-particle":"De","parse-names":false,"suffix":""},{"dropping-particle":"","family":"Bleker","given":"Suzanne M.","non-dropping-particle":"","parse-names":false,"suffix":""},{"dropping-particle":"","family":"Bossuyt","given":"Patrick M.","non-dropping-particle":"","parse-names":false,"suffix":""},{"dropping-particle":"","family":"Nieuwland","given":"Rienk","non-dropping-particle":"","parse-names":false,"suffix":""},{"dropping-particle":"","family":"Kamphuisen","given":"Pieter W.","non-dropping-particle":"","parse-names":false,"suffix":""},{"dropping-particle":"","family":"Büller","given":"Harry R.","non-dropping-particle":"","parse-names":false,"suffix":""}],"container-title":"Haematologica","id":"ITEM-1","issue":"9","issued":{"date-parts":[["2017","9"]]},"page":"1494-1501","title":"Comparison of risk prediction scores for venous thromboembolism in cancer patients: a prospective cohort study.","type":"article-journal","volume":"102"},"uris":["http://www.mendeley.com/documents/?uuid=c3b36350-cb3b-4975-a844-ed7bdc224fba"]}],"mendeley":{"formattedCitation":"&lt;sup&gt;41&lt;/sup&gt;","plainTextFormattedCitation":"41","previouslyFormattedCitation":"&lt;sup&gt;40&lt;/sup&gt;"},"properties":{"noteIndex":0},"schema":"https://github.com/citation-style-language/schema/raw/master/csl-citation.json"}</w:instrText>
      </w:r>
      <w:r w:rsidR="007443CB">
        <w:fldChar w:fldCharType="separate"/>
      </w:r>
      <w:r w:rsidR="009115A9" w:rsidRPr="009115A9">
        <w:rPr>
          <w:noProof/>
          <w:vertAlign w:val="superscript"/>
        </w:rPr>
        <w:t>41</w:t>
      </w:r>
      <w:r w:rsidR="007443CB">
        <w:fldChar w:fldCharType="end"/>
      </w:r>
      <w:r w:rsidR="007443CB">
        <w:t xml:space="preserve"> </w:t>
      </w:r>
      <w:r>
        <w:t>pancreatic cancer,</w:t>
      </w:r>
      <w:r w:rsidR="009A2DAB">
        <w:fldChar w:fldCharType="begin" w:fldLock="1"/>
      </w:r>
      <w:r w:rsidR="009115A9">
        <w:instrText>ADDIN CSL_CITATION {"citationItems":[{"id":"ITEM-1","itemData":{"DOI":"10.1016/j.thromres.2016.12.013","ISSN":"00493848","author":[{"dropping-particle":"","family":"Es","given":"N.","non-dropping-particle":"van","parse-names":false,"suffix":""},{"dropping-particle":"","family":"Franke","given":"V.F.","non-dropping-particle":"","parse-names":false,"suffix":""},{"dropping-particle":"","family":"Middeldorp","given":"S.","non-dropping-particle":"","parse-names":false,"suffix":""},{"dropping-particle":"","family":"Wilmink","given":"J.W.","non-dropping-particle":"","parse-names":false,"suffix":""},{"dropping-particle":"","family":"Büller","given":"H.R.","non-dropping-particle":"","parse-names":false,"suffix":""}],"container-title":"Thrombosis Research","id":"ITEM-1","issued":{"date-parts":[["2017"]]},"page":"30-32","title":"The Khorana score for the prediction of venous thromboembolism in patients with pancreatic cancer","type":"article-journal","volume":"150"},"uris":["http://www.mendeley.com/documents/?uuid=12122b43-6a52-4de8-b937-f1a9b9ecbbef"]},{"id":"ITEM-2","itemData":{"DOI":"10.1007/s12094-014-1165-y","ISSN":"1699-3055","PMID":"24643701","abstract":"PURPOSE To evaluate the incidence of venous thromboembolism (VTE) in ambulatory pancreas cancer patients receiving chemotherapy and analyze Khorana's predictive model of chemotherapy-associated thrombosis. METHODS/PATIENTS We performed a retrospective review to determine the incidence of VTE in the gastrointestinal cancer unit of our center. Between 2008 and 2011, 84 consecutives patients diagnosed with pancreas adenocarcinoma were identified and included in the analysis. Pancreatic neuroendocrine tumors were excluded. RESULTS Thirty patients experienced VTE (35.7 %) and 66 % of the events were diagnosed during the first 6 months after diagnosis. Khorana's score: 33.3 % of the intermediate category patients developed a venous thromboembolic event and 37.5 % in the high-risk category. CONCLUSIONS The high incidence of VTE observed in this study is consistent with prior reports. Specific predictive model for chemotherapy-associated thrombosis in pancreatic cancer must be investigated.","author":[{"dropping-particle":"","family":"Muñoz Martín","given":"A J","non-dropping-particle":"","parse-names":false,"suffix":""},{"dropping-particle":"","family":"García Alfonso","given":"P","non-dropping-particle":"","parse-names":false,"suffix":""},{"dropping-particle":"","family":"Rupérez Blanco","given":"A B","non-dropping-particle":"","parse-names":false,"suffix":""},{"dropping-particle":"","family":"Pérez Ramírez","given":"S","non-dropping-particle":"","parse-names":false,"suffix":""},{"dropping-particle":"","family":"Blanco Codesido","given":"M.","non-dropping-particle":"","parse-names":false,"suffix":""},{"dropping-particle":"","family":"Martín Jiménez","given":"M","non-dropping-particle":"","parse-names":false,"suffix":""}],"container-title":"Clinical &amp; translational oncology : official publication of the Federation of Spanish Oncology Societies and of the National Cancer Institute of Mexico","id":"ITEM-2","issue":"10","issued":{"date-parts":[["2014","10"]]},"page":"927-30","title":"Incidence of venous thromboembolism (VTE) in ambulatory pancreatic cancer patients receiving chemotherapy and analysis of Khorana's predictive model.","type":"article-journal","volume":"16"},"uris":["http://www.mendeley.com/documents/?uuid=4709b71a-72fd-4c38-8824-e68d20fcb6d8"]}],"mendeley":{"formattedCitation":"&lt;sup&gt;11,42&lt;/sup&gt;","plainTextFormattedCitation":"11,42","previouslyFormattedCitation":"&lt;sup&gt;11,41&lt;/sup&gt;"},"properties":{"noteIndex":0},"schema":"https://github.com/citation-style-language/schema/raw/master/csl-citation.json"}</w:instrText>
      </w:r>
      <w:r w:rsidR="009A2DAB">
        <w:fldChar w:fldCharType="separate"/>
      </w:r>
      <w:r w:rsidR="009115A9" w:rsidRPr="009115A9">
        <w:rPr>
          <w:noProof/>
          <w:vertAlign w:val="superscript"/>
        </w:rPr>
        <w:t>11,42</w:t>
      </w:r>
      <w:r w:rsidR="009A2DAB">
        <w:fldChar w:fldCharType="end"/>
      </w:r>
      <w:r>
        <w:t xml:space="preserve"> </w:t>
      </w:r>
      <w:r w:rsidRPr="005615F6">
        <w:t>hepatocellular carcinoma,</w:t>
      </w:r>
      <w:r w:rsidR="004613BD" w:rsidRPr="005615F6">
        <w:fldChar w:fldCharType="begin" w:fldLock="1"/>
      </w:r>
      <w:r w:rsidR="009115A9">
        <w:instrText>ADDIN CSL_CITATION {"citationItems":[{"id":"ITEM-1","itemData":{"DOI":"10.1177/1076029617699088","ISSN":"1076-0296","PMID":"28288526","abstract":"Cancer-associated venous thromboembolism (VTE) is one of the leading causes of mortality and morbidity among patients with malignancy. The Khorana risk score (KRS) is currently the best validated risk assessment model to stratify risks of VTE development in ambulatory patients with cancer. In the current study, we assessed the performance of KRS in patients with hepatocellular carcinoma (HCC). We retrospectively analyzed patients with diagnosis of HCC (screened by International Classification of Diseases [ ICD-9] and ICD-10 code, confirmed with radiographic examination and/or histopathology) at a large public hospital over 15 years (January 2000 through July 2015). Cases with VTE were identified through radiographic examination and blindly adjudicated. Khorana risk score was calculated for each patient, and its association with VTE development and mortality was assessed. Among 270 patients with HCC, 16 (5.9%) cases of VTE were identified, including 7 (43.8%) pulmonary embolism, 4 (25%) peripheral deep vein thrombosis, and 6 (37.5%) intra-abdominal thrombosis. One hundred eighty-four (68.1%) patients had a KRS of 0 and 86 (31.9%) patients had a KRS &gt;0. Most of the thrombotic (n = 9, 56%) events occurred in the low-risk group. In univariate analysis, only prechemotherapy leukocyte count equal to or greater than 11 000/μL was statistically significant in the prediction of VTE incidence. After adjusting for confounding factors in multivariate analysis, KRS &gt;0 was not predictive of VTE (hazard ratio [HR] = 1.83, 95% confidence interval [CI] = 0.81-4.15, P = .15) or mortality (HR = 1.61, 95% CI = 0.92-2.81, P = .09). Khorana risk score did not predict VTE development or mortality in patients with HCC. Design of HCC-specific risk assessment model for VTE development is necessary.","author":[{"dropping-particle":"","family":"Wang","given":"Y","non-dropping-particle":"","parse-names":false,"suffix":""},{"dropping-particle":"","family":"Attar","given":"B M","non-dropping-particle":"","parse-names":false,"suffix":""},{"dropping-particle":"","family":"Fuentes","given":"H E","non-dropping-particle":"","parse-names":false,"suffix":""},{"dropping-particle":"","family":"Yu","given":"J","non-dropping-particle":"","parse-names":false,"suffix":""},{"dropping-particle":"","family":"Zhang","given":"Huiyuan","non-dropping-particle":"","parse-names":false,"suffix":""},{"dropping-particle":"","family":"Tafur","given":"A J","non-dropping-particle":"","parse-names":false,"suffix":""}],"container-title":"Clinical and Applied Thrombosis/Hemostasis","id":"ITEM-1","issued":{"date-parts":[["2017","3","14"]]},"page":"107602961769908","title":"Performance of Khorana Risk Score for Prediction of Venous Thromboembolism in Patients With Hepatocellular Carcinoma","type":"article-journal"},"uris":["http://www.mendeley.com/documents/?uuid=366de347-62f4-4678-abac-5fd28c9167fb"]}],"mendeley":{"formattedCitation":"&lt;sup&gt;43&lt;/sup&gt;","plainTextFormattedCitation":"43","previouslyFormattedCitation":"&lt;sup&gt;42&lt;/sup&gt;"},"properties":{"noteIndex":0},"schema":"https://github.com/citation-style-language/schema/raw/master/csl-citation.json"}</w:instrText>
      </w:r>
      <w:r w:rsidR="004613BD" w:rsidRPr="005615F6">
        <w:fldChar w:fldCharType="separate"/>
      </w:r>
      <w:r w:rsidR="009115A9" w:rsidRPr="009115A9">
        <w:rPr>
          <w:noProof/>
          <w:vertAlign w:val="superscript"/>
        </w:rPr>
        <w:t>43</w:t>
      </w:r>
      <w:r w:rsidR="004613BD" w:rsidRPr="005615F6">
        <w:fldChar w:fldCharType="end"/>
      </w:r>
      <w:r w:rsidRPr="005615F6">
        <w:t xml:space="preserve"> urothelial cell cancer,</w:t>
      </w:r>
      <w:r w:rsidR="00AE2F56" w:rsidRPr="005615F6">
        <w:fldChar w:fldCharType="begin" w:fldLock="1"/>
      </w:r>
      <w:r w:rsidR="00BC28CF">
        <w:instrText>ADDIN CSL_CITATION {"citationItems":[{"id":"ITEM-1","itemData":{"DOI":"10.1002/cncr.29801","ISSN":"10970142","PMID":"26618338","abstract":"&lt;bold&gt;Background: &lt;/bold&gt;The current study compared the incidence of vascular thromboembolic events (VTEs) in patients with metastatic or unresectable urothelial carcinoma (UC) who were treated with gemcitabine and carboplatin (GCb); gemcitabine, carboplatin, and bevacizumab (GCbBev); or gemcitabine and cisplatin (GCis).&lt;bold&gt;Methods: &lt;/bold&gt;Patients with UC who were treated with GCbBev on protocol were analyzed prospectively and 2 contemporary control cohorts receiving GCb or GCis were evaluated retrospectively. VTE was defined as either venous or arterial (myocardial infarctions or cerebral vascular accidents) thrombosis. VTEs were considered to be related to treatment if they occurred during treatment or within 4 weeks of the completion of treatment. Associations with chemotherapy regimen were tested using either the Fisher exact test or Kruskal-Wallis test. Clinical factors associated with VTEs were analyzed using conditional logistic regression stratified by treatment regimen.&lt;bold&gt;Results: &lt;/bold&gt;Among 198 patients, VTEs occurred in 13 of 51 patients treated with GCbBev (26%), 22 of 92 patients treated with GCb (24%), and 8 of 55 patients treated with GCis (15%). Patient characteristics were significantly different between the treatment cohorts in terms of age, prior cystectomy, tumor location near pelvic vessels, Khorana risk group, and receipt of antiplatelet therapy. The incidence of VTE and type of VTE (arterial vs venous) did not differ by type of chemotherapy. Prior cystectomy was associated with an increased risk of VTE (odds ratio, 2.2; 95% confidence interval, 1.0-4.9 [P = .047]).&lt;bold&gt;Conclusions: &lt;/bold&gt;The incidence of VTE in Cis-treated patients was similar to prior reports. However, the VTE rate in Cb-treated patients was &gt; 20%, a figure not previously defined in patients with UC and higher than expected. This high incidence of both Cis-related and Cb-related VTEs warrants greater awareness by treating physicians and deserves further study. Cancer 2016;122:712-721. © 2015 American Cancer Society. [ABSTRACT FROM AUTHOR]","author":[{"dropping-particle":"","family":"Tully","given":"Christopher M.","non-dropping-particle":"","parse-names":false,"suffix":""},{"dropping-particle":"","family":"Apolo","given":"Andrea B.","non-dropping-particle":"","parse-names":false,"suffix":""},{"dropping-particle":"","family":"Zabor","given":"Emily C.","non-dropping-particle":"","parse-names":false,"suffix":""},{"dropping-particle":"","family":"Regazzi","given":"Ashley M.","non-dropping-particle":"","parse-names":false,"suffix":""},{"dropping-particle":"","family":"Ostrovnaya","given":"Irina","non-dropping-particle":"","parse-names":false,"suffix":""},{"dropping-particle":"","family":"Furberg","given":"Helena F.","non-dropping-particle":"","parse-names":false,"suffix":""},{"dropping-particle":"","family":"Rosenberg","given":"Jonathan E.","non-dropping-particle":"","parse-names":false,"suffix":""},{"dropping-particle":"","family":"Bajorin","given":"Dean F.","non-dropping-particle":"","parse-names":false,"suffix":""}],"container-title":"Cancer","id":"ITEM-1","issue":"5","issued":{"date-parts":[["2016"]]},"page":"712-721","title":"The high incidence of vascular thromboembolic events in patients with metastatic or unresectable urothelial cancer treated with platinum chemotherapy agents","type":"article-journal","volume":"122"},"uris":["http://www.mendeley.com/documents/?uuid=08d60665-6467-4bc9-b54b-2fdcf379be9b"]}],"mendeley":{"formattedCitation":"&lt;sup&gt;12&lt;/sup&gt;","plainTextFormattedCitation":"12","previouslyFormattedCitation":"&lt;sup&gt;12&lt;/sup&gt;"},"properties":{"noteIndex":0},"schema":"https://github.com/citation-style-language/schema/raw/master/csl-citation.json"}</w:instrText>
      </w:r>
      <w:r w:rsidR="00AE2F56" w:rsidRPr="005615F6">
        <w:fldChar w:fldCharType="separate"/>
      </w:r>
      <w:r w:rsidR="00EF05F2" w:rsidRPr="00EF05F2">
        <w:rPr>
          <w:noProof/>
          <w:vertAlign w:val="superscript"/>
        </w:rPr>
        <w:t>12</w:t>
      </w:r>
      <w:r w:rsidR="00AE2F56" w:rsidRPr="005615F6">
        <w:fldChar w:fldCharType="end"/>
      </w:r>
      <w:r w:rsidR="00AE2F56" w:rsidRPr="005615F6">
        <w:t xml:space="preserve"> </w:t>
      </w:r>
      <w:r w:rsidRPr="005615F6">
        <w:t>or lung cancer</w:t>
      </w:r>
      <w:r w:rsidR="00820591" w:rsidRPr="005615F6">
        <w:fldChar w:fldCharType="begin" w:fldLock="1"/>
      </w:r>
      <w:r w:rsidR="009115A9">
        <w:instrText>ADDIN CSL_CITATION {"citationItems":[{"id":"ITEM-1","itemData":{"DOI":"10.1111/jth.13378","ISSN":"1538-7836","PMID":"27273134","abstract":"UNLABELLED Essentials Venous thromboembolism (VTE) prevention strategies require effective risk assessment models. We sought to validate the Khorana Risk Score (KRS) in patients with lung cancer. A high KRS was not predictive of VTE but was independently associated with all-cause mortality. Our findings stress the need for a lung cancer-specific VTE risk assessment model. SUMMARY Objectives Lung cancer is strongly associated with venous thromboembolism (VTE), but primary prevention against VTE is not a validated management strategy. Risk assessment models will be necessary for efficient implementation of preventative strategies. Materials and methods Utilizing a prospectively collected lung cancer database, we aimed to validate the Khorana Risk Score (KRS) in the prediction of VTE among patients with lung cancer. VTE events were retrospectively identified by reviewers unaware of the clinical prediction score calculation. The association between KRS and the risk of VTE was examined using cumulative incidence function with competing risk models. Mortality prediction was evaluated as a secondary outcome. Results We included 719 patients in our review. The patients were predominantly older men with non-small cell lung cancer and 40% had metastatic disease at inception. The median follow-up was 15.2 months. There were 83 VTEs (11.5%) and 568 (78.8%) patients died. A high KRS (cumulative incidence, 12.4%; 95% confidence interval [CI], 6.4-20.5%) was not associated with VTE compared with an intermediate score (cumulative incidence, 12.1%; 95% confidence interval, 9.5-15.0%) in both univariate and multivariable analyses. However, a high KRS was a predictor of mortality (hazard ratio, 1.7; 95% CI, 1.4-2.2). Conclusions Among patients with lung cancer, the KRS did not stratify the patients at the highest risk of VTE. Improved risk stratification methods are needed for this group of patients prior to implementing a primary prevention strategy.","author":[{"dropping-particle":"","family":"Mansfield","given":"A. S.","non-dropping-particle":"","parse-names":false,"suffix":""},{"dropping-particle":"","family":"Tafur","given":"A. J.","non-dropping-particle":"","parse-names":false,"suffix":""},{"dropping-particle":"","family":"Wang","given":"C. E.","non-dropping-particle":"","parse-names":false,"suffix":""},{"dropping-particle":"V.","family":"Kourelis","given":"T.","non-dropping-particle":"","parse-names":false,"suffix":""},{"dropping-particle":"","family":"Wysokinska","given":"E. M.","non-dropping-particle":"","parse-names":false,"suffix":""},{"dropping-particle":"","family":"Yang","given":"P.","non-dropping-particle":"","parse-names":false,"suffix":""}],"container-title":"Journal of thrombosis and haemostasis : JTH","id":"ITEM-1","issue":"9","issued":{"date-parts":[["2016","9"]]},"page":"1773-8","title":"Predictors of active cancer thromboembolic outcomes: validation of the Khorana score among patients with lung cancer.","type":"article-journal","volume":"14"},"uris":["http://www.mendeley.com/documents/?uuid=dfeb477a-9aed-4d27-9857-daafc9dd7f07"]}],"mendeley":{"formattedCitation":"&lt;sup&gt;44&lt;/sup&gt;","plainTextFormattedCitation":"44","previouslyFormattedCitation":"&lt;sup&gt;43&lt;/sup&gt;"},"properties":{"noteIndex":0},"schema":"https://github.com/citation-style-language/schema/raw/master/csl-citation.json"}</w:instrText>
      </w:r>
      <w:r w:rsidR="00820591" w:rsidRPr="005615F6">
        <w:fldChar w:fldCharType="separate"/>
      </w:r>
      <w:r w:rsidR="009115A9" w:rsidRPr="009115A9">
        <w:rPr>
          <w:noProof/>
          <w:vertAlign w:val="superscript"/>
        </w:rPr>
        <w:t>44</w:t>
      </w:r>
      <w:r w:rsidR="00820591" w:rsidRPr="005615F6">
        <w:fldChar w:fldCharType="end"/>
      </w:r>
      <w:r w:rsidRPr="005615F6">
        <w:t xml:space="preserve"> did not. </w:t>
      </w:r>
      <w:r w:rsidR="006332C5" w:rsidRPr="005615F6">
        <w:t>The same conclusion was drawn in a recent systematic review and meta-analysis on the performance of the Khorana score</w:t>
      </w:r>
      <w:r w:rsidR="009916EF" w:rsidRPr="005615F6">
        <w:t>;</w:t>
      </w:r>
      <w:r w:rsidR="005615F6" w:rsidRPr="005615F6">
        <w:fldChar w:fldCharType="begin" w:fldLock="1"/>
      </w:r>
      <w:r w:rsidR="009115A9">
        <w:instrText>ADDIN CSL_CITATION {"citationItems":[{"id":"ITEM-1","itemData":{"DOI":"10.3324/haematol.2018.209114","ISSN":"0390-6078","author":[{"dropping-particle":"","family":"Mulder","given":"Frits I.","non-dropping-particle":"","parse-names":false,"suffix":""},{"dropping-particle":"","family":"Candeloro","given":"Matteo","non-dropping-particle":"","parse-names":false,"suffix":""},{"dropping-particle":"","family":"Kamphuisen","given":"Pieter W.","non-dropping-particle":"","parse-names":false,"suffix":""},{"dropping-particle":"","family":"Nisio","given":"Marcello","non-dropping-particle":"Di","parse-names":false,"suffix":""},{"dropping-particle":"","family":"Bossuyt","given":"Patrick M.","non-dropping-particle":"","parse-names":false,"suffix":""},{"dropping-particle":"","family":"Guman","given":"Noori","non-dropping-particle":"","parse-names":false,"suffix":""},{"dropping-particle":"","family":"Smit","given":"Kirsten","non-dropping-particle":"","parse-names":false,"suffix":""},{"dropping-particle":"","family":"Büller","given":"Harry R.","non-dropping-particle":"","parse-names":false,"suffix":""},{"dropping-particle":"","family":"Es","given":"Nick","non-dropping-particle":"van","parse-names":false,"suffix":""}],"container-title":"Haematologica","id":"ITEM-1","issue":"6","issued":{"date-parts":[["2019","6"]]},"page":"1277-1287","title":"The Khorana score for prediction of venous thromboembolism in cancer patients: a systematic review and meta-analysis","type":"article-journal","volume":"104"},"uris":["http://www.mendeley.com/documents/?uuid=44eeea3c-738c-4a20-bc89-1a092a28d2b9"]}],"mendeley":{"formattedCitation":"&lt;sup&gt;45&lt;/sup&gt;","plainTextFormattedCitation":"45","previouslyFormattedCitation":"&lt;sup&gt;44&lt;/sup&gt;"},"properties":{"noteIndex":0},"schema":"https://github.com/citation-style-language/schema/raw/master/csl-citation.json"}</w:instrText>
      </w:r>
      <w:r w:rsidR="005615F6" w:rsidRPr="005615F6">
        <w:fldChar w:fldCharType="separate"/>
      </w:r>
      <w:r w:rsidR="009115A9" w:rsidRPr="009115A9">
        <w:rPr>
          <w:noProof/>
          <w:vertAlign w:val="superscript"/>
        </w:rPr>
        <w:t>45</w:t>
      </w:r>
      <w:r w:rsidR="005615F6" w:rsidRPr="005615F6">
        <w:fldChar w:fldCharType="end"/>
      </w:r>
      <w:r w:rsidR="009916EF" w:rsidRPr="005615F6">
        <w:t xml:space="preserve"> the overall odds ratio between low-to-intermediate and high-risk patients was 1.8, while it ranged from 1.0 in lung cancer patients to 3.0 in those with urogenital cancer. </w:t>
      </w:r>
      <w:r w:rsidR="00E706DD" w:rsidRPr="005615F6">
        <w:t>This heterogeneous performa</w:t>
      </w:r>
      <w:r w:rsidR="00E706DD">
        <w:t xml:space="preserve">nce of the score may reflect the different natural history of VTE across various cancer types and patient populations, as well as differences in design between the original cohort study and subsequent studies, including the present analysis. </w:t>
      </w:r>
    </w:p>
    <w:bookmarkEnd w:id="35"/>
    <w:p w14:paraId="49ED1B11" w14:textId="77777777" w:rsidR="00B11598" w:rsidRPr="00BA308A" w:rsidRDefault="00B11598" w:rsidP="00E51FA1">
      <w:pPr>
        <w:rPr>
          <w:b/>
        </w:rPr>
      </w:pPr>
    </w:p>
    <w:p w14:paraId="13BF7651" w14:textId="6D57A5DD" w:rsidR="004A7031" w:rsidRDefault="00623688" w:rsidP="00E51FA1">
      <w:r>
        <w:t>A</w:t>
      </w:r>
      <w:r w:rsidR="00363471">
        <w:t>lthough t</w:t>
      </w:r>
      <w:r w:rsidR="004A7031">
        <w:t xml:space="preserve">he Khorana score has been introduced as a pan-cancer risk assessment tool, the present analysis challenges that </w:t>
      </w:r>
      <w:r w:rsidR="00FD0EEF">
        <w:t>concept</w:t>
      </w:r>
      <w:r w:rsidR="004A7031">
        <w:t xml:space="preserve">. Clinically significant differences in the discriminatory performance of the Khorana score across cancer types were observed. </w:t>
      </w:r>
      <w:bookmarkStart w:id="36" w:name="_Hlk21106832"/>
      <w:r w:rsidR="000B0A6C">
        <w:t>Most</w:t>
      </w:r>
      <w:r w:rsidR="004A7031">
        <w:t xml:space="preserve"> patients included in this individual patient data meta-analysis had lung cancer, and in this </w:t>
      </w:r>
      <w:proofErr w:type="gramStart"/>
      <w:r w:rsidR="004A7031">
        <w:t xml:space="preserve">subgroup in particular, </w:t>
      </w:r>
      <w:r w:rsidR="00B43CB3">
        <w:t>moderate</w:t>
      </w:r>
      <w:proofErr w:type="gramEnd"/>
      <w:r w:rsidR="00B43CB3">
        <w:t xml:space="preserve"> quality evidence suggests that </w:t>
      </w:r>
      <w:r w:rsidR="004A7031">
        <w:t xml:space="preserve">the Khorana </w:t>
      </w:r>
      <w:r w:rsidR="00474409">
        <w:t>score</w:t>
      </w:r>
      <w:r w:rsidR="004A7031">
        <w:t xml:space="preserve"> </w:t>
      </w:r>
      <w:r w:rsidR="00B43CB3">
        <w:t>is</w:t>
      </w:r>
      <w:r w:rsidR="005775AE">
        <w:t xml:space="preserve"> not discriminatory</w:t>
      </w:r>
      <w:r w:rsidR="00021765">
        <w:t xml:space="preserve"> as reflected by the odds ratio of 1</w:t>
      </w:r>
      <w:r w:rsidR="00D536C3">
        <w:t>.</w:t>
      </w:r>
      <w:r w:rsidR="00021765">
        <w:t>1</w:t>
      </w:r>
      <w:r w:rsidR="004A7031" w:rsidRPr="005775AE">
        <w:t xml:space="preserve">. </w:t>
      </w:r>
      <w:bookmarkEnd w:id="36"/>
      <w:r w:rsidR="004A7031" w:rsidRPr="005775AE">
        <w:t xml:space="preserve">In </w:t>
      </w:r>
      <w:r w:rsidR="005D0034">
        <w:t>contrast</w:t>
      </w:r>
      <w:r w:rsidR="004A7031" w:rsidRPr="005775AE">
        <w:t>, when aggregating data of all patients diagnosed with cancers other than lung cancer,</w:t>
      </w:r>
      <w:r w:rsidR="004772EE">
        <w:t xml:space="preserve"> moderate quality evidence suggests that</w:t>
      </w:r>
      <w:r w:rsidR="004A7031" w:rsidRPr="005775AE">
        <w:t xml:space="preserve"> a </w:t>
      </w:r>
      <w:r w:rsidR="00314D5B">
        <w:t>high-risk</w:t>
      </w:r>
      <w:r w:rsidR="004A7031" w:rsidRPr="005775AE">
        <w:t xml:space="preserve"> Khorana score </w:t>
      </w:r>
      <w:r w:rsidR="004772EE">
        <w:t>is</w:t>
      </w:r>
      <w:r w:rsidR="004A7031" w:rsidRPr="005775AE">
        <w:t xml:space="preserve"> associated with a </w:t>
      </w:r>
      <w:r w:rsidR="000B0A6C">
        <w:t xml:space="preserve">clinically and statistically </w:t>
      </w:r>
      <w:r w:rsidR="004A7031" w:rsidRPr="005775AE">
        <w:t xml:space="preserve">significant </w:t>
      </w:r>
      <w:r w:rsidR="00E6509A">
        <w:t>3</w:t>
      </w:r>
      <w:r w:rsidR="004A7031" w:rsidRPr="005775AE">
        <w:t xml:space="preserve">-fold higher risk of VTE. </w:t>
      </w:r>
      <w:r w:rsidR="0070422F" w:rsidRPr="005775AE">
        <w:t>D</w:t>
      </w:r>
      <w:r w:rsidR="004A7031" w:rsidRPr="005775AE">
        <w:t>ifferences in</w:t>
      </w:r>
      <w:r w:rsidR="004A7031">
        <w:t xml:space="preserve"> baseline risk across cancer types </w:t>
      </w:r>
      <w:r w:rsidR="00363471">
        <w:t xml:space="preserve">are </w:t>
      </w:r>
      <w:r w:rsidR="004A7031">
        <w:t>a likely explanation</w:t>
      </w:r>
      <w:r w:rsidR="00FD2CCB">
        <w:t xml:space="preserve"> for this effect modification</w:t>
      </w:r>
      <w:r w:rsidR="00363471">
        <w:t>,</w:t>
      </w:r>
      <w:r w:rsidR="00FB0058">
        <w:t xml:space="preserve"> </w:t>
      </w:r>
      <w:r w:rsidR="004A7031">
        <w:t>supported by the results of the multivariable analysis</w:t>
      </w:r>
      <w:r w:rsidR="00363471">
        <w:t>,</w:t>
      </w:r>
      <w:r w:rsidR="004A7031">
        <w:t xml:space="preserve"> in which the predictive performance of the Khorana score appeared to be driven by the item ‘tumor type’, while the other items were only weakly associated with </w:t>
      </w:r>
      <w:r w:rsidR="0070422F">
        <w:t xml:space="preserve">the </w:t>
      </w:r>
      <w:r w:rsidR="004A7031">
        <w:t>development of VTE.</w:t>
      </w:r>
      <w:r w:rsidR="00021765" w:rsidRPr="00021765">
        <w:t xml:space="preserve"> </w:t>
      </w:r>
      <w:r w:rsidR="00021765">
        <w:t xml:space="preserve">This illustrates that clinicians should be cautious </w:t>
      </w:r>
      <w:r w:rsidR="00FD2CCB">
        <w:t>if applying</w:t>
      </w:r>
      <w:r w:rsidR="00021765">
        <w:t xml:space="preserve"> the Khorana score as a universal risk assessment tool.</w:t>
      </w:r>
    </w:p>
    <w:p w14:paraId="759DAF3A" w14:textId="77777777" w:rsidR="00B11598" w:rsidRDefault="00B11598" w:rsidP="00E51FA1"/>
    <w:p w14:paraId="37898770" w14:textId="50852DF9" w:rsidR="00B11598" w:rsidRPr="008A5722" w:rsidRDefault="00623688" w:rsidP="00B11598">
      <w:r>
        <w:t xml:space="preserve">Thromboprophylaxis effectively </w:t>
      </w:r>
      <w:r w:rsidR="004E6C6A">
        <w:t>prevent</w:t>
      </w:r>
      <w:r>
        <w:t>s</w:t>
      </w:r>
      <w:r w:rsidR="004E6C6A">
        <w:t xml:space="preserve"> VTE in patients with solid cancer.</w:t>
      </w:r>
      <w:r w:rsidR="00FD0EEF">
        <w:t xml:space="preserve"> Overall,</w:t>
      </w:r>
      <w:r w:rsidR="004E6C6A">
        <w:t xml:space="preserve"> </w:t>
      </w:r>
      <w:r w:rsidR="00FD0EEF">
        <w:t xml:space="preserve">LMWH </w:t>
      </w:r>
      <w:r w:rsidR="0028401D">
        <w:t xml:space="preserve">approximately </w:t>
      </w:r>
      <w:r w:rsidR="00FD0EEF">
        <w:t>halve</w:t>
      </w:r>
      <w:r w:rsidR="00B338EB">
        <w:t>s</w:t>
      </w:r>
      <w:r w:rsidR="00FD0EEF">
        <w:t xml:space="preserve"> the risk of VTE, while not </w:t>
      </w:r>
      <w:r>
        <w:t>resulting in an important increase in</w:t>
      </w:r>
      <w:r w:rsidR="00FD0EEF">
        <w:t xml:space="preserve"> major bleeding.</w:t>
      </w:r>
      <w:r w:rsidR="00285B3A">
        <w:fldChar w:fldCharType="begin" w:fldLock="1"/>
      </w:r>
      <w:r w:rsidR="009115A9">
        <w:instrText>ADDIN CSL_CITATION {"citationItems":[{"id":"ITEM-1","itemData":{"DOI":"10.1111/jth.13291","ISSN":"1538-7836","PMID":"26866515","abstract":"BACKGROUND There is scant information on the optimal management and clinical outcome of deep and superficial vein thrombosis of the upper extremity (UEDVT and UESVT). OBJECTIVES To explore treatment strategies and the incidence of recurrent venous thromboembolism (VTE), mortality, postthrombotic symptoms and bleeding in patients with UEDVT and UESVT, and to assess the prognosis of cancer patients with UEDVT. PATIENTS/METHODS Follow-up of patients with UEDVT or UESVT, who were enrolled previously in a diagnostic management study. RESULTS We followed 102 and 55 patients with UEDVT and UESVT respectively, both for a median of 3.5 years. Anticoagulant treatment was started in 100 patients with UEDVT (98%) and in 40 (73%) with UESVT. Nine patients with UEDVT (9%) developed recurrent VTE, 26 (26%) died, 6 of 72 patients (8%) had moderate postthrombotic symptoms and 5 (5%) experienced major bleeding. One patient with UESVT had a recurrent VTE, 18 (33%) died, none had moderate postthrombotic symptoms and none had major bleeding. Of the cancer patients with UEDVT, 18% had recurrent VTE versus 7.5% in non-cancer patients (adjusted HR 2.2, 95%CI 0.6 to 8.2). The survival rate was 50% in cancer patients with UEDVT versus 60% in those without (adjusted HR 0.8, 95%CI 0.4 to 1.4). CONCLUSIONS The risk of recurrent VTE was low in patients with UEDVT, and negligible for UESVT. Mortality was high for both diseases. Postthrombotic symptoms were infrequent and mild. Anticoagulant therapy of UEDVT carried a substantial risk of major bleeding. Cancer patients had a significant risk of recurrent VTE. This article is protected by copyright. All rights reserved.","author":[{"dropping-particle":"","family":"Bleker","given":"Suzanne M.","non-dropping-particle":"","parse-names":false,"suffix":""},{"dropping-particle":"","family":"Es","given":"Nick","non-dropping-particle":"van","parse-names":false,"suffix":""},{"dropping-particle":"","family":"Kleinjan","given":"Ankie","non-dropping-particle":"","parse-names":false,"suffix":""},{"dropping-particle":"","family":"Büller","given":"Harry R.","non-dropping-particle":"","parse-names":false,"suffix":""},{"dropping-particle":"","family":"Kamphuisen","given":"Pieter W.","non-dropping-particle":"","parse-names":false,"suffix":""},{"dropping-particle":"","family":"Aggarwal","given":"Anita","non-dropping-particle":"","parse-names":false,"suffix":""},{"dropping-particle":"","family":"Beyer-Westendorf","given":"Jan","non-dropping-particle":"","parse-names":false,"suffix":""},{"dropping-particle":"","family":"Camporese","given":"Giuseppe","non-dropping-particle":"","parse-names":false,"suffix":""},{"dropping-particle":"","family":"Cosmi","given":"Benilde","non-dropping-particle":"","parse-names":false,"suffix":""},{"dropping-particle":"","family":"Gary","given":"Thomas","non-dropping-particle":"","parse-names":false,"suffix":""},{"dropping-particle":"","family":"Ghirarduzzi","given":"Angelo","non-dropping-particle":"","parse-names":false,"suffix":""},{"dropping-particle":"","family":"Kaasjager","given":"Karin","non-dropping-particle":"","parse-names":false,"suffix":""},{"dropping-particle":"","family":"Lerede","given":"Teresa","non-dropping-particle":"","parse-names":false,"suffix":""},{"dropping-particle":"","family":"Marschang","given":"Peter","non-dropping-particle":"","parse-names":false,"suffix":""},{"dropping-particle":"","family":"Meijer","given":"Karina","non-dropping-particle":"","parse-names":false,"suffix":""},{"dropping-particle":"","family":"Otten","given":"Hans-Martin","non-dropping-particle":"","parse-names":false,"suffix":""},{"dropping-particle":"","family":"Porreca","given":"Ettore","non-dropping-particle":"","parse-names":false,"suffix":""},{"dropping-particle":"","family":"Righini","given":"Marc","non-dropping-particle":"","parse-names":false,"suffix":""},{"dropping-particle":"","family":"Verhamme","given":"Peter","non-dropping-particle":"","parse-names":false,"suffix":""},{"dropping-particle":"","family":"Wissen","given":"Sanne","non-dropping-particle":"van","parse-names":false,"suffix":""},{"dropping-particle":"Di","family":"Nisio","given":"Marcello","non-dropping-particle":"","parse-names":false,"suffix":""}],"container-title":"Journal of thrombosis and haemostasis : JTH","id":"ITEM-1","issued":{"date-parts":[["2016","2","11"]]},"title":"Current management strategies and long-term clinical outcomes of upper extremity venous thrombosis.","type":"article-journal"},"uris":["http://www.mendeley.com/documents/?uuid=88478f81-9aaa-4f69-ae75-01884f6fa3ff"]}],"mendeley":{"formattedCitation":"&lt;sup&gt;46&lt;/sup&gt;","plainTextFormattedCitation":"46","previouslyFormattedCitation":"&lt;sup&gt;45&lt;/sup&gt;"},"properties":{"noteIndex":0},"schema":"https://github.com/citation-style-language/schema/raw/master/csl-citation.json"}</w:instrText>
      </w:r>
      <w:r w:rsidR="00285B3A">
        <w:fldChar w:fldCharType="separate"/>
      </w:r>
      <w:r w:rsidR="009115A9" w:rsidRPr="009115A9">
        <w:rPr>
          <w:noProof/>
          <w:vertAlign w:val="superscript"/>
        </w:rPr>
        <w:t>46</w:t>
      </w:r>
      <w:r w:rsidR="00285B3A">
        <w:fldChar w:fldCharType="end"/>
      </w:r>
      <w:r w:rsidR="00285B3A">
        <w:t xml:space="preserve"> </w:t>
      </w:r>
      <w:r w:rsidR="00730C78">
        <w:t>The present</w:t>
      </w:r>
      <w:r w:rsidR="007635F8">
        <w:t xml:space="preserve"> study </w:t>
      </w:r>
      <w:r>
        <w:t xml:space="preserve">provides </w:t>
      </w:r>
      <w:r w:rsidR="00B43CB3">
        <w:t>high</w:t>
      </w:r>
      <w:r>
        <w:t xml:space="preserve"> certainty evidence</w:t>
      </w:r>
      <w:r w:rsidR="00D04684">
        <w:t xml:space="preserve"> that LMWH is also safe and effective in patients classified as </w:t>
      </w:r>
      <w:r w:rsidR="00314D5B">
        <w:t>high-risk</w:t>
      </w:r>
      <w:r w:rsidR="007635F8">
        <w:t xml:space="preserve"> by the Khorana score.</w:t>
      </w:r>
      <w:r>
        <w:t xml:space="preserve"> W</w:t>
      </w:r>
      <w:r w:rsidR="00263424">
        <w:t>hen using the Khorana score for risk stratification</w:t>
      </w:r>
      <w:r w:rsidR="00D75B8D">
        <w:t xml:space="preserve"> </w:t>
      </w:r>
      <w:r w:rsidR="004D2B56">
        <w:t xml:space="preserve">in patients with </w:t>
      </w:r>
      <w:r w:rsidR="00FD2CCB">
        <w:t>cancer originating outside the lungs</w:t>
      </w:r>
      <w:r w:rsidR="004D2B56">
        <w:t xml:space="preserve"> </w:t>
      </w:r>
      <w:r w:rsidR="00D75B8D">
        <w:t>and treating only high-risk patients</w:t>
      </w:r>
      <w:r w:rsidR="00363471">
        <w:t>,</w:t>
      </w:r>
      <w:r w:rsidR="00263424">
        <w:t xml:space="preserve"> </w:t>
      </w:r>
      <w:r w:rsidR="00FD2CCB">
        <w:t xml:space="preserve">our analysis </w:t>
      </w:r>
      <w:r w:rsidR="00FD2CCB" w:rsidRPr="008A5722">
        <w:t xml:space="preserve">suggests that as few as 10 such patients need to receive LMWH for 6 months to prevent one VTE event. </w:t>
      </w:r>
      <w:r w:rsidR="00017503" w:rsidRPr="008A5722">
        <w:t xml:space="preserve">However, </w:t>
      </w:r>
      <w:r w:rsidR="00864639" w:rsidRPr="008A5722">
        <w:t xml:space="preserve">for </w:t>
      </w:r>
      <w:r w:rsidR="00E4474E" w:rsidRPr="008A5722">
        <w:t xml:space="preserve">a small group of </w:t>
      </w:r>
      <w:r w:rsidR="00864639" w:rsidRPr="008A5722">
        <w:t xml:space="preserve">patients who </w:t>
      </w:r>
      <w:r w:rsidR="00E4474E" w:rsidRPr="008A5722">
        <w:t>may be</w:t>
      </w:r>
      <w:r w:rsidR="00864639" w:rsidRPr="008A5722">
        <w:t xml:space="preserve"> averse to </w:t>
      </w:r>
      <w:r w:rsidR="00017503" w:rsidRPr="008A5722">
        <w:t xml:space="preserve">daily self-injection of LMWH for </w:t>
      </w:r>
      <w:r w:rsidR="00017503" w:rsidRPr="008A5722">
        <w:lastRenderedPageBreak/>
        <w:t xml:space="preserve">at least </w:t>
      </w:r>
      <w:r w:rsidR="00FD2CCB" w:rsidRPr="008A5722">
        <w:t xml:space="preserve">6 </w:t>
      </w:r>
      <w:r w:rsidR="00017503" w:rsidRPr="008A5722">
        <w:t>months</w:t>
      </w:r>
      <w:r w:rsidR="00864639" w:rsidRPr="008A5722">
        <w:t xml:space="preserve">, the burden may </w:t>
      </w:r>
      <w:r w:rsidR="00FD2CCB" w:rsidRPr="008A5722">
        <w:t xml:space="preserve">still </w:t>
      </w:r>
      <w:r w:rsidR="00864639" w:rsidRPr="008A5722">
        <w:t xml:space="preserve">not be </w:t>
      </w:r>
      <w:r w:rsidR="00E4474E" w:rsidRPr="008A5722">
        <w:t xml:space="preserve">perceived </w:t>
      </w:r>
      <w:r w:rsidR="00864639" w:rsidRPr="008A5722">
        <w:t>worth the anticipated desirable health outcomes</w:t>
      </w:r>
      <w:r w:rsidR="00017503" w:rsidRPr="008A5722">
        <w:t xml:space="preserve">. Direct oral anticoagulants have the potential to </w:t>
      </w:r>
      <w:r w:rsidR="001E03CB" w:rsidRPr="008A5722">
        <w:t>ameliorate</w:t>
      </w:r>
      <w:r w:rsidR="00E4474E" w:rsidRPr="008A5722">
        <w:t xml:space="preserve"> this</w:t>
      </w:r>
      <w:r w:rsidR="00B11598" w:rsidRPr="008A5722">
        <w:t>. A recently completed randomi</w:t>
      </w:r>
      <w:r w:rsidR="00D73AF6">
        <w:t>z</w:t>
      </w:r>
      <w:r w:rsidR="00B11598" w:rsidRPr="008A5722">
        <w:t xml:space="preserve">ed </w:t>
      </w:r>
      <w:r w:rsidR="0028122D" w:rsidRPr="008A5722">
        <w:t>placebo-</w:t>
      </w:r>
      <w:r w:rsidR="00B11598" w:rsidRPr="008A5722">
        <w:t xml:space="preserve">controlled trial showed that apixaban in prophylactic doses effectively reduces the risk of venous thromboembolism in </w:t>
      </w:r>
      <w:r w:rsidR="0028122D" w:rsidRPr="008A5722">
        <w:t xml:space="preserve">cancer </w:t>
      </w:r>
      <w:r w:rsidR="00B11598" w:rsidRPr="008A5722">
        <w:t>patients with a Khorana score of 2 points or higher, with a number needed to treat of 17</w:t>
      </w:r>
      <w:r w:rsidR="00AD1133" w:rsidRPr="008A5722">
        <w:t>.</w:t>
      </w:r>
      <w:r w:rsidR="00AD1133" w:rsidRPr="008A5722">
        <w:rPr>
          <w:rStyle w:val="FootnoteReference"/>
        </w:rPr>
        <w:fldChar w:fldCharType="begin" w:fldLock="1"/>
      </w:r>
      <w:r w:rsidR="009115A9">
        <w:instrText>ADDIN CSL_CITATION {"citationItems":[{"id":"ITEM-1","itemData":{"DOI":"10.1056/NEJMoa1814468","ISSN":"0028-4793","PMID":"30511879","author":[{"dropping-particle":"","family":"Carrier","given":"Marc","non-dropping-particle":"","parse-names":false,"suffix":""},{"dropping-particle":"","family":"Abou-Nassar","given":"Karim","non-dropping-particle":"","parse-names":false,"suffix":""},{"dropping-particle":"","family":"Mallick","given":"Ranjeeta","non-dropping-particle":"","parse-names":false,"suffix":""},{"dropping-particle":"","family":"Tagalakis","given":"Vicky","non-dropping-particle":"","parse-names":false,"suffix":""},{"dropping-particle":"","family":"Shivakumar","given":"Sudeep","non-dropping-particle":"","parse-names":false,"suffix":""},{"dropping-particle":"","family":"Schattner","given":"Ariah","non-dropping-particle":"","parse-names":false,"suffix":""},{"dropping-particle":"","family":"Kuruvilla","given":"Philip","non-dropping-particle":"","parse-names":false,"suffix":""},{"dropping-particle":"","family":"Hill","given":"Danny","non-dropping-particle":"","parse-names":false,"suffix":""},{"dropping-particle":"","family":"Spadafora","given":"Silvana","non-dropping-particle":"","parse-names":false,"suffix":""},{"dropping-particle":"","family":"Marquis","given":"Katerine","non-dropping-particle":"","parse-names":false,"suffix":""},{"dropping-particle":"","family":"Trinkaus","given":"Mateya","non-dropping-particle":"","parse-names":false,"suffix":""},{"dropping-particle":"","family":"Tomiak","given":"Anna","non-dropping-particle":"","parse-names":false,"suffix":""},{"dropping-particle":"","family":"Lee","given":"Agnes Y.Y.","non-dropping-particle":"","parse-names":false,"suffix":""},{"dropping-particle":"","family":"Gross","given":"Peter L.","non-dropping-particle":"","parse-names":false,"suffix":""},{"dropping-particle":"","family":"Lazo-Langner","given":"Alejandro","non-dropping-particle":"","parse-names":false,"suffix":""},{"dropping-particle":"","family":"El-Maraghi","given":"Robert","non-dropping-particle":"","parse-names":false,"suffix":""},{"dropping-particle":"","family":"Goss","given":"Glenwood","non-dropping-particle":"","parse-names":false,"suffix":""},{"dropping-particle":"","family":"Gal","given":"Gregoire","non-dropping-particle":"Le","parse-names":false,"suffix":""},{"dropping-particle":"","family":"Stewart","given":"David","non-dropping-particle":"","parse-names":false,"suffix":""},{"dropping-particle":"","family":"Ramsay","given":"Timothy","non-dropping-particle":"","parse-names":false,"suffix":""},{"dropping-particle":"","family":"Rodger","given":"Marc","non-dropping-particle":"","parse-names":false,"suffix":""},{"dropping-particle":"","family":"Witham","given":"Debra","non-dropping-particle":"","parse-names":false,"suffix":""},{"dropping-particle":"","family":"Wells","given":"Philip S.","non-dropping-particle":"","parse-names":false,"suffix":""}],"container-title":"New England Journal of Medicine","id":"ITEM-1","issued":{"date-parts":[["2018"]]},"page":"NEJMoa1814468","title":"Apixaban to Prevent Venous Thromboembolism in Patients with Cancer","type":"article-journal"},"uris":["http://www.mendeley.com/documents/?uuid=dc557f2f-22c3-4278-bb6a-b9ee773e47e1"]}],"mendeley":{"formattedCitation":"&lt;sup&gt;23&lt;/sup&gt;","plainTextFormattedCitation":"23","previouslyFormattedCitation":"&lt;sup&gt;22&lt;/sup&gt;"},"properties":{"noteIndex":0},"schema":"https://github.com/citation-style-language/schema/raw/master/csl-citation.json"}</w:instrText>
      </w:r>
      <w:r w:rsidR="00AD1133" w:rsidRPr="008A5722">
        <w:rPr>
          <w:rStyle w:val="FootnoteReference"/>
        </w:rPr>
        <w:fldChar w:fldCharType="separate"/>
      </w:r>
      <w:r w:rsidR="009115A9" w:rsidRPr="009115A9">
        <w:rPr>
          <w:noProof/>
          <w:vertAlign w:val="superscript"/>
        </w:rPr>
        <w:t>23</w:t>
      </w:r>
      <w:r w:rsidR="00AD1133" w:rsidRPr="008A5722">
        <w:rPr>
          <w:rStyle w:val="FootnoteReference"/>
        </w:rPr>
        <w:fldChar w:fldCharType="end"/>
      </w:r>
      <w:r w:rsidR="00AD1133">
        <w:t xml:space="preserve"> </w:t>
      </w:r>
      <w:r w:rsidR="0028122D" w:rsidRPr="008A5722">
        <w:t xml:space="preserve">Similarly, </w:t>
      </w:r>
      <w:r w:rsidR="002B3F07" w:rsidRPr="008A5722">
        <w:t xml:space="preserve">rivaroxaban thromboprophylaxis was associated with a non-significant </w:t>
      </w:r>
      <w:r w:rsidR="00191446" w:rsidRPr="008A5722">
        <w:t>2.8</w:t>
      </w:r>
      <w:r w:rsidR="002B3F07" w:rsidRPr="008A5722">
        <w:t>% absolute VTE risk reduction</w:t>
      </w:r>
      <w:r w:rsidR="0028122D" w:rsidRPr="008A5722">
        <w:t xml:space="preserve"> in a placebo-controlled </w:t>
      </w:r>
      <w:r w:rsidR="002B3F07" w:rsidRPr="008A5722">
        <w:t xml:space="preserve">enrolling cancer </w:t>
      </w:r>
      <w:r w:rsidR="0028122D" w:rsidRPr="008A5722">
        <w:t>patients with a Khorana score of at least 2 points.</w:t>
      </w:r>
      <w:r w:rsidR="00BB1AE3" w:rsidRPr="008A5722">
        <w:fldChar w:fldCharType="begin" w:fldLock="1"/>
      </w:r>
      <w:r w:rsidR="009115A9">
        <w:instrText>ADDIN CSL_CITATION {"citationItems":[{"id":"ITEM-1","itemData":{"DOI":"10.1056/NEJMoa1814630","ISSN":"0028-4793","PMID":"30786186","author":[{"dropping-particle":"","family":"Khorana","given":"Alok A.","non-dropping-particle":"","parse-names":false,"suffix":""},{"dropping-particle":"","family":"Soff","given":"Gerald A.","non-dropping-particle":"","parse-names":false,"suffix":""},{"dropping-particle":"","family":"Kakkar","given":"Ajay K.","non-dropping-particle":"","parse-names":false,"suffix":""},{"dropping-particle":"","family":"Vadhan-Raj","given":"Saroj","non-dropping-particle":"","parse-names":false,"suffix":""},{"dropping-particle":"","family":"Riess","given":"Hanno","non-dropping-particle":"","parse-names":false,"suffix":""},{"dropping-particle":"","family":"Wun","given":"Ted","non-dropping-particle":"","parse-names":false,"suffix":""},{"dropping-particle":"","family":"Streiff","given":"Michael B.","non-dropping-particle":"","parse-names":false,"suffix":""},{"dropping-particle":"","family":"Garcia","given":"David A.","non-dropping-particle":"","parse-names":false,"suffix":""},{"dropping-particle":"","family":"Liebman","given":"Howard A.","non-dropping-particle":"","parse-names":false,"suffix":""},{"dropping-particle":"","family":"Belani","given":"Chandra P.","non-dropping-particle":"","parse-names":false,"suffix":""},{"dropping-particle":"","family":"O’Reilly","given":"Eileen M.","non-dropping-particle":"","parse-names":false,"suffix":""},{"dropping-particle":"","family":"Patel","given":"Jai N.","non-dropping-particle":"","parse-names":false,"suffix":""},{"dropping-particle":"","family":"Yimer","given":"Habte A.","non-dropping-particle":"","parse-names":false,"suffix":""},{"dropping-particle":"","family":"Wildgoose","given":"Peter","non-dropping-particle":"","parse-names":false,"suffix":""},{"dropping-particle":"","family":"Burton","given":"Paul","non-dropping-particle":"","parse-names":false,"suffix":""},{"dropping-particle":"","family":"Vijapurkar","given":"Ujjwala","non-dropping-particle":"","parse-names":false,"suffix":""},{"dropping-particle":"","family":"Kaul","given":"Simrati","non-dropping-particle":"","parse-names":false,"suffix":""},{"dropping-particle":"","family":"Eikelboom","given":"John","non-dropping-particle":"","parse-names":false,"suffix":""},{"dropping-particle":"","family":"McBane","given":"Robert","non-dropping-particle":"","parse-names":false,"suffix":""},{"dropping-particle":"","family":"Bauer","given":"Kenneth A.","non-dropping-particle":"","parse-names":false,"suffix":""},{"dropping-particle":"","family":"Kuderer","given":"Nicole M.","non-dropping-particle":"","parse-names":false,"suffix":""},{"dropping-particle":"","family":"Lyman","given":"Gary H.","non-dropping-particle":"","parse-names":false,"suffix":""}],"container-title":"New England Journal of Medicine","id":"ITEM-1","issue":"8","issued":{"date-parts":[["2019"]]},"page":"720-728","title":"Rivaroxaban for Thromboprophylaxis in High-Risk Ambulatory Patients with Cancer","type":"article-journal","volume":"380"},"uris":["http://www.mendeley.com/documents/?uuid=c99bf2e2-4d2a-49cc-8167-c2c419363aa9"]}],"mendeley":{"formattedCitation":"&lt;sup&gt;24&lt;/sup&gt;","plainTextFormattedCitation":"24","previouslyFormattedCitation":"&lt;sup&gt;23&lt;/sup&gt;"},"properties":{"noteIndex":0},"schema":"https://github.com/citation-style-language/schema/raw/master/csl-citation.json"}</w:instrText>
      </w:r>
      <w:r w:rsidR="00BB1AE3" w:rsidRPr="008A5722">
        <w:fldChar w:fldCharType="separate"/>
      </w:r>
      <w:r w:rsidR="009115A9" w:rsidRPr="009115A9">
        <w:rPr>
          <w:noProof/>
          <w:vertAlign w:val="superscript"/>
        </w:rPr>
        <w:t>24</w:t>
      </w:r>
      <w:r w:rsidR="00BB1AE3" w:rsidRPr="008A5722">
        <w:fldChar w:fldCharType="end"/>
      </w:r>
      <w:r w:rsidR="00801BC6">
        <w:t xml:space="preserve"> </w:t>
      </w:r>
      <w:r w:rsidR="002B3F07" w:rsidRPr="008A5722">
        <w:t xml:space="preserve">In both trials, the risk of major bleeding was two-fold </w:t>
      </w:r>
      <w:proofErr w:type="spellStart"/>
      <w:r w:rsidR="002B3F07" w:rsidRPr="008A5722">
        <w:t>increased</w:t>
      </w:r>
      <w:proofErr w:type="spellEnd"/>
      <w:r w:rsidR="002B3F07" w:rsidRPr="008A5722">
        <w:t xml:space="preserve"> in the direct oral anticoagulant groups with a corresponding number needed to harm of 50 to 100. Our analysis, though, does not support the use of a 2-point positivity threshold to select patients for thromboprophylaxis, since the risk of VTE was not significantly higher in patients with 2 or more points compared to those with 0 or 1 point.</w:t>
      </w:r>
      <w:r w:rsidR="000C5296">
        <w:t xml:space="preserve"> Also, the number needed to treat </w:t>
      </w:r>
      <w:r w:rsidR="0007732F">
        <w:t xml:space="preserve">for LMWH increased </w:t>
      </w:r>
      <w:r w:rsidR="00BB6BB2">
        <w:t xml:space="preserve">from 10 to 17 in the non-lung cancer patients </w:t>
      </w:r>
      <w:r w:rsidR="007049CF">
        <w:t>when applying this threshold.</w:t>
      </w:r>
      <w:r w:rsidR="007E5F29">
        <w:t xml:space="preserve"> </w:t>
      </w:r>
    </w:p>
    <w:p w14:paraId="332AC2FD" w14:textId="27819680" w:rsidR="00017503" w:rsidRDefault="00017503" w:rsidP="002C2E1B">
      <w:pPr>
        <w:pStyle w:val="CommentText"/>
      </w:pPr>
      <w:r>
        <w:t xml:space="preserve"> </w:t>
      </w:r>
    </w:p>
    <w:p w14:paraId="0A873B48" w14:textId="2FDEAB1D" w:rsidR="00017503" w:rsidRDefault="00D43C4B" w:rsidP="00E51FA1">
      <w:r>
        <w:t>The present analysis supports the use of the Khorana score</w:t>
      </w:r>
      <w:r w:rsidR="00A72A32">
        <w:t xml:space="preserve"> to select </w:t>
      </w:r>
      <w:r>
        <w:t>patients with other types of cancer than lung cancer</w:t>
      </w:r>
      <w:r w:rsidR="00A72A32">
        <w:t xml:space="preserve"> for thromboprophylaxis. About one of every five non-lung cancer patients had a high-risk Khorana score, and these patients had a </w:t>
      </w:r>
      <w:r w:rsidR="002F2847">
        <w:t>three</w:t>
      </w:r>
      <w:r w:rsidR="00A72A32">
        <w:t xml:space="preserve">-fold </w:t>
      </w:r>
      <w:r w:rsidR="000E35B4">
        <w:t>higher</w:t>
      </w:r>
      <w:r w:rsidR="00A72A32">
        <w:t xml:space="preserve"> risk of VTE when compared to patients with a low-to-intermediate-risk score</w:t>
      </w:r>
      <w:r w:rsidR="00C40824">
        <w:t xml:space="preserve"> resulting in a 10% absolute risk over the 6-month study period</w:t>
      </w:r>
      <w:r w:rsidR="00A72A32">
        <w:t>. Importantly, thromboprophylaxis appeared to be</w:t>
      </w:r>
      <w:r w:rsidR="000E35B4">
        <w:t xml:space="preserve"> very</w:t>
      </w:r>
      <w:r w:rsidR="00A72A32">
        <w:t xml:space="preserve"> effective and safe in preventing VTE in this high-risk group. </w:t>
      </w:r>
      <w:r w:rsidR="00C40824">
        <w:t>At the same time, t</w:t>
      </w:r>
      <w:r w:rsidR="00A72A32">
        <w:t xml:space="preserve">his </w:t>
      </w:r>
      <w:r w:rsidR="00FD2CCB">
        <w:t>analysis highlights the limited</w:t>
      </w:r>
      <w:r w:rsidR="006F4FAD">
        <w:t xml:space="preserve"> sensitivity of the Khorana score. </w:t>
      </w:r>
      <w:r w:rsidR="00FD2CCB">
        <w:t>That is, w</w:t>
      </w:r>
      <w:r w:rsidR="006F4FAD">
        <w:t xml:space="preserve">hile the risk is significantly </w:t>
      </w:r>
      <w:r w:rsidR="00017503">
        <w:t>elevated</w:t>
      </w:r>
      <w:r w:rsidR="00017503" w:rsidDel="00017503">
        <w:t xml:space="preserve"> </w:t>
      </w:r>
      <w:r w:rsidR="006F4FAD">
        <w:t xml:space="preserve">in </w:t>
      </w:r>
      <w:r w:rsidR="00FD2CCB">
        <w:t xml:space="preserve">cancer </w:t>
      </w:r>
      <w:r w:rsidR="006F4FAD">
        <w:t>patients with a high Khorana score, the majority of VTE events still occur in the</w:t>
      </w:r>
      <w:r w:rsidR="00FD2CCB">
        <w:t xml:space="preserve"> (much larger)</w:t>
      </w:r>
      <w:r w:rsidR="006F4FAD">
        <w:t xml:space="preserve"> </w:t>
      </w:r>
      <w:r w:rsidR="00314D5B">
        <w:t>low-risk</w:t>
      </w:r>
      <w:r w:rsidR="006F4FAD">
        <w:t xml:space="preserve"> group. </w:t>
      </w:r>
      <w:r w:rsidR="009E4D56">
        <w:t>This calls for development of risk prediction tools that are either designed for a single type of cancer</w:t>
      </w:r>
      <w:r w:rsidR="00785D7D">
        <w:t>,</w:t>
      </w:r>
      <w:r w:rsidR="009E4D56">
        <w:t xml:space="preserve"> by including cancer-specific risk factors</w:t>
      </w:r>
      <w:r w:rsidR="00B6142D">
        <w:t xml:space="preserve"> for VTE</w:t>
      </w:r>
      <w:r w:rsidR="009E4D56">
        <w:t xml:space="preserve">, or a new </w:t>
      </w:r>
      <w:r w:rsidR="00E706DD">
        <w:t xml:space="preserve">or updated </w:t>
      </w:r>
      <w:r w:rsidR="009E4D56">
        <w:t xml:space="preserve">pan-cancer prediction tool </w:t>
      </w:r>
      <w:r w:rsidR="00017503">
        <w:t xml:space="preserve">with actionable </w:t>
      </w:r>
      <w:r w:rsidR="009E4D56">
        <w:t>performance across a broad range of tumor types</w:t>
      </w:r>
      <w:r w:rsidR="00B6142D">
        <w:t xml:space="preserve">. </w:t>
      </w:r>
      <w:r w:rsidR="00E77F5A">
        <w:t xml:space="preserve">A variety of prediction tools for cancer-associated VTE </w:t>
      </w:r>
      <w:r w:rsidR="00B6142D">
        <w:t xml:space="preserve">aimed at improving risk stratification </w:t>
      </w:r>
      <w:r w:rsidR="00E77F5A">
        <w:t xml:space="preserve">have already been proposed, but </w:t>
      </w:r>
      <w:r w:rsidR="00FD2CCB">
        <w:t xml:space="preserve">none of these has been widely adopted because they </w:t>
      </w:r>
      <w:r w:rsidR="00EC17D4">
        <w:t xml:space="preserve">rely on the addition of tests not routinely used in clinical practice, </w:t>
      </w:r>
      <w:r w:rsidR="00E77F5A">
        <w:t xml:space="preserve">perform only modestly better than the Khorana score, or </w:t>
      </w:r>
      <w:r w:rsidR="00017503">
        <w:t xml:space="preserve">are in need of </w:t>
      </w:r>
      <w:r w:rsidR="00E77F5A">
        <w:t>external validation.</w:t>
      </w:r>
      <w:r w:rsidR="009D2C85">
        <w:fldChar w:fldCharType="begin" w:fldLock="1"/>
      </w:r>
      <w:r w:rsidR="009115A9">
        <w:instrText>ADDIN CSL_CITATION {"citationItems":[{"id":"ITEM-1","itemData":{"DOI":"10.1200/JCO.2010.32.8294","ISBN":"1527-7755; 0732-183X","ISSN":"1527-7755","PMID":"21464402","abstract":"Patients with cancer are at increased risk of venous thromboembolism (VTE). Laboratory tests measuring the overall thrombophilic tendency might be useful to assess VTE risk. The aim of this study was to investigate thrombin generation, a key process in hemostasis, as predictor of cancer-associated VTE.","author":[{"dropping-particle":"","family":"Ay","given":"Cihan","non-dropping-particle":"","parse-names":false,"suffix":""},{"dropping-particle":"","family":"Dunkler","given":"Daniela","non-dropping-particle":"","parse-names":false,"suffix":""},{"dropping-particle":"","family":"Simanek","given":"Ralph","non-dropping-particle":"","parse-names":false,"suffix":""},{"dropping-particle":"","family":"Thaler","given":"Johannes","non-dropping-particle":"","parse-names":false,"suffix":""},{"dropping-particle":"","family":"Koder","given":"Silvia","non-dropping-particle":"","parse-names":false,"suffix":""},{"dropping-particle":"","family":"Marosi","given":"Christine","non-dropping-particle":"","parse-names":false,"suffix":""},{"dropping-particle":"","family":"Zielinski","given":"Christoph","non-dropping-particle":"","parse-names":false,"suffix":""},{"dropping-particle":"","family":"Pabinger","given":"Ingrid","non-dropping-particle":"","parse-names":false,"suffix":""}],"container-title":"Journal of clinical oncology : official journal of the American Society of Clinical Oncology","id":"ITEM-1","issue":"15","issued":{"date-parts":[["2011","5","20"]]},"page":"2099-103","title":"Prediction of venous thromboembolism in patients with cancer by measuring thrombin generation: results from the Vienna Cancer and Thrombosis Study.","type":"article-journal","volume":"29"},"uris":["http://www.mendeley.com/documents/?uuid=74c9dfeb-549e-4918-8592-db308db097b0"]},{"id":"ITEM-2","itemData":{"DOI":"10.1055/s-0033-1349608","ISBN":"0033134960","ISSN":"1439-4413","PMID":"24085361","abstract":"BACKGROUND AND OBJECTIVE The indication for medical venous thrombosis prophylaxis in ambulatory cancer patients is still under discussion. To provide more data on this topic we conducted an analysis in ambulatory patients with advanced pancreatic adenocarcinoma, reflecting a patient cohort at high risk of symptomatic venous thromboembolism (sVTE). PATIENTS AND METHODS Data from 312 consecutively recruited patients of the CONKO-004 trial were analysed according to predefined parameters and additionally with respect to established scores. To focus on patients with highest risk of sVTE unvaried and multivariate analyses were conducted. RESULTS The global analyses had educed a number needed to treat (NNT) by medical thrombosis prophylaxis of 12 patients to prevent one sVTE. The modified score model did not provide further clinical benefit. However, the regression model can identify single parameters with a trend to higher risk of sVTE or higher risk of severe bleeding. Most of the parameters do not have enough power to be significant, but they can support clinical decisions. CONCLUSION These data suggest that medical thrombosis prophylaxis should be performed in patients with advanced pancreatic cancer at least for the initial 3 months of first line chemotherapy.","author":[{"dropping-particle":"","family":"Pelzer","given":"U.","non-dropping-particle":"","parse-names":false,"suffix":""},{"dropping-particle":"","family":"Sinn","given":"M.","non-dropping-particle":"","parse-names":false,"suffix":""},{"dropping-particle":"","family":"Stieler","given":"J.","non-dropping-particle":"","parse-names":false,"suffix":""},{"dropping-particle":"","family":"Riess","given":"H.","non-dropping-particle":"","parse-names":false,"suffix":""}],"container-title":"Deutsche medizinische Wochenschrift (1946)","id":"ITEM-2","issue":"41","issued":{"date-parts":[["2013","10"]]},"page":"2084-8","title":"[Primary pharmacological prevention of thromboembolic events in ambulatory patients with advanced pancreatic cancer treated with chemotherapy?].","type":"article-journal","volume":"138"},"uris":["http://www.mendeley.com/documents/?uuid=89755964-16ff-407f-9609-9cdb3b17ff53"]},{"id":"ITEM-3","itemData":{"DOI":"10.1007/s11739-012-0784-y","ISSN":"1970-9366","PMID":"22547369","author":[{"dropping-particle":"","family":"Verso","given":"Melina","non-dropping-particle":"","parse-names":false,"suffix":""},{"dropping-particle":"","family":"Agnelli","given":"Giancarlo","non-dropping-particle":"","parse-names":false,"suffix":""},{"dropping-particle":"","family":"Barni","given":"Sandro","non-dropping-particle":"","parse-names":false,"suffix":""},{"dropping-particle":"","family":"Gasparini","given":"Giampietro","non-dropping-particle":"","parse-names":false,"suffix":""},{"dropping-particle":"","family":"LaBianca","given":"Roberto","non-dropping-particle":"","parse-names":false,"suffix":""}],"container-title":"Internal and emergency medicine","id":"ITEM-3","issue":"3","issued":{"date-parts":[["2012","6"]]},"page":"291-2","title":"A modified Khorana risk assessment score for venous thromboembolism in cancer patients receiving chemotherapy: the Protecht score.","type":"article-journal","volume":"7"},"uris":["http://www.mendeley.com/documents/?uuid=7f3b5efd-0787-4720-b74d-44c720392b0a"]},{"id":"ITEM-4","itemData":{"DOI":"10.1634/theoncologist.2016-0414","ISSN":"1549-490X","PMID":"28550032","abstract":"BACKGROUND The stratification of outpatients on chemotherapy for breast, colorectal, lung, and ovarian cancers at risk of venous thromboembolism (VTE) remains an unmet clinical need. The derivation of a risk assessment model (RAM) for VTE in these patients was the aim of the study \"Prospective Comparison of Methods for thromboembolic risk assessment with clinical Perceptions and AwareneSS in real life patients-Cancer Associated Thrombosis\" (COMPASS-CAT). PATIENTS AND METHODS The derivation cohort consisted of 1,023 outpatients. Patients on low molecular weight heparin (LMWH) thromboprophylaxis were excluded. Documented symptomatic VTE was the endpoint of the study. RESULTS Patients had breast (61%), colorectal (17%), lung (13%), or ovarian cancer (8.6%) at localized (30%) or advanced stage (70%). In 64% of patients, cancer was diagnosed within the last 6 months prior to inclusion. Most of them were on chemotherapy when assessed. Symptomatic VTE occurred in 8.5% of patients. The COMPASS-CAT RAM includes the following variables: (a) anthracycline or anti-hormonal therapy, (b) time since cancer diagnosis, (c) central venous catheter, (d) stage of cancer, (e) presence of cardiovascular risk factors, (f) recent hospitalization for acute medical illness, (g) personal history of VTE, and (h) platelet count. At 6 months, patients stratified at low/intermediate and high-risk groups had VTE rates of 1.7% and 13.3%, respectively. The area under the curve of receiver operating characteristics analysis was 0.85. The sensitivity and specificity of the RAM were 88% and 52%, respectively. The negative and positive predictive values of the RAM were 98% and 13%, respectively. CONCLUSION The COMPASS-CAT RAM includes reliable and easily collected VTE risk predictors and, in contrast to the Khorana score, it is applicable after the initiation of anticancer treatment in patients with common solid tumors. Its robustness for stratification of patients at high and low/intermediate VTE risk needs to be externally validated. The Oncologist 2017;22:1-10 IMPLICATIONS FOR PRACTICE: The Prospective Comparison of Methods for thromboembolic risk assessment with clinical Perceptions and AwareneSS in real life patients-Cancer Associated Thrombosis (COMPASS-CAT) study provides a new risk assessment model (RAM) for venous thromboembolism (VTE) applicable in outpatients with breast, colorectal, lung or ovarian cancer. The COMPASS-CAT RAM is robust, applicable during chemotherapy and determi…","author":[{"dropping-particle":"","family":"Gerotziafas","given":"Grigoris T","non-dropping-particle":"","parse-names":false,"suffix":""},{"dropping-particle":"","family":"Taher","given":"Ali","non-dropping-particle":"","parse-names":false,"suffix":""},{"dropping-particle":"","family":"Abdel-Razeq","given":"Hikmat","non-dropping-particle":"","parse-names":false,"suffix":""},{"dropping-particle":"","family":"AboElnazar","given":"Essam","non-dropping-particle":"","parse-names":false,"suffix":""},{"dropping-particle":"","family":"Spyropoulos","given":"Alex C","non-dropping-particle":"","parse-names":false,"suffix":""},{"dropping-particle":"","family":"Shemmari","given":"Salem","non-dropping-particle":"El","parse-names":false,"suffix":""},{"dropping-particle":"","family":"Larsen","given":"Annette K","non-dropping-particle":"","parse-names":false,"suffix":""},{"dropping-particle":"","family":"Elalamy","given":"Ismail","non-dropping-particle":"","parse-names":false,"suffix":""},{"dropping-particle":"","family":"COMPASS–CAT Working Group","given":"","non-dropping-particle":"","parse-names":false,"suffix":""}],"container-title":"The oncologist","id":"ITEM-4","issued":{"date-parts":[["2017"]]},"page":"theoncologist.2016-0414","title":"A Predictive Score for Thrombosis Associated with Breast, Colorectal, Lung, or Ovarian Cancer: The Prospective COMPASS-Cancer-Associated Thrombosis Study.","type":"article-journal"},"uris":["http://www.mendeley.com/documents/?uuid=7edbb6dd-d093-4075-9756-611e560d7098"]}],"mendeley":{"formattedCitation":"&lt;sup&gt;47–50&lt;/sup&gt;","plainTextFormattedCitation":"47–50","previouslyFormattedCitation":"&lt;sup&gt;46–49&lt;/sup&gt;"},"properties":{"noteIndex":0},"schema":"https://github.com/citation-style-language/schema/raw/master/csl-citation.json"}</w:instrText>
      </w:r>
      <w:r w:rsidR="009D2C85">
        <w:fldChar w:fldCharType="separate"/>
      </w:r>
      <w:r w:rsidR="009115A9" w:rsidRPr="009115A9">
        <w:rPr>
          <w:noProof/>
          <w:vertAlign w:val="superscript"/>
        </w:rPr>
        <w:t>47–50</w:t>
      </w:r>
      <w:r w:rsidR="009D2C85">
        <w:fldChar w:fldCharType="end"/>
      </w:r>
      <w:r w:rsidR="009D2C85">
        <w:t xml:space="preserve"> </w:t>
      </w:r>
      <w:r w:rsidR="00801BC6">
        <w:t xml:space="preserve"> </w:t>
      </w:r>
      <w:r w:rsidR="00017503">
        <w:t xml:space="preserve">There is </w:t>
      </w:r>
      <w:r w:rsidR="000B0A6C">
        <w:t>significant</w:t>
      </w:r>
      <w:r w:rsidR="00017503">
        <w:t xml:space="preserve"> room for improvement in evaluating the risk of VTE in patients</w:t>
      </w:r>
      <w:r w:rsidR="00FD2CCB">
        <w:t xml:space="preserve"> with solid cancer who receive chemotherapy</w:t>
      </w:r>
      <w:r w:rsidR="00DB1C7E">
        <w:t>, but</w:t>
      </w:r>
      <w:r w:rsidR="00EC17D4">
        <w:t xml:space="preserve"> whether this will involve the addition of further parameters to pre-existing risk stratification tools or the evaluation of novel new biomarkers remains to be seen</w:t>
      </w:r>
      <w:r w:rsidR="00017503">
        <w:t xml:space="preserve">.  </w:t>
      </w:r>
    </w:p>
    <w:p w14:paraId="00F9E4B2" w14:textId="77777777" w:rsidR="00C525AC" w:rsidRDefault="00C525AC" w:rsidP="003343C7">
      <w:pPr>
        <w:ind w:firstLine="708"/>
      </w:pPr>
    </w:p>
    <w:p w14:paraId="0DC7223C" w14:textId="77777777" w:rsidR="00BE2BF4" w:rsidRDefault="00BE2BF4" w:rsidP="003343C7"/>
    <w:p w14:paraId="4AFD36E6" w14:textId="77777777" w:rsidR="00C8421E" w:rsidRDefault="00C8421E">
      <w:pPr>
        <w:spacing w:line="240" w:lineRule="auto"/>
        <w:rPr>
          <w:b/>
        </w:rPr>
      </w:pPr>
      <w:r>
        <w:rPr>
          <w:b/>
        </w:rPr>
        <w:br w:type="page"/>
      </w:r>
    </w:p>
    <w:p w14:paraId="2B7919A9" w14:textId="3DB45A69" w:rsidR="002F239A" w:rsidRDefault="002F239A" w:rsidP="00187754">
      <w:pPr>
        <w:rPr>
          <w:b/>
        </w:rPr>
      </w:pPr>
      <w:r>
        <w:rPr>
          <w:b/>
        </w:rPr>
        <w:lastRenderedPageBreak/>
        <w:t>ACKNOWLEDGMENTS</w:t>
      </w:r>
    </w:p>
    <w:p w14:paraId="54E535D6" w14:textId="4D9871A7" w:rsidR="00E752C6" w:rsidRDefault="0081473B" w:rsidP="00187754">
      <w:pPr>
        <w:autoSpaceDE w:val="0"/>
        <w:autoSpaceDN w:val="0"/>
        <w:adjustRightInd w:val="0"/>
      </w:pPr>
      <w:r>
        <w:t xml:space="preserve">The authors would like to thank the </w:t>
      </w:r>
      <w:r w:rsidR="00E0192C">
        <w:t>research organizations and authors responsible for sharing primary clinical trial data</w:t>
      </w:r>
      <w:r w:rsidR="00E752C6">
        <w:t xml:space="preserve">: Sanofi, Novartis Pharma GmbH, </w:t>
      </w:r>
      <w:r w:rsidR="00E752C6" w:rsidRPr="00E752C6">
        <w:rPr>
          <w:rFonts w:asciiTheme="minorHAnsi" w:hAnsiTheme="minorHAnsi" w:cstheme="minorHAnsi"/>
          <w:szCs w:val="22"/>
          <w:lang w:val="en-CA" w:eastAsia="en-US"/>
        </w:rPr>
        <w:t xml:space="preserve">Instituto </w:t>
      </w:r>
      <w:proofErr w:type="spellStart"/>
      <w:r w:rsidR="00E752C6" w:rsidRPr="00E752C6">
        <w:rPr>
          <w:rFonts w:asciiTheme="minorHAnsi" w:hAnsiTheme="minorHAnsi" w:cstheme="minorHAnsi"/>
          <w:szCs w:val="22"/>
          <w:lang w:val="en-CA" w:eastAsia="en-US"/>
        </w:rPr>
        <w:t>Científico</w:t>
      </w:r>
      <w:proofErr w:type="spellEnd"/>
      <w:r w:rsidR="00E752C6">
        <w:rPr>
          <w:rFonts w:asciiTheme="minorHAnsi" w:hAnsiTheme="minorHAnsi" w:cstheme="minorHAnsi"/>
          <w:szCs w:val="22"/>
          <w:lang w:val="en-CA" w:eastAsia="en-US"/>
        </w:rPr>
        <w:t xml:space="preserve"> </w:t>
      </w:r>
      <w:r w:rsidR="00E752C6" w:rsidRPr="00E752C6">
        <w:rPr>
          <w:rFonts w:asciiTheme="minorHAnsi" w:hAnsiTheme="minorHAnsi" w:cstheme="minorHAnsi"/>
          <w:szCs w:val="22"/>
          <w:lang w:val="en-CA" w:eastAsia="en-US"/>
        </w:rPr>
        <w:t xml:space="preserve">y </w:t>
      </w:r>
      <w:proofErr w:type="spellStart"/>
      <w:r w:rsidR="00E752C6" w:rsidRPr="00E752C6">
        <w:rPr>
          <w:rFonts w:asciiTheme="minorHAnsi" w:hAnsiTheme="minorHAnsi" w:cstheme="minorHAnsi"/>
          <w:szCs w:val="22"/>
          <w:lang w:val="en-CA" w:eastAsia="en-US"/>
        </w:rPr>
        <w:t>Tecnológico</w:t>
      </w:r>
      <w:proofErr w:type="spellEnd"/>
      <w:r w:rsidR="00E752C6" w:rsidRPr="00E752C6">
        <w:rPr>
          <w:rFonts w:asciiTheme="minorHAnsi" w:hAnsiTheme="minorHAnsi" w:cstheme="minorHAnsi"/>
          <w:szCs w:val="22"/>
          <w:lang w:val="en-CA" w:eastAsia="en-US"/>
        </w:rPr>
        <w:t>, University of Navarra</w:t>
      </w:r>
      <w:r w:rsidR="00E752C6">
        <w:rPr>
          <w:rFonts w:asciiTheme="minorHAnsi" w:hAnsiTheme="minorHAnsi" w:cstheme="minorHAnsi"/>
          <w:szCs w:val="22"/>
          <w:lang w:val="en-CA" w:eastAsia="en-US"/>
        </w:rPr>
        <w:t xml:space="preserve">, </w:t>
      </w:r>
      <w:proofErr w:type="spellStart"/>
      <w:r w:rsidR="00E752C6">
        <w:rPr>
          <w:rFonts w:asciiTheme="minorHAnsi" w:hAnsiTheme="minorHAnsi" w:cstheme="minorHAnsi"/>
          <w:szCs w:val="22"/>
          <w:lang w:val="en-CA" w:eastAsia="en-US"/>
        </w:rPr>
        <w:t>Velindre</w:t>
      </w:r>
      <w:proofErr w:type="spellEnd"/>
      <w:r w:rsidR="00E752C6">
        <w:rPr>
          <w:rFonts w:asciiTheme="minorHAnsi" w:hAnsiTheme="minorHAnsi" w:cstheme="minorHAnsi"/>
          <w:szCs w:val="22"/>
          <w:lang w:val="en-CA" w:eastAsia="en-US"/>
        </w:rPr>
        <w:t xml:space="preserve"> National Health Service Trust, </w:t>
      </w:r>
      <w:proofErr w:type="spellStart"/>
      <w:r w:rsidR="00E752C6" w:rsidRPr="00E752C6">
        <w:rPr>
          <w:rFonts w:asciiTheme="minorHAnsi" w:hAnsiTheme="minorHAnsi" w:cstheme="minorHAnsi"/>
          <w:szCs w:val="22"/>
          <w:lang w:val="en-CA" w:eastAsia="en-US"/>
        </w:rPr>
        <w:t>Charité</w:t>
      </w:r>
      <w:proofErr w:type="spellEnd"/>
      <w:r w:rsidR="00E752C6" w:rsidRPr="00E752C6">
        <w:rPr>
          <w:rFonts w:asciiTheme="minorHAnsi" w:hAnsiTheme="minorHAnsi" w:cstheme="minorHAnsi"/>
          <w:szCs w:val="22"/>
          <w:lang w:val="en-CA" w:eastAsia="en-US"/>
        </w:rPr>
        <w:t>–</w:t>
      </w:r>
      <w:proofErr w:type="spellStart"/>
      <w:r w:rsidR="00E752C6" w:rsidRPr="00E752C6">
        <w:rPr>
          <w:rFonts w:asciiTheme="minorHAnsi" w:hAnsiTheme="minorHAnsi" w:cstheme="minorHAnsi"/>
          <w:szCs w:val="22"/>
          <w:lang w:val="en-CA" w:eastAsia="en-US"/>
        </w:rPr>
        <w:t>Universitätsmedizin</w:t>
      </w:r>
      <w:proofErr w:type="spellEnd"/>
      <w:r w:rsidR="00E752C6" w:rsidRPr="00E752C6">
        <w:rPr>
          <w:rFonts w:asciiTheme="minorHAnsi" w:hAnsiTheme="minorHAnsi" w:cstheme="minorHAnsi"/>
          <w:szCs w:val="22"/>
          <w:lang w:val="en-CA" w:eastAsia="en-US"/>
        </w:rPr>
        <w:t xml:space="preserve"> </w:t>
      </w:r>
      <w:r w:rsidR="00E752C6">
        <w:rPr>
          <w:rFonts w:asciiTheme="minorHAnsi" w:hAnsiTheme="minorHAnsi" w:cstheme="minorHAnsi"/>
          <w:szCs w:val="22"/>
          <w:lang w:val="en-CA" w:eastAsia="en-US"/>
        </w:rPr>
        <w:t xml:space="preserve">Berlin, </w:t>
      </w:r>
      <w:r w:rsidR="007210A2">
        <w:rPr>
          <w:rFonts w:asciiTheme="minorHAnsi" w:hAnsiTheme="minorHAnsi" w:cstheme="minorHAnsi"/>
          <w:szCs w:val="22"/>
          <w:lang w:val="en-CA" w:eastAsia="en-US"/>
        </w:rPr>
        <w:t xml:space="preserve">and </w:t>
      </w:r>
      <w:r w:rsidR="00E0192C">
        <w:rPr>
          <w:rFonts w:asciiTheme="minorHAnsi" w:hAnsiTheme="minorHAnsi" w:cstheme="minorHAnsi"/>
          <w:szCs w:val="22"/>
          <w:lang w:val="en-CA" w:eastAsia="en-US"/>
        </w:rPr>
        <w:t>Sunnybrook Health Sciences Centre</w:t>
      </w:r>
      <w:r w:rsidR="007210A2">
        <w:rPr>
          <w:rFonts w:asciiTheme="minorHAnsi" w:hAnsiTheme="minorHAnsi" w:cstheme="minorHAnsi"/>
          <w:szCs w:val="22"/>
          <w:lang w:val="en-CA" w:eastAsia="en-US"/>
        </w:rPr>
        <w:t>.</w:t>
      </w:r>
    </w:p>
    <w:p w14:paraId="52F3BBFD" w14:textId="3511DDD3" w:rsidR="0081473B" w:rsidRDefault="0081473B" w:rsidP="00187754"/>
    <w:p w14:paraId="6B7FC927" w14:textId="38C9D307" w:rsidR="003343C7" w:rsidRDefault="00D33C0E" w:rsidP="00187754">
      <w:r>
        <w:t xml:space="preserve">Funding: </w:t>
      </w:r>
      <w:r w:rsidR="00BB7A85" w:rsidRPr="00BB7A85">
        <w:t>This project is funded by a Knowledge Synthesis grant awarded by the Canadian Institutes for Health Research (grant KRS 126594).</w:t>
      </w:r>
      <w:r w:rsidR="004956F8">
        <w:t xml:space="preserve"> The Canadian Institutes for Health Research had no role in the design, analysis or interpretation</w:t>
      </w:r>
      <w:r w:rsidR="00C65B86">
        <w:t xml:space="preserve"> phases of this investigation</w:t>
      </w:r>
      <w:r w:rsidR="004956F8">
        <w:t>.</w:t>
      </w:r>
    </w:p>
    <w:p w14:paraId="2054BAC1" w14:textId="77777777" w:rsidR="00BB7A85" w:rsidRDefault="00BB7A85" w:rsidP="003343C7"/>
    <w:p w14:paraId="6D8D5301" w14:textId="01EA55A8" w:rsidR="003C39F9" w:rsidRDefault="003C39F9" w:rsidP="003C39F9">
      <w:r>
        <w:t xml:space="preserve">Author contributions: </w:t>
      </w:r>
      <w:r w:rsidRPr="00BB7A85">
        <w:t xml:space="preserve">HS </w:t>
      </w:r>
      <w:r w:rsidR="007210A2">
        <w:t xml:space="preserve">and EAA </w:t>
      </w:r>
      <w:r w:rsidRPr="00BB7A85">
        <w:t>conceived of the study</w:t>
      </w:r>
      <w:r w:rsidR="007210A2">
        <w:t>.</w:t>
      </w:r>
      <w:r w:rsidR="00A11632">
        <w:t xml:space="preserve"> </w:t>
      </w:r>
      <w:r w:rsidR="007210A2">
        <w:t xml:space="preserve">HS </w:t>
      </w:r>
      <w:r w:rsidRPr="00BB7A85">
        <w:t xml:space="preserve">obtained funding. The concept and design of this study were generated primarily by </w:t>
      </w:r>
      <w:proofErr w:type="spellStart"/>
      <w:r>
        <w:t>NvE</w:t>
      </w:r>
      <w:proofErr w:type="spellEnd"/>
      <w:r>
        <w:t>, MV, PMB, HRB, MDN, QZ, E</w:t>
      </w:r>
      <w:r w:rsidR="007210A2">
        <w:t>A</w:t>
      </w:r>
      <w:r>
        <w:t>A, and HS. MDN, SN, MC, MB, DG, GL, FM, GG, AI, JB, LM, IN, MB, JB, GG, SM, NS, MS,</w:t>
      </w:r>
      <w:r w:rsidR="004C1E0B">
        <w:t xml:space="preserve"> CK,</w:t>
      </w:r>
      <w:r>
        <w:t xml:space="preserve"> TB, IF, OGA, ZS, WA, MM, GB, GZ, AM, BL, RL, JE, KS, CL, RM, SMB, UP, MA, MO, JP, and LK collected data in the original studies. </w:t>
      </w:r>
      <w:proofErr w:type="spellStart"/>
      <w:r>
        <w:t>NvE</w:t>
      </w:r>
      <w:proofErr w:type="spellEnd"/>
      <w:r>
        <w:t xml:space="preserve"> performed the statistical analyses. </w:t>
      </w:r>
      <w:proofErr w:type="spellStart"/>
      <w:r>
        <w:t>NvE</w:t>
      </w:r>
      <w:proofErr w:type="spellEnd"/>
      <w:r>
        <w:t>, PMB, MDN, HRB, HS, and MV interpreted the data and drafted the manuscript. QZ, EEA, SN, MC, MB, DG, GL, FM, GG, AI, JB, LM, IN, MB, JB, GG, SM, NS, MS, TB, IF, OGA, ZS, WA, MM, GB, GZ, AM,</w:t>
      </w:r>
      <w:r w:rsidR="004C1E0B">
        <w:t xml:space="preserve"> CK,</w:t>
      </w:r>
      <w:r>
        <w:t xml:space="preserve"> BL, RL, JE, KS, CL, RM, SMB, UP, MA, MO, JP, and LK revised the manuscript for important intellectual content. All authors approved the final version of the manuscript. </w:t>
      </w:r>
    </w:p>
    <w:p w14:paraId="61B645D9" w14:textId="77777777" w:rsidR="003C39F9" w:rsidRDefault="003C39F9" w:rsidP="003343C7"/>
    <w:p w14:paraId="28A272AC" w14:textId="6A583ECD" w:rsidR="00BB7A85" w:rsidRDefault="00A60134" w:rsidP="003343C7">
      <w:r>
        <w:t>Declaration</w:t>
      </w:r>
      <w:r w:rsidR="00BB7A85">
        <w:t xml:space="preserve"> of interest</w:t>
      </w:r>
      <w:r w:rsidR="00E10E43">
        <w:t>s</w:t>
      </w:r>
      <w:r w:rsidR="00BB7A85">
        <w:t xml:space="preserve">: </w:t>
      </w:r>
      <w:proofErr w:type="spellStart"/>
      <w:r w:rsidR="00BB7A85">
        <w:t>NvE</w:t>
      </w:r>
      <w:proofErr w:type="spellEnd"/>
      <w:r w:rsidR="00BB7A85">
        <w:t xml:space="preserve"> has received </w:t>
      </w:r>
      <w:r>
        <w:t xml:space="preserve">advisory board </w:t>
      </w:r>
      <w:r w:rsidR="00BF036C">
        <w:t>honoraria</w:t>
      </w:r>
      <w:r w:rsidR="00BB7A85">
        <w:t xml:space="preserve"> from </w:t>
      </w:r>
      <w:r w:rsidR="00AC741D">
        <w:t>Bayer</w:t>
      </w:r>
      <w:r>
        <w:t>, LEO Pharma</w:t>
      </w:r>
      <w:r w:rsidR="00637853">
        <w:t>,</w:t>
      </w:r>
      <w:r w:rsidR="00BF036C">
        <w:t xml:space="preserve"> and Daiichi Sankyo</w:t>
      </w:r>
      <w:r w:rsidR="00BB7A85">
        <w:t xml:space="preserve">. </w:t>
      </w:r>
      <w:r w:rsidR="00BB7A85" w:rsidRPr="00BB7A85">
        <w:t xml:space="preserve">DG has been a consultant or received research funding from Boehringer Ingelheim, Bristol-Myers Squibb, CSL Behring, Daiichi-Sankyo, Janssen, Pfizer and Portola. SN is on the advisory boards for Leo Pharma, Pfizer, Bristol Meyers Squibb and Bayer. He </w:t>
      </w:r>
      <w:r w:rsidR="00337794">
        <w:t>has received</w:t>
      </w:r>
      <w:r w:rsidR="00BB7A85" w:rsidRPr="00BB7A85">
        <w:t xml:space="preserve"> honoraria for Leo Pharma, Pfizer and </w:t>
      </w:r>
      <w:proofErr w:type="spellStart"/>
      <w:r w:rsidR="00BB7A85" w:rsidRPr="00BB7A85">
        <w:t>Boheringer</w:t>
      </w:r>
      <w:proofErr w:type="spellEnd"/>
      <w:r w:rsidR="00BB7A85" w:rsidRPr="00BB7A85">
        <w:t xml:space="preserve"> Ingelheim, and has received grants from Leo Pharma and Pfizer. GG has </w:t>
      </w:r>
      <w:r w:rsidR="00337794">
        <w:t>been a consultant for</w:t>
      </w:r>
      <w:r w:rsidR="00BB7A85" w:rsidRPr="00BB7A85">
        <w:t xml:space="preserve"> Pfizer on trial design and has also received free drugs from Pfizer for cancer related trials under the UK National Cancer Research</w:t>
      </w:r>
      <w:r w:rsidR="00BB7A85">
        <w:t xml:space="preserve"> Institute. </w:t>
      </w:r>
      <w:r w:rsidR="00BB7A85" w:rsidRPr="00BB7A85">
        <w:t>MD</w:t>
      </w:r>
      <w:r w:rsidR="00BB7A85">
        <w:t>N</w:t>
      </w:r>
      <w:r w:rsidR="00BB7A85" w:rsidRPr="00BB7A85">
        <w:t xml:space="preserve"> has received consulting fees from Bayer Health Care and Grifols. SM has received consulting fees from Portola. MS has received research funding from Portola and has consulted for Daiichi-Sankyo, Boehringer, Pfizer and Janssen Healthcare. AM </w:t>
      </w:r>
      <w:r w:rsidR="00337794">
        <w:t>has received</w:t>
      </w:r>
      <w:r w:rsidR="00BB7A85" w:rsidRPr="00BB7A85">
        <w:t xml:space="preserve"> an </w:t>
      </w:r>
      <w:proofErr w:type="gramStart"/>
      <w:r w:rsidR="00BB7A85" w:rsidRPr="00BB7A85">
        <w:t>advisory board honoraria</w:t>
      </w:r>
      <w:proofErr w:type="gramEnd"/>
      <w:r w:rsidR="00BB7A85" w:rsidRPr="00BB7A85">
        <w:t xml:space="preserve"> for Leo Pharma and Bayer. WA has accepted consulting fees from Bayer, Boehringer Ingelheim, Pfizer, Bristol Meyers Squibb, Daiichi-Sankyo and </w:t>
      </w:r>
      <w:proofErr w:type="spellStart"/>
      <w:r w:rsidR="00BB7A85" w:rsidRPr="00BB7A85">
        <w:t>Italfarmaco</w:t>
      </w:r>
      <w:proofErr w:type="spellEnd"/>
      <w:r w:rsidR="00BB7A85" w:rsidRPr="00BB7A85">
        <w:t>. WA has also received research support from Bayer.</w:t>
      </w:r>
      <w:r w:rsidR="000B0A6C" w:rsidRPr="000B0A6C">
        <w:t xml:space="preserve"> MAC reports receiving fees for participation in Data Safety Monitoring committees from Bayer and Daiichi, fees for advisory boards or educational material preparation/presentation from Shionogi, Portola, </w:t>
      </w:r>
      <w:proofErr w:type="spellStart"/>
      <w:r w:rsidR="000B0A6C" w:rsidRPr="000B0A6C">
        <w:t>Octapharma</w:t>
      </w:r>
      <w:proofErr w:type="spellEnd"/>
      <w:r w:rsidR="000B0A6C" w:rsidRPr="000B0A6C">
        <w:t xml:space="preserve">, Bayer, </w:t>
      </w:r>
      <w:r w:rsidR="000B0A6C" w:rsidRPr="000B0A6C">
        <w:lastRenderedPageBreak/>
        <w:t xml:space="preserve">Pfizer, Alexion, and </w:t>
      </w:r>
      <w:proofErr w:type="spellStart"/>
      <w:r w:rsidR="000B0A6C" w:rsidRPr="000B0A6C">
        <w:t>Boerhringer</w:t>
      </w:r>
      <w:proofErr w:type="spellEnd"/>
      <w:r w:rsidR="000B0A6C" w:rsidRPr="000B0A6C">
        <w:t xml:space="preserve"> Ingelheim, Institutional funding from Bayer and Leo Pharma and personal stock ownership in Alnylam. </w:t>
      </w:r>
      <w:r w:rsidR="00BB7A85" w:rsidRPr="00BB7A85">
        <w:t>None of the other authors report any conflicts of interest.</w:t>
      </w:r>
    </w:p>
    <w:p w14:paraId="10BC7057" w14:textId="77777777" w:rsidR="00900C0D" w:rsidRDefault="00900C0D" w:rsidP="00900C0D">
      <w:pPr>
        <w:rPr>
          <w:sz w:val="18"/>
          <w:szCs w:val="18"/>
        </w:rPr>
      </w:pPr>
    </w:p>
    <w:p w14:paraId="282E8044" w14:textId="77777777" w:rsidR="00900C0D" w:rsidRDefault="00900C0D" w:rsidP="00900C0D">
      <w:pPr>
        <w:rPr>
          <w:sz w:val="18"/>
          <w:szCs w:val="18"/>
        </w:rPr>
      </w:pPr>
    </w:p>
    <w:p w14:paraId="0B01FC7B" w14:textId="77777777" w:rsidR="002B72A0" w:rsidRDefault="002B72A0" w:rsidP="00A621B4">
      <w:pPr>
        <w:rPr>
          <w:b/>
        </w:rPr>
        <w:sectPr w:rsidR="002B72A0" w:rsidSect="002B72A0">
          <w:footerReference w:type="default" r:id="rId15"/>
          <w:pgSz w:w="11906" w:h="16838"/>
          <w:pgMar w:top="1417" w:right="1417" w:bottom="1417" w:left="1417" w:header="708" w:footer="708" w:gutter="0"/>
          <w:cols w:space="708"/>
          <w:docGrid w:linePitch="360"/>
        </w:sectPr>
      </w:pPr>
    </w:p>
    <w:p w14:paraId="23C685C3" w14:textId="5EDACD47" w:rsidR="00A621B4" w:rsidRPr="00D902A3" w:rsidRDefault="00A621B4" w:rsidP="00A621B4">
      <w:pPr>
        <w:rPr>
          <w:b/>
        </w:rPr>
      </w:pPr>
      <w:r>
        <w:rPr>
          <w:b/>
        </w:rPr>
        <w:lastRenderedPageBreak/>
        <w:t xml:space="preserve">Table </w:t>
      </w:r>
      <w:r w:rsidR="00F56AF8">
        <w:rPr>
          <w:b/>
        </w:rPr>
        <w:t>1</w:t>
      </w:r>
      <w:r>
        <w:rPr>
          <w:b/>
        </w:rPr>
        <w:t>. Study characteristics</w:t>
      </w:r>
    </w:p>
    <w:tbl>
      <w:tblPr>
        <w:tblStyle w:val="TableGrid"/>
        <w:tblW w:w="0" w:type="auto"/>
        <w:tblLook w:val="04A0" w:firstRow="1" w:lastRow="0" w:firstColumn="1" w:lastColumn="0" w:noHBand="0" w:noVBand="1"/>
      </w:tblPr>
      <w:tblGrid>
        <w:gridCol w:w="1231"/>
        <w:gridCol w:w="915"/>
        <w:gridCol w:w="1248"/>
        <w:gridCol w:w="1928"/>
        <w:gridCol w:w="2301"/>
        <w:gridCol w:w="1318"/>
        <w:gridCol w:w="1053"/>
        <w:gridCol w:w="874"/>
        <w:gridCol w:w="3126"/>
      </w:tblGrid>
      <w:tr w:rsidR="002B2347" w:rsidRPr="00441CA9" w14:paraId="6B138C46" w14:textId="77777777" w:rsidTr="00BD387D">
        <w:tc>
          <w:tcPr>
            <w:tcW w:w="0" w:type="auto"/>
          </w:tcPr>
          <w:p w14:paraId="120661BC" w14:textId="77777777" w:rsidR="00BD387D" w:rsidRPr="00441CA9" w:rsidRDefault="00BD387D" w:rsidP="00CE408C">
            <w:pPr>
              <w:spacing w:line="240" w:lineRule="auto"/>
              <w:rPr>
                <w:sz w:val="20"/>
                <w:szCs w:val="20"/>
              </w:rPr>
            </w:pPr>
            <w:r w:rsidRPr="00441CA9">
              <w:rPr>
                <w:sz w:val="20"/>
                <w:szCs w:val="20"/>
              </w:rPr>
              <w:t>Study</w:t>
            </w:r>
          </w:p>
        </w:tc>
        <w:tc>
          <w:tcPr>
            <w:tcW w:w="0" w:type="auto"/>
          </w:tcPr>
          <w:p w14:paraId="19E01F3F" w14:textId="77777777" w:rsidR="00BD387D" w:rsidRPr="00441CA9" w:rsidRDefault="00BD387D" w:rsidP="00CE408C">
            <w:pPr>
              <w:spacing w:line="240" w:lineRule="auto"/>
              <w:jc w:val="center"/>
              <w:rPr>
                <w:sz w:val="20"/>
                <w:szCs w:val="20"/>
              </w:rPr>
            </w:pPr>
            <w:r w:rsidRPr="00441CA9">
              <w:rPr>
                <w:sz w:val="20"/>
                <w:szCs w:val="20"/>
              </w:rPr>
              <w:t>Design</w:t>
            </w:r>
          </w:p>
        </w:tc>
        <w:tc>
          <w:tcPr>
            <w:tcW w:w="0" w:type="auto"/>
          </w:tcPr>
          <w:p w14:paraId="461B8555" w14:textId="77777777" w:rsidR="00BD387D" w:rsidRPr="00441CA9" w:rsidRDefault="00BD387D" w:rsidP="00CE408C">
            <w:pPr>
              <w:spacing w:line="240" w:lineRule="auto"/>
              <w:jc w:val="center"/>
              <w:rPr>
                <w:sz w:val="20"/>
                <w:szCs w:val="20"/>
              </w:rPr>
            </w:pPr>
            <w:r w:rsidRPr="00441CA9">
              <w:rPr>
                <w:sz w:val="20"/>
                <w:szCs w:val="20"/>
              </w:rPr>
              <w:t>Inclusion period</w:t>
            </w:r>
          </w:p>
        </w:tc>
        <w:tc>
          <w:tcPr>
            <w:tcW w:w="0" w:type="auto"/>
          </w:tcPr>
          <w:p w14:paraId="28D6F8BA" w14:textId="77777777" w:rsidR="00BD387D" w:rsidRPr="00441CA9" w:rsidRDefault="00BD387D" w:rsidP="00CE408C">
            <w:pPr>
              <w:spacing w:line="240" w:lineRule="auto"/>
              <w:jc w:val="center"/>
              <w:rPr>
                <w:sz w:val="20"/>
                <w:szCs w:val="20"/>
              </w:rPr>
            </w:pPr>
            <w:r w:rsidRPr="00441CA9">
              <w:rPr>
                <w:sz w:val="20"/>
                <w:szCs w:val="20"/>
              </w:rPr>
              <w:t>Patients</w:t>
            </w:r>
          </w:p>
        </w:tc>
        <w:tc>
          <w:tcPr>
            <w:tcW w:w="0" w:type="auto"/>
          </w:tcPr>
          <w:p w14:paraId="5A10D228" w14:textId="77777777" w:rsidR="00BD387D" w:rsidRPr="00441CA9" w:rsidRDefault="00BD387D" w:rsidP="00C525AC">
            <w:pPr>
              <w:spacing w:line="240" w:lineRule="auto"/>
              <w:jc w:val="center"/>
              <w:rPr>
                <w:sz w:val="20"/>
                <w:szCs w:val="20"/>
              </w:rPr>
            </w:pPr>
            <w:r w:rsidRPr="00441CA9">
              <w:rPr>
                <w:sz w:val="20"/>
                <w:szCs w:val="20"/>
              </w:rPr>
              <w:t xml:space="preserve">Experimental </w:t>
            </w:r>
            <w:r>
              <w:rPr>
                <w:sz w:val="20"/>
                <w:szCs w:val="20"/>
              </w:rPr>
              <w:t>treatment</w:t>
            </w:r>
          </w:p>
        </w:tc>
        <w:tc>
          <w:tcPr>
            <w:tcW w:w="0" w:type="auto"/>
          </w:tcPr>
          <w:p w14:paraId="525B3986" w14:textId="0BD2BA39" w:rsidR="00BD387D" w:rsidRPr="00441CA9" w:rsidRDefault="00780086" w:rsidP="00CE408C">
            <w:pPr>
              <w:spacing w:line="240" w:lineRule="auto"/>
              <w:jc w:val="center"/>
              <w:rPr>
                <w:sz w:val="20"/>
                <w:szCs w:val="20"/>
              </w:rPr>
            </w:pPr>
            <w:r>
              <w:rPr>
                <w:sz w:val="20"/>
                <w:szCs w:val="20"/>
              </w:rPr>
              <w:t>Randomi</w:t>
            </w:r>
            <w:r w:rsidR="00106BA7">
              <w:rPr>
                <w:sz w:val="20"/>
                <w:szCs w:val="20"/>
              </w:rPr>
              <w:t>z</w:t>
            </w:r>
            <w:r>
              <w:rPr>
                <w:sz w:val="20"/>
                <w:szCs w:val="20"/>
              </w:rPr>
              <w:t>ed</w:t>
            </w:r>
            <w:r w:rsidR="00BD387D" w:rsidRPr="00441CA9">
              <w:rPr>
                <w:sz w:val="20"/>
                <w:szCs w:val="20"/>
              </w:rPr>
              <w:t xml:space="preserve"> patients</w:t>
            </w:r>
          </w:p>
        </w:tc>
        <w:tc>
          <w:tcPr>
            <w:tcW w:w="0" w:type="auto"/>
          </w:tcPr>
          <w:p w14:paraId="10BAA03A" w14:textId="77777777" w:rsidR="00BD387D" w:rsidRPr="00441CA9" w:rsidRDefault="00BD387D" w:rsidP="00BD387D">
            <w:pPr>
              <w:spacing w:line="240" w:lineRule="auto"/>
              <w:jc w:val="center"/>
              <w:rPr>
                <w:sz w:val="20"/>
                <w:szCs w:val="20"/>
              </w:rPr>
            </w:pPr>
            <w:r>
              <w:rPr>
                <w:sz w:val="20"/>
                <w:szCs w:val="20"/>
              </w:rPr>
              <w:t>Patients in control group</w:t>
            </w:r>
          </w:p>
        </w:tc>
        <w:tc>
          <w:tcPr>
            <w:tcW w:w="0" w:type="auto"/>
          </w:tcPr>
          <w:p w14:paraId="62A17CAD" w14:textId="77777777" w:rsidR="00BD387D" w:rsidRPr="00441CA9" w:rsidRDefault="00BD387D" w:rsidP="00CE408C">
            <w:pPr>
              <w:spacing w:line="240" w:lineRule="auto"/>
              <w:jc w:val="center"/>
              <w:rPr>
                <w:sz w:val="20"/>
                <w:szCs w:val="20"/>
              </w:rPr>
            </w:pPr>
            <w:r w:rsidRPr="00441CA9">
              <w:rPr>
                <w:sz w:val="20"/>
                <w:szCs w:val="20"/>
              </w:rPr>
              <w:t>Follow-up</w:t>
            </w:r>
          </w:p>
        </w:tc>
        <w:tc>
          <w:tcPr>
            <w:tcW w:w="0" w:type="auto"/>
          </w:tcPr>
          <w:p w14:paraId="6838EE1C" w14:textId="77777777" w:rsidR="00BD387D" w:rsidRPr="00441CA9" w:rsidRDefault="00BD387D" w:rsidP="00441CA9">
            <w:pPr>
              <w:spacing w:line="240" w:lineRule="auto"/>
              <w:jc w:val="center"/>
              <w:rPr>
                <w:sz w:val="20"/>
                <w:szCs w:val="20"/>
              </w:rPr>
            </w:pPr>
            <w:r>
              <w:rPr>
                <w:sz w:val="20"/>
                <w:szCs w:val="20"/>
              </w:rPr>
              <w:t xml:space="preserve">Definition of </w:t>
            </w:r>
            <w:r w:rsidRPr="00441CA9">
              <w:rPr>
                <w:sz w:val="20"/>
                <w:szCs w:val="20"/>
              </w:rPr>
              <w:t>VTE</w:t>
            </w:r>
          </w:p>
        </w:tc>
      </w:tr>
      <w:tr w:rsidR="002B2347" w:rsidRPr="00441CA9" w14:paraId="35ABFEB5" w14:textId="77777777" w:rsidTr="00BD387D">
        <w:tc>
          <w:tcPr>
            <w:tcW w:w="0" w:type="auto"/>
          </w:tcPr>
          <w:p w14:paraId="67F94D0B" w14:textId="69BEBAD8" w:rsidR="00BD387D" w:rsidRPr="00441CA9" w:rsidRDefault="00BD387D" w:rsidP="00E10E43">
            <w:pPr>
              <w:spacing w:line="240" w:lineRule="auto"/>
              <w:rPr>
                <w:sz w:val="20"/>
                <w:szCs w:val="20"/>
              </w:rPr>
            </w:pPr>
            <w:r w:rsidRPr="00441CA9">
              <w:rPr>
                <w:sz w:val="20"/>
                <w:szCs w:val="20"/>
              </w:rPr>
              <w:t>Agnelli (2012)</w:t>
            </w:r>
            <w:r w:rsidR="007B2424" w:rsidRPr="00441CA9">
              <w:rPr>
                <w:sz w:val="20"/>
                <w:szCs w:val="20"/>
              </w:rPr>
              <w:fldChar w:fldCharType="begin" w:fldLock="1"/>
            </w:r>
            <w:r w:rsidR="009115A9">
              <w:rPr>
                <w:sz w:val="20"/>
                <w:szCs w:val="20"/>
              </w:rPr>
              <w:instrText>ADDIN CSL_CITATION {"citationItems":[{"id":"ITEM-1","itemData":{"DOI":"10.1056/NEJMoa1108898","ISBN":"1533-4406 (Electronic)\\r0028-4793 (Linking)","ISSN":"1533-4406","PMID":"22335737","abstract":"Patients receiving chemotherapy for cancer are at increased risk for venous thromboembolism. Limited data support the clinical benefit of antithrombotic prophylaxis.","author":[{"dropping-particle":"","family":"Agnelli","given":"Giancarlo","non-dropping-particle":"","parse-names":false,"suffix":""},{"dropping-particle":"","family":"George","given":"Daniel J.","non-dropping-particle":"","parse-names":false,"suffix":""},{"dropping-particle":"","family":"Kakkar","given":"Ajay K.","non-dropping-particle":"","parse-names":false,"suffix":""},{"dropping-particle":"","family":"Fisher","given":"William","non-dropping-particle":"","parse-names":false,"suffix":""},{"dropping-particle":"","family":"Lassen","given":"Michael R.","non-dropping-particle":"","parse-names":false,"suffix":""},{"dropping-particle":"","family":"Mismetti","given":"Patrick","non-dropping-particle":"","parse-names":false,"suffix":""},{"dropping-particle":"","family":"Mouret","given":"Patrick","non-dropping-particle":"","parse-names":false,"suffix":""},{"dropping-particle":"","family":"Chaudhari","given":"Umesh","non-dropping-particle":"","parse-names":false,"suffix":""},{"dropping-particle":"","family":"Lawson","given":"Francesca","non-dropping-particle":"","parse-names":false,"suffix":""},{"dropping-particle":"","family":"Turpie","given":"Alexander G.G. G","non-dropping-particle":"","parse-names":false,"suffix":""}],"container-title":"The New England journal of medicine","id":"ITEM-1","issue":"7","issued":{"date-parts":[["2012","2","16"]]},"page":"601-9","title":"Semuloparin for thromboprophylaxis in patients receiving chemotherapy for cancer.","type":"article-journal","volume":"366"},"uris":["http://www.mendeley.com/documents/?uuid=163e97f3-3044-457c-b2b6-2ea1146a67b4"]}],"mendeley":{"formattedCitation":"&lt;sup&gt;26&lt;/sup&gt;","plainTextFormattedCitation":"26","previouslyFormattedCitation":"&lt;sup&gt;25&lt;/sup&gt;"},"properties":{"noteIndex":0},"schema":"https://github.com/citation-style-language/schema/raw/master/csl-citation.json"}</w:instrText>
            </w:r>
            <w:r w:rsidR="007B2424" w:rsidRPr="00441CA9">
              <w:rPr>
                <w:sz w:val="20"/>
                <w:szCs w:val="20"/>
              </w:rPr>
              <w:fldChar w:fldCharType="separate"/>
            </w:r>
            <w:r w:rsidR="009115A9" w:rsidRPr="009115A9">
              <w:rPr>
                <w:noProof/>
                <w:sz w:val="20"/>
                <w:szCs w:val="20"/>
                <w:vertAlign w:val="superscript"/>
              </w:rPr>
              <w:t>26</w:t>
            </w:r>
            <w:r w:rsidR="007B2424" w:rsidRPr="00441CA9">
              <w:rPr>
                <w:sz w:val="20"/>
                <w:szCs w:val="20"/>
              </w:rPr>
              <w:fldChar w:fldCharType="end"/>
            </w:r>
          </w:p>
        </w:tc>
        <w:tc>
          <w:tcPr>
            <w:tcW w:w="0" w:type="auto"/>
          </w:tcPr>
          <w:p w14:paraId="620D8353" w14:textId="77777777" w:rsidR="00BD387D" w:rsidRPr="00441CA9" w:rsidRDefault="00BD387D" w:rsidP="00CE408C">
            <w:pPr>
              <w:spacing w:line="240" w:lineRule="auto"/>
              <w:jc w:val="center"/>
              <w:rPr>
                <w:sz w:val="20"/>
                <w:szCs w:val="20"/>
              </w:rPr>
            </w:pPr>
            <w:r w:rsidRPr="00441CA9">
              <w:rPr>
                <w:sz w:val="20"/>
                <w:szCs w:val="20"/>
              </w:rPr>
              <w:t>Double-blind</w:t>
            </w:r>
          </w:p>
        </w:tc>
        <w:tc>
          <w:tcPr>
            <w:tcW w:w="0" w:type="auto"/>
          </w:tcPr>
          <w:p w14:paraId="3B73E94F" w14:textId="77777777" w:rsidR="00BD387D" w:rsidRPr="00441CA9" w:rsidRDefault="00BD387D" w:rsidP="00CE408C">
            <w:pPr>
              <w:spacing w:line="240" w:lineRule="auto"/>
              <w:jc w:val="center"/>
              <w:rPr>
                <w:sz w:val="20"/>
                <w:szCs w:val="20"/>
              </w:rPr>
            </w:pPr>
            <w:r>
              <w:rPr>
                <w:sz w:val="20"/>
                <w:szCs w:val="20"/>
              </w:rPr>
              <w:t>June 2008-November 2010</w:t>
            </w:r>
          </w:p>
        </w:tc>
        <w:tc>
          <w:tcPr>
            <w:tcW w:w="0" w:type="auto"/>
          </w:tcPr>
          <w:p w14:paraId="68CA5397" w14:textId="77777777" w:rsidR="00BD387D" w:rsidRPr="00441CA9" w:rsidRDefault="00BD387D" w:rsidP="00DC0D19">
            <w:pPr>
              <w:spacing w:line="240" w:lineRule="auto"/>
              <w:jc w:val="center"/>
              <w:rPr>
                <w:sz w:val="20"/>
                <w:szCs w:val="20"/>
              </w:rPr>
            </w:pPr>
            <w:r w:rsidRPr="00441CA9">
              <w:rPr>
                <w:sz w:val="20"/>
                <w:szCs w:val="20"/>
              </w:rPr>
              <w:t>Locally advanced or metastatic cancer of lung, pancreas, stomach, colon, bladder, or ovary</w:t>
            </w:r>
          </w:p>
        </w:tc>
        <w:tc>
          <w:tcPr>
            <w:tcW w:w="0" w:type="auto"/>
          </w:tcPr>
          <w:p w14:paraId="34F5A42B" w14:textId="77777777" w:rsidR="00BD387D" w:rsidRPr="00441CA9" w:rsidRDefault="00BD387D" w:rsidP="00CE408C">
            <w:pPr>
              <w:spacing w:line="240" w:lineRule="auto"/>
              <w:jc w:val="center"/>
              <w:rPr>
                <w:sz w:val="20"/>
                <w:szCs w:val="20"/>
              </w:rPr>
            </w:pPr>
            <w:proofErr w:type="spellStart"/>
            <w:r w:rsidRPr="00441CA9">
              <w:rPr>
                <w:sz w:val="20"/>
                <w:szCs w:val="20"/>
              </w:rPr>
              <w:t>Semuloparin</w:t>
            </w:r>
            <w:proofErr w:type="spellEnd"/>
            <w:r w:rsidRPr="00441CA9">
              <w:rPr>
                <w:sz w:val="20"/>
                <w:szCs w:val="20"/>
              </w:rPr>
              <w:t xml:space="preserve"> 20 mg od during chemotherapy</w:t>
            </w:r>
          </w:p>
        </w:tc>
        <w:tc>
          <w:tcPr>
            <w:tcW w:w="0" w:type="auto"/>
          </w:tcPr>
          <w:p w14:paraId="4EA7D711" w14:textId="77777777" w:rsidR="00BD387D" w:rsidRPr="00441CA9" w:rsidRDefault="00BD387D" w:rsidP="00CE408C">
            <w:pPr>
              <w:spacing w:line="240" w:lineRule="auto"/>
              <w:jc w:val="center"/>
              <w:rPr>
                <w:sz w:val="20"/>
                <w:szCs w:val="20"/>
              </w:rPr>
            </w:pPr>
            <w:r w:rsidRPr="00441CA9">
              <w:rPr>
                <w:sz w:val="20"/>
                <w:szCs w:val="20"/>
              </w:rPr>
              <w:t>3,212</w:t>
            </w:r>
          </w:p>
        </w:tc>
        <w:tc>
          <w:tcPr>
            <w:tcW w:w="0" w:type="auto"/>
          </w:tcPr>
          <w:p w14:paraId="17F29207" w14:textId="77777777" w:rsidR="00BD387D" w:rsidRPr="00441CA9" w:rsidRDefault="00BD387D" w:rsidP="00CE408C">
            <w:pPr>
              <w:spacing w:line="240" w:lineRule="auto"/>
              <w:jc w:val="center"/>
              <w:rPr>
                <w:sz w:val="20"/>
                <w:szCs w:val="20"/>
              </w:rPr>
            </w:pPr>
            <w:r>
              <w:rPr>
                <w:sz w:val="20"/>
                <w:szCs w:val="20"/>
              </w:rPr>
              <w:t>1,604</w:t>
            </w:r>
          </w:p>
        </w:tc>
        <w:tc>
          <w:tcPr>
            <w:tcW w:w="0" w:type="auto"/>
          </w:tcPr>
          <w:p w14:paraId="4FD8CAC4" w14:textId="77777777" w:rsidR="00BD387D" w:rsidRPr="00441CA9" w:rsidRDefault="00BD387D" w:rsidP="00CE408C">
            <w:pPr>
              <w:spacing w:line="240" w:lineRule="auto"/>
              <w:jc w:val="center"/>
              <w:rPr>
                <w:sz w:val="20"/>
                <w:szCs w:val="20"/>
              </w:rPr>
            </w:pPr>
            <w:r w:rsidRPr="00441CA9">
              <w:rPr>
                <w:sz w:val="20"/>
                <w:szCs w:val="20"/>
              </w:rPr>
              <w:t>12 months</w:t>
            </w:r>
          </w:p>
        </w:tc>
        <w:tc>
          <w:tcPr>
            <w:tcW w:w="0" w:type="auto"/>
          </w:tcPr>
          <w:p w14:paraId="4AE7B232" w14:textId="77777777" w:rsidR="00BD387D" w:rsidRPr="00441CA9" w:rsidRDefault="00BD387D" w:rsidP="00441CA9">
            <w:pPr>
              <w:spacing w:line="240" w:lineRule="auto"/>
              <w:jc w:val="center"/>
              <w:rPr>
                <w:sz w:val="20"/>
                <w:szCs w:val="20"/>
              </w:rPr>
            </w:pPr>
            <w:r w:rsidRPr="00441CA9">
              <w:rPr>
                <w:sz w:val="20"/>
                <w:szCs w:val="20"/>
              </w:rPr>
              <w:t xml:space="preserve">Adjudicated symptomatic </w:t>
            </w:r>
            <w:r>
              <w:rPr>
                <w:sz w:val="20"/>
                <w:szCs w:val="20"/>
              </w:rPr>
              <w:t xml:space="preserve">DVT of lower or upper extremities, </w:t>
            </w:r>
            <w:r w:rsidRPr="00441CA9">
              <w:rPr>
                <w:sz w:val="20"/>
                <w:szCs w:val="20"/>
              </w:rPr>
              <w:t>non-fatal PE, or VTE-related death</w:t>
            </w:r>
          </w:p>
        </w:tc>
      </w:tr>
      <w:tr w:rsidR="002B2347" w:rsidRPr="00441CA9" w14:paraId="50DBC420" w14:textId="77777777" w:rsidTr="00BD387D">
        <w:tc>
          <w:tcPr>
            <w:tcW w:w="0" w:type="auto"/>
          </w:tcPr>
          <w:p w14:paraId="225737BA" w14:textId="0462E109" w:rsidR="00BD387D" w:rsidRPr="00441CA9" w:rsidRDefault="00BD387D" w:rsidP="00E10E43">
            <w:pPr>
              <w:spacing w:line="240" w:lineRule="auto"/>
              <w:rPr>
                <w:sz w:val="20"/>
                <w:szCs w:val="20"/>
              </w:rPr>
            </w:pPr>
            <w:r w:rsidRPr="00441CA9">
              <w:rPr>
                <w:sz w:val="20"/>
                <w:szCs w:val="20"/>
              </w:rPr>
              <w:t>Haas (2005)</w:t>
            </w:r>
            <w:r w:rsidR="003320F2">
              <w:rPr>
                <w:sz w:val="20"/>
                <w:szCs w:val="20"/>
              </w:rPr>
              <w:t xml:space="preserve"> </w:t>
            </w:r>
            <w:r w:rsidR="003E2AAC" w:rsidRPr="00441CA9">
              <w:rPr>
                <w:sz w:val="20"/>
                <w:szCs w:val="20"/>
              </w:rPr>
              <w:fldChar w:fldCharType="begin" w:fldLock="1"/>
            </w:r>
            <w:r w:rsidR="009115A9">
              <w:rPr>
                <w:sz w:val="20"/>
                <w:szCs w:val="20"/>
              </w:rPr>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3E2AAC" w:rsidRPr="00441CA9">
              <w:rPr>
                <w:sz w:val="20"/>
                <w:szCs w:val="20"/>
              </w:rPr>
              <w:fldChar w:fldCharType="separate"/>
            </w:r>
            <w:r w:rsidR="009115A9" w:rsidRPr="009115A9">
              <w:rPr>
                <w:noProof/>
                <w:sz w:val="20"/>
                <w:szCs w:val="20"/>
                <w:vertAlign w:val="superscript"/>
              </w:rPr>
              <w:t>25</w:t>
            </w:r>
            <w:r w:rsidR="003E2AAC" w:rsidRPr="00441CA9">
              <w:rPr>
                <w:sz w:val="20"/>
                <w:szCs w:val="20"/>
              </w:rPr>
              <w:fldChar w:fldCharType="end"/>
            </w:r>
          </w:p>
        </w:tc>
        <w:tc>
          <w:tcPr>
            <w:tcW w:w="0" w:type="auto"/>
          </w:tcPr>
          <w:p w14:paraId="0701A979" w14:textId="77777777" w:rsidR="00BD387D" w:rsidRPr="00441CA9" w:rsidRDefault="00BD387D" w:rsidP="00CE408C">
            <w:pPr>
              <w:spacing w:line="240" w:lineRule="auto"/>
              <w:jc w:val="center"/>
              <w:rPr>
                <w:sz w:val="20"/>
                <w:szCs w:val="20"/>
              </w:rPr>
            </w:pPr>
            <w:r w:rsidRPr="00441CA9">
              <w:rPr>
                <w:sz w:val="20"/>
                <w:szCs w:val="20"/>
              </w:rPr>
              <w:t>Double-blind</w:t>
            </w:r>
          </w:p>
        </w:tc>
        <w:tc>
          <w:tcPr>
            <w:tcW w:w="0" w:type="auto"/>
          </w:tcPr>
          <w:p w14:paraId="65CF44B2" w14:textId="77777777" w:rsidR="00BD387D" w:rsidRPr="00441CA9" w:rsidRDefault="00BD387D" w:rsidP="00CE408C">
            <w:pPr>
              <w:spacing w:line="240" w:lineRule="auto"/>
              <w:jc w:val="center"/>
              <w:rPr>
                <w:sz w:val="20"/>
                <w:szCs w:val="20"/>
              </w:rPr>
            </w:pPr>
            <w:r w:rsidRPr="00441CA9">
              <w:rPr>
                <w:sz w:val="20"/>
                <w:szCs w:val="20"/>
              </w:rPr>
              <w:t>Apr 1999-Nov 2004</w:t>
            </w:r>
          </w:p>
        </w:tc>
        <w:tc>
          <w:tcPr>
            <w:tcW w:w="0" w:type="auto"/>
          </w:tcPr>
          <w:p w14:paraId="5B8B5447" w14:textId="77777777" w:rsidR="00BD387D" w:rsidRPr="00441CA9" w:rsidRDefault="00BD387D" w:rsidP="00CE408C">
            <w:pPr>
              <w:spacing w:line="240" w:lineRule="auto"/>
              <w:jc w:val="center"/>
              <w:rPr>
                <w:sz w:val="20"/>
                <w:szCs w:val="20"/>
              </w:rPr>
            </w:pPr>
            <w:r w:rsidRPr="00441CA9">
              <w:rPr>
                <w:sz w:val="20"/>
                <w:szCs w:val="20"/>
              </w:rPr>
              <w:t>Metastatic breast cancer</w:t>
            </w:r>
          </w:p>
        </w:tc>
        <w:tc>
          <w:tcPr>
            <w:tcW w:w="0" w:type="auto"/>
          </w:tcPr>
          <w:p w14:paraId="0B2D0C0D" w14:textId="77777777" w:rsidR="00BD387D" w:rsidRPr="00441CA9" w:rsidRDefault="00BD387D" w:rsidP="00CE408C">
            <w:pPr>
              <w:spacing w:line="240" w:lineRule="auto"/>
              <w:jc w:val="center"/>
              <w:rPr>
                <w:sz w:val="20"/>
                <w:szCs w:val="20"/>
              </w:rPr>
            </w:pPr>
            <w:r w:rsidRPr="00441CA9">
              <w:rPr>
                <w:sz w:val="20"/>
                <w:szCs w:val="20"/>
              </w:rPr>
              <w:t>Certoparin 3,000 IU od for 6 months</w:t>
            </w:r>
          </w:p>
        </w:tc>
        <w:tc>
          <w:tcPr>
            <w:tcW w:w="0" w:type="auto"/>
          </w:tcPr>
          <w:p w14:paraId="5A34038C" w14:textId="77777777" w:rsidR="00BD387D" w:rsidRPr="00441CA9" w:rsidRDefault="00BD387D" w:rsidP="00CE408C">
            <w:pPr>
              <w:spacing w:line="240" w:lineRule="auto"/>
              <w:jc w:val="center"/>
              <w:rPr>
                <w:sz w:val="20"/>
                <w:szCs w:val="20"/>
              </w:rPr>
            </w:pPr>
            <w:r w:rsidRPr="00441CA9">
              <w:rPr>
                <w:sz w:val="20"/>
                <w:szCs w:val="20"/>
              </w:rPr>
              <w:t>353</w:t>
            </w:r>
          </w:p>
        </w:tc>
        <w:tc>
          <w:tcPr>
            <w:tcW w:w="0" w:type="auto"/>
          </w:tcPr>
          <w:p w14:paraId="1878EDE0" w14:textId="77777777" w:rsidR="00BD387D" w:rsidRPr="00441CA9" w:rsidRDefault="00BD387D" w:rsidP="00CE408C">
            <w:pPr>
              <w:spacing w:line="240" w:lineRule="auto"/>
              <w:jc w:val="center"/>
              <w:rPr>
                <w:sz w:val="20"/>
                <w:szCs w:val="20"/>
              </w:rPr>
            </w:pPr>
            <w:r>
              <w:rPr>
                <w:sz w:val="20"/>
                <w:szCs w:val="20"/>
              </w:rPr>
              <w:t>178</w:t>
            </w:r>
          </w:p>
        </w:tc>
        <w:tc>
          <w:tcPr>
            <w:tcW w:w="0" w:type="auto"/>
          </w:tcPr>
          <w:p w14:paraId="724A5FF2" w14:textId="77777777" w:rsidR="00BD387D" w:rsidRPr="00441CA9" w:rsidRDefault="00BD387D" w:rsidP="00CE408C">
            <w:pPr>
              <w:spacing w:line="240" w:lineRule="auto"/>
              <w:jc w:val="center"/>
              <w:rPr>
                <w:sz w:val="20"/>
                <w:szCs w:val="20"/>
              </w:rPr>
            </w:pPr>
            <w:r w:rsidRPr="00441CA9">
              <w:rPr>
                <w:sz w:val="20"/>
                <w:szCs w:val="20"/>
              </w:rPr>
              <w:t>6 months</w:t>
            </w:r>
          </w:p>
        </w:tc>
        <w:tc>
          <w:tcPr>
            <w:tcW w:w="0" w:type="auto"/>
          </w:tcPr>
          <w:p w14:paraId="2A4FC23F" w14:textId="77777777" w:rsidR="00BD387D" w:rsidRPr="00441CA9" w:rsidRDefault="00BD387D" w:rsidP="00441CA9">
            <w:pPr>
              <w:spacing w:line="240" w:lineRule="auto"/>
              <w:jc w:val="center"/>
              <w:rPr>
                <w:sz w:val="20"/>
                <w:szCs w:val="20"/>
              </w:rPr>
            </w:pPr>
            <w:r>
              <w:rPr>
                <w:sz w:val="20"/>
                <w:szCs w:val="20"/>
              </w:rPr>
              <w:t>Objectively confirmed s</w:t>
            </w:r>
            <w:r w:rsidRPr="00441CA9">
              <w:rPr>
                <w:sz w:val="20"/>
                <w:szCs w:val="20"/>
              </w:rPr>
              <w:t xml:space="preserve">ymptomatic or asymptomatic distal or proximal DVT, symptomatic PE, </w:t>
            </w:r>
            <w:r>
              <w:rPr>
                <w:sz w:val="20"/>
                <w:szCs w:val="20"/>
              </w:rPr>
              <w:t xml:space="preserve">upper extremity </w:t>
            </w:r>
            <w:r w:rsidRPr="00441CA9">
              <w:rPr>
                <w:sz w:val="20"/>
                <w:szCs w:val="20"/>
              </w:rPr>
              <w:t xml:space="preserve">DVT, </w:t>
            </w:r>
            <w:r>
              <w:rPr>
                <w:sz w:val="20"/>
                <w:szCs w:val="20"/>
              </w:rPr>
              <w:t xml:space="preserve">or </w:t>
            </w:r>
            <w:r w:rsidRPr="00441CA9">
              <w:rPr>
                <w:sz w:val="20"/>
                <w:szCs w:val="20"/>
              </w:rPr>
              <w:t>superficial thrombosis if requiring treatment</w:t>
            </w:r>
          </w:p>
        </w:tc>
      </w:tr>
      <w:tr w:rsidR="002B2347" w:rsidRPr="00441CA9" w14:paraId="2D58C114" w14:textId="77777777" w:rsidTr="00BD387D">
        <w:tc>
          <w:tcPr>
            <w:tcW w:w="0" w:type="auto"/>
          </w:tcPr>
          <w:p w14:paraId="19FFE648" w14:textId="3D714E9A" w:rsidR="00BD387D" w:rsidRPr="00441CA9" w:rsidRDefault="00BD387D" w:rsidP="00E10E43">
            <w:pPr>
              <w:spacing w:line="240" w:lineRule="auto"/>
              <w:rPr>
                <w:sz w:val="20"/>
                <w:szCs w:val="20"/>
              </w:rPr>
            </w:pPr>
            <w:r w:rsidRPr="00441CA9">
              <w:rPr>
                <w:sz w:val="20"/>
                <w:szCs w:val="20"/>
              </w:rPr>
              <w:t>Haas (2012)</w:t>
            </w:r>
            <w:r w:rsidR="00B32F18" w:rsidRPr="00441CA9">
              <w:rPr>
                <w:sz w:val="20"/>
                <w:szCs w:val="20"/>
              </w:rPr>
              <w:fldChar w:fldCharType="begin" w:fldLock="1"/>
            </w:r>
            <w:r w:rsidR="009115A9">
              <w:rPr>
                <w:sz w:val="20"/>
                <w:szCs w:val="20"/>
              </w:rPr>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B32F18" w:rsidRPr="00441CA9">
              <w:rPr>
                <w:sz w:val="20"/>
                <w:szCs w:val="20"/>
              </w:rPr>
              <w:fldChar w:fldCharType="separate"/>
            </w:r>
            <w:r w:rsidR="009115A9" w:rsidRPr="009115A9">
              <w:rPr>
                <w:noProof/>
                <w:sz w:val="20"/>
                <w:szCs w:val="20"/>
                <w:vertAlign w:val="superscript"/>
              </w:rPr>
              <w:t>25</w:t>
            </w:r>
            <w:r w:rsidR="00B32F18" w:rsidRPr="00441CA9">
              <w:rPr>
                <w:sz w:val="20"/>
                <w:szCs w:val="20"/>
              </w:rPr>
              <w:fldChar w:fldCharType="end"/>
            </w:r>
          </w:p>
        </w:tc>
        <w:tc>
          <w:tcPr>
            <w:tcW w:w="0" w:type="auto"/>
          </w:tcPr>
          <w:p w14:paraId="093205CB" w14:textId="77777777" w:rsidR="00BD387D" w:rsidRPr="00441CA9" w:rsidRDefault="00BD387D" w:rsidP="00CE408C">
            <w:pPr>
              <w:spacing w:line="240" w:lineRule="auto"/>
              <w:jc w:val="center"/>
              <w:rPr>
                <w:sz w:val="20"/>
                <w:szCs w:val="20"/>
              </w:rPr>
            </w:pPr>
            <w:r w:rsidRPr="00441CA9">
              <w:rPr>
                <w:sz w:val="20"/>
                <w:szCs w:val="20"/>
              </w:rPr>
              <w:t>Double-blind</w:t>
            </w:r>
          </w:p>
        </w:tc>
        <w:tc>
          <w:tcPr>
            <w:tcW w:w="0" w:type="auto"/>
          </w:tcPr>
          <w:p w14:paraId="5F14E19C" w14:textId="77777777" w:rsidR="00BD387D" w:rsidRPr="00441CA9" w:rsidRDefault="00BD387D" w:rsidP="00CE408C">
            <w:pPr>
              <w:spacing w:line="240" w:lineRule="auto"/>
              <w:jc w:val="center"/>
              <w:rPr>
                <w:sz w:val="20"/>
                <w:szCs w:val="20"/>
              </w:rPr>
            </w:pPr>
            <w:r w:rsidRPr="00441CA9">
              <w:rPr>
                <w:sz w:val="20"/>
                <w:szCs w:val="20"/>
              </w:rPr>
              <w:t>Apr 1999-Nov 2004</w:t>
            </w:r>
          </w:p>
        </w:tc>
        <w:tc>
          <w:tcPr>
            <w:tcW w:w="0" w:type="auto"/>
          </w:tcPr>
          <w:p w14:paraId="3F200599" w14:textId="77777777" w:rsidR="00BD387D" w:rsidRPr="00441CA9" w:rsidRDefault="00BD387D" w:rsidP="00441CA9">
            <w:pPr>
              <w:spacing w:line="240" w:lineRule="auto"/>
              <w:jc w:val="center"/>
              <w:rPr>
                <w:sz w:val="20"/>
                <w:szCs w:val="20"/>
              </w:rPr>
            </w:pPr>
            <w:r w:rsidRPr="00441CA9">
              <w:rPr>
                <w:sz w:val="20"/>
                <w:szCs w:val="20"/>
              </w:rPr>
              <w:t>Stage III or IV</w:t>
            </w:r>
            <w:r>
              <w:rPr>
                <w:sz w:val="20"/>
                <w:szCs w:val="20"/>
              </w:rPr>
              <w:t xml:space="preserve"> non-small cell lung cancer</w:t>
            </w:r>
            <w:r w:rsidRPr="00441CA9">
              <w:rPr>
                <w:sz w:val="20"/>
                <w:szCs w:val="20"/>
              </w:rPr>
              <w:t xml:space="preserve"> </w:t>
            </w:r>
          </w:p>
        </w:tc>
        <w:tc>
          <w:tcPr>
            <w:tcW w:w="0" w:type="auto"/>
          </w:tcPr>
          <w:p w14:paraId="4A8395F3" w14:textId="77777777" w:rsidR="00BD387D" w:rsidRPr="00441CA9" w:rsidRDefault="00BD387D" w:rsidP="00CE408C">
            <w:pPr>
              <w:spacing w:line="240" w:lineRule="auto"/>
              <w:jc w:val="center"/>
              <w:rPr>
                <w:sz w:val="20"/>
                <w:szCs w:val="20"/>
              </w:rPr>
            </w:pPr>
            <w:r w:rsidRPr="00441CA9">
              <w:rPr>
                <w:sz w:val="20"/>
                <w:szCs w:val="20"/>
              </w:rPr>
              <w:t>Certoparin 3,000 IU od for 6 months</w:t>
            </w:r>
          </w:p>
        </w:tc>
        <w:tc>
          <w:tcPr>
            <w:tcW w:w="0" w:type="auto"/>
          </w:tcPr>
          <w:p w14:paraId="351C5D2D" w14:textId="77777777" w:rsidR="00BD387D" w:rsidRPr="00441CA9" w:rsidRDefault="00BD387D" w:rsidP="00CE408C">
            <w:pPr>
              <w:spacing w:line="240" w:lineRule="auto"/>
              <w:jc w:val="center"/>
              <w:rPr>
                <w:sz w:val="20"/>
                <w:szCs w:val="20"/>
              </w:rPr>
            </w:pPr>
            <w:r w:rsidRPr="00441CA9">
              <w:rPr>
                <w:sz w:val="20"/>
                <w:szCs w:val="20"/>
              </w:rPr>
              <w:t>547</w:t>
            </w:r>
          </w:p>
        </w:tc>
        <w:tc>
          <w:tcPr>
            <w:tcW w:w="0" w:type="auto"/>
          </w:tcPr>
          <w:p w14:paraId="1C2F4F48" w14:textId="77777777" w:rsidR="00BD387D" w:rsidRPr="00441CA9" w:rsidRDefault="00BD387D" w:rsidP="00CE408C">
            <w:pPr>
              <w:spacing w:line="240" w:lineRule="auto"/>
              <w:jc w:val="center"/>
              <w:rPr>
                <w:sz w:val="20"/>
                <w:szCs w:val="20"/>
              </w:rPr>
            </w:pPr>
            <w:r>
              <w:rPr>
                <w:sz w:val="20"/>
                <w:szCs w:val="20"/>
              </w:rPr>
              <w:t>273</w:t>
            </w:r>
          </w:p>
        </w:tc>
        <w:tc>
          <w:tcPr>
            <w:tcW w:w="0" w:type="auto"/>
          </w:tcPr>
          <w:p w14:paraId="5E013F04" w14:textId="77777777" w:rsidR="00BD387D" w:rsidRPr="00441CA9" w:rsidRDefault="00BD387D" w:rsidP="00CE408C">
            <w:pPr>
              <w:spacing w:line="240" w:lineRule="auto"/>
              <w:jc w:val="center"/>
              <w:rPr>
                <w:sz w:val="20"/>
                <w:szCs w:val="20"/>
              </w:rPr>
            </w:pPr>
            <w:r w:rsidRPr="00441CA9">
              <w:rPr>
                <w:sz w:val="20"/>
                <w:szCs w:val="20"/>
              </w:rPr>
              <w:t>6 months</w:t>
            </w:r>
          </w:p>
        </w:tc>
        <w:tc>
          <w:tcPr>
            <w:tcW w:w="0" w:type="auto"/>
          </w:tcPr>
          <w:p w14:paraId="70DB6FB1" w14:textId="77777777" w:rsidR="00BD387D" w:rsidRPr="00441CA9" w:rsidRDefault="00BD387D" w:rsidP="00441CA9">
            <w:pPr>
              <w:spacing w:line="240" w:lineRule="auto"/>
              <w:jc w:val="center"/>
              <w:rPr>
                <w:sz w:val="20"/>
                <w:szCs w:val="20"/>
              </w:rPr>
            </w:pPr>
            <w:r>
              <w:rPr>
                <w:sz w:val="20"/>
                <w:szCs w:val="20"/>
              </w:rPr>
              <w:t>Objectively confirmed s</w:t>
            </w:r>
            <w:r w:rsidRPr="00441CA9">
              <w:rPr>
                <w:sz w:val="20"/>
                <w:szCs w:val="20"/>
              </w:rPr>
              <w:t>ymptomatic or asymptomatic distal or proximal DVT, symptomatic PE, UEDVT, superficial thrombosis if requiring treatment</w:t>
            </w:r>
          </w:p>
        </w:tc>
      </w:tr>
      <w:tr w:rsidR="002B2347" w:rsidRPr="00441CA9" w14:paraId="1DF9168B" w14:textId="77777777" w:rsidTr="00BD387D">
        <w:tc>
          <w:tcPr>
            <w:tcW w:w="0" w:type="auto"/>
          </w:tcPr>
          <w:p w14:paraId="40F3E5C5" w14:textId="18F2AE9E" w:rsidR="00BD387D" w:rsidRPr="00441CA9" w:rsidRDefault="00BD387D" w:rsidP="00E10E43">
            <w:pPr>
              <w:spacing w:line="240" w:lineRule="auto"/>
              <w:rPr>
                <w:sz w:val="20"/>
                <w:szCs w:val="20"/>
              </w:rPr>
            </w:pPr>
            <w:r w:rsidRPr="00441CA9">
              <w:rPr>
                <w:sz w:val="20"/>
                <w:szCs w:val="20"/>
              </w:rPr>
              <w:t>Lecumberri (2013)</w:t>
            </w:r>
            <w:r w:rsidR="007F5A87">
              <w:rPr>
                <w:sz w:val="20"/>
                <w:szCs w:val="20"/>
              </w:rPr>
              <w:fldChar w:fldCharType="begin" w:fldLock="1"/>
            </w:r>
            <w:r w:rsidR="009115A9">
              <w:rPr>
                <w:sz w:val="20"/>
                <w:szCs w:val="20"/>
              </w:rPr>
              <w:instrText>ADDIN CSL_CITATION {"citationItems":[{"id":"ITEM-1","itemData":{"DOI":"10.1016/j.thromres.2013.09.026","ISBN":"0049-3848","ISSN":"00493848","PMID":"24491267","abstract":"Introduction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Research","id":"ITEM-1","issue":"6","issued":{"date-parts":[["2013"]]},"page":"666-670","publisher":"Elsevier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30&lt;/sup&gt;","plainTextFormattedCitation":"30","previouslyFormattedCitation":"&lt;sup&gt;29&lt;/sup&gt;"},"properties":{"noteIndex":0},"schema":"https://github.com/citation-style-language/schema/raw/master/csl-citation.json"}</w:instrText>
            </w:r>
            <w:r w:rsidR="007F5A87">
              <w:rPr>
                <w:sz w:val="20"/>
                <w:szCs w:val="20"/>
              </w:rPr>
              <w:fldChar w:fldCharType="separate"/>
            </w:r>
            <w:r w:rsidR="009115A9" w:rsidRPr="009115A9">
              <w:rPr>
                <w:noProof/>
                <w:sz w:val="20"/>
                <w:szCs w:val="20"/>
                <w:vertAlign w:val="superscript"/>
              </w:rPr>
              <w:t>30</w:t>
            </w:r>
            <w:r w:rsidR="007F5A87">
              <w:rPr>
                <w:sz w:val="20"/>
                <w:szCs w:val="20"/>
              </w:rPr>
              <w:fldChar w:fldCharType="end"/>
            </w:r>
          </w:p>
        </w:tc>
        <w:tc>
          <w:tcPr>
            <w:tcW w:w="0" w:type="auto"/>
          </w:tcPr>
          <w:p w14:paraId="67C297AC" w14:textId="77777777" w:rsidR="00BD387D" w:rsidRPr="00441CA9" w:rsidRDefault="00BD387D" w:rsidP="00CE408C">
            <w:pPr>
              <w:spacing w:line="240" w:lineRule="auto"/>
              <w:jc w:val="center"/>
              <w:rPr>
                <w:sz w:val="20"/>
                <w:szCs w:val="20"/>
              </w:rPr>
            </w:pPr>
            <w:proofErr w:type="gramStart"/>
            <w:r w:rsidRPr="00441CA9">
              <w:rPr>
                <w:sz w:val="20"/>
                <w:szCs w:val="20"/>
              </w:rPr>
              <w:t>Open-label</w:t>
            </w:r>
            <w:proofErr w:type="gramEnd"/>
          </w:p>
        </w:tc>
        <w:tc>
          <w:tcPr>
            <w:tcW w:w="0" w:type="auto"/>
          </w:tcPr>
          <w:p w14:paraId="2F418AE9" w14:textId="77777777" w:rsidR="00BD387D" w:rsidRPr="00441CA9" w:rsidRDefault="00BD387D" w:rsidP="00CE408C">
            <w:pPr>
              <w:spacing w:line="240" w:lineRule="auto"/>
              <w:jc w:val="center"/>
              <w:rPr>
                <w:sz w:val="20"/>
                <w:szCs w:val="20"/>
              </w:rPr>
            </w:pPr>
            <w:r w:rsidRPr="00441CA9">
              <w:rPr>
                <w:sz w:val="20"/>
                <w:szCs w:val="20"/>
              </w:rPr>
              <w:t>Oct 2005-Jan 2010</w:t>
            </w:r>
          </w:p>
        </w:tc>
        <w:tc>
          <w:tcPr>
            <w:tcW w:w="0" w:type="auto"/>
          </w:tcPr>
          <w:p w14:paraId="007AD5EE" w14:textId="77777777" w:rsidR="00BD387D" w:rsidRPr="00441CA9" w:rsidRDefault="00BD387D" w:rsidP="00441CA9">
            <w:pPr>
              <w:spacing w:line="240" w:lineRule="auto"/>
              <w:jc w:val="center"/>
              <w:rPr>
                <w:sz w:val="20"/>
                <w:szCs w:val="20"/>
              </w:rPr>
            </w:pPr>
            <w:r w:rsidRPr="00441CA9">
              <w:rPr>
                <w:sz w:val="20"/>
                <w:szCs w:val="20"/>
              </w:rPr>
              <w:t xml:space="preserve">Limited </w:t>
            </w:r>
            <w:r>
              <w:rPr>
                <w:sz w:val="20"/>
                <w:szCs w:val="20"/>
              </w:rPr>
              <w:t>disease small cell lung cancer</w:t>
            </w:r>
          </w:p>
        </w:tc>
        <w:tc>
          <w:tcPr>
            <w:tcW w:w="0" w:type="auto"/>
          </w:tcPr>
          <w:p w14:paraId="036DB14E" w14:textId="77777777" w:rsidR="00BD387D" w:rsidRPr="00441CA9" w:rsidRDefault="00BD387D" w:rsidP="00CE408C">
            <w:pPr>
              <w:spacing w:line="240" w:lineRule="auto"/>
              <w:jc w:val="center"/>
              <w:rPr>
                <w:sz w:val="20"/>
                <w:szCs w:val="20"/>
              </w:rPr>
            </w:pPr>
            <w:proofErr w:type="spellStart"/>
            <w:r w:rsidRPr="00441CA9">
              <w:rPr>
                <w:sz w:val="20"/>
                <w:szCs w:val="20"/>
              </w:rPr>
              <w:t>Bemiparin</w:t>
            </w:r>
            <w:proofErr w:type="spellEnd"/>
            <w:r w:rsidRPr="00441CA9">
              <w:rPr>
                <w:sz w:val="20"/>
                <w:szCs w:val="20"/>
              </w:rPr>
              <w:t xml:space="preserve"> 3,500 IU od for 26 weeks or until disease progression</w:t>
            </w:r>
          </w:p>
        </w:tc>
        <w:tc>
          <w:tcPr>
            <w:tcW w:w="0" w:type="auto"/>
          </w:tcPr>
          <w:p w14:paraId="2237A666" w14:textId="77777777" w:rsidR="00BD387D" w:rsidRPr="00441CA9" w:rsidRDefault="00BD387D" w:rsidP="00CE408C">
            <w:pPr>
              <w:spacing w:line="240" w:lineRule="auto"/>
              <w:jc w:val="center"/>
              <w:rPr>
                <w:sz w:val="20"/>
                <w:szCs w:val="20"/>
              </w:rPr>
            </w:pPr>
            <w:r w:rsidRPr="00441CA9">
              <w:rPr>
                <w:sz w:val="20"/>
                <w:szCs w:val="20"/>
              </w:rPr>
              <w:t>39</w:t>
            </w:r>
          </w:p>
        </w:tc>
        <w:tc>
          <w:tcPr>
            <w:tcW w:w="0" w:type="auto"/>
          </w:tcPr>
          <w:p w14:paraId="4BF76AB5" w14:textId="77777777" w:rsidR="00BD387D" w:rsidRPr="00441CA9" w:rsidRDefault="00BD387D" w:rsidP="00CE408C">
            <w:pPr>
              <w:spacing w:line="240" w:lineRule="auto"/>
              <w:jc w:val="center"/>
              <w:rPr>
                <w:sz w:val="20"/>
                <w:szCs w:val="20"/>
              </w:rPr>
            </w:pPr>
            <w:r>
              <w:rPr>
                <w:sz w:val="20"/>
                <w:szCs w:val="20"/>
              </w:rPr>
              <w:t>18</w:t>
            </w:r>
          </w:p>
        </w:tc>
        <w:tc>
          <w:tcPr>
            <w:tcW w:w="0" w:type="auto"/>
          </w:tcPr>
          <w:p w14:paraId="6DC57F86" w14:textId="77777777" w:rsidR="00BD387D" w:rsidRPr="00441CA9" w:rsidRDefault="00BD387D" w:rsidP="00CE408C">
            <w:pPr>
              <w:spacing w:line="240" w:lineRule="auto"/>
              <w:jc w:val="center"/>
              <w:rPr>
                <w:sz w:val="20"/>
                <w:szCs w:val="20"/>
              </w:rPr>
            </w:pPr>
            <w:r w:rsidRPr="00441CA9">
              <w:rPr>
                <w:sz w:val="20"/>
                <w:szCs w:val="20"/>
              </w:rPr>
              <w:t>Until death</w:t>
            </w:r>
          </w:p>
        </w:tc>
        <w:tc>
          <w:tcPr>
            <w:tcW w:w="0" w:type="auto"/>
          </w:tcPr>
          <w:p w14:paraId="4CBA3110" w14:textId="77777777" w:rsidR="00BD387D" w:rsidRPr="00441CA9" w:rsidRDefault="00BD387D" w:rsidP="00441CA9">
            <w:pPr>
              <w:spacing w:line="240" w:lineRule="auto"/>
              <w:jc w:val="center"/>
              <w:rPr>
                <w:sz w:val="20"/>
                <w:szCs w:val="20"/>
              </w:rPr>
            </w:pPr>
            <w:r>
              <w:rPr>
                <w:sz w:val="20"/>
                <w:szCs w:val="20"/>
              </w:rPr>
              <w:t>Objectively confirmed s</w:t>
            </w:r>
            <w:r w:rsidRPr="00441CA9">
              <w:rPr>
                <w:sz w:val="20"/>
                <w:szCs w:val="20"/>
              </w:rPr>
              <w:t>ymptomatic VTE</w:t>
            </w:r>
          </w:p>
        </w:tc>
      </w:tr>
      <w:tr w:rsidR="002B2347" w:rsidRPr="00441CA9" w14:paraId="747D9210" w14:textId="77777777" w:rsidTr="00BD387D">
        <w:tc>
          <w:tcPr>
            <w:tcW w:w="0" w:type="auto"/>
          </w:tcPr>
          <w:p w14:paraId="77E2A344" w14:textId="0E3587E5" w:rsidR="00BD387D" w:rsidRPr="00441CA9" w:rsidRDefault="00151465" w:rsidP="00E10E43">
            <w:pPr>
              <w:spacing w:line="240" w:lineRule="auto"/>
              <w:rPr>
                <w:sz w:val="20"/>
                <w:szCs w:val="20"/>
              </w:rPr>
            </w:pPr>
            <w:r>
              <w:rPr>
                <w:sz w:val="20"/>
                <w:szCs w:val="20"/>
              </w:rPr>
              <w:t>Macb</w:t>
            </w:r>
            <w:r w:rsidR="00BD387D" w:rsidRPr="00441CA9">
              <w:rPr>
                <w:sz w:val="20"/>
                <w:szCs w:val="20"/>
              </w:rPr>
              <w:t>eth (2015)</w:t>
            </w:r>
            <w:r w:rsidR="00A67818" w:rsidRPr="00441CA9">
              <w:rPr>
                <w:sz w:val="20"/>
                <w:szCs w:val="20"/>
              </w:rPr>
              <w:fldChar w:fldCharType="begin" w:fldLock="1"/>
            </w:r>
            <w:r w:rsidR="009115A9">
              <w:rPr>
                <w:sz w:val="20"/>
                <w:szCs w:val="20"/>
              </w:rPr>
              <w:instrText>ADDIN CSL_CITATION {"citationItems":[{"id":"ITEM-1","itemData":{"DOI":"10.1200/JCO.2015.64.0268","ISSN":"1527-7755","PMID":"26700124","abstract":"PURPOSE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Oncology","id":"ITEM-1","issue":"5","issued":{"date-parts":[["2015"]]},"page":"1-10","title":"Randomized Phase III Trial of Standard Therapy Plus Low Molecular Weight Heparin in Patients With Lung Cancer: FRAGMATIC Trial.","type":"article-journal","volume":"34"},"uris":["http://www.mendeley.com/documents/?uuid=a2c49b34-51df-4edc-9398-694226078cd1"]}],"mendeley":{"formattedCitation":"&lt;sup&gt;27&lt;/sup&gt;","plainTextFormattedCitation":"27","previouslyFormattedCitation":"&lt;sup&gt;26&lt;/sup&gt;"},"properties":{"noteIndex":0},"schema":"https://github.com/citation-style-language/schema/raw/master/csl-citation.json"}</w:instrText>
            </w:r>
            <w:r w:rsidR="00A67818" w:rsidRPr="00441CA9">
              <w:rPr>
                <w:sz w:val="20"/>
                <w:szCs w:val="20"/>
              </w:rPr>
              <w:fldChar w:fldCharType="separate"/>
            </w:r>
            <w:r w:rsidR="009115A9" w:rsidRPr="009115A9">
              <w:rPr>
                <w:noProof/>
                <w:sz w:val="20"/>
                <w:szCs w:val="20"/>
                <w:vertAlign w:val="superscript"/>
              </w:rPr>
              <w:t>27</w:t>
            </w:r>
            <w:r w:rsidR="00A67818" w:rsidRPr="00441CA9">
              <w:rPr>
                <w:sz w:val="20"/>
                <w:szCs w:val="20"/>
              </w:rPr>
              <w:fldChar w:fldCharType="end"/>
            </w:r>
          </w:p>
        </w:tc>
        <w:tc>
          <w:tcPr>
            <w:tcW w:w="0" w:type="auto"/>
          </w:tcPr>
          <w:p w14:paraId="4C9E6090" w14:textId="77777777" w:rsidR="00BD387D" w:rsidRPr="00441CA9" w:rsidRDefault="00BD387D" w:rsidP="00CE408C">
            <w:pPr>
              <w:spacing w:line="240" w:lineRule="auto"/>
              <w:jc w:val="center"/>
              <w:rPr>
                <w:sz w:val="20"/>
                <w:szCs w:val="20"/>
              </w:rPr>
            </w:pPr>
            <w:proofErr w:type="gramStart"/>
            <w:r w:rsidRPr="00441CA9">
              <w:rPr>
                <w:sz w:val="20"/>
                <w:szCs w:val="20"/>
              </w:rPr>
              <w:t>Open-label</w:t>
            </w:r>
            <w:proofErr w:type="gramEnd"/>
          </w:p>
        </w:tc>
        <w:tc>
          <w:tcPr>
            <w:tcW w:w="0" w:type="auto"/>
          </w:tcPr>
          <w:p w14:paraId="72EB4DB3" w14:textId="77777777" w:rsidR="00BD387D" w:rsidRPr="00441CA9" w:rsidRDefault="00BD387D" w:rsidP="00CE408C">
            <w:pPr>
              <w:spacing w:line="240" w:lineRule="auto"/>
              <w:jc w:val="center"/>
              <w:rPr>
                <w:sz w:val="20"/>
                <w:szCs w:val="20"/>
              </w:rPr>
            </w:pPr>
            <w:r w:rsidRPr="00441CA9">
              <w:rPr>
                <w:sz w:val="20"/>
                <w:szCs w:val="20"/>
              </w:rPr>
              <w:t>Sep 2007-Dec 2011</w:t>
            </w:r>
          </w:p>
        </w:tc>
        <w:tc>
          <w:tcPr>
            <w:tcW w:w="0" w:type="auto"/>
          </w:tcPr>
          <w:p w14:paraId="4810C09E" w14:textId="77777777" w:rsidR="00BD387D" w:rsidRPr="00441CA9" w:rsidRDefault="00BD387D" w:rsidP="00CE408C">
            <w:pPr>
              <w:spacing w:line="240" w:lineRule="auto"/>
              <w:jc w:val="center"/>
              <w:rPr>
                <w:sz w:val="20"/>
                <w:szCs w:val="20"/>
              </w:rPr>
            </w:pPr>
            <w:r w:rsidRPr="00441CA9">
              <w:rPr>
                <w:sz w:val="20"/>
                <w:szCs w:val="20"/>
              </w:rPr>
              <w:t>Lung cancer</w:t>
            </w:r>
          </w:p>
        </w:tc>
        <w:tc>
          <w:tcPr>
            <w:tcW w:w="0" w:type="auto"/>
          </w:tcPr>
          <w:p w14:paraId="45BA3927" w14:textId="77777777" w:rsidR="00BD387D" w:rsidRPr="00441CA9" w:rsidRDefault="00BD387D" w:rsidP="00CE408C">
            <w:pPr>
              <w:spacing w:line="240" w:lineRule="auto"/>
              <w:jc w:val="center"/>
              <w:rPr>
                <w:sz w:val="20"/>
                <w:szCs w:val="20"/>
              </w:rPr>
            </w:pPr>
            <w:proofErr w:type="spellStart"/>
            <w:r w:rsidRPr="00441CA9">
              <w:rPr>
                <w:sz w:val="20"/>
                <w:szCs w:val="20"/>
              </w:rPr>
              <w:t>Dalteparin</w:t>
            </w:r>
            <w:proofErr w:type="spellEnd"/>
            <w:r w:rsidRPr="00441CA9">
              <w:rPr>
                <w:sz w:val="20"/>
                <w:szCs w:val="20"/>
              </w:rPr>
              <w:t xml:space="preserve"> 5,000 IU od for 24 weeks</w:t>
            </w:r>
          </w:p>
        </w:tc>
        <w:tc>
          <w:tcPr>
            <w:tcW w:w="0" w:type="auto"/>
          </w:tcPr>
          <w:p w14:paraId="142F5926" w14:textId="77777777" w:rsidR="00BD387D" w:rsidRPr="00441CA9" w:rsidRDefault="00BD387D" w:rsidP="00CE408C">
            <w:pPr>
              <w:spacing w:line="240" w:lineRule="auto"/>
              <w:jc w:val="center"/>
              <w:rPr>
                <w:sz w:val="20"/>
                <w:szCs w:val="20"/>
              </w:rPr>
            </w:pPr>
            <w:r w:rsidRPr="00441CA9">
              <w:rPr>
                <w:sz w:val="20"/>
                <w:szCs w:val="20"/>
              </w:rPr>
              <w:t>2,202</w:t>
            </w:r>
          </w:p>
        </w:tc>
        <w:tc>
          <w:tcPr>
            <w:tcW w:w="0" w:type="auto"/>
          </w:tcPr>
          <w:p w14:paraId="777BC152" w14:textId="77777777" w:rsidR="00BD387D" w:rsidRPr="00441CA9" w:rsidRDefault="00BD387D" w:rsidP="00CE408C">
            <w:pPr>
              <w:spacing w:line="240" w:lineRule="auto"/>
              <w:jc w:val="center"/>
              <w:rPr>
                <w:sz w:val="20"/>
                <w:szCs w:val="20"/>
              </w:rPr>
            </w:pPr>
            <w:r>
              <w:rPr>
                <w:sz w:val="20"/>
                <w:szCs w:val="20"/>
              </w:rPr>
              <w:t>1,101</w:t>
            </w:r>
          </w:p>
        </w:tc>
        <w:tc>
          <w:tcPr>
            <w:tcW w:w="0" w:type="auto"/>
          </w:tcPr>
          <w:p w14:paraId="61B461AB" w14:textId="77777777" w:rsidR="00BD387D" w:rsidRPr="00441CA9" w:rsidRDefault="00BD387D" w:rsidP="00CE408C">
            <w:pPr>
              <w:spacing w:line="240" w:lineRule="auto"/>
              <w:jc w:val="center"/>
              <w:rPr>
                <w:sz w:val="20"/>
                <w:szCs w:val="20"/>
              </w:rPr>
            </w:pPr>
            <w:r w:rsidRPr="00441CA9">
              <w:rPr>
                <w:sz w:val="20"/>
                <w:szCs w:val="20"/>
              </w:rPr>
              <w:t>Until death</w:t>
            </w:r>
          </w:p>
        </w:tc>
        <w:tc>
          <w:tcPr>
            <w:tcW w:w="0" w:type="auto"/>
          </w:tcPr>
          <w:p w14:paraId="6013D920" w14:textId="77777777" w:rsidR="00BD387D" w:rsidRPr="00441CA9" w:rsidRDefault="00BD387D" w:rsidP="00CE408C">
            <w:pPr>
              <w:spacing w:line="240" w:lineRule="auto"/>
              <w:jc w:val="center"/>
              <w:rPr>
                <w:sz w:val="20"/>
                <w:szCs w:val="20"/>
              </w:rPr>
            </w:pPr>
            <w:r>
              <w:rPr>
                <w:sz w:val="20"/>
                <w:szCs w:val="20"/>
              </w:rPr>
              <w:t>Objectively confirmed DVT of upper or lower extremities, arterial thromboembolic events, or PE</w:t>
            </w:r>
          </w:p>
        </w:tc>
      </w:tr>
      <w:tr w:rsidR="002B2347" w:rsidRPr="00441CA9" w14:paraId="455B67E6" w14:textId="77777777" w:rsidTr="00BD387D">
        <w:tc>
          <w:tcPr>
            <w:tcW w:w="0" w:type="auto"/>
          </w:tcPr>
          <w:p w14:paraId="1059702B" w14:textId="5CE69EB9" w:rsidR="00BD387D" w:rsidRPr="00441CA9" w:rsidRDefault="00BD387D" w:rsidP="00E10E43">
            <w:pPr>
              <w:spacing w:line="240" w:lineRule="auto"/>
              <w:rPr>
                <w:sz w:val="20"/>
                <w:szCs w:val="20"/>
              </w:rPr>
            </w:pPr>
            <w:r w:rsidRPr="00441CA9">
              <w:rPr>
                <w:sz w:val="20"/>
                <w:szCs w:val="20"/>
              </w:rPr>
              <w:t>Pelzer (2015)</w:t>
            </w:r>
            <w:r w:rsidR="004E42E9">
              <w:rPr>
                <w:sz w:val="20"/>
                <w:szCs w:val="20"/>
              </w:rPr>
              <w:fldChar w:fldCharType="begin" w:fldLock="1"/>
            </w:r>
            <w:r w:rsidR="009115A9">
              <w:rPr>
                <w:sz w:val="20"/>
                <w:szCs w:val="20"/>
              </w:rPr>
              <w:instrText>ADDIN CSL_CITATION {"citationItems":[{"id":"ITEM-1","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Oncology","id":"ITEM-1","issue":"18","issued":{"date-parts":[["2015","6","20"]]},"page":"2028-2034","title":"Efficacy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28&lt;/sup&gt;","plainTextFormattedCitation":"28","previouslyFormattedCitation":"&lt;sup&gt;27&lt;/sup&gt;"},"properties":{"noteIndex":0},"schema":"https://github.com/citation-style-language/schema/raw/master/csl-citation.json"}</w:instrText>
            </w:r>
            <w:r w:rsidR="004E42E9">
              <w:rPr>
                <w:sz w:val="20"/>
                <w:szCs w:val="20"/>
              </w:rPr>
              <w:fldChar w:fldCharType="separate"/>
            </w:r>
            <w:r w:rsidR="009115A9" w:rsidRPr="009115A9">
              <w:rPr>
                <w:noProof/>
                <w:sz w:val="20"/>
                <w:szCs w:val="20"/>
                <w:vertAlign w:val="superscript"/>
              </w:rPr>
              <w:t>28</w:t>
            </w:r>
            <w:r w:rsidR="004E42E9">
              <w:rPr>
                <w:sz w:val="20"/>
                <w:szCs w:val="20"/>
              </w:rPr>
              <w:fldChar w:fldCharType="end"/>
            </w:r>
          </w:p>
        </w:tc>
        <w:tc>
          <w:tcPr>
            <w:tcW w:w="0" w:type="auto"/>
          </w:tcPr>
          <w:p w14:paraId="5230DAF1" w14:textId="77777777" w:rsidR="00BD387D" w:rsidRPr="00441CA9" w:rsidRDefault="00BD387D" w:rsidP="00CE408C">
            <w:pPr>
              <w:spacing w:line="240" w:lineRule="auto"/>
              <w:jc w:val="center"/>
              <w:rPr>
                <w:sz w:val="20"/>
                <w:szCs w:val="20"/>
              </w:rPr>
            </w:pPr>
            <w:proofErr w:type="gramStart"/>
            <w:r w:rsidRPr="00441CA9">
              <w:rPr>
                <w:sz w:val="20"/>
                <w:szCs w:val="20"/>
              </w:rPr>
              <w:t>Open-label</w:t>
            </w:r>
            <w:proofErr w:type="gramEnd"/>
          </w:p>
        </w:tc>
        <w:tc>
          <w:tcPr>
            <w:tcW w:w="0" w:type="auto"/>
          </w:tcPr>
          <w:p w14:paraId="374C27AB" w14:textId="77777777" w:rsidR="00BD387D" w:rsidRPr="00441CA9" w:rsidRDefault="00BD387D" w:rsidP="00CE408C">
            <w:pPr>
              <w:spacing w:line="240" w:lineRule="auto"/>
              <w:jc w:val="center"/>
              <w:rPr>
                <w:sz w:val="20"/>
                <w:szCs w:val="20"/>
              </w:rPr>
            </w:pPr>
            <w:r w:rsidRPr="00441CA9">
              <w:rPr>
                <w:sz w:val="20"/>
                <w:szCs w:val="20"/>
              </w:rPr>
              <w:t>Apr 2004-Jan 2009</w:t>
            </w:r>
          </w:p>
        </w:tc>
        <w:tc>
          <w:tcPr>
            <w:tcW w:w="0" w:type="auto"/>
          </w:tcPr>
          <w:p w14:paraId="7F9A95F9" w14:textId="77777777" w:rsidR="00BD387D" w:rsidRPr="00441CA9" w:rsidRDefault="00BD387D" w:rsidP="00CE408C">
            <w:pPr>
              <w:spacing w:line="240" w:lineRule="auto"/>
              <w:jc w:val="center"/>
              <w:rPr>
                <w:sz w:val="20"/>
                <w:szCs w:val="20"/>
              </w:rPr>
            </w:pPr>
            <w:r w:rsidRPr="00441CA9">
              <w:rPr>
                <w:sz w:val="20"/>
                <w:szCs w:val="20"/>
              </w:rPr>
              <w:t>Pancreatic cancer</w:t>
            </w:r>
          </w:p>
        </w:tc>
        <w:tc>
          <w:tcPr>
            <w:tcW w:w="0" w:type="auto"/>
          </w:tcPr>
          <w:p w14:paraId="68785CE7" w14:textId="77777777" w:rsidR="00BD387D" w:rsidRPr="00441CA9" w:rsidRDefault="00BD387D" w:rsidP="00CE408C">
            <w:pPr>
              <w:spacing w:line="240" w:lineRule="auto"/>
              <w:jc w:val="center"/>
              <w:rPr>
                <w:sz w:val="20"/>
                <w:szCs w:val="20"/>
              </w:rPr>
            </w:pPr>
            <w:r w:rsidRPr="00441CA9">
              <w:rPr>
                <w:sz w:val="20"/>
                <w:szCs w:val="20"/>
              </w:rPr>
              <w:t>Weight-adjusted enoxaparin (1mg/kg) for 3 months, followed by 40 mg od until disease progression</w:t>
            </w:r>
          </w:p>
        </w:tc>
        <w:tc>
          <w:tcPr>
            <w:tcW w:w="0" w:type="auto"/>
          </w:tcPr>
          <w:p w14:paraId="6C90F609" w14:textId="77777777" w:rsidR="00BD387D" w:rsidRPr="00441CA9" w:rsidRDefault="00BD387D" w:rsidP="00CE408C">
            <w:pPr>
              <w:spacing w:line="240" w:lineRule="auto"/>
              <w:jc w:val="center"/>
              <w:rPr>
                <w:sz w:val="20"/>
                <w:szCs w:val="20"/>
              </w:rPr>
            </w:pPr>
            <w:r w:rsidRPr="00441CA9">
              <w:rPr>
                <w:sz w:val="20"/>
                <w:szCs w:val="20"/>
              </w:rPr>
              <w:t>312</w:t>
            </w:r>
          </w:p>
        </w:tc>
        <w:tc>
          <w:tcPr>
            <w:tcW w:w="0" w:type="auto"/>
          </w:tcPr>
          <w:p w14:paraId="103BBB99" w14:textId="77777777" w:rsidR="00BD387D" w:rsidRPr="00441CA9" w:rsidRDefault="00BD387D" w:rsidP="00CE408C">
            <w:pPr>
              <w:spacing w:line="240" w:lineRule="auto"/>
              <w:jc w:val="center"/>
              <w:rPr>
                <w:sz w:val="20"/>
                <w:szCs w:val="20"/>
              </w:rPr>
            </w:pPr>
            <w:r>
              <w:rPr>
                <w:sz w:val="20"/>
                <w:szCs w:val="20"/>
              </w:rPr>
              <w:t>152</w:t>
            </w:r>
          </w:p>
        </w:tc>
        <w:tc>
          <w:tcPr>
            <w:tcW w:w="0" w:type="auto"/>
          </w:tcPr>
          <w:p w14:paraId="5E9887AA" w14:textId="77777777" w:rsidR="00BD387D" w:rsidRPr="00441CA9" w:rsidRDefault="00BD387D" w:rsidP="00CE408C">
            <w:pPr>
              <w:spacing w:line="240" w:lineRule="auto"/>
              <w:jc w:val="center"/>
              <w:rPr>
                <w:sz w:val="20"/>
                <w:szCs w:val="20"/>
              </w:rPr>
            </w:pPr>
            <w:r w:rsidRPr="00441CA9">
              <w:rPr>
                <w:sz w:val="20"/>
                <w:szCs w:val="20"/>
              </w:rPr>
              <w:t>18 months</w:t>
            </w:r>
          </w:p>
        </w:tc>
        <w:tc>
          <w:tcPr>
            <w:tcW w:w="0" w:type="auto"/>
          </w:tcPr>
          <w:p w14:paraId="1C996F9C" w14:textId="77777777" w:rsidR="00BD387D" w:rsidRPr="00441CA9" w:rsidRDefault="00BD387D" w:rsidP="00441CA9">
            <w:pPr>
              <w:spacing w:line="240" w:lineRule="auto"/>
              <w:jc w:val="center"/>
              <w:rPr>
                <w:sz w:val="20"/>
                <w:szCs w:val="20"/>
              </w:rPr>
            </w:pPr>
            <w:r>
              <w:rPr>
                <w:sz w:val="20"/>
                <w:szCs w:val="20"/>
              </w:rPr>
              <w:t>Objectively confirmed s</w:t>
            </w:r>
            <w:r w:rsidRPr="00441CA9">
              <w:rPr>
                <w:sz w:val="20"/>
                <w:szCs w:val="20"/>
              </w:rPr>
              <w:t>ymptomatic VTE</w:t>
            </w:r>
          </w:p>
        </w:tc>
      </w:tr>
      <w:tr w:rsidR="002B2347" w:rsidRPr="00441CA9" w14:paraId="029B257D" w14:textId="77777777" w:rsidTr="00BD387D">
        <w:tc>
          <w:tcPr>
            <w:tcW w:w="0" w:type="auto"/>
          </w:tcPr>
          <w:p w14:paraId="5EADAD2F" w14:textId="6B865C84" w:rsidR="00BD387D" w:rsidRPr="00441CA9" w:rsidRDefault="00BD387D" w:rsidP="00E10E43">
            <w:pPr>
              <w:spacing w:line="240" w:lineRule="auto"/>
              <w:rPr>
                <w:sz w:val="20"/>
                <w:szCs w:val="20"/>
              </w:rPr>
            </w:pPr>
            <w:r w:rsidRPr="00441CA9">
              <w:rPr>
                <w:sz w:val="20"/>
                <w:szCs w:val="20"/>
              </w:rPr>
              <w:t>Perry (2010)</w:t>
            </w:r>
            <w:r w:rsidR="0092742B" w:rsidRPr="00441CA9">
              <w:rPr>
                <w:sz w:val="20"/>
                <w:szCs w:val="20"/>
              </w:rPr>
              <w:fldChar w:fldCharType="begin" w:fldLock="1"/>
            </w:r>
            <w:r w:rsidR="009115A9">
              <w:rPr>
                <w:sz w:val="20"/>
                <w:szCs w:val="20"/>
              </w:rPr>
              <w:instrText>ADDIN CSL_CITATION {"citationItems":[{"id":"ITEM-1","itemData":{"DOI":"10.1111/j.1538-7836.2010.03973.x","ISBN":"1538-7836 (Electronic)\\r1538-7836 (Linking)","ISSN":"15387933","PMID":"20598077","abstract":"Venous thromboembolism (VTE) occurs in 20-30% of patients with malignant glioma per year of survival. We tested the efficacy of long-term dalteparin low-molecular-weight heparin (LMWH) for prevention of VTE in these patients.","author":[{"dropping-particle":"","family":"Perry","given":"J. R.","non-dropping-particle":"","parse-names":false,"suffix":""},{"dropping-particle":"","family":"Julian","given":"J. A.","non-dropping-particle":"","parse-names":false,"suffix":""},{"dropping-particle":"","family":"Laperriere","given":"N. J.","non-dropping-particle":"","parse-names":false,"suffix":""},{"dropping-particle":"","family":"Geerts","given":"W.","non-dropping-particle":"","parse-names":false,"suffix":""},{"dropping-particle":"","family":"Agnelli","given":"G.","non-dropping-particle":"","parse-names":false,"suffix":""},{"dropping-particle":"","family":"Rogers","given":"L. R.","non-dropping-particle":"","parse-names":false,"suffix":""},{"dropping-particle":"","family":"Malkin","given":"M. G.","non-dropping-particle":"","parse-names":false,"suffix":""},{"dropping-particle":"","family":"Sawaya","given":"R.","non-dropping-particle":"","parse-names":false,"suffix":""},{"dropping-particle":"","family":"Baker","given":"R.","non-dropping-particle":"","parse-names":false,"suffix":""},{"dropping-particle":"","family":"Falanga","given":"A.","non-dropping-particle":"","parse-names":false,"suffix":""},{"dropping-particle":"","family":"Parpia","given":"S.","non-dropping-particle":"","parse-names":false,"suffix":""},{"dropping-particle":"","family":"Finch","given":"T.","non-dropping-particle":"","parse-names":false,"suffix":""},{"dropping-particle":"","family":"Levine","given":"M. N.","non-dropping-particle":"","parse-names":false,"suffix":""}],"container-title":"Journal of Thrombosis and Haemostasis","id":"ITEM-1","issue":"9","issued":{"date-parts":[["2010"]]},"page":"1959-1965","title":"PRODIGE: A randomized placebo-controlled trial of dalteparin low-molecular-weight heparin thromboprophylaxis in patients with newly diagnosed malignant glioma","type":"article-journal","volume":"8"},"uris":["http://www.mendeley.com/documents/?uuid=958bc7bf-f2f2-467a-9e12-95870aa61658"]}],"mendeley":{"formattedCitation":"&lt;sup&gt;29&lt;/sup&gt;","plainTextFormattedCitation":"29","previouslyFormattedCitation":"&lt;sup&gt;28&lt;/sup&gt;"},"properties":{"noteIndex":0},"schema":"https://github.com/citation-style-language/schema/raw/master/csl-citation.json"}</w:instrText>
            </w:r>
            <w:r w:rsidR="0092742B" w:rsidRPr="00441CA9">
              <w:rPr>
                <w:sz w:val="20"/>
                <w:szCs w:val="20"/>
              </w:rPr>
              <w:fldChar w:fldCharType="separate"/>
            </w:r>
            <w:r w:rsidR="009115A9" w:rsidRPr="009115A9">
              <w:rPr>
                <w:noProof/>
                <w:sz w:val="20"/>
                <w:szCs w:val="20"/>
                <w:vertAlign w:val="superscript"/>
              </w:rPr>
              <w:t>29</w:t>
            </w:r>
            <w:r w:rsidR="0092742B" w:rsidRPr="00441CA9">
              <w:rPr>
                <w:sz w:val="20"/>
                <w:szCs w:val="20"/>
              </w:rPr>
              <w:fldChar w:fldCharType="end"/>
            </w:r>
          </w:p>
        </w:tc>
        <w:tc>
          <w:tcPr>
            <w:tcW w:w="0" w:type="auto"/>
          </w:tcPr>
          <w:p w14:paraId="47D9BA9E" w14:textId="77777777" w:rsidR="00BD387D" w:rsidRPr="00441CA9" w:rsidRDefault="00BD387D" w:rsidP="00CE408C">
            <w:pPr>
              <w:spacing w:line="240" w:lineRule="auto"/>
              <w:jc w:val="center"/>
              <w:rPr>
                <w:sz w:val="20"/>
                <w:szCs w:val="20"/>
              </w:rPr>
            </w:pPr>
            <w:r w:rsidRPr="00441CA9">
              <w:rPr>
                <w:sz w:val="20"/>
                <w:szCs w:val="20"/>
              </w:rPr>
              <w:t>Double-blind</w:t>
            </w:r>
          </w:p>
        </w:tc>
        <w:tc>
          <w:tcPr>
            <w:tcW w:w="0" w:type="auto"/>
          </w:tcPr>
          <w:p w14:paraId="06D91160" w14:textId="77777777" w:rsidR="00BD387D" w:rsidRPr="00441CA9" w:rsidRDefault="00BD387D" w:rsidP="00CE408C">
            <w:pPr>
              <w:spacing w:line="240" w:lineRule="auto"/>
              <w:jc w:val="center"/>
              <w:rPr>
                <w:sz w:val="20"/>
                <w:szCs w:val="20"/>
              </w:rPr>
            </w:pPr>
            <w:r w:rsidRPr="00441CA9">
              <w:rPr>
                <w:sz w:val="20"/>
                <w:szCs w:val="20"/>
              </w:rPr>
              <w:t>Oct 2002-May 2006</w:t>
            </w:r>
          </w:p>
        </w:tc>
        <w:tc>
          <w:tcPr>
            <w:tcW w:w="0" w:type="auto"/>
          </w:tcPr>
          <w:p w14:paraId="507C3869" w14:textId="77777777" w:rsidR="00BD387D" w:rsidRPr="00441CA9" w:rsidRDefault="00BD387D" w:rsidP="00CE408C">
            <w:pPr>
              <w:spacing w:line="240" w:lineRule="auto"/>
              <w:jc w:val="center"/>
              <w:rPr>
                <w:sz w:val="20"/>
                <w:szCs w:val="20"/>
              </w:rPr>
            </w:pPr>
            <w:r w:rsidRPr="00441CA9">
              <w:rPr>
                <w:sz w:val="20"/>
                <w:szCs w:val="20"/>
              </w:rPr>
              <w:t xml:space="preserve">WHO grade 3 or 4 </w:t>
            </w:r>
            <w:proofErr w:type="gramStart"/>
            <w:r w:rsidRPr="00441CA9">
              <w:rPr>
                <w:sz w:val="20"/>
                <w:szCs w:val="20"/>
              </w:rPr>
              <w:t>glioma</w:t>
            </w:r>
            <w:proofErr w:type="gramEnd"/>
          </w:p>
        </w:tc>
        <w:tc>
          <w:tcPr>
            <w:tcW w:w="0" w:type="auto"/>
          </w:tcPr>
          <w:p w14:paraId="488CF840" w14:textId="77777777" w:rsidR="00BD387D" w:rsidRPr="00441CA9" w:rsidRDefault="00BD387D" w:rsidP="00CE408C">
            <w:pPr>
              <w:spacing w:line="240" w:lineRule="auto"/>
              <w:jc w:val="center"/>
              <w:rPr>
                <w:sz w:val="20"/>
                <w:szCs w:val="20"/>
              </w:rPr>
            </w:pPr>
            <w:proofErr w:type="spellStart"/>
            <w:r w:rsidRPr="00441CA9">
              <w:rPr>
                <w:sz w:val="20"/>
                <w:szCs w:val="20"/>
              </w:rPr>
              <w:t>Dalteparin</w:t>
            </w:r>
            <w:proofErr w:type="spellEnd"/>
            <w:r w:rsidRPr="00441CA9">
              <w:rPr>
                <w:sz w:val="20"/>
                <w:szCs w:val="20"/>
              </w:rPr>
              <w:t xml:space="preserve"> 5,000 IU od for at least 6 months</w:t>
            </w:r>
          </w:p>
        </w:tc>
        <w:tc>
          <w:tcPr>
            <w:tcW w:w="0" w:type="auto"/>
          </w:tcPr>
          <w:p w14:paraId="631C7C80" w14:textId="77777777" w:rsidR="00BD387D" w:rsidRPr="00441CA9" w:rsidRDefault="00BD387D" w:rsidP="00CE408C">
            <w:pPr>
              <w:spacing w:line="240" w:lineRule="auto"/>
              <w:jc w:val="center"/>
              <w:rPr>
                <w:sz w:val="20"/>
                <w:szCs w:val="20"/>
              </w:rPr>
            </w:pPr>
            <w:r w:rsidRPr="00441CA9">
              <w:rPr>
                <w:sz w:val="20"/>
                <w:szCs w:val="20"/>
              </w:rPr>
              <w:t>186</w:t>
            </w:r>
          </w:p>
        </w:tc>
        <w:tc>
          <w:tcPr>
            <w:tcW w:w="0" w:type="auto"/>
          </w:tcPr>
          <w:p w14:paraId="56E11EC1" w14:textId="77777777" w:rsidR="00BD387D" w:rsidRPr="00441CA9" w:rsidRDefault="00BD387D" w:rsidP="00CE408C">
            <w:pPr>
              <w:spacing w:line="240" w:lineRule="auto"/>
              <w:jc w:val="center"/>
              <w:rPr>
                <w:sz w:val="20"/>
                <w:szCs w:val="20"/>
              </w:rPr>
            </w:pPr>
            <w:r>
              <w:rPr>
                <w:sz w:val="20"/>
                <w:szCs w:val="20"/>
              </w:rPr>
              <w:t>87</w:t>
            </w:r>
          </w:p>
        </w:tc>
        <w:tc>
          <w:tcPr>
            <w:tcW w:w="0" w:type="auto"/>
          </w:tcPr>
          <w:p w14:paraId="1565AD4E" w14:textId="77777777" w:rsidR="00BD387D" w:rsidRPr="00441CA9" w:rsidRDefault="00BD387D" w:rsidP="00CE408C">
            <w:pPr>
              <w:spacing w:line="240" w:lineRule="auto"/>
              <w:jc w:val="center"/>
              <w:rPr>
                <w:sz w:val="20"/>
                <w:szCs w:val="20"/>
              </w:rPr>
            </w:pPr>
            <w:r w:rsidRPr="00441CA9">
              <w:rPr>
                <w:sz w:val="20"/>
                <w:szCs w:val="20"/>
              </w:rPr>
              <w:t>12 months</w:t>
            </w:r>
          </w:p>
        </w:tc>
        <w:tc>
          <w:tcPr>
            <w:tcW w:w="0" w:type="auto"/>
          </w:tcPr>
          <w:p w14:paraId="78B63EFB" w14:textId="77777777" w:rsidR="00BD387D" w:rsidRPr="00441CA9" w:rsidRDefault="00BD387D" w:rsidP="00441CA9">
            <w:pPr>
              <w:spacing w:line="240" w:lineRule="auto"/>
              <w:jc w:val="center"/>
              <w:rPr>
                <w:sz w:val="20"/>
                <w:szCs w:val="20"/>
              </w:rPr>
            </w:pPr>
            <w:r w:rsidRPr="00441CA9">
              <w:rPr>
                <w:sz w:val="20"/>
                <w:szCs w:val="20"/>
              </w:rPr>
              <w:t xml:space="preserve">Adjudicated symptomatic proximal </w:t>
            </w:r>
            <w:r>
              <w:rPr>
                <w:sz w:val="20"/>
                <w:szCs w:val="20"/>
              </w:rPr>
              <w:t>lower extremity DVT</w:t>
            </w:r>
            <w:r w:rsidRPr="00441CA9">
              <w:rPr>
                <w:sz w:val="20"/>
                <w:szCs w:val="20"/>
              </w:rPr>
              <w:t xml:space="preserve"> or PE</w:t>
            </w:r>
          </w:p>
        </w:tc>
      </w:tr>
    </w:tbl>
    <w:p w14:paraId="14F9DB18" w14:textId="77777777" w:rsidR="00A621B4" w:rsidRDefault="00A621B4" w:rsidP="00A621B4"/>
    <w:p w14:paraId="5056E16A" w14:textId="77777777" w:rsidR="00441CA9" w:rsidRPr="00441CA9" w:rsidRDefault="00441CA9" w:rsidP="00492CA8">
      <w:pPr>
        <w:spacing w:line="480" w:lineRule="auto"/>
        <w:rPr>
          <w:rFonts w:asciiTheme="minorHAnsi" w:hAnsiTheme="minorHAnsi"/>
          <w:szCs w:val="22"/>
        </w:rPr>
        <w:sectPr w:rsidR="00441CA9" w:rsidRPr="00441CA9" w:rsidSect="002B72A0">
          <w:pgSz w:w="16838" w:h="11906" w:orient="landscape"/>
          <w:pgMar w:top="1417" w:right="1417" w:bottom="1417" w:left="1417" w:header="708" w:footer="708" w:gutter="0"/>
          <w:cols w:space="708"/>
          <w:docGrid w:linePitch="360"/>
        </w:sectPr>
      </w:pPr>
      <w:r>
        <w:rPr>
          <w:rFonts w:asciiTheme="minorHAnsi" w:hAnsiTheme="minorHAnsi"/>
          <w:szCs w:val="22"/>
        </w:rPr>
        <w:lastRenderedPageBreak/>
        <w:t xml:space="preserve">Abbreviations: DVT, deep vein thrombosis; IU, international units; od, once daily; PE, pulmonary embolism; VTE, venous thromboembolism; WHO, World Health Organization. </w:t>
      </w:r>
      <w:r w:rsidR="00BD387D">
        <w:rPr>
          <w:rFonts w:asciiTheme="minorHAnsi" w:hAnsiTheme="minorHAnsi"/>
          <w:szCs w:val="22"/>
        </w:rPr>
        <w:br/>
        <w:t xml:space="preserve">Patients in the control groups were used in the </w:t>
      </w:r>
      <w:r w:rsidR="00672600">
        <w:rPr>
          <w:rFonts w:asciiTheme="minorHAnsi" w:hAnsiTheme="minorHAnsi"/>
          <w:szCs w:val="22"/>
        </w:rPr>
        <w:t xml:space="preserve">analysis on the performance of the Khorana score. </w:t>
      </w:r>
    </w:p>
    <w:p w14:paraId="30128B1B" w14:textId="4B4B5281" w:rsidR="00503980" w:rsidRDefault="00EF77C9">
      <w:pPr>
        <w:rPr>
          <w:b/>
        </w:rPr>
      </w:pPr>
      <w:r>
        <w:rPr>
          <w:b/>
        </w:rPr>
        <w:lastRenderedPageBreak/>
        <w:t xml:space="preserve">Table </w:t>
      </w:r>
      <w:r w:rsidR="00F56AF8">
        <w:rPr>
          <w:b/>
        </w:rPr>
        <w:t>2</w:t>
      </w:r>
      <w:r w:rsidR="00503980">
        <w:rPr>
          <w:b/>
        </w:rPr>
        <w:t>. Baseline characteristics</w:t>
      </w:r>
    </w:p>
    <w:tbl>
      <w:tblPr>
        <w:tblStyle w:val="TableGrid"/>
        <w:tblW w:w="0" w:type="auto"/>
        <w:tblLook w:val="04A0" w:firstRow="1" w:lastRow="0" w:firstColumn="1" w:lastColumn="0" w:noHBand="0" w:noVBand="1"/>
      </w:tblPr>
      <w:tblGrid>
        <w:gridCol w:w="4389"/>
        <w:gridCol w:w="2169"/>
      </w:tblGrid>
      <w:tr w:rsidR="006803D9" w14:paraId="20C391D0" w14:textId="77777777" w:rsidTr="00EC19D2">
        <w:tc>
          <w:tcPr>
            <w:tcW w:w="0" w:type="auto"/>
          </w:tcPr>
          <w:p w14:paraId="526F5E5A" w14:textId="77777777" w:rsidR="006803D9" w:rsidRDefault="006803D9" w:rsidP="00492CA8">
            <w:pPr>
              <w:spacing w:line="240" w:lineRule="auto"/>
            </w:pPr>
          </w:p>
        </w:tc>
        <w:tc>
          <w:tcPr>
            <w:tcW w:w="0" w:type="auto"/>
          </w:tcPr>
          <w:p w14:paraId="158390D8" w14:textId="77777777" w:rsidR="006803D9" w:rsidRDefault="006803D9" w:rsidP="00492CA8">
            <w:pPr>
              <w:spacing w:line="240" w:lineRule="auto"/>
              <w:jc w:val="center"/>
            </w:pPr>
            <w:r>
              <w:t>Placebo / observation</w:t>
            </w:r>
          </w:p>
          <w:p w14:paraId="73586264" w14:textId="77777777" w:rsidR="006803D9" w:rsidRDefault="006803D9" w:rsidP="00D6247C">
            <w:pPr>
              <w:spacing w:line="240" w:lineRule="auto"/>
              <w:jc w:val="center"/>
            </w:pPr>
            <w:r>
              <w:t>(N=3,</w:t>
            </w:r>
            <w:r w:rsidR="00D6247C">
              <w:t>293</w:t>
            </w:r>
            <w:r>
              <w:t>)</w:t>
            </w:r>
          </w:p>
        </w:tc>
      </w:tr>
      <w:tr w:rsidR="006803D9" w14:paraId="69E9AF7B" w14:textId="77777777" w:rsidTr="00EC19D2">
        <w:tc>
          <w:tcPr>
            <w:tcW w:w="0" w:type="auto"/>
          </w:tcPr>
          <w:p w14:paraId="09BD993B" w14:textId="77777777" w:rsidR="006803D9" w:rsidRDefault="006803D9" w:rsidP="00492CA8">
            <w:pPr>
              <w:spacing w:line="240" w:lineRule="auto"/>
            </w:pPr>
            <w:r>
              <w:t>Mean age, y</w:t>
            </w:r>
            <w:r w:rsidR="0021682A">
              <w:t>ears</w:t>
            </w:r>
            <w:r>
              <w:t xml:space="preserve"> (SD)</w:t>
            </w:r>
          </w:p>
        </w:tc>
        <w:tc>
          <w:tcPr>
            <w:tcW w:w="0" w:type="auto"/>
          </w:tcPr>
          <w:p w14:paraId="49AC168B" w14:textId="77777777" w:rsidR="006803D9" w:rsidRDefault="006803D9" w:rsidP="00492CA8">
            <w:pPr>
              <w:spacing w:line="240" w:lineRule="auto"/>
              <w:jc w:val="center"/>
            </w:pPr>
            <w:r>
              <w:t>61 (10)</w:t>
            </w:r>
          </w:p>
        </w:tc>
      </w:tr>
      <w:tr w:rsidR="006803D9" w14:paraId="13C7F1CD" w14:textId="77777777" w:rsidTr="00EC19D2">
        <w:tc>
          <w:tcPr>
            <w:tcW w:w="0" w:type="auto"/>
          </w:tcPr>
          <w:p w14:paraId="44FDEB7B" w14:textId="77777777" w:rsidR="006803D9" w:rsidRDefault="006803D9" w:rsidP="00492CA8">
            <w:pPr>
              <w:spacing w:line="240" w:lineRule="auto"/>
            </w:pPr>
            <w:r>
              <w:t>Male sex, n (%)</w:t>
            </w:r>
          </w:p>
        </w:tc>
        <w:tc>
          <w:tcPr>
            <w:tcW w:w="0" w:type="auto"/>
          </w:tcPr>
          <w:p w14:paraId="5C3FB9CE" w14:textId="77777777" w:rsidR="006803D9" w:rsidRDefault="006803D9" w:rsidP="00492CA8">
            <w:pPr>
              <w:spacing w:line="240" w:lineRule="auto"/>
              <w:jc w:val="center"/>
            </w:pPr>
            <w:r>
              <w:t>1,9</w:t>
            </w:r>
            <w:r w:rsidR="00D6247C">
              <w:t>27</w:t>
            </w:r>
            <w:r>
              <w:t xml:space="preserve"> (59)</w:t>
            </w:r>
          </w:p>
        </w:tc>
      </w:tr>
      <w:tr w:rsidR="006803D9" w14:paraId="21C04322" w14:textId="77777777" w:rsidTr="00EC19D2">
        <w:tc>
          <w:tcPr>
            <w:tcW w:w="0" w:type="auto"/>
          </w:tcPr>
          <w:p w14:paraId="7893F067" w14:textId="77777777" w:rsidR="006803D9" w:rsidRDefault="006803D9" w:rsidP="00492CA8">
            <w:pPr>
              <w:spacing w:line="240" w:lineRule="auto"/>
            </w:pPr>
            <w:r>
              <w:t>Body mass index</w:t>
            </w:r>
          </w:p>
        </w:tc>
        <w:tc>
          <w:tcPr>
            <w:tcW w:w="0" w:type="auto"/>
          </w:tcPr>
          <w:p w14:paraId="5E7AA2B1" w14:textId="77777777" w:rsidR="006803D9" w:rsidRDefault="006803D9" w:rsidP="00492CA8">
            <w:pPr>
              <w:spacing w:line="240" w:lineRule="auto"/>
              <w:jc w:val="center"/>
            </w:pPr>
          </w:p>
        </w:tc>
      </w:tr>
      <w:tr w:rsidR="006803D9" w14:paraId="53CC16A2" w14:textId="77777777" w:rsidTr="00EC19D2">
        <w:tc>
          <w:tcPr>
            <w:tcW w:w="0" w:type="auto"/>
          </w:tcPr>
          <w:p w14:paraId="67DC393B" w14:textId="77777777" w:rsidR="006803D9" w:rsidRDefault="006803D9" w:rsidP="00492CA8">
            <w:pPr>
              <w:spacing w:line="240" w:lineRule="auto"/>
            </w:pPr>
            <w:r>
              <w:t xml:space="preserve">  Mean, kg/m</w:t>
            </w:r>
            <w:r w:rsidRPr="00093ED2">
              <w:rPr>
                <w:vertAlign w:val="superscript"/>
              </w:rPr>
              <w:t>2</w:t>
            </w:r>
            <w:r>
              <w:t xml:space="preserve"> (SD)</w:t>
            </w:r>
          </w:p>
        </w:tc>
        <w:tc>
          <w:tcPr>
            <w:tcW w:w="0" w:type="auto"/>
          </w:tcPr>
          <w:p w14:paraId="068C6A06" w14:textId="77777777" w:rsidR="006803D9" w:rsidRDefault="006803D9" w:rsidP="00492CA8">
            <w:pPr>
              <w:spacing w:line="240" w:lineRule="auto"/>
              <w:jc w:val="center"/>
            </w:pPr>
            <w:r>
              <w:t>25 (5)</w:t>
            </w:r>
          </w:p>
        </w:tc>
      </w:tr>
      <w:tr w:rsidR="006803D9" w14:paraId="3D44084C" w14:textId="77777777" w:rsidTr="00EC19D2">
        <w:tc>
          <w:tcPr>
            <w:tcW w:w="0" w:type="auto"/>
          </w:tcPr>
          <w:p w14:paraId="578D365E" w14:textId="77777777" w:rsidR="006803D9" w:rsidRDefault="006803D9" w:rsidP="00492CA8">
            <w:pPr>
              <w:spacing w:line="240" w:lineRule="auto"/>
            </w:pPr>
            <w:r>
              <w:t xml:space="preserve">  &gt;35 kg/m</w:t>
            </w:r>
            <w:r w:rsidRPr="00093ED2">
              <w:rPr>
                <w:vertAlign w:val="superscript"/>
              </w:rPr>
              <w:t>2</w:t>
            </w:r>
            <w:r>
              <w:t>, n (%)</w:t>
            </w:r>
          </w:p>
        </w:tc>
        <w:tc>
          <w:tcPr>
            <w:tcW w:w="0" w:type="auto"/>
          </w:tcPr>
          <w:p w14:paraId="5F6B951B" w14:textId="77777777" w:rsidR="006803D9" w:rsidRDefault="006803D9" w:rsidP="00492CA8">
            <w:pPr>
              <w:spacing w:line="240" w:lineRule="auto"/>
              <w:jc w:val="center"/>
            </w:pPr>
            <w:r>
              <w:t>15</w:t>
            </w:r>
            <w:r w:rsidR="00D6247C">
              <w:t>3</w:t>
            </w:r>
            <w:r>
              <w:t xml:space="preserve"> (4.</w:t>
            </w:r>
            <w:r w:rsidR="00D6247C">
              <w:t>6</w:t>
            </w:r>
            <w:r>
              <w:t>)</w:t>
            </w:r>
          </w:p>
        </w:tc>
      </w:tr>
      <w:tr w:rsidR="006803D9" w14:paraId="3913F161" w14:textId="77777777" w:rsidTr="00EC19D2">
        <w:tc>
          <w:tcPr>
            <w:tcW w:w="0" w:type="auto"/>
          </w:tcPr>
          <w:p w14:paraId="75FF1D21" w14:textId="77777777" w:rsidR="006803D9" w:rsidRDefault="006803D9" w:rsidP="00492CA8">
            <w:pPr>
              <w:spacing w:line="240" w:lineRule="auto"/>
            </w:pPr>
            <w:r>
              <w:t>Cancer type, n (%)</w:t>
            </w:r>
          </w:p>
        </w:tc>
        <w:tc>
          <w:tcPr>
            <w:tcW w:w="0" w:type="auto"/>
          </w:tcPr>
          <w:p w14:paraId="570D6CCE" w14:textId="77777777" w:rsidR="006803D9" w:rsidRDefault="006803D9" w:rsidP="00492CA8">
            <w:pPr>
              <w:spacing w:line="240" w:lineRule="auto"/>
              <w:jc w:val="center"/>
            </w:pPr>
          </w:p>
        </w:tc>
      </w:tr>
      <w:tr w:rsidR="006803D9" w14:paraId="4031620F" w14:textId="77777777" w:rsidTr="00EC19D2">
        <w:tc>
          <w:tcPr>
            <w:tcW w:w="0" w:type="auto"/>
          </w:tcPr>
          <w:p w14:paraId="4D1FE836" w14:textId="77777777" w:rsidR="006803D9" w:rsidRDefault="006803D9" w:rsidP="00492CA8">
            <w:pPr>
              <w:spacing w:line="240" w:lineRule="auto"/>
            </w:pPr>
            <w:r>
              <w:t xml:space="preserve">  Lung</w:t>
            </w:r>
          </w:p>
        </w:tc>
        <w:tc>
          <w:tcPr>
            <w:tcW w:w="0" w:type="auto"/>
          </w:tcPr>
          <w:p w14:paraId="5C1C2E84" w14:textId="77777777" w:rsidR="006803D9" w:rsidRDefault="006803D9">
            <w:pPr>
              <w:spacing w:line="240" w:lineRule="auto"/>
              <w:jc w:val="center"/>
            </w:pPr>
            <w:r>
              <w:t>1,</w:t>
            </w:r>
            <w:r w:rsidR="00D6247C">
              <w:t xml:space="preserve">913 </w:t>
            </w:r>
            <w:r>
              <w:t>(58)</w:t>
            </w:r>
          </w:p>
        </w:tc>
      </w:tr>
      <w:tr w:rsidR="006803D9" w14:paraId="47E27658" w14:textId="77777777" w:rsidTr="00EC19D2">
        <w:tc>
          <w:tcPr>
            <w:tcW w:w="0" w:type="auto"/>
          </w:tcPr>
          <w:p w14:paraId="418BA6B3" w14:textId="77777777" w:rsidR="006803D9" w:rsidRDefault="006803D9" w:rsidP="00492CA8">
            <w:pPr>
              <w:spacing w:line="240" w:lineRule="auto"/>
            </w:pPr>
            <w:r>
              <w:t xml:space="preserve">  Colorectal</w:t>
            </w:r>
          </w:p>
        </w:tc>
        <w:tc>
          <w:tcPr>
            <w:tcW w:w="0" w:type="auto"/>
          </w:tcPr>
          <w:p w14:paraId="25870549" w14:textId="77777777" w:rsidR="006803D9" w:rsidRDefault="00D6247C" w:rsidP="00492CA8">
            <w:pPr>
              <w:spacing w:line="240" w:lineRule="auto"/>
              <w:jc w:val="center"/>
            </w:pPr>
            <w:r>
              <w:t xml:space="preserve">452 </w:t>
            </w:r>
            <w:r w:rsidR="006803D9">
              <w:t>(14)</w:t>
            </w:r>
          </w:p>
        </w:tc>
      </w:tr>
      <w:tr w:rsidR="006803D9" w14:paraId="468B603B" w14:textId="77777777" w:rsidTr="00EC19D2">
        <w:tc>
          <w:tcPr>
            <w:tcW w:w="0" w:type="auto"/>
          </w:tcPr>
          <w:p w14:paraId="55E2E9FB" w14:textId="77777777" w:rsidR="006803D9" w:rsidRDefault="006803D9" w:rsidP="00492CA8">
            <w:pPr>
              <w:spacing w:line="240" w:lineRule="auto"/>
            </w:pPr>
            <w:r>
              <w:t xml:space="preserve">  Pancreatic</w:t>
            </w:r>
          </w:p>
        </w:tc>
        <w:tc>
          <w:tcPr>
            <w:tcW w:w="0" w:type="auto"/>
          </w:tcPr>
          <w:p w14:paraId="7D371E1E" w14:textId="77777777" w:rsidR="006803D9" w:rsidRDefault="00D6247C" w:rsidP="00492CA8">
            <w:pPr>
              <w:spacing w:line="240" w:lineRule="auto"/>
              <w:jc w:val="center"/>
            </w:pPr>
            <w:r>
              <w:t xml:space="preserve">264 </w:t>
            </w:r>
            <w:r w:rsidR="006803D9">
              <w:t>(8.0)</w:t>
            </w:r>
          </w:p>
        </w:tc>
      </w:tr>
      <w:tr w:rsidR="006803D9" w14:paraId="307CFBDC" w14:textId="77777777" w:rsidTr="00EC19D2">
        <w:tc>
          <w:tcPr>
            <w:tcW w:w="0" w:type="auto"/>
          </w:tcPr>
          <w:p w14:paraId="6BF790AC" w14:textId="77777777" w:rsidR="006803D9" w:rsidRDefault="006803D9" w:rsidP="00492CA8">
            <w:pPr>
              <w:spacing w:line="240" w:lineRule="auto"/>
            </w:pPr>
            <w:r>
              <w:t xml:space="preserve">  Stomach</w:t>
            </w:r>
          </w:p>
        </w:tc>
        <w:tc>
          <w:tcPr>
            <w:tcW w:w="0" w:type="auto"/>
          </w:tcPr>
          <w:p w14:paraId="1375FD24" w14:textId="77777777" w:rsidR="006803D9" w:rsidRDefault="006803D9">
            <w:pPr>
              <w:spacing w:line="240" w:lineRule="auto"/>
              <w:jc w:val="center"/>
            </w:pPr>
            <w:r>
              <w:t>20</w:t>
            </w:r>
            <w:r w:rsidR="00D6247C">
              <w:t>1</w:t>
            </w:r>
            <w:r>
              <w:t xml:space="preserve"> (6.</w:t>
            </w:r>
            <w:r w:rsidR="00D6247C">
              <w:t>1</w:t>
            </w:r>
            <w:r>
              <w:t>)</w:t>
            </w:r>
          </w:p>
        </w:tc>
      </w:tr>
      <w:tr w:rsidR="006803D9" w14:paraId="673763F6" w14:textId="77777777" w:rsidTr="00EC19D2">
        <w:tc>
          <w:tcPr>
            <w:tcW w:w="0" w:type="auto"/>
          </w:tcPr>
          <w:p w14:paraId="45D70016" w14:textId="77777777" w:rsidR="006803D9" w:rsidRDefault="006803D9" w:rsidP="00492CA8">
            <w:pPr>
              <w:spacing w:line="240" w:lineRule="auto"/>
            </w:pPr>
            <w:r>
              <w:t xml:space="preserve">  Ovarian</w:t>
            </w:r>
          </w:p>
        </w:tc>
        <w:tc>
          <w:tcPr>
            <w:tcW w:w="0" w:type="auto"/>
          </w:tcPr>
          <w:p w14:paraId="642B2BAC" w14:textId="77777777" w:rsidR="006803D9" w:rsidRDefault="006803D9">
            <w:pPr>
              <w:spacing w:line="240" w:lineRule="auto"/>
              <w:jc w:val="center"/>
            </w:pPr>
            <w:r>
              <w:t>18</w:t>
            </w:r>
            <w:r w:rsidR="00D6247C">
              <w:t>4</w:t>
            </w:r>
            <w:r>
              <w:t xml:space="preserve"> (5.</w:t>
            </w:r>
            <w:r w:rsidR="00D6247C">
              <w:t>6</w:t>
            </w:r>
            <w:r>
              <w:t>)</w:t>
            </w:r>
          </w:p>
        </w:tc>
      </w:tr>
      <w:tr w:rsidR="006803D9" w14:paraId="65E8835F" w14:textId="77777777" w:rsidTr="00EC19D2">
        <w:tc>
          <w:tcPr>
            <w:tcW w:w="0" w:type="auto"/>
          </w:tcPr>
          <w:p w14:paraId="5302C595" w14:textId="77777777" w:rsidR="006803D9" w:rsidRDefault="006803D9" w:rsidP="00492CA8">
            <w:pPr>
              <w:spacing w:line="240" w:lineRule="auto"/>
            </w:pPr>
            <w:r>
              <w:t xml:space="preserve">  Breast</w:t>
            </w:r>
          </w:p>
        </w:tc>
        <w:tc>
          <w:tcPr>
            <w:tcW w:w="0" w:type="auto"/>
          </w:tcPr>
          <w:p w14:paraId="2C62D094" w14:textId="77777777" w:rsidR="006803D9" w:rsidRDefault="006803D9" w:rsidP="00492CA8">
            <w:pPr>
              <w:spacing w:line="240" w:lineRule="auto"/>
              <w:jc w:val="center"/>
            </w:pPr>
            <w:r>
              <w:t>1</w:t>
            </w:r>
            <w:r w:rsidR="00D6247C">
              <w:t>64</w:t>
            </w:r>
            <w:r>
              <w:t xml:space="preserve"> (5.</w:t>
            </w:r>
            <w:r w:rsidR="00D6247C">
              <w:t>0</w:t>
            </w:r>
            <w:r>
              <w:t>)</w:t>
            </w:r>
          </w:p>
        </w:tc>
      </w:tr>
      <w:tr w:rsidR="006803D9" w14:paraId="486DB2E1" w14:textId="77777777" w:rsidTr="00EC19D2">
        <w:tc>
          <w:tcPr>
            <w:tcW w:w="0" w:type="auto"/>
          </w:tcPr>
          <w:p w14:paraId="2404C9E7" w14:textId="77777777" w:rsidR="006803D9" w:rsidRDefault="006803D9" w:rsidP="00492CA8">
            <w:pPr>
              <w:spacing w:line="240" w:lineRule="auto"/>
            </w:pPr>
            <w:r>
              <w:t xml:space="preserve">  Brain</w:t>
            </w:r>
          </w:p>
        </w:tc>
        <w:tc>
          <w:tcPr>
            <w:tcW w:w="0" w:type="auto"/>
          </w:tcPr>
          <w:p w14:paraId="66C25618" w14:textId="77777777" w:rsidR="006803D9" w:rsidRDefault="006803D9" w:rsidP="00492CA8">
            <w:pPr>
              <w:spacing w:line="240" w:lineRule="auto"/>
              <w:jc w:val="center"/>
            </w:pPr>
            <w:r>
              <w:t>8</w:t>
            </w:r>
            <w:r w:rsidR="00D6247C">
              <w:t>4</w:t>
            </w:r>
            <w:r>
              <w:t xml:space="preserve"> (2.6)</w:t>
            </w:r>
          </w:p>
        </w:tc>
      </w:tr>
      <w:tr w:rsidR="006803D9" w14:paraId="125C1CAF" w14:textId="77777777" w:rsidTr="00EC19D2">
        <w:tc>
          <w:tcPr>
            <w:tcW w:w="0" w:type="auto"/>
          </w:tcPr>
          <w:p w14:paraId="33744B9D" w14:textId="77777777" w:rsidR="006803D9" w:rsidRDefault="006803D9" w:rsidP="00492CA8">
            <w:pPr>
              <w:spacing w:line="240" w:lineRule="auto"/>
            </w:pPr>
            <w:r>
              <w:t xml:space="preserve">  Bladder</w:t>
            </w:r>
          </w:p>
        </w:tc>
        <w:tc>
          <w:tcPr>
            <w:tcW w:w="0" w:type="auto"/>
          </w:tcPr>
          <w:p w14:paraId="0F8592C4" w14:textId="77777777" w:rsidR="006803D9" w:rsidRDefault="006803D9" w:rsidP="00492CA8">
            <w:pPr>
              <w:spacing w:line="240" w:lineRule="auto"/>
              <w:jc w:val="center"/>
            </w:pPr>
            <w:r>
              <w:t>3</w:t>
            </w:r>
            <w:r w:rsidR="00D6247C">
              <w:t>1</w:t>
            </w:r>
            <w:r>
              <w:t xml:space="preserve"> (0.9)</w:t>
            </w:r>
          </w:p>
        </w:tc>
      </w:tr>
      <w:tr w:rsidR="006803D9" w14:paraId="73CBBB12" w14:textId="77777777" w:rsidTr="00EC19D2">
        <w:tc>
          <w:tcPr>
            <w:tcW w:w="0" w:type="auto"/>
          </w:tcPr>
          <w:p w14:paraId="72C510E1" w14:textId="77777777" w:rsidR="006803D9" w:rsidRDefault="006803D9" w:rsidP="00492CA8">
            <w:pPr>
              <w:spacing w:line="240" w:lineRule="auto"/>
            </w:pPr>
            <w:r>
              <w:t>Metastatic disease</w:t>
            </w:r>
            <w:bookmarkStart w:id="37" w:name="OLE_LINK3"/>
            <w:bookmarkStart w:id="38" w:name="OLE_LINK4"/>
            <w:r>
              <w:t>, n (%)</w:t>
            </w:r>
            <w:bookmarkEnd w:id="37"/>
            <w:bookmarkEnd w:id="38"/>
          </w:p>
        </w:tc>
        <w:tc>
          <w:tcPr>
            <w:tcW w:w="0" w:type="auto"/>
          </w:tcPr>
          <w:p w14:paraId="0D25877F" w14:textId="77777777" w:rsidR="006803D9" w:rsidRDefault="006803D9">
            <w:pPr>
              <w:spacing w:line="240" w:lineRule="auto"/>
              <w:jc w:val="center"/>
            </w:pPr>
            <w:r>
              <w:t>2,</w:t>
            </w:r>
            <w:r w:rsidR="00D6247C">
              <w:t xml:space="preserve">253 </w:t>
            </w:r>
            <w:r>
              <w:t>(68)</w:t>
            </w:r>
          </w:p>
        </w:tc>
      </w:tr>
      <w:tr w:rsidR="006803D9" w14:paraId="5FD18570" w14:textId="77777777" w:rsidTr="00EC19D2">
        <w:tc>
          <w:tcPr>
            <w:tcW w:w="0" w:type="auto"/>
          </w:tcPr>
          <w:p w14:paraId="69D49A9F" w14:textId="77777777" w:rsidR="006803D9" w:rsidRDefault="006803D9" w:rsidP="00492CA8">
            <w:pPr>
              <w:spacing w:line="240" w:lineRule="auto"/>
            </w:pPr>
            <w:r>
              <w:t>Chemotherapy, n (%)</w:t>
            </w:r>
          </w:p>
        </w:tc>
        <w:tc>
          <w:tcPr>
            <w:tcW w:w="0" w:type="auto"/>
          </w:tcPr>
          <w:p w14:paraId="1C3CB3FC" w14:textId="77777777" w:rsidR="006803D9" w:rsidRDefault="006803D9">
            <w:pPr>
              <w:spacing w:line="240" w:lineRule="auto"/>
              <w:jc w:val="center"/>
            </w:pPr>
            <w:r>
              <w:t>3,</w:t>
            </w:r>
            <w:r w:rsidR="00D6247C">
              <w:t>07</w:t>
            </w:r>
            <w:r>
              <w:t>6 (93)</w:t>
            </w:r>
          </w:p>
        </w:tc>
      </w:tr>
      <w:tr w:rsidR="006803D9" w14:paraId="4D2E65CA" w14:textId="77777777" w:rsidTr="00EC19D2">
        <w:tc>
          <w:tcPr>
            <w:tcW w:w="0" w:type="auto"/>
          </w:tcPr>
          <w:p w14:paraId="03F9110D" w14:textId="51E77C86" w:rsidR="006803D9" w:rsidRDefault="006803D9" w:rsidP="00492CA8">
            <w:pPr>
              <w:spacing w:line="240" w:lineRule="auto"/>
            </w:pPr>
            <w:r>
              <w:t>WHO performance status</w:t>
            </w:r>
            <w:r w:rsidR="00F55A05">
              <w:t>, n (%)</w:t>
            </w:r>
          </w:p>
        </w:tc>
        <w:tc>
          <w:tcPr>
            <w:tcW w:w="0" w:type="auto"/>
          </w:tcPr>
          <w:p w14:paraId="050FE0C4" w14:textId="77777777" w:rsidR="006803D9" w:rsidRDefault="006803D9" w:rsidP="00492CA8">
            <w:pPr>
              <w:spacing w:line="240" w:lineRule="auto"/>
              <w:jc w:val="center"/>
            </w:pPr>
          </w:p>
        </w:tc>
      </w:tr>
      <w:tr w:rsidR="006803D9" w14:paraId="17D18620" w14:textId="77777777" w:rsidTr="00EC19D2">
        <w:tc>
          <w:tcPr>
            <w:tcW w:w="0" w:type="auto"/>
          </w:tcPr>
          <w:p w14:paraId="0803E521" w14:textId="77777777" w:rsidR="006803D9" w:rsidRDefault="006803D9" w:rsidP="00492CA8">
            <w:pPr>
              <w:spacing w:line="240" w:lineRule="auto"/>
            </w:pPr>
            <w:r>
              <w:t xml:space="preserve">  0</w:t>
            </w:r>
          </w:p>
        </w:tc>
        <w:tc>
          <w:tcPr>
            <w:tcW w:w="0" w:type="auto"/>
          </w:tcPr>
          <w:p w14:paraId="1879E84D" w14:textId="77777777" w:rsidR="006803D9" w:rsidRDefault="006803D9">
            <w:pPr>
              <w:spacing w:line="240" w:lineRule="auto"/>
              <w:jc w:val="center"/>
            </w:pPr>
            <w:r>
              <w:t>1,0</w:t>
            </w:r>
            <w:r w:rsidR="00D6247C">
              <w:t>53</w:t>
            </w:r>
            <w:r>
              <w:t xml:space="preserve"> (32)</w:t>
            </w:r>
          </w:p>
        </w:tc>
      </w:tr>
      <w:tr w:rsidR="006803D9" w14:paraId="7CFE80AB" w14:textId="77777777" w:rsidTr="00EC19D2">
        <w:tc>
          <w:tcPr>
            <w:tcW w:w="0" w:type="auto"/>
          </w:tcPr>
          <w:p w14:paraId="5C133D49" w14:textId="77777777" w:rsidR="006803D9" w:rsidRDefault="006803D9" w:rsidP="00492CA8">
            <w:pPr>
              <w:spacing w:line="240" w:lineRule="auto"/>
            </w:pPr>
            <w:r>
              <w:t xml:space="preserve">  1</w:t>
            </w:r>
          </w:p>
        </w:tc>
        <w:tc>
          <w:tcPr>
            <w:tcW w:w="0" w:type="auto"/>
          </w:tcPr>
          <w:p w14:paraId="6922F42E" w14:textId="77777777" w:rsidR="006803D9" w:rsidRDefault="006803D9" w:rsidP="00492CA8">
            <w:pPr>
              <w:spacing w:line="240" w:lineRule="auto"/>
              <w:jc w:val="center"/>
            </w:pPr>
            <w:r>
              <w:t>1,</w:t>
            </w:r>
            <w:r w:rsidR="00D6247C">
              <w:t>592</w:t>
            </w:r>
            <w:r>
              <w:t xml:space="preserve"> (48)</w:t>
            </w:r>
          </w:p>
        </w:tc>
      </w:tr>
      <w:tr w:rsidR="006803D9" w14:paraId="083041DF" w14:textId="77777777" w:rsidTr="00EC19D2">
        <w:tc>
          <w:tcPr>
            <w:tcW w:w="0" w:type="auto"/>
          </w:tcPr>
          <w:p w14:paraId="4A9B18E8" w14:textId="77777777" w:rsidR="006803D9" w:rsidRDefault="006803D9" w:rsidP="00492CA8">
            <w:pPr>
              <w:spacing w:line="240" w:lineRule="auto"/>
            </w:pPr>
            <w:r>
              <w:t xml:space="preserve">  ≥2</w:t>
            </w:r>
          </w:p>
        </w:tc>
        <w:tc>
          <w:tcPr>
            <w:tcW w:w="0" w:type="auto"/>
          </w:tcPr>
          <w:p w14:paraId="3B174EA1" w14:textId="77777777" w:rsidR="006803D9" w:rsidRDefault="00D6247C">
            <w:pPr>
              <w:spacing w:line="240" w:lineRule="auto"/>
              <w:jc w:val="center"/>
            </w:pPr>
            <w:r>
              <w:t xml:space="preserve">320 </w:t>
            </w:r>
            <w:r w:rsidR="006803D9">
              <w:t>(9.</w:t>
            </w:r>
            <w:r>
              <w:t>7</w:t>
            </w:r>
            <w:r w:rsidR="006803D9">
              <w:t>)</w:t>
            </w:r>
          </w:p>
        </w:tc>
      </w:tr>
      <w:tr w:rsidR="006803D9" w14:paraId="6693F61B" w14:textId="77777777" w:rsidTr="00EC19D2">
        <w:tc>
          <w:tcPr>
            <w:tcW w:w="0" w:type="auto"/>
          </w:tcPr>
          <w:p w14:paraId="3E5BB126" w14:textId="38A10DC7" w:rsidR="006803D9" w:rsidRDefault="006803D9" w:rsidP="00492CA8">
            <w:pPr>
              <w:spacing w:line="240" w:lineRule="auto"/>
            </w:pPr>
            <w:r>
              <w:t>Use of erythropoietin stimulating agents</w:t>
            </w:r>
            <w:r w:rsidR="00F55A05">
              <w:t>, n (%)</w:t>
            </w:r>
          </w:p>
        </w:tc>
        <w:tc>
          <w:tcPr>
            <w:tcW w:w="0" w:type="auto"/>
          </w:tcPr>
          <w:p w14:paraId="5EA7CDED" w14:textId="77777777" w:rsidR="006803D9" w:rsidRDefault="006803D9">
            <w:pPr>
              <w:spacing w:line="240" w:lineRule="auto"/>
              <w:jc w:val="center"/>
            </w:pPr>
            <w:r>
              <w:t>14</w:t>
            </w:r>
            <w:r w:rsidR="00D6247C">
              <w:t>2</w:t>
            </w:r>
            <w:r>
              <w:t xml:space="preserve"> (4.</w:t>
            </w:r>
            <w:r w:rsidR="00D6247C">
              <w:t>3</w:t>
            </w:r>
            <w:r>
              <w:t>)</w:t>
            </w:r>
          </w:p>
        </w:tc>
      </w:tr>
      <w:tr w:rsidR="006803D9" w14:paraId="1ACE42A4" w14:textId="77777777" w:rsidTr="00EC19D2">
        <w:tc>
          <w:tcPr>
            <w:tcW w:w="0" w:type="auto"/>
          </w:tcPr>
          <w:p w14:paraId="5555510F" w14:textId="77777777" w:rsidR="006803D9" w:rsidRDefault="006803D9" w:rsidP="00492CA8">
            <w:pPr>
              <w:spacing w:line="240" w:lineRule="auto"/>
            </w:pPr>
            <w:r>
              <w:t>Baseline hemoglobin &lt;10 g/dL, n (%)</w:t>
            </w:r>
          </w:p>
        </w:tc>
        <w:tc>
          <w:tcPr>
            <w:tcW w:w="0" w:type="auto"/>
          </w:tcPr>
          <w:p w14:paraId="451391D4" w14:textId="77777777" w:rsidR="006803D9" w:rsidRDefault="009C00C9">
            <w:pPr>
              <w:spacing w:line="240" w:lineRule="auto"/>
              <w:jc w:val="center"/>
            </w:pPr>
            <w:r>
              <w:t xml:space="preserve">233 </w:t>
            </w:r>
            <w:r w:rsidR="006803D9">
              <w:t>(7.</w:t>
            </w:r>
            <w:r>
              <w:t>1</w:t>
            </w:r>
            <w:r w:rsidR="006803D9">
              <w:t>)</w:t>
            </w:r>
          </w:p>
        </w:tc>
      </w:tr>
      <w:tr w:rsidR="006803D9" w14:paraId="3B4E4616" w14:textId="77777777" w:rsidTr="00EC19D2">
        <w:tc>
          <w:tcPr>
            <w:tcW w:w="0" w:type="auto"/>
          </w:tcPr>
          <w:p w14:paraId="75DF5222" w14:textId="77777777" w:rsidR="006803D9" w:rsidRDefault="006803D9" w:rsidP="00492CA8">
            <w:pPr>
              <w:spacing w:line="240" w:lineRule="auto"/>
            </w:pPr>
            <w:r>
              <w:t>Baseline leukocyte count &gt;11 x 10</w:t>
            </w:r>
            <w:r w:rsidRPr="00093ED2">
              <w:rPr>
                <w:vertAlign w:val="superscript"/>
              </w:rPr>
              <w:t>9</w:t>
            </w:r>
            <w:r>
              <w:t>/L, n (%)</w:t>
            </w:r>
          </w:p>
        </w:tc>
        <w:tc>
          <w:tcPr>
            <w:tcW w:w="0" w:type="auto"/>
          </w:tcPr>
          <w:p w14:paraId="135EEA46" w14:textId="77777777" w:rsidR="006803D9" w:rsidRDefault="009C00C9" w:rsidP="00492CA8">
            <w:pPr>
              <w:spacing w:line="240" w:lineRule="auto"/>
              <w:jc w:val="center"/>
            </w:pPr>
            <w:r>
              <w:t xml:space="preserve">784 </w:t>
            </w:r>
            <w:r w:rsidR="006803D9">
              <w:t>(24)</w:t>
            </w:r>
          </w:p>
        </w:tc>
      </w:tr>
      <w:tr w:rsidR="006803D9" w14:paraId="3801AE0A" w14:textId="77777777" w:rsidTr="00EC19D2">
        <w:tc>
          <w:tcPr>
            <w:tcW w:w="0" w:type="auto"/>
          </w:tcPr>
          <w:p w14:paraId="44E39ED8" w14:textId="77777777" w:rsidR="006803D9" w:rsidRDefault="006803D9" w:rsidP="00492CA8">
            <w:pPr>
              <w:spacing w:line="240" w:lineRule="auto"/>
            </w:pPr>
            <w:r>
              <w:t>Baseline platelet count ≥350 x 10</w:t>
            </w:r>
            <w:r w:rsidRPr="00093ED2">
              <w:rPr>
                <w:vertAlign w:val="superscript"/>
              </w:rPr>
              <w:t>9</w:t>
            </w:r>
            <w:r>
              <w:t>/L, n (%)</w:t>
            </w:r>
          </w:p>
        </w:tc>
        <w:tc>
          <w:tcPr>
            <w:tcW w:w="0" w:type="auto"/>
          </w:tcPr>
          <w:p w14:paraId="6B51B10A" w14:textId="77777777" w:rsidR="006803D9" w:rsidRDefault="006803D9">
            <w:pPr>
              <w:spacing w:line="240" w:lineRule="auto"/>
              <w:jc w:val="center"/>
            </w:pPr>
            <w:r>
              <w:t>1,1</w:t>
            </w:r>
            <w:r w:rsidR="009C00C9">
              <w:t>17</w:t>
            </w:r>
            <w:r>
              <w:t xml:space="preserve"> (34)</w:t>
            </w:r>
          </w:p>
        </w:tc>
      </w:tr>
      <w:tr w:rsidR="006803D9" w14:paraId="671AA871" w14:textId="77777777" w:rsidTr="00EC19D2">
        <w:tc>
          <w:tcPr>
            <w:tcW w:w="0" w:type="auto"/>
          </w:tcPr>
          <w:p w14:paraId="337E9491" w14:textId="77777777" w:rsidR="006803D9" w:rsidRDefault="006803D9" w:rsidP="00492CA8">
            <w:pPr>
              <w:spacing w:line="240" w:lineRule="auto"/>
            </w:pPr>
            <w:r>
              <w:t>Khorana score, n (%)</w:t>
            </w:r>
          </w:p>
        </w:tc>
        <w:tc>
          <w:tcPr>
            <w:tcW w:w="0" w:type="auto"/>
          </w:tcPr>
          <w:p w14:paraId="1A165DD6" w14:textId="77777777" w:rsidR="006803D9" w:rsidRDefault="006803D9" w:rsidP="00492CA8">
            <w:pPr>
              <w:spacing w:line="240" w:lineRule="auto"/>
              <w:jc w:val="center"/>
            </w:pPr>
          </w:p>
        </w:tc>
      </w:tr>
      <w:tr w:rsidR="006803D9" w14:paraId="734B69A9" w14:textId="77777777" w:rsidTr="00EC19D2">
        <w:tc>
          <w:tcPr>
            <w:tcW w:w="0" w:type="auto"/>
          </w:tcPr>
          <w:p w14:paraId="04BCDEC1" w14:textId="77777777" w:rsidR="006803D9" w:rsidRDefault="006803D9" w:rsidP="00492CA8">
            <w:pPr>
              <w:spacing w:line="240" w:lineRule="auto"/>
            </w:pPr>
            <w:r>
              <w:t xml:space="preserve">  0 points</w:t>
            </w:r>
          </w:p>
        </w:tc>
        <w:tc>
          <w:tcPr>
            <w:tcW w:w="0" w:type="auto"/>
          </w:tcPr>
          <w:p w14:paraId="5CBA5493" w14:textId="77777777" w:rsidR="006803D9" w:rsidRDefault="006803D9" w:rsidP="00492CA8">
            <w:pPr>
              <w:spacing w:line="240" w:lineRule="auto"/>
              <w:jc w:val="center"/>
            </w:pPr>
            <w:r>
              <w:t>402 (12)</w:t>
            </w:r>
          </w:p>
        </w:tc>
      </w:tr>
      <w:tr w:rsidR="006803D9" w14:paraId="1A7201A6" w14:textId="77777777" w:rsidTr="00EC19D2">
        <w:tc>
          <w:tcPr>
            <w:tcW w:w="0" w:type="auto"/>
          </w:tcPr>
          <w:p w14:paraId="2F216591" w14:textId="77777777" w:rsidR="006803D9" w:rsidRDefault="006803D9" w:rsidP="00492CA8">
            <w:pPr>
              <w:spacing w:line="240" w:lineRule="auto"/>
            </w:pPr>
            <w:r>
              <w:t xml:space="preserve">  1 point</w:t>
            </w:r>
          </w:p>
        </w:tc>
        <w:tc>
          <w:tcPr>
            <w:tcW w:w="0" w:type="auto"/>
          </w:tcPr>
          <w:p w14:paraId="2F42382E" w14:textId="77777777" w:rsidR="006803D9" w:rsidRDefault="006803D9">
            <w:pPr>
              <w:spacing w:line="240" w:lineRule="auto"/>
              <w:jc w:val="center"/>
            </w:pPr>
            <w:r>
              <w:t>1,033 (3</w:t>
            </w:r>
            <w:r w:rsidR="009C00C9">
              <w:t>1</w:t>
            </w:r>
            <w:r>
              <w:t>)</w:t>
            </w:r>
          </w:p>
        </w:tc>
      </w:tr>
      <w:tr w:rsidR="006803D9" w14:paraId="16116BC9" w14:textId="77777777" w:rsidTr="00EC19D2">
        <w:tc>
          <w:tcPr>
            <w:tcW w:w="0" w:type="auto"/>
          </w:tcPr>
          <w:p w14:paraId="22B5F4FB" w14:textId="77777777" w:rsidR="006803D9" w:rsidRDefault="006803D9" w:rsidP="00492CA8">
            <w:pPr>
              <w:spacing w:line="240" w:lineRule="auto"/>
            </w:pPr>
            <w:r>
              <w:t xml:space="preserve">  2 points</w:t>
            </w:r>
          </w:p>
        </w:tc>
        <w:tc>
          <w:tcPr>
            <w:tcW w:w="0" w:type="auto"/>
          </w:tcPr>
          <w:p w14:paraId="3983F316" w14:textId="77777777" w:rsidR="006803D9" w:rsidRDefault="006803D9">
            <w:pPr>
              <w:spacing w:line="240" w:lineRule="auto"/>
              <w:jc w:val="center"/>
            </w:pPr>
            <w:r>
              <w:t>1,088 (</w:t>
            </w:r>
            <w:r w:rsidR="009C00C9">
              <w:t>33</w:t>
            </w:r>
            <w:r>
              <w:t>)</w:t>
            </w:r>
          </w:p>
        </w:tc>
      </w:tr>
      <w:tr w:rsidR="006803D9" w14:paraId="62ED60EB" w14:textId="77777777" w:rsidTr="00EC19D2">
        <w:tc>
          <w:tcPr>
            <w:tcW w:w="0" w:type="auto"/>
          </w:tcPr>
          <w:p w14:paraId="3560BADD" w14:textId="77777777" w:rsidR="006803D9" w:rsidRDefault="006803D9" w:rsidP="00492CA8">
            <w:pPr>
              <w:spacing w:line="240" w:lineRule="auto"/>
            </w:pPr>
            <w:r>
              <w:t xml:space="preserve">  ≥3 points</w:t>
            </w:r>
          </w:p>
        </w:tc>
        <w:tc>
          <w:tcPr>
            <w:tcW w:w="0" w:type="auto"/>
          </w:tcPr>
          <w:p w14:paraId="5AED76A4" w14:textId="77777777" w:rsidR="006803D9" w:rsidRDefault="006803D9" w:rsidP="00492CA8">
            <w:pPr>
              <w:spacing w:line="240" w:lineRule="auto"/>
              <w:jc w:val="center"/>
            </w:pPr>
            <w:r>
              <w:t>770 (23)</w:t>
            </w:r>
          </w:p>
        </w:tc>
      </w:tr>
    </w:tbl>
    <w:p w14:paraId="47AC146D" w14:textId="77777777" w:rsidR="00503980" w:rsidRDefault="00503980"/>
    <w:p w14:paraId="2F987982" w14:textId="77777777" w:rsidR="00D97848" w:rsidRPr="00503980" w:rsidRDefault="00D97848">
      <w:r>
        <w:t xml:space="preserve">Abbreviations: SD, standard deviation. </w:t>
      </w:r>
    </w:p>
    <w:p w14:paraId="077A36E3" w14:textId="77777777" w:rsidR="00CA053F" w:rsidRDefault="00CA053F" w:rsidP="00B15261">
      <w:pPr>
        <w:rPr>
          <w:b/>
        </w:rPr>
      </w:pPr>
    </w:p>
    <w:p w14:paraId="769860F4" w14:textId="77777777" w:rsidR="00A621B4" w:rsidRDefault="00A621B4">
      <w:pPr>
        <w:spacing w:line="240" w:lineRule="auto"/>
        <w:rPr>
          <w:b/>
        </w:rPr>
      </w:pPr>
      <w:r>
        <w:rPr>
          <w:b/>
        </w:rPr>
        <w:br w:type="page"/>
      </w:r>
    </w:p>
    <w:p w14:paraId="4ECC5D36" w14:textId="23A8EB84" w:rsidR="00B437A0" w:rsidRDefault="00B437A0">
      <w:pPr>
        <w:rPr>
          <w:b/>
        </w:rPr>
      </w:pPr>
      <w:r>
        <w:rPr>
          <w:b/>
        </w:rPr>
        <w:lastRenderedPageBreak/>
        <w:t xml:space="preserve">Table </w:t>
      </w:r>
      <w:r w:rsidR="00F56AF8">
        <w:rPr>
          <w:b/>
        </w:rPr>
        <w:t>3</w:t>
      </w:r>
      <w:r>
        <w:rPr>
          <w:b/>
        </w:rPr>
        <w:t>. Association between dichotomous Khorana score and venous thromboembolism</w:t>
      </w:r>
    </w:p>
    <w:tbl>
      <w:tblPr>
        <w:tblStyle w:val="TableGrid"/>
        <w:tblW w:w="0" w:type="auto"/>
        <w:tblLook w:val="04A0" w:firstRow="1" w:lastRow="0" w:firstColumn="1" w:lastColumn="0" w:noHBand="0" w:noVBand="1"/>
      </w:tblPr>
      <w:tblGrid>
        <w:gridCol w:w="1751"/>
        <w:gridCol w:w="1475"/>
        <w:gridCol w:w="1448"/>
        <w:gridCol w:w="2228"/>
        <w:gridCol w:w="2160"/>
      </w:tblGrid>
      <w:tr w:rsidR="00623688" w:rsidRPr="00986FB9" w14:paraId="6AFA4A73" w14:textId="77777777" w:rsidTr="00986FB9">
        <w:tc>
          <w:tcPr>
            <w:tcW w:w="0" w:type="auto"/>
          </w:tcPr>
          <w:p w14:paraId="1120C21A" w14:textId="77777777" w:rsidR="00986FB9" w:rsidRPr="00986FB9" w:rsidRDefault="00986FB9" w:rsidP="006431D3">
            <w:pPr>
              <w:spacing w:line="240" w:lineRule="auto"/>
              <w:rPr>
                <w:szCs w:val="22"/>
              </w:rPr>
            </w:pPr>
          </w:p>
        </w:tc>
        <w:tc>
          <w:tcPr>
            <w:tcW w:w="0" w:type="auto"/>
          </w:tcPr>
          <w:p w14:paraId="30C31EFC" w14:textId="77777777" w:rsidR="00986FB9" w:rsidRPr="00986FB9" w:rsidRDefault="00986FB9" w:rsidP="006431D3">
            <w:pPr>
              <w:spacing w:line="240" w:lineRule="auto"/>
              <w:jc w:val="center"/>
              <w:rPr>
                <w:szCs w:val="22"/>
              </w:rPr>
            </w:pPr>
            <w:r w:rsidRPr="00986FB9">
              <w:rPr>
                <w:szCs w:val="22"/>
              </w:rPr>
              <w:t xml:space="preserve">Proportion </w:t>
            </w:r>
            <w:r w:rsidR="00314D5B">
              <w:rPr>
                <w:szCs w:val="22"/>
              </w:rPr>
              <w:t>high-risk</w:t>
            </w:r>
          </w:p>
          <w:p w14:paraId="48888496" w14:textId="77777777" w:rsidR="00986FB9" w:rsidRPr="00986FB9" w:rsidRDefault="00986FB9" w:rsidP="006431D3">
            <w:pPr>
              <w:spacing w:line="240" w:lineRule="auto"/>
              <w:jc w:val="center"/>
              <w:rPr>
                <w:szCs w:val="22"/>
              </w:rPr>
            </w:pPr>
            <w:r w:rsidRPr="00986FB9">
              <w:rPr>
                <w:szCs w:val="22"/>
              </w:rPr>
              <w:t>% (95% CI)</w:t>
            </w:r>
          </w:p>
        </w:tc>
        <w:tc>
          <w:tcPr>
            <w:tcW w:w="0" w:type="auto"/>
          </w:tcPr>
          <w:p w14:paraId="38533C91" w14:textId="77777777" w:rsidR="00986FB9" w:rsidRPr="00986FB9" w:rsidRDefault="00986FB9" w:rsidP="006431D3">
            <w:pPr>
              <w:spacing w:line="240" w:lineRule="auto"/>
              <w:jc w:val="center"/>
              <w:rPr>
                <w:szCs w:val="22"/>
              </w:rPr>
            </w:pPr>
            <w:r w:rsidRPr="00986FB9">
              <w:rPr>
                <w:szCs w:val="22"/>
              </w:rPr>
              <w:t xml:space="preserve">VTE in </w:t>
            </w:r>
            <w:r w:rsidR="00314D5B">
              <w:rPr>
                <w:szCs w:val="22"/>
              </w:rPr>
              <w:t>high-risk</w:t>
            </w:r>
            <w:r w:rsidRPr="00986FB9">
              <w:rPr>
                <w:szCs w:val="22"/>
              </w:rPr>
              <w:t xml:space="preserve"> patients</w:t>
            </w:r>
          </w:p>
          <w:p w14:paraId="6C476ADA" w14:textId="77777777" w:rsidR="00986FB9" w:rsidRPr="00986FB9" w:rsidRDefault="00986FB9" w:rsidP="006431D3">
            <w:pPr>
              <w:spacing w:line="240" w:lineRule="auto"/>
              <w:jc w:val="center"/>
              <w:rPr>
                <w:szCs w:val="22"/>
              </w:rPr>
            </w:pPr>
            <w:r w:rsidRPr="00986FB9">
              <w:rPr>
                <w:szCs w:val="22"/>
              </w:rPr>
              <w:t>% (95% CI)</w:t>
            </w:r>
          </w:p>
        </w:tc>
        <w:tc>
          <w:tcPr>
            <w:tcW w:w="0" w:type="auto"/>
          </w:tcPr>
          <w:p w14:paraId="0ADB27C8" w14:textId="77777777" w:rsidR="00986FB9" w:rsidRPr="00986FB9" w:rsidRDefault="00986FB9" w:rsidP="006431D3">
            <w:pPr>
              <w:spacing w:line="240" w:lineRule="auto"/>
              <w:jc w:val="center"/>
              <w:rPr>
                <w:szCs w:val="22"/>
              </w:rPr>
            </w:pPr>
            <w:r w:rsidRPr="00986FB9">
              <w:rPr>
                <w:szCs w:val="22"/>
              </w:rPr>
              <w:t>VTE in low</w:t>
            </w:r>
            <w:r w:rsidR="00623688">
              <w:rPr>
                <w:szCs w:val="22"/>
              </w:rPr>
              <w:t>-to-intermediate</w:t>
            </w:r>
            <w:r w:rsidRPr="00986FB9">
              <w:rPr>
                <w:szCs w:val="22"/>
              </w:rPr>
              <w:t xml:space="preserve"> risk patients</w:t>
            </w:r>
          </w:p>
          <w:p w14:paraId="1491DD6E" w14:textId="77777777" w:rsidR="00986FB9" w:rsidRPr="00986FB9" w:rsidRDefault="00986FB9" w:rsidP="006431D3">
            <w:pPr>
              <w:spacing w:line="240" w:lineRule="auto"/>
              <w:jc w:val="center"/>
              <w:rPr>
                <w:szCs w:val="22"/>
              </w:rPr>
            </w:pPr>
            <w:r w:rsidRPr="00986FB9">
              <w:rPr>
                <w:szCs w:val="22"/>
              </w:rPr>
              <w:t>% (95% CI)</w:t>
            </w:r>
          </w:p>
        </w:tc>
        <w:tc>
          <w:tcPr>
            <w:tcW w:w="0" w:type="auto"/>
          </w:tcPr>
          <w:p w14:paraId="3AE87A29" w14:textId="77777777" w:rsidR="001A052D" w:rsidRDefault="00986FB9" w:rsidP="006431D3">
            <w:pPr>
              <w:spacing w:line="240" w:lineRule="auto"/>
              <w:jc w:val="center"/>
              <w:rPr>
                <w:szCs w:val="22"/>
              </w:rPr>
            </w:pPr>
            <w:r w:rsidRPr="00986FB9">
              <w:rPr>
                <w:szCs w:val="22"/>
              </w:rPr>
              <w:t xml:space="preserve">Odds ratio </w:t>
            </w:r>
            <w:r w:rsidR="001A052D">
              <w:rPr>
                <w:szCs w:val="22"/>
              </w:rPr>
              <w:t xml:space="preserve">VTE </w:t>
            </w:r>
          </w:p>
          <w:p w14:paraId="03A34F64" w14:textId="77777777" w:rsidR="00986FB9" w:rsidRPr="00986FB9" w:rsidRDefault="00314D5B" w:rsidP="006431D3">
            <w:pPr>
              <w:spacing w:line="240" w:lineRule="auto"/>
              <w:jc w:val="center"/>
              <w:rPr>
                <w:szCs w:val="22"/>
              </w:rPr>
            </w:pPr>
            <w:r>
              <w:rPr>
                <w:szCs w:val="22"/>
              </w:rPr>
              <w:t>h</w:t>
            </w:r>
            <w:r w:rsidR="00986FB9" w:rsidRPr="00986FB9">
              <w:rPr>
                <w:szCs w:val="22"/>
              </w:rPr>
              <w:t>igh</w:t>
            </w:r>
            <w:r>
              <w:rPr>
                <w:szCs w:val="22"/>
              </w:rPr>
              <w:t>-risk</w:t>
            </w:r>
            <w:r w:rsidR="00986FB9" w:rsidRPr="00986FB9">
              <w:rPr>
                <w:szCs w:val="22"/>
              </w:rPr>
              <w:t xml:space="preserve"> vs low</w:t>
            </w:r>
            <w:r>
              <w:rPr>
                <w:szCs w:val="22"/>
              </w:rPr>
              <w:t>-</w:t>
            </w:r>
            <w:r w:rsidR="00623688">
              <w:rPr>
                <w:szCs w:val="22"/>
              </w:rPr>
              <w:t>to-intermediate-</w:t>
            </w:r>
            <w:r w:rsidR="00986FB9" w:rsidRPr="00986FB9">
              <w:rPr>
                <w:szCs w:val="22"/>
              </w:rPr>
              <w:t>risk</w:t>
            </w:r>
          </w:p>
          <w:p w14:paraId="2B29504C" w14:textId="77777777" w:rsidR="00986FB9" w:rsidRPr="00986FB9" w:rsidRDefault="00986FB9" w:rsidP="006431D3">
            <w:pPr>
              <w:spacing w:line="240" w:lineRule="auto"/>
              <w:jc w:val="center"/>
              <w:rPr>
                <w:szCs w:val="22"/>
              </w:rPr>
            </w:pPr>
            <w:r w:rsidRPr="00986FB9">
              <w:rPr>
                <w:szCs w:val="22"/>
              </w:rPr>
              <w:t>(95% CI)</w:t>
            </w:r>
          </w:p>
        </w:tc>
      </w:tr>
      <w:tr w:rsidR="00623688" w:rsidRPr="00986FB9" w14:paraId="6BC45BD1" w14:textId="77777777" w:rsidTr="00986FB9">
        <w:tc>
          <w:tcPr>
            <w:tcW w:w="0" w:type="auto"/>
          </w:tcPr>
          <w:p w14:paraId="1F070BA0" w14:textId="77777777" w:rsidR="00986FB9" w:rsidRPr="00986FB9" w:rsidRDefault="00986FB9" w:rsidP="006431D3">
            <w:pPr>
              <w:spacing w:line="240" w:lineRule="auto"/>
              <w:rPr>
                <w:szCs w:val="22"/>
              </w:rPr>
            </w:pPr>
            <w:r w:rsidRPr="00986FB9">
              <w:rPr>
                <w:szCs w:val="22"/>
              </w:rPr>
              <w:t xml:space="preserve">Overall </w:t>
            </w:r>
            <w:r w:rsidR="00AF4E64">
              <w:rPr>
                <w:szCs w:val="22"/>
              </w:rPr>
              <w:br/>
            </w:r>
            <w:r w:rsidRPr="00986FB9">
              <w:rPr>
                <w:szCs w:val="22"/>
              </w:rPr>
              <w:t>(N=3,</w:t>
            </w:r>
            <w:r w:rsidR="00AF4E64">
              <w:rPr>
                <w:szCs w:val="22"/>
              </w:rPr>
              <w:t>29</w:t>
            </w:r>
            <w:r w:rsidR="00AF4E64" w:rsidRPr="00986FB9">
              <w:rPr>
                <w:szCs w:val="22"/>
              </w:rPr>
              <w:t>3</w:t>
            </w:r>
            <w:r w:rsidRPr="00986FB9">
              <w:rPr>
                <w:szCs w:val="22"/>
              </w:rPr>
              <w:t>)</w:t>
            </w:r>
          </w:p>
          <w:p w14:paraId="6C55B7B0" w14:textId="77777777" w:rsidR="00986FB9" w:rsidRPr="00986FB9" w:rsidRDefault="00986FB9" w:rsidP="006431D3">
            <w:pPr>
              <w:spacing w:line="240" w:lineRule="auto"/>
              <w:rPr>
                <w:szCs w:val="22"/>
              </w:rPr>
            </w:pPr>
            <w:r w:rsidRPr="00986FB9">
              <w:rPr>
                <w:szCs w:val="22"/>
              </w:rPr>
              <w:t>(7 studies)</w:t>
            </w:r>
          </w:p>
        </w:tc>
        <w:tc>
          <w:tcPr>
            <w:tcW w:w="0" w:type="auto"/>
          </w:tcPr>
          <w:p w14:paraId="2F74CE7A" w14:textId="77777777" w:rsidR="00986FB9" w:rsidRDefault="00EF77C9" w:rsidP="006431D3">
            <w:pPr>
              <w:spacing w:line="240" w:lineRule="auto"/>
              <w:jc w:val="center"/>
              <w:rPr>
                <w:szCs w:val="22"/>
              </w:rPr>
            </w:pPr>
            <w:r>
              <w:rPr>
                <w:szCs w:val="22"/>
              </w:rPr>
              <w:t>18</w:t>
            </w:r>
          </w:p>
          <w:p w14:paraId="2F21FBC2" w14:textId="77777777" w:rsidR="00986FB9" w:rsidRPr="00986FB9" w:rsidRDefault="00986FB9" w:rsidP="00EF77C9">
            <w:pPr>
              <w:spacing w:line="240" w:lineRule="auto"/>
              <w:jc w:val="center"/>
              <w:rPr>
                <w:szCs w:val="22"/>
              </w:rPr>
            </w:pPr>
            <w:r>
              <w:rPr>
                <w:szCs w:val="22"/>
              </w:rPr>
              <w:t>(5.2-</w:t>
            </w:r>
            <w:r w:rsidR="00EF77C9">
              <w:rPr>
                <w:szCs w:val="22"/>
              </w:rPr>
              <w:t>46</w:t>
            </w:r>
            <w:r>
              <w:rPr>
                <w:szCs w:val="22"/>
              </w:rPr>
              <w:t>)</w:t>
            </w:r>
          </w:p>
        </w:tc>
        <w:tc>
          <w:tcPr>
            <w:tcW w:w="0" w:type="auto"/>
          </w:tcPr>
          <w:p w14:paraId="45C4085C" w14:textId="77777777" w:rsidR="00986FB9" w:rsidRDefault="00EF77C9" w:rsidP="006431D3">
            <w:pPr>
              <w:spacing w:line="240" w:lineRule="auto"/>
              <w:jc w:val="center"/>
              <w:rPr>
                <w:szCs w:val="22"/>
              </w:rPr>
            </w:pPr>
            <w:r>
              <w:rPr>
                <w:szCs w:val="22"/>
              </w:rPr>
              <w:t>9.9</w:t>
            </w:r>
          </w:p>
          <w:p w14:paraId="0C8184D2" w14:textId="77777777" w:rsidR="00EF77C9" w:rsidRPr="00986FB9" w:rsidRDefault="00EF77C9" w:rsidP="006431D3">
            <w:pPr>
              <w:spacing w:line="240" w:lineRule="auto"/>
              <w:jc w:val="center"/>
              <w:rPr>
                <w:szCs w:val="22"/>
              </w:rPr>
            </w:pPr>
            <w:r>
              <w:rPr>
                <w:szCs w:val="22"/>
              </w:rPr>
              <w:t>(6.4-15)</w:t>
            </w:r>
          </w:p>
        </w:tc>
        <w:tc>
          <w:tcPr>
            <w:tcW w:w="0" w:type="auto"/>
          </w:tcPr>
          <w:p w14:paraId="5FD12622" w14:textId="77777777" w:rsidR="00986FB9" w:rsidRDefault="00EF77C9" w:rsidP="006431D3">
            <w:pPr>
              <w:spacing w:line="240" w:lineRule="auto"/>
              <w:jc w:val="center"/>
              <w:rPr>
                <w:szCs w:val="22"/>
              </w:rPr>
            </w:pPr>
            <w:r>
              <w:rPr>
                <w:szCs w:val="22"/>
              </w:rPr>
              <w:t>6.4</w:t>
            </w:r>
          </w:p>
          <w:p w14:paraId="75B0C8E1" w14:textId="77777777" w:rsidR="00EF77C9" w:rsidRPr="00986FB9" w:rsidRDefault="00EF77C9" w:rsidP="006431D3">
            <w:pPr>
              <w:spacing w:line="240" w:lineRule="auto"/>
              <w:jc w:val="center"/>
              <w:rPr>
                <w:szCs w:val="22"/>
              </w:rPr>
            </w:pPr>
            <w:r>
              <w:rPr>
                <w:szCs w:val="22"/>
              </w:rPr>
              <w:t>(4.2-9.7)</w:t>
            </w:r>
          </w:p>
        </w:tc>
        <w:tc>
          <w:tcPr>
            <w:tcW w:w="0" w:type="auto"/>
          </w:tcPr>
          <w:p w14:paraId="1A175A79" w14:textId="77777777" w:rsidR="00986FB9" w:rsidRDefault="00EF77C9" w:rsidP="006431D3">
            <w:pPr>
              <w:spacing w:line="240" w:lineRule="auto"/>
              <w:jc w:val="center"/>
              <w:rPr>
                <w:szCs w:val="22"/>
              </w:rPr>
            </w:pPr>
            <w:r>
              <w:rPr>
                <w:szCs w:val="22"/>
              </w:rPr>
              <w:t>1.6</w:t>
            </w:r>
          </w:p>
          <w:p w14:paraId="0CF69BD1" w14:textId="77777777" w:rsidR="00EF77C9" w:rsidRPr="00986FB9" w:rsidRDefault="00EF77C9" w:rsidP="006431D3">
            <w:pPr>
              <w:spacing w:line="240" w:lineRule="auto"/>
              <w:jc w:val="center"/>
              <w:rPr>
                <w:szCs w:val="22"/>
              </w:rPr>
            </w:pPr>
            <w:r>
              <w:rPr>
                <w:szCs w:val="22"/>
              </w:rPr>
              <w:t>(1.1-2.2)</w:t>
            </w:r>
          </w:p>
        </w:tc>
      </w:tr>
      <w:tr w:rsidR="00623688" w:rsidRPr="00986FB9" w14:paraId="054D474D" w14:textId="77777777" w:rsidTr="00986FB9">
        <w:tc>
          <w:tcPr>
            <w:tcW w:w="0" w:type="auto"/>
          </w:tcPr>
          <w:p w14:paraId="67035849" w14:textId="77777777" w:rsidR="00986FB9" w:rsidRPr="00986FB9" w:rsidRDefault="00986FB9" w:rsidP="006431D3">
            <w:pPr>
              <w:spacing w:line="240" w:lineRule="auto"/>
              <w:rPr>
                <w:szCs w:val="22"/>
              </w:rPr>
            </w:pPr>
            <w:r w:rsidRPr="00986FB9">
              <w:rPr>
                <w:szCs w:val="22"/>
              </w:rPr>
              <w:t>Lung cancer</w:t>
            </w:r>
          </w:p>
          <w:p w14:paraId="065ED000" w14:textId="77777777" w:rsidR="00986FB9" w:rsidRPr="00986FB9" w:rsidRDefault="00986FB9" w:rsidP="006431D3">
            <w:pPr>
              <w:spacing w:line="240" w:lineRule="auto"/>
              <w:rPr>
                <w:szCs w:val="22"/>
              </w:rPr>
            </w:pPr>
            <w:r w:rsidRPr="00986FB9">
              <w:rPr>
                <w:szCs w:val="22"/>
              </w:rPr>
              <w:t>(N=1,</w:t>
            </w:r>
            <w:r w:rsidR="00AF4E64" w:rsidRPr="00986FB9">
              <w:rPr>
                <w:szCs w:val="22"/>
              </w:rPr>
              <w:t>9</w:t>
            </w:r>
            <w:r w:rsidR="00AF4E64">
              <w:rPr>
                <w:szCs w:val="22"/>
              </w:rPr>
              <w:t>13</w:t>
            </w:r>
            <w:r w:rsidRPr="00986FB9">
              <w:rPr>
                <w:szCs w:val="22"/>
              </w:rPr>
              <w:t>)</w:t>
            </w:r>
          </w:p>
          <w:p w14:paraId="7E5E3D8E" w14:textId="77777777" w:rsidR="00986FB9" w:rsidRPr="00986FB9" w:rsidRDefault="00986FB9" w:rsidP="006431D3">
            <w:pPr>
              <w:spacing w:line="240" w:lineRule="auto"/>
              <w:rPr>
                <w:szCs w:val="22"/>
              </w:rPr>
            </w:pPr>
            <w:r w:rsidRPr="00986FB9">
              <w:rPr>
                <w:szCs w:val="22"/>
              </w:rPr>
              <w:t>(4 studies)</w:t>
            </w:r>
          </w:p>
        </w:tc>
        <w:tc>
          <w:tcPr>
            <w:tcW w:w="0" w:type="auto"/>
          </w:tcPr>
          <w:p w14:paraId="006C5B37" w14:textId="77777777" w:rsidR="00986FB9" w:rsidRDefault="00EF77C9" w:rsidP="006431D3">
            <w:pPr>
              <w:spacing w:line="240" w:lineRule="auto"/>
              <w:jc w:val="center"/>
              <w:rPr>
                <w:szCs w:val="22"/>
              </w:rPr>
            </w:pPr>
            <w:r>
              <w:rPr>
                <w:szCs w:val="22"/>
              </w:rPr>
              <w:t>22</w:t>
            </w:r>
          </w:p>
          <w:p w14:paraId="57F3EC60" w14:textId="77777777" w:rsidR="00EF77C9" w:rsidRPr="00986FB9" w:rsidRDefault="00EF77C9" w:rsidP="006431D3">
            <w:pPr>
              <w:spacing w:line="240" w:lineRule="auto"/>
              <w:jc w:val="center"/>
              <w:rPr>
                <w:szCs w:val="22"/>
              </w:rPr>
            </w:pPr>
            <w:r>
              <w:rPr>
                <w:szCs w:val="22"/>
              </w:rPr>
              <w:t>(18-27)</w:t>
            </w:r>
          </w:p>
        </w:tc>
        <w:tc>
          <w:tcPr>
            <w:tcW w:w="0" w:type="auto"/>
          </w:tcPr>
          <w:p w14:paraId="43BFFCD6" w14:textId="77777777" w:rsidR="00986FB9" w:rsidRDefault="00EF77C9" w:rsidP="006431D3">
            <w:pPr>
              <w:spacing w:line="240" w:lineRule="auto"/>
              <w:jc w:val="center"/>
              <w:rPr>
                <w:szCs w:val="22"/>
              </w:rPr>
            </w:pPr>
            <w:r>
              <w:rPr>
                <w:szCs w:val="22"/>
              </w:rPr>
              <w:t>6.6</w:t>
            </w:r>
          </w:p>
          <w:p w14:paraId="37537A81" w14:textId="77777777" w:rsidR="00EF77C9" w:rsidRPr="00986FB9" w:rsidRDefault="00EF77C9" w:rsidP="006431D3">
            <w:pPr>
              <w:spacing w:line="240" w:lineRule="auto"/>
              <w:jc w:val="center"/>
              <w:rPr>
                <w:szCs w:val="22"/>
              </w:rPr>
            </w:pPr>
            <w:r>
              <w:rPr>
                <w:szCs w:val="22"/>
              </w:rPr>
              <w:t>(4.7-9.2)</w:t>
            </w:r>
          </w:p>
        </w:tc>
        <w:tc>
          <w:tcPr>
            <w:tcW w:w="0" w:type="auto"/>
          </w:tcPr>
          <w:p w14:paraId="188F7BC3" w14:textId="77777777" w:rsidR="00986FB9" w:rsidRDefault="00EF77C9" w:rsidP="006431D3">
            <w:pPr>
              <w:spacing w:line="240" w:lineRule="auto"/>
              <w:jc w:val="center"/>
              <w:rPr>
                <w:szCs w:val="22"/>
              </w:rPr>
            </w:pPr>
            <w:r>
              <w:rPr>
                <w:szCs w:val="22"/>
              </w:rPr>
              <w:t>6.0</w:t>
            </w:r>
          </w:p>
          <w:p w14:paraId="538B9399" w14:textId="77777777" w:rsidR="00EF77C9" w:rsidRPr="00986FB9" w:rsidRDefault="00EF77C9" w:rsidP="006431D3">
            <w:pPr>
              <w:spacing w:line="240" w:lineRule="auto"/>
              <w:jc w:val="center"/>
              <w:rPr>
                <w:szCs w:val="22"/>
              </w:rPr>
            </w:pPr>
            <w:r>
              <w:rPr>
                <w:szCs w:val="22"/>
              </w:rPr>
              <w:t>(4.9-7.4)</w:t>
            </w:r>
          </w:p>
        </w:tc>
        <w:tc>
          <w:tcPr>
            <w:tcW w:w="0" w:type="auto"/>
          </w:tcPr>
          <w:p w14:paraId="2CAA316B" w14:textId="77777777" w:rsidR="00986FB9" w:rsidRDefault="00EF77C9" w:rsidP="006431D3">
            <w:pPr>
              <w:spacing w:line="240" w:lineRule="auto"/>
              <w:jc w:val="center"/>
              <w:rPr>
                <w:szCs w:val="22"/>
              </w:rPr>
            </w:pPr>
            <w:r>
              <w:rPr>
                <w:szCs w:val="22"/>
              </w:rPr>
              <w:t>1.1</w:t>
            </w:r>
          </w:p>
          <w:p w14:paraId="1836B1BC" w14:textId="77777777" w:rsidR="00EF77C9" w:rsidRPr="00986FB9" w:rsidRDefault="00EF77C9" w:rsidP="006431D3">
            <w:pPr>
              <w:spacing w:line="240" w:lineRule="auto"/>
              <w:jc w:val="center"/>
              <w:rPr>
                <w:szCs w:val="22"/>
              </w:rPr>
            </w:pPr>
            <w:r>
              <w:rPr>
                <w:szCs w:val="22"/>
              </w:rPr>
              <w:t>(0.72-1.7)</w:t>
            </w:r>
          </w:p>
        </w:tc>
      </w:tr>
      <w:tr w:rsidR="00623688" w:rsidRPr="00986FB9" w14:paraId="634BA129" w14:textId="77777777" w:rsidTr="00986FB9">
        <w:tc>
          <w:tcPr>
            <w:tcW w:w="0" w:type="auto"/>
          </w:tcPr>
          <w:p w14:paraId="00B50BD3" w14:textId="77777777" w:rsidR="00986FB9" w:rsidRPr="00986FB9" w:rsidRDefault="00986FB9" w:rsidP="006431D3">
            <w:pPr>
              <w:spacing w:line="240" w:lineRule="auto"/>
              <w:rPr>
                <w:szCs w:val="22"/>
              </w:rPr>
            </w:pPr>
            <w:r w:rsidRPr="00986FB9">
              <w:rPr>
                <w:szCs w:val="22"/>
              </w:rPr>
              <w:t>Colorectal cancer</w:t>
            </w:r>
          </w:p>
          <w:p w14:paraId="3C934FA1" w14:textId="77777777" w:rsidR="00986FB9" w:rsidRPr="00986FB9" w:rsidRDefault="00986FB9" w:rsidP="006431D3">
            <w:pPr>
              <w:spacing w:line="240" w:lineRule="auto"/>
              <w:rPr>
                <w:szCs w:val="22"/>
              </w:rPr>
            </w:pPr>
            <w:r w:rsidRPr="00986FB9">
              <w:rPr>
                <w:szCs w:val="22"/>
              </w:rPr>
              <w:t>(N=</w:t>
            </w:r>
            <w:r w:rsidR="00AF4E64" w:rsidRPr="00986FB9">
              <w:rPr>
                <w:szCs w:val="22"/>
              </w:rPr>
              <w:t>4</w:t>
            </w:r>
            <w:r w:rsidR="00AF4E64">
              <w:rPr>
                <w:szCs w:val="22"/>
              </w:rPr>
              <w:t>52</w:t>
            </w:r>
            <w:r w:rsidRPr="00986FB9">
              <w:rPr>
                <w:szCs w:val="22"/>
              </w:rPr>
              <w:t>)</w:t>
            </w:r>
          </w:p>
          <w:p w14:paraId="7A62B33F" w14:textId="77777777" w:rsidR="00986FB9" w:rsidRPr="00986FB9" w:rsidRDefault="00986FB9" w:rsidP="006431D3">
            <w:pPr>
              <w:spacing w:line="240" w:lineRule="auto"/>
              <w:rPr>
                <w:szCs w:val="22"/>
              </w:rPr>
            </w:pPr>
            <w:r w:rsidRPr="00986FB9">
              <w:rPr>
                <w:szCs w:val="22"/>
              </w:rPr>
              <w:t>(1 study)</w:t>
            </w:r>
          </w:p>
        </w:tc>
        <w:tc>
          <w:tcPr>
            <w:tcW w:w="0" w:type="auto"/>
          </w:tcPr>
          <w:p w14:paraId="37836270" w14:textId="77777777" w:rsidR="00EF77C9" w:rsidRDefault="00EF77C9" w:rsidP="006431D3">
            <w:pPr>
              <w:spacing w:line="240" w:lineRule="auto"/>
              <w:jc w:val="center"/>
              <w:rPr>
                <w:szCs w:val="22"/>
              </w:rPr>
            </w:pPr>
            <w:r>
              <w:rPr>
                <w:szCs w:val="22"/>
              </w:rPr>
              <w:t>1.8</w:t>
            </w:r>
          </w:p>
          <w:p w14:paraId="4664218D" w14:textId="77777777" w:rsidR="00EF77C9" w:rsidRPr="00986FB9" w:rsidRDefault="00EF77C9" w:rsidP="006431D3">
            <w:pPr>
              <w:spacing w:line="240" w:lineRule="auto"/>
              <w:jc w:val="center"/>
              <w:rPr>
                <w:szCs w:val="22"/>
              </w:rPr>
            </w:pPr>
            <w:r>
              <w:rPr>
                <w:szCs w:val="22"/>
              </w:rPr>
              <w:t>(0.9-3.5)</w:t>
            </w:r>
          </w:p>
        </w:tc>
        <w:tc>
          <w:tcPr>
            <w:tcW w:w="0" w:type="auto"/>
          </w:tcPr>
          <w:p w14:paraId="0A680747" w14:textId="77777777" w:rsidR="00EF77C9" w:rsidRDefault="00EF77C9" w:rsidP="006431D3">
            <w:pPr>
              <w:spacing w:line="240" w:lineRule="auto"/>
              <w:jc w:val="center"/>
              <w:rPr>
                <w:szCs w:val="22"/>
              </w:rPr>
            </w:pPr>
            <w:r>
              <w:rPr>
                <w:szCs w:val="22"/>
              </w:rPr>
              <w:t>13</w:t>
            </w:r>
          </w:p>
          <w:p w14:paraId="53EBD53B" w14:textId="77777777" w:rsidR="00EF77C9" w:rsidRPr="00986FB9" w:rsidRDefault="00EF77C9" w:rsidP="006431D3">
            <w:pPr>
              <w:spacing w:line="240" w:lineRule="auto"/>
              <w:jc w:val="center"/>
              <w:rPr>
                <w:szCs w:val="22"/>
              </w:rPr>
            </w:pPr>
            <w:r>
              <w:rPr>
                <w:szCs w:val="22"/>
              </w:rPr>
              <w:t>(1.7-54)</w:t>
            </w:r>
          </w:p>
        </w:tc>
        <w:tc>
          <w:tcPr>
            <w:tcW w:w="0" w:type="auto"/>
          </w:tcPr>
          <w:p w14:paraId="1960193E" w14:textId="77777777" w:rsidR="00EF77C9" w:rsidRDefault="00EF77C9" w:rsidP="006431D3">
            <w:pPr>
              <w:spacing w:line="240" w:lineRule="auto"/>
              <w:jc w:val="center"/>
              <w:rPr>
                <w:szCs w:val="22"/>
              </w:rPr>
            </w:pPr>
            <w:r>
              <w:rPr>
                <w:szCs w:val="22"/>
              </w:rPr>
              <w:t>1.8</w:t>
            </w:r>
          </w:p>
          <w:p w14:paraId="16B52D14" w14:textId="77777777" w:rsidR="00EF77C9" w:rsidRPr="00986FB9" w:rsidRDefault="00EF77C9" w:rsidP="006431D3">
            <w:pPr>
              <w:spacing w:line="240" w:lineRule="auto"/>
              <w:jc w:val="center"/>
              <w:rPr>
                <w:szCs w:val="22"/>
              </w:rPr>
            </w:pPr>
            <w:r>
              <w:rPr>
                <w:szCs w:val="22"/>
              </w:rPr>
              <w:t>(0.9-3.6)</w:t>
            </w:r>
          </w:p>
        </w:tc>
        <w:tc>
          <w:tcPr>
            <w:tcW w:w="0" w:type="auto"/>
          </w:tcPr>
          <w:p w14:paraId="3F8F0BAB" w14:textId="77777777" w:rsidR="00EF77C9" w:rsidRDefault="00EF77C9" w:rsidP="006431D3">
            <w:pPr>
              <w:spacing w:line="240" w:lineRule="auto"/>
              <w:jc w:val="center"/>
              <w:rPr>
                <w:szCs w:val="22"/>
              </w:rPr>
            </w:pPr>
            <w:r>
              <w:rPr>
                <w:szCs w:val="22"/>
              </w:rPr>
              <w:t>7.8</w:t>
            </w:r>
          </w:p>
          <w:p w14:paraId="6DBF69D2" w14:textId="77777777" w:rsidR="00EF77C9" w:rsidRPr="00986FB9" w:rsidRDefault="00EF77C9" w:rsidP="006431D3">
            <w:pPr>
              <w:spacing w:line="240" w:lineRule="auto"/>
              <w:jc w:val="center"/>
              <w:rPr>
                <w:szCs w:val="22"/>
              </w:rPr>
            </w:pPr>
            <w:r>
              <w:rPr>
                <w:szCs w:val="22"/>
              </w:rPr>
              <w:t>(0.86-71)</w:t>
            </w:r>
          </w:p>
        </w:tc>
      </w:tr>
      <w:tr w:rsidR="00623688" w:rsidRPr="00986FB9" w14:paraId="6BD9B946" w14:textId="77777777" w:rsidTr="00986FB9">
        <w:tc>
          <w:tcPr>
            <w:tcW w:w="0" w:type="auto"/>
          </w:tcPr>
          <w:p w14:paraId="6772961B" w14:textId="77777777" w:rsidR="00EF77C9" w:rsidRPr="00986FB9" w:rsidRDefault="00EF77C9" w:rsidP="00EF77C9">
            <w:pPr>
              <w:spacing w:line="240" w:lineRule="auto"/>
              <w:rPr>
                <w:szCs w:val="22"/>
              </w:rPr>
            </w:pPr>
            <w:r w:rsidRPr="00986FB9">
              <w:rPr>
                <w:szCs w:val="22"/>
              </w:rPr>
              <w:t>Pancreatic cancer</w:t>
            </w:r>
          </w:p>
          <w:p w14:paraId="31F57F72" w14:textId="77777777" w:rsidR="00EF77C9" w:rsidRPr="00986FB9" w:rsidRDefault="00EF77C9" w:rsidP="00EF77C9">
            <w:pPr>
              <w:spacing w:line="240" w:lineRule="auto"/>
              <w:rPr>
                <w:szCs w:val="22"/>
              </w:rPr>
            </w:pPr>
            <w:r w:rsidRPr="00986FB9">
              <w:rPr>
                <w:szCs w:val="22"/>
              </w:rPr>
              <w:t>(N=</w:t>
            </w:r>
            <w:r w:rsidR="00AF4E64" w:rsidRPr="00986FB9">
              <w:rPr>
                <w:szCs w:val="22"/>
              </w:rPr>
              <w:t>2</w:t>
            </w:r>
            <w:r w:rsidR="00AF4E64">
              <w:rPr>
                <w:szCs w:val="22"/>
              </w:rPr>
              <w:t>64</w:t>
            </w:r>
            <w:r w:rsidRPr="00986FB9">
              <w:rPr>
                <w:szCs w:val="22"/>
              </w:rPr>
              <w:t>)</w:t>
            </w:r>
          </w:p>
          <w:p w14:paraId="322718FF" w14:textId="77777777" w:rsidR="00EF77C9" w:rsidRPr="00986FB9" w:rsidRDefault="00EF77C9" w:rsidP="00EF77C9">
            <w:pPr>
              <w:spacing w:line="240" w:lineRule="auto"/>
              <w:rPr>
                <w:szCs w:val="22"/>
              </w:rPr>
            </w:pPr>
            <w:r w:rsidRPr="00986FB9">
              <w:rPr>
                <w:szCs w:val="22"/>
              </w:rPr>
              <w:t>(2 studies)</w:t>
            </w:r>
          </w:p>
        </w:tc>
        <w:tc>
          <w:tcPr>
            <w:tcW w:w="0" w:type="auto"/>
          </w:tcPr>
          <w:p w14:paraId="20F6CDA6" w14:textId="77777777" w:rsidR="00EF77C9" w:rsidRDefault="00EF77C9" w:rsidP="00EF77C9">
            <w:pPr>
              <w:spacing w:line="240" w:lineRule="auto"/>
              <w:jc w:val="center"/>
              <w:rPr>
                <w:szCs w:val="22"/>
              </w:rPr>
            </w:pPr>
            <w:r>
              <w:rPr>
                <w:szCs w:val="22"/>
              </w:rPr>
              <w:t>51</w:t>
            </w:r>
          </w:p>
          <w:p w14:paraId="373C1912" w14:textId="77777777" w:rsidR="00EF77C9" w:rsidRPr="00986FB9" w:rsidRDefault="00EF77C9" w:rsidP="00EF77C9">
            <w:pPr>
              <w:spacing w:line="240" w:lineRule="auto"/>
              <w:jc w:val="center"/>
              <w:rPr>
                <w:szCs w:val="22"/>
              </w:rPr>
            </w:pPr>
            <w:r>
              <w:rPr>
                <w:szCs w:val="22"/>
              </w:rPr>
              <w:t>(36-66)</w:t>
            </w:r>
          </w:p>
        </w:tc>
        <w:tc>
          <w:tcPr>
            <w:tcW w:w="0" w:type="auto"/>
          </w:tcPr>
          <w:p w14:paraId="179A911F" w14:textId="77777777" w:rsidR="00EF77C9" w:rsidRDefault="00EF77C9" w:rsidP="00EF77C9">
            <w:pPr>
              <w:spacing w:line="240" w:lineRule="auto"/>
              <w:jc w:val="center"/>
              <w:rPr>
                <w:szCs w:val="22"/>
              </w:rPr>
            </w:pPr>
            <w:r>
              <w:rPr>
                <w:szCs w:val="22"/>
              </w:rPr>
              <w:t>16</w:t>
            </w:r>
          </w:p>
          <w:p w14:paraId="1FBE13FA" w14:textId="77777777" w:rsidR="00EF77C9" w:rsidRPr="00986FB9" w:rsidRDefault="00EF77C9" w:rsidP="00EF77C9">
            <w:pPr>
              <w:spacing w:line="240" w:lineRule="auto"/>
              <w:jc w:val="center"/>
              <w:rPr>
                <w:szCs w:val="22"/>
              </w:rPr>
            </w:pPr>
            <w:r>
              <w:rPr>
                <w:szCs w:val="22"/>
              </w:rPr>
              <w:t>(11-23)</w:t>
            </w:r>
          </w:p>
        </w:tc>
        <w:tc>
          <w:tcPr>
            <w:tcW w:w="0" w:type="auto"/>
          </w:tcPr>
          <w:p w14:paraId="5A111CC2" w14:textId="77777777" w:rsidR="00EF77C9" w:rsidRDefault="00EF77C9" w:rsidP="00EF77C9">
            <w:pPr>
              <w:spacing w:line="240" w:lineRule="auto"/>
              <w:jc w:val="center"/>
              <w:rPr>
                <w:szCs w:val="22"/>
              </w:rPr>
            </w:pPr>
            <w:r>
              <w:rPr>
                <w:szCs w:val="22"/>
              </w:rPr>
              <w:t>7.9</w:t>
            </w:r>
          </w:p>
          <w:p w14:paraId="5D892E7E" w14:textId="77777777" w:rsidR="00EF77C9" w:rsidRPr="00986FB9" w:rsidRDefault="00EF77C9" w:rsidP="00EF77C9">
            <w:pPr>
              <w:spacing w:line="240" w:lineRule="auto"/>
              <w:jc w:val="center"/>
              <w:rPr>
                <w:szCs w:val="22"/>
              </w:rPr>
            </w:pPr>
            <w:r>
              <w:rPr>
                <w:szCs w:val="22"/>
              </w:rPr>
              <w:t>(4.3-14)</w:t>
            </w:r>
          </w:p>
        </w:tc>
        <w:tc>
          <w:tcPr>
            <w:tcW w:w="0" w:type="auto"/>
          </w:tcPr>
          <w:p w14:paraId="72C986D0" w14:textId="77777777" w:rsidR="00EF77C9" w:rsidRDefault="00EF77C9" w:rsidP="00EF77C9">
            <w:pPr>
              <w:spacing w:line="240" w:lineRule="auto"/>
              <w:jc w:val="center"/>
              <w:rPr>
                <w:szCs w:val="22"/>
              </w:rPr>
            </w:pPr>
            <w:r>
              <w:rPr>
                <w:szCs w:val="22"/>
              </w:rPr>
              <w:t>2.2</w:t>
            </w:r>
          </w:p>
          <w:p w14:paraId="3845E11C" w14:textId="77777777" w:rsidR="00EF77C9" w:rsidRPr="00986FB9" w:rsidRDefault="00EF77C9" w:rsidP="00EF77C9">
            <w:pPr>
              <w:spacing w:line="240" w:lineRule="auto"/>
              <w:jc w:val="center"/>
              <w:rPr>
                <w:szCs w:val="22"/>
              </w:rPr>
            </w:pPr>
            <w:r>
              <w:rPr>
                <w:szCs w:val="22"/>
              </w:rPr>
              <w:t>(1.02-4.9)</w:t>
            </w:r>
          </w:p>
        </w:tc>
      </w:tr>
      <w:tr w:rsidR="00623688" w:rsidRPr="00986FB9" w14:paraId="1D4AD7F5" w14:textId="77777777" w:rsidTr="00986FB9">
        <w:tc>
          <w:tcPr>
            <w:tcW w:w="0" w:type="auto"/>
          </w:tcPr>
          <w:p w14:paraId="1AA5A4EC" w14:textId="77777777" w:rsidR="00EF77C9" w:rsidRDefault="00EF77C9" w:rsidP="00EF77C9">
            <w:pPr>
              <w:spacing w:line="240" w:lineRule="auto"/>
              <w:rPr>
                <w:szCs w:val="22"/>
              </w:rPr>
            </w:pPr>
            <w:r>
              <w:rPr>
                <w:szCs w:val="22"/>
              </w:rPr>
              <w:t>Gastric cancer</w:t>
            </w:r>
          </w:p>
          <w:p w14:paraId="5FB4BA30" w14:textId="77777777" w:rsidR="00EF77C9" w:rsidRDefault="00EF77C9" w:rsidP="00EF77C9">
            <w:pPr>
              <w:spacing w:line="240" w:lineRule="auto"/>
              <w:rPr>
                <w:szCs w:val="22"/>
              </w:rPr>
            </w:pPr>
            <w:r>
              <w:rPr>
                <w:szCs w:val="22"/>
              </w:rPr>
              <w:t>(N=20</w:t>
            </w:r>
            <w:r w:rsidR="00AF4E64">
              <w:rPr>
                <w:szCs w:val="22"/>
              </w:rPr>
              <w:t>1</w:t>
            </w:r>
            <w:r>
              <w:rPr>
                <w:szCs w:val="22"/>
              </w:rPr>
              <w:t>)</w:t>
            </w:r>
          </w:p>
          <w:p w14:paraId="3357B614" w14:textId="77777777" w:rsidR="00EF77C9" w:rsidRPr="00986FB9" w:rsidRDefault="00EF77C9" w:rsidP="00EF77C9">
            <w:pPr>
              <w:spacing w:line="240" w:lineRule="auto"/>
              <w:rPr>
                <w:szCs w:val="22"/>
              </w:rPr>
            </w:pPr>
            <w:r>
              <w:rPr>
                <w:szCs w:val="22"/>
              </w:rPr>
              <w:t>(1 study)</w:t>
            </w:r>
          </w:p>
        </w:tc>
        <w:tc>
          <w:tcPr>
            <w:tcW w:w="0" w:type="auto"/>
          </w:tcPr>
          <w:p w14:paraId="46F0F3A8" w14:textId="77777777" w:rsidR="00EF77C9" w:rsidRDefault="00EF77C9" w:rsidP="00EF77C9">
            <w:pPr>
              <w:spacing w:line="240" w:lineRule="auto"/>
              <w:jc w:val="center"/>
              <w:rPr>
                <w:szCs w:val="22"/>
              </w:rPr>
            </w:pPr>
            <w:r>
              <w:rPr>
                <w:szCs w:val="22"/>
              </w:rPr>
              <w:t>42</w:t>
            </w:r>
          </w:p>
          <w:p w14:paraId="24C05E6E" w14:textId="77777777" w:rsidR="00EF77C9" w:rsidRDefault="00EF77C9" w:rsidP="00EF77C9">
            <w:pPr>
              <w:spacing w:line="240" w:lineRule="auto"/>
              <w:jc w:val="center"/>
              <w:rPr>
                <w:szCs w:val="22"/>
              </w:rPr>
            </w:pPr>
            <w:r>
              <w:rPr>
                <w:szCs w:val="22"/>
              </w:rPr>
              <w:t>(35-49)</w:t>
            </w:r>
          </w:p>
        </w:tc>
        <w:tc>
          <w:tcPr>
            <w:tcW w:w="0" w:type="auto"/>
          </w:tcPr>
          <w:p w14:paraId="02F3791B" w14:textId="77777777" w:rsidR="00EF77C9" w:rsidRDefault="001051AB" w:rsidP="00EF77C9">
            <w:pPr>
              <w:spacing w:line="240" w:lineRule="auto"/>
              <w:jc w:val="center"/>
              <w:rPr>
                <w:szCs w:val="22"/>
              </w:rPr>
            </w:pPr>
            <w:r>
              <w:rPr>
                <w:szCs w:val="22"/>
              </w:rPr>
              <w:t>2.4</w:t>
            </w:r>
          </w:p>
          <w:p w14:paraId="5179BDCD" w14:textId="77777777" w:rsidR="001051AB" w:rsidRPr="00986FB9" w:rsidRDefault="001051AB" w:rsidP="00EF77C9">
            <w:pPr>
              <w:spacing w:line="240" w:lineRule="auto"/>
              <w:jc w:val="center"/>
              <w:rPr>
                <w:szCs w:val="22"/>
              </w:rPr>
            </w:pPr>
            <w:r>
              <w:rPr>
                <w:szCs w:val="22"/>
              </w:rPr>
              <w:t>(0.60-9.0)</w:t>
            </w:r>
          </w:p>
        </w:tc>
        <w:tc>
          <w:tcPr>
            <w:tcW w:w="0" w:type="auto"/>
          </w:tcPr>
          <w:p w14:paraId="467335C5" w14:textId="77777777" w:rsidR="00EF77C9" w:rsidRDefault="00EF77C9" w:rsidP="00EF77C9">
            <w:pPr>
              <w:spacing w:line="240" w:lineRule="auto"/>
              <w:jc w:val="center"/>
              <w:rPr>
                <w:szCs w:val="22"/>
              </w:rPr>
            </w:pPr>
            <w:r>
              <w:rPr>
                <w:szCs w:val="22"/>
              </w:rPr>
              <w:t>1.7</w:t>
            </w:r>
          </w:p>
          <w:p w14:paraId="4CE29E4F" w14:textId="77777777" w:rsidR="00EF77C9" w:rsidRPr="00986FB9" w:rsidRDefault="00EF77C9" w:rsidP="00EF77C9">
            <w:pPr>
              <w:spacing w:line="240" w:lineRule="auto"/>
              <w:jc w:val="center"/>
              <w:rPr>
                <w:szCs w:val="22"/>
              </w:rPr>
            </w:pPr>
            <w:r>
              <w:rPr>
                <w:szCs w:val="22"/>
              </w:rPr>
              <w:t>(0.4-6.6)</w:t>
            </w:r>
          </w:p>
        </w:tc>
        <w:tc>
          <w:tcPr>
            <w:tcW w:w="0" w:type="auto"/>
          </w:tcPr>
          <w:p w14:paraId="2CE00B13" w14:textId="77777777" w:rsidR="00EF77C9" w:rsidRDefault="001051AB" w:rsidP="00EF77C9">
            <w:pPr>
              <w:spacing w:line="240" w:lineRule="auto"/>
              <w:jc w:val="center"/>
              <w:rPr>
                <w:szCs w:val="22"/>
              </w:rPr>
            </w:pPr>
            <w:r>
              <w:rPr>
                <w:szCs w:val="22"/>
              </w:rPr>
              <w:t>1.4</w:t>
            </w:r>
          </w:p>
          <w:p w14:paraId="2A15B198" w14:textId="77777777" w:rsidR="001051AB" w:rsidRPr="00986FB9" w:rsidRDefault="001051AB" w:rsidP="00EF77C9">
            <w:pPr>
              <w:spacing w:line="240" w:lineRule="auto"/>
              <w:jc w:val="center"/>
              <w:rPr>
                <w:szCs w:val="22"/>
              </w:rPr>
            </w:pPr>
            <w:r>
              <w:rPr>
                <w:szCs w:val="22"/>
              </w:rPr>
              <w:t>(0.19-10)</w:t>
            </w:r>
          </w:p>
        </w:tc>
      </w:tr>
      <w:tr w:rsidR="00623688" w:rsidRPr="00986FB9" w14:paraId="0C101CAA" w14:textId="77777777" w:rsidTr="00986FB9">
        <w:tc>
          <w:tcPr>
            <w:tcW w:w="0" w:type="auto"/>
          </w:tcPr>
          <w:p w14:paraId="5B4B8D45" w14:textId="77777777" w:rsidR="00EF77C9" w:rsidRDefault="00EF77C9" w:rsidP="00EF77C9">
            <w:pPr>
              <w:spacing w:line="240" w:lineRule="auto"/>
              <w:rPr>
                <w:szCs w:val="22"/>
              </w:rPr>
            </w:pPr>
            <w:r>
              <w:rPr>
                <w:szCs w:val="22"/>
              </w:rPr>
              <w:t>Ovarian cancer</w:t>
            </w:r>
          </w:p>
          <w:p w14:paraId="7C7783E7" w14:textId="77777777" w:rsidR="00EF77C9" w:rsidRDefault="00EF77C9" w:rsidP="00EF77C9">
            <w:pPr>
              <w:spacing w:line="240" w:lineRule="auto"/>
              <w:rPr>
                <w:szCs w:val="22"/>
              </w:rPr>
            </w:pPr>
            <w:r>
              <w:rPr>
                <w:szCs w:val="22"/>
              </w:rPr>
              <w:t>(N=184)</w:t>
            </w:r>
          </w:p>
          <w:p w14:paraId="100C2E15" w14:textId="77777777" w:rsidR="00EF77C9" w:rsidRPr="00986FB9" w:rsidRDefault="00EF77C9" w:rsidP="00EF77C9">
            <w:pPr>
              <w:spacing w:line="240" w:lineRule="auto"/>
              <w:rPr>
                <w:szCs w:val="22"/>
              </w:rPr>
            </w:pPr>
            <w:r>
              <w:rPr>
                <w:szCs w:val="22"/>
              </w:rPr>
              <w:t>(1 study)</w:t>
            </w:r>
          </w:p>
        </w:tc>
        <w:tc>
          <w:tcPr>
            <w:tcW w:w="0" w:type="auto"/>
          </w:tcPr>
          <w:p w14:paraId="3E50842A" w14:textId="77777777" w:rsidR="00EF77C9" w:rsidRDefault="00EF77C9" w:rsidP="00EF77C9">
            <w:pPr>
              <w:spacing w:line="240" w:lineRule="auto"/>
              <w:jc w:val="center"/>
              <w:rPr>
                <w:szCs w:val="22"/>
              </w:rPr>
            </w:pPr>
            <w:r>
              <w:rPr>
                <w:szCs w:val="22"/>
              </w:rPr>
              <w:t>13</w:t>
            </w:r>
          </w:p>
          <w:p w14:paraId="31EB235D" w14:textId="77777777" w:rsidR="00EF77C9" w:rsidRPr="00986FB9" w:rsidRDefault="00EF77C9" w:rsidP="00EF77C9">
            <w:pPr>
              <w:spacing w:line="240" w:lineRule="auto"/>
              <w:jc w:val="center"/>
              <w:rPr>
                <w:szCs w:val="22"/>
              </w:rPr>
            </w:pPr>
            <w:r>
              <w:rPr>
                <w:szCs w:val="22"/>
              </w:rPr>
              <w:t>(8.4-18)</w:t>
            </w:r>
          </w:p>
        </w:tc>
        <w:tc>
          <w:tcPr>
            <w:tcW w:w="0" w:type="auto"/>
          </w:tcPr>
          <w:p w14:paraId="24B8740A" w14:textId="77777777" w:rsidR="00EF77C9" w:rsidRPr="00986FB9" w:rsidRDefault="00EF77C9" w:rsidP="00EF77C9">
            <w:pPr>
              <w:spacing w:line="240" w:lineRule="auto"/>
              <w:jc w:val="center"/>
              <w:rPr>
                <w:szCs w:val="22"/>
              </w:rPr>
            </w:pPr>
            <w:r>
              <w:rPr>
                <w:szCs w:val="22"/>
              </w:rPr>
              <w:t>0</w:t>
            </w:r>
          </w:p>
        </w:tc>
        <w:tc>
          <w:tcPr>
            <w:tcW w:w="0" w:type="auto"/>
          </w:tcPr>
          <w:p w14:paraId="53486186" w14:textId="77777777" w:rsidR="00EF77C9" w:rsidRPr="00986FB9" w:rsidRDefault="00EF77C9" w:rsidP="00EF77C9">
            <w:pPr>
              <w:spacing w:line="240" w:lineRule="auto"/>
              <w:jc w:val="center"/>
              <w:rPr>
                <w:szCs w:val="22"/>
              </w:rPr>
            </w:pPr>
            <w:r>
              <w:rPr>
                <w:szCs w:val="22"/>
              </w:rPr>
              <w:t>0</w:t>
            </w:r>
          </w:p>
        </w:tc>
        <w:tc>
          <w:tcPr>
            <w:tcW w:w="0" w:type="auto"/>
          </w:tcPr>
          <w:p w14:paraId="1AD22CDF" w14:textId="77777777" w:rsidR="00EF77C9" w:rsidRPr="00986FB9" w:rsidRDefault="00EF77C9" w:rsidP="00EF77C9">
            <w:pPr>
              <w:spacing w:line="240" w:lineRule="auto"/>
              <w:jc w:val="center"/>
              <w:rPr>
                <w:szCs w:val="22"/>
              </w:rPr>
            </w:pPr>
            <w:r>
              <w:rPr>
                <w:szCs w:val="22"/>
              </w:rPr>
              <w:t>NA</w:t>
            </w:r>
          </w:p>
        </w:tc>
      </w:tr>
      <w:tr w:rsidR="00623688" w:rsidRPr="00986FB9" w14:paraId="0B06F5B4" w14:textId="77777777" w:rsidTr="00986FB9">
        <w:tc>
          <w:tcPr>
            <w:tcW w:w="0" w:type="auto"/>
          </w:tcPr>
          <w:p w14:paraId="61285B54" w14:textId="77777777" w:rsidR="00EF77C9" w:rsidRDefault="00EF77C9" w:rsidP="00EF77C9">
            <w:pPr>
              <w:spacing w:line="240" w:lineRule="auto"/>
              <w:rPr>
                <w:szCs w:val="22"/>
              </w:rPr>
            </w:pPr>
            <w:r>
              <w:rPr>
                <w:szCs w:val="22"/>
              </w:rPr>
              <w:t>Breast cancer</w:t>
            </w:r>
          </w:p>
          <w:p w14:paraId="6444A0D8" w14:textId="77777777" w:rsidR="00EF77C9" w:rsidRDefault="00EF77C9" w:rsidP="00EF77C9">
            <w:pPr>
              <w:spacing w:line="240" w:lineRule="auto"/>
              <w:rPr>
                <w:szCs w:val="22"/>
              </w:rPr>
            </w:pPr>
            <w:r>
              <w:rPr>
                <w:szCs w:val="22"/>
              </w:rPr>
              <w:t>(N=</w:t>
            </w:r>
            <w:r w:rsidR="00AF4E64">
              <w:rPr>
                <w:szCs w:val="22"/>
              </w:rPr>
              <w:t>164</w:t>
            </w:r>
            <w:r>
              <w:rPr>
                <w:szCs w:val="22"/>
              </w:rPr>
              <w:t>)</w:t>
            </w:r>
          </w:p>
          <w:p w14:paraId="37DB7DEC" w14:textId="77777777" w:rsidR="00EF77C9" w:rsidRPr="00986FB9" w:rsidRDefault="00EF77C9" w:rsidP="00EF77C9">
            <w:pPr>
              <w:spacing w:line="240" w:lineRule="auto"/>
              <w:rPr>
                <w:szCs w:val="22"/>
              </w:rPr>
            </w:pPr>
            <w:r>
              <w:rPr>
                <w:szCs w:val="22"/>
              </w:rPr>
              <w:t>(1 study)</w:t>
            </w:r>
          </w:p>
        </w:tc>
        <w:tc>
          <w:tcPr>
            <w:tcW w:w="0" w:type="auto"/>
          </w:tcPr>
          <w:p w14:paraId="7A7A9F72" w14:textId="77777777" w:rsidR="00EF77C9" w:rsidRPr="00986FB9" w:rsidRDefault="00EF77C9" w:rsidP="00EF77C9">
            <w:pPr>
              <w:spacing w:line="240" w:lineRule="auto"/>
              <w:jc w:val="center"/>
              <w:rPr>
                <w:szCs w:val="22"/>
              </w:rPr>
            </w:pPr>
            <w:r>
              <w:rPr>
                <w:szCs w:val="22"/>
              </w:rPr>
              <w:t>0</w:t>
            </w:r>
          </w:p>
        </w:tc>
        <w:tc>
          <w:tcPr>
            <w:tcW w:w="0" w:type="auto"/>
          </w:tcPr>
          <w:p w14:paraId="4D43DB03" w14:textId="77777777" w:rsidR="00EF77C9" w:rsidRPr="00986FB9" w:rsidRDefault="00EF77C9" w:rsidP="00EF77C9">
            <w:pPr>
              <w:spacing w:line="240" w:lineRule="auto"/>
              <w:jc w:val="center"/>
              <w:rPr>
                <w:szCs w:val="22"/>
              </w:rPr>
            </w:pPr>
            <w:r>
              <w:rPr>
                <w:szCs w:val="22"/>
              </w:rPr>
              <w:t>NA</w:t>
            </w:r>
          </w:p>
        </w:tc>
        <w:tc>
          <w:tcPr>
            <w:tcW w:w="0" w:type="auto"/>
          </w:tcPr>
          <w:p w14:paraId="3F35F302" w14:textId="77777777" w:rsidR="00EF77C9" w:rsidRDefault="00EF77C9" w:rsidP="00EF77C9">
            <w:pPr>
              <w:spacing w:line="240" w:lineRule="auto"/>
              <w:jc w:val="center"/>
              <w:rPr>
                <w:szCs w:val="22"/>
              </w:rPr>
            </w:pPr>
            <w:r>
              <w:rPr>
                <w:szCs w:val="22"/>
              </w:rPr>
              <w:t>3.1</w:t>
            </w:r>
          </w:p>
          <w:p w14:paraId="13B8634E" w14:textId="77777777" w:rsidR="00EF77C9" w:rsidRPr="00986FB9" w:rsidRDefault="00EF77C9" w:rsidP="00EF77C9">
            <w:pPr>
              <w:spacing w:line="240" w:lineRule="auto"/>
              <w:jc w:val="center"/>
              <w:rPr>
                <w:szCs w:val="22"/>
              </w:rPr>
            </w:pPr>
            <w:r>
              <w:rPr>
                <w:szCs w:val="22"/>
              </w:rPr>
              <w:t>(1.3-7.0)</w:t>
            </w:r>
          </w:p>
        </w:tc>
        <w:tc>
          <w:tcPr>
            <w:tcW w:w="0" w:type="auto"/>
          </w:tcPr>
          <w:p w14:paraId="23C65711" w14:textId="77777777" w:rsidR="00EF77C9" w:rsidRPr="00986FB9" w:rsidRDefault="00EF77C9" w:rsidP="00EF77C9">
            <w:pPr>
              <w:spacing w:line="240" w:lineRule="auto"/>
              <w:jc w:val="center"/>
              <w:rPr>
                <w:szCs w:val="22"/>
              </w:rPr>
            </w:pPr>
            <w:r>
              <w:rPr>
                <w:szCs w:val="22"/>
              </w:rPr>
              <w:t>NA</w:t>
            </w:r>
          </w:p>
        </w:tc>
      </w:tr>
      <w:tr w:rsidR="00623688" w:rsidRPr="00986FB9" w14:paraId="3D94955A" w14:textId="77777777" w:rsidTr="00986FB9">
        <w:tc>
          <w:tcPr>
            <w:tcW w:w="0" w:type="auto"/>
          </w:tcPr>
          <w:p w14:paraId="250CBBA8" w14:textId="77777777" w:rsidR="00EF77C9" w:rsidRDefault="00EF77C9" w:rsidP="00EF77C9">
            <w:pPr>
              <w:spacing w:line="240" w:lineRule="auto"/>
              <w:rPr>
                <w:szCs w:val="22"/>
              </w:rPr>
            </w:pPr>
            <w:r>
              <w:rPr>
                <w:szCs w:val="22"/>
              </w:rPr>
              <w:t>Brain cancer</w:t>
            </w:r>
          </w:p>
          <w:p w14:paraId="7487D785" w14:textId="77777777" w:rsidR="00EF77C9" w:rsidRDefault="00EF77C9" w:rsidP="00EF77C9">
            <w:pPr>
              <w:spacing w:line="240" w:lineRule="auto"/>
              <w:rPr>
                <w:szCs w:val="22"/>
              </w:rPr>
            </w:pPr>
            <w:r>
              <w:rPr>
                <w:szCs w:val="22"/>
              </w:rPr>
              <w:t>(N=</w:t>
            </w:r>
            <w:r w:rsidR="00AF4E64">
              <w:rPr>
                <w:szCs w:val="22"/>
              </w:rPr>
              <w:t>84</w:t>
            </w:r>
            <w:r>
              <w:rPr>
                <w:szCs w:val="22"/>
              </w:rPr>
              <w:t>)</w:t>
            </w:r>
          </w:p>
          <w:p w14:paraId="1A641210" w14:textId="77777777" w:rsidR="00EF77C9" w:rsidRPr="00986FB9" w:rsidRDefault="00EF77C9" w:rsidP="00EF77C9">
            <w:pPr>
              <w:spacing w:line="240" w:lineRule="auto"/>
              <w:rPr>
                <w:szCs w:val="22"/>
              </w:rPr>
            </w:pPr>
            <w:r>
              <w:rPr>
                <w:szCs w:val="22"/>
              </w:rPr>
              <w:t>(1 study)</w:t>
            </w:r>
          </w:p>
        </w:tc>
        <w:tc>
          <w:tcPr>
            <w:tcW w:w="0" w:type="auto"/>
          </w:tcPr>
          <w:p w14:paraId="0C15B653" w14:textId="77777777" w:rsidR="00EF77C9" w:rsidRDefault="001051AB" w:rsidP="00EF77C9">
            <w:pPr>
              <w:spacing w:line="240" w:lineRule="auto"/>
              <w:jc w:val="center"/>
              <w:rPr>
                <w:szCs w:val="22"/>
              </w:rPr>
            </w:pPr>
            <w:r>
              <w:rPr>
                <w:szCs w:val="22"/>
              </w:rPr>
              <w:t>50</w:t>
            </w:r>
          </w:p>
          <w:p w14:paraId="38003EB5" w14:textId="77777777" w:rsidR="001051AB" w:rsidRPr="00986FB9" w:rsidRDefault="001051AB" w:rsidP="00EF77C9">
            <w:pPr>
              <w:spacing w:line="240" w:lineRule="auto"/>
              <w:jc w:val="center"/>
              <w:rPr>
                <w:szCs w:val="22"/>
              </w:rPr>
            </w:pPr>
            <w:r>
              <w:rPr>
                <w:szCs w:val="22"/>
              </w:rPr>
              <w:t>(39-61)</w:t>
            </w:r>
          </w:p>
        </w:tc>
        <w:tc>
          <w:tcPr>
            <w:tcW w:w="0" w:type="auto"/>
          </w:tcPr>
          <w:p w14:paraId="7C727433" w14:textId="77777777" w:rsidR="00EF77C9" w:rsidRDefault="001051AB" w:rsidP="00EF77C9">
            <w:pPr>
              <w:spacing w:line="240" w:lineRule="auto"/>
              <w:jc w:val="center"/>
              <w:rPr>
                <w:szCs w:val="22"/>
              </w:rPr>
            </w:pPr>
            <w:r>
              <w:rPr>
                <w:szCs w:val="22"/>
              </w:rPr>
              <w:t>21</w:t>
            </w:r>
          </w:p>
          <w:p w14:paraId="4DE0CF8C" w14:textId="77777777" w:rsidR="001051AB" w:rsidRPr="00986FB9" w:rsidRDefault="001051AB" w:rsidP="00EF77C9">
            <w:pPr>
              <w:spacing w:line="240" w:lineRule="auto"/>
              <w:jc w:val="center"/>
              <w:rPr>
                <w:szCs w:val="22"/>
              </w:rPr>
            </w:pPr>
            <w:r>
              <w:rPr>
                <w:szCs w:val="22"/>
              </w:rPr>
              <w:t>(12-36)</w:t>
            </w:r>
          </w:p>
        </w:tc>
        <w:tc>
          <w:tcPr>
            <w:tcW w:w="0" w:type="auto"/>
          </w:tcPr>
          <w:p w14:paraId="448713FD" w14:textId="77777777" w:rsidR="00EF77C9" w:rsidRDefault="001051AB" w:rsidP="00EF77C9">
            <w:pPr>
              <w:spacing w:line="240" w:lineRule="auto"/>
              <w:jc w:val="center"/>
              <w:rPr>
                <w:szCs w:val="22"/>
              </w:rPr>
            </w:pPr>
            <w:r>
              <w:rPr>
                <w:szCs w:val="22"/>
              </w:rPr>
              <w:t>7.1</w:t>
            </w:r>
          </w:p>
          <w:p w14:paraId="0D169A7E" w14:textId="77777777" w:rsidR="001051AB" w:rsidRPr="00986FB9" w:rsidRDefault="001051AB" w:rsidP="00EF77C9">
            <w:pPr>
              <w:spacing w:line="240" w:lineRule="auto"/>
              <w:jc w:val="center"/>
              <w:rPr>
                <w:szCs w:val="22"/>
              </w:rPr>
            </w:pPr>
            <w:r>
              <w:rPr>
                <w:szCs w:val="22"/>
              </w:rPr>
              <w:t>(2.3-20)</w:t>
            </w:r>
          </w:p>
        </w:tc>
        <w:tc>
          <w:tcPr>
            <w:tcW w:w="0" w:type="auto"/>
          </w:tcPr>
          <w:p w14:paraId="3731957D" w14:textId="77777777" w:rsidR="00EF77C9" w:rsidRDefault="001051AB" w:rsidP="00EF77C9">
            <w:pPr>
              <w:spacing w:line="240" w:lineRule="auto"/>
              <w:jc w:val="center"/>
              <w:rPr>
                <w:szCs w:val="22"/>
              </w:rPr>
            </w:pPr>
            <w:r>
              <w:rPr>
                <w:szCs w:val="22"/>
              </w:rPr>
              <w:t>3.5</w:t>
            </w:r>
          </w:p>
          <w:p w14:paraId="04409B5B" w14:textId="77777777" w:rsidR="001051AB" w:rsidRPr="00986FB9" w:rsidRDefault="001051AB" w:rsidP="00EF77C9">
            <w:pPr>
              <w:spacing w:line="240" w:lineRule="auto"/>
              <w:jc w:val="center"/>
              <w:rPr>
                <w:szCs w:val="22"/>
              </w:rPr>
            </w:pPr>
            <w:r>
              <w:rPr>
                <w:szCs w:val="22"/>
              </w:rPr>
              <w:t>(0.89-14)</w:t>
            </w:r>
          </w:p>
        </w:tc>
      </w:tr>
      <w:tr w:rsidR="00623688" w:rsidRPr="00986FB9" w14:paraId="0F1ABFBE" w14:textId="77777777" w:rsidTr="00986FB9">
        <w:tc>
          <w:tcPr>
            <w:tcW w:w="0" w:type="auto"/>
          </w:tcPr>
          <w:p w14:paraId="08326661" w14:textId="77777777" w:rsidR="00EF77C9" w:rsidRDefault="00EF77C9" w:rsidP="00EF77C9">
            <w:pPr>
              <w:spacing w:line="240" w:lineRule="auto"/>
              <w:rPr>
                <w:szCs w:val="22"/>
              </w:rPr>
            </w:pPr>
            <w:r>
              <w:rPr>
                <w:szCs w:val="22"/>
              </w:rPr>
              <w:t>Bladder cancer</w:t>
            </w:r>
          </w:p>
          <w:p w14:paraId="108E520F" w14:textId="77777777" w:rsidR="00EF77C9" w:rsidRDefault="00EF77C9" w:rsidP="00EF77C9">
            <w:pPr>
              <w:spacing w:line="240" w:lineRule="auto"/>
              <w:rPr>
                <w:szCs w:val="22"/>
              </w:rPr>
            </w:pPr>
            <w:r>
              <w:rPr>
                <w:szCs w:val="22"/>
              </w:rPr>
              <w:t>(N=3</w:t>
            </w:r>
            <w:r w:rsidR="00AF4E64">
              <w:rPr>
                <w:szCs w:val="22"/>
              </w:rPr>
              <w:t>1</w:t>
            </w:r>
            <w:r>
              <w:rPr>
                <w:szCs w:val="22"/>
              </w:rPr>
              <w:t>)</w:t>
            </w:r>
          </w:p>
          <w:p w14:paraId="3EEED37B" w14:textId="77777777" w:rsidR="00EF77C9" w:rsidRDefault="00EF77C9" w:rsidP="00EF77C9">
            <w:pPr>
              <w:spacing w:line="240" w:lineRule="auto"/>
              <w:rPr>
                <w:szCs w:val="22"/>
              </w:rPr>
            </w:pPr>
            <w:r>
              <w:rPr>
                <w:szCs w:val="22"/>
              </w:rPr>
              <w:t>(1 study)</w:t>
            </w:r>
          </w:p>
        </w:tc>
        <w:tc>
          <w:tcPr>
            <w:tcW w:w="0" w:type="auto"/>
          </w:tcPr>
          <w:p w14:paraId="6B33DAD7" w14:textId="77777777" w:rsidR="00EF77C9" w:rsidRDefault="001051AB" w:rsidP="00EF77C9">
            <w:pPr>
              <w:spacing w:line="240" w:lineRule="auto"/>
              <w:jc w:val="center"/>
              <w:rPr>
                <w:szCs w:val="22"/>
              </w:rPr>
            </w:pPr>
            <w:r>
              <w:rPr>
                <w:szCs w:val="22"/>
              </w:rPr>
              <w:t>23</w:t>
            </w:r>
          </w:p>
          <w:p w14:paraId="3F5F5D0C" w14:textId="77777777" w:rsidR="001051AB" w:rsidRDefault="001051AB" w:rsidP="00EF77C9">
            <w:pPr>
              <w:spacing w:line="240" w:lineRule="auto"/>
              <w:jc w:val="center"/>
              <w:rPr>
                <w:szCs w:val="22"/>
              </w:rPr>
            </w:pPr>
            <w:r>
              <w:rPr>
                <w:szCs w:val="22"/>
              </w:rPr>
              <w:t>(11-40)</w:t>
            </w:r>
          </w:p>
        </w:tc>
        <w:tc>
          <w:tcPr>
            <w:tcW w:w="0" w:type="auto"/>
          </w:tcPr>
          <w:p w14:paraId="48816169" w14:textId="77777777" w:rsidR="00EF77C9" w:rsidRDefault="001051AB" w:rsidP="00EF77C9">
            <w:pPr>
              <w:spacing w:line="240" w:lineRule="auto"/>
              <w:jc w:val="center"/>
              <w:rPr>
                <w:szCs w:val="22"/>
              </w:rPr>
            </w:pPr>
            <w:r>
              <w:rPr>
                <w:szCs w:val="22"/>
              </w:rPr>
              <w:t>14</w:t>
            </w:r>
          </w:p>
          <w:p w14:paraId="2682E0FF" w14:textId="77777777" w:rsidR="001051AB" w:rsidRDefault="001051AB" w:rsidP="00EF77C9">
            <w:pPr>
              <w:spacing w:line="240" w:lineRule="auto"/>
              <w:jc w:val="center"/>
              <w:rPr>
                <w:szCs w:val="22"/>
              </w:rPr>
            </w:pPr>
            <w:r>
              <w:rPr>
                <w:szCs w:val="22"/>
              </w:rPr>
              <w:t>(2.0-58)</w:t>
            </w:r>
          </w:p>
          <w:p w14:paraId="05FE670A" w14:textId="77777777" w:rsidR="001051AB" w:rsidRDefault="001051AB" w:rsidP="00EF77C9">
            <w:pPr>
              <w:spacing w:line="240" w:lineRule="auto"/>
              <w:jc w:val="center"/>
              <w:rPr>
                <w:szCs w:val="22"/>
              </w:rPr>
            </w:pPr>
          </w:p>
        </w:tc>
        <w:tc>
          <w:tcPr>
            <w:tcW w:w="0" w:type="auto"/>
          </w:tcPr>
          <w:p w14:paraId="0BC39A4A" w14:textId="77777777" w:rsidR="00EF77C9" w:rsidRDefault="001051AB" w:rsidP="00EF77C9">
            <w:pPr>
              <w:spacing w:line="240" w:lineRule="auto"/>
              <w:jc w:val="center"/>
              <w:rPr>
                <w:szCs w:val="22"/>
              </w:rPr>
            </w:pPr>
            <w:r>
              <w:rPr>
                <w:szCs w:val="22"/>
              </w:rPr>
              <w:t>8.3</w:t>
            </w:r>
          </w:p>
          <w:p w14:paraId="6A02D070" w14:textId="77777777" w:rsidR="001051AB" w:rsidRDefault="001051AB" w:rsidP="001051AB">
            <w:pPr>
              <w:spacing w:line="240" w:lineRule="auto"/>
              <w:jc w:val="center"/>
              <w:rPr>
                <w:szCs w:val="22"/>
              </w:rPr>
            </w:pPr>
            <w:r>
              <w:rPr>
                <w:szCs w:val="22"/>
              </w:rPr>
              <w:t>(2.1-28)</w:t>
            </w:r>
          </w:p>
        </w:tc>
        <w:tc>
          <w:tcPr>
            <w:tcW w:w="0" w:type="auto"/>
          </w:tcPr>
          <w:p w14:paraId="09034470" w14:textId="77777777" w:rsidR="00EF77C9" w:rsidRDefault="001051AB" w:rsidP="00EF77C9">
            <w:pPr>
              <w:spacing w:line="240" w:lineRule="auto"/>
              <w:jc w:val="center"/>
              <w:rPr>
                <w:szCs w:val="22"/>
              </w:rPr>
            </w:pPr>
            <w:r>
              <w:rPr>
                <w:szCs w:val="22"/>
              </w:rPr>
              <w:t>1.8</w:t>
            </w:r>
          </w:p>
          <w:p w14:paraId="5D6537CE" w14:textId="77777777" w:rsidR="001051AB" w:rsidRDefault="001051AB" w:rsidP="00EF77C9">
            <w:pPr>
              <w:spacing w:line="240" w:lineRule="auto"/>
              <w:jc w:val="center"/>
              <w:rPr>
                <w:szCs w:val="22"/>
              </w:rPr>
            </w:pPr>
            <w:r>
              <w:rPr>
                <w:szCs w:val="22"/>
              </w:rPr>
              <w:t>(0.14-24)</w:t>
            </w:r>
          </w:p>
        </w:tc>
      </w:tr>
      <w:tr w:rsidR="00623688" w:rsidRPr="00986FB9" w14:paraId="231CDD2B" w14:textId="77777777" w:rsidTr="00986FB9">
        <w:tc>
          <w:tcPr>
            <w:tcW w:w="0" w:type="auto"/>
          </w:tcPr>
          <w:p w14:paraId="103A90B4" w14:textId="77777777" w:rsidR="00390DB5" w:rsidRDefault="00390DB5" w:rsidP="00EF77C9">
            <w:pPr>
              <w:spacing w:line="240" w:lineRule="auto"/>
              <w:rPr>
                <w:szCs w:val="22"/>
              </w:rPr>
            </w:pPr>
            <w:r>
              <w:rPr>
                <w:szCs w:val="22"/>
              </w:rPr>
              <w:t xml:space="preserve">Other types than lung cancer </w:t>
            </w:r>
          </w:p>
          <w:p w14:paraId="31CDF11B" w14:textId="77777777" w:rsidR="00390DB5" w:rsidRDefault="00390DB5" w:rsidP="00EF77C9">
            <w:pPr>
              <w:spacing w:line="240" w:lineRule="auto"/>
              <w:rPr>
                <w:szCs w:val="22"/>
              </w:rPr>
            </w:pPr>
            <w:r>
              <w:rPr>
                <w:szCs w:val="22"/>
              </w:rPr>
              <w:t>(N=</w:t>
            </w:r>
            <w:r w:rsidR="00AF4E64">
              <w:rPr>
                <w:szCs w:val="22"/>
              </w:rPr>
              <w:t>1,380</w:t>
            </w:r>
            <w:r>
              <w:rPr>
                <w:szCs w:val="22"/>
              </w:rPr>
              <w:t>)</w:t>
            </w:r>
          </w:p>
          <w:p w14:paraId="44A756A0" w14:textId="77777777" w:rsidR="00390DB5" w:rsidRDefault="00390DB5" w:rsidP="00EF77C9">
            <w:pPr>
              <w:spacing w:line="240" w:lineRule="auto"/>
              <w:rPr>
                <w:szCs w:val="22"/>
              </w:rPr>
            </w:pPr>
            <w:r>
              <w:rPr>
                <w:szCs w:val="22"/>
              </w:rPr>
              <w:t>(4 studies)</w:t>
            </w:r>
          </w:p>
        </w:tc>
        <w:tc>
          <w:tcPr>
            <w:tcW w:w="0" w:type="auto"/>
          </w:tcPr>
          <w:p w14:paraId="62B30C58" w14:textId="77777777" w:rsidR="00390DB5" w:rsidRDefault="000C1CD6" w:rsidP="00EF77C9">
            <w:pPr>
              <w:spacing w:line="240" w:lineRule="auto"/>
              <w:jc w:val="center"/>
              <w:rPr>
                <w:szCs w:val="22"/>
              </w:rPr>
            </w:pPr>
            <w:r>
              <w:rPr>
                <w:szCs w:val="22"/>
              </w:rPr>
              <w:t>13</w:t>
            </w:r>
          </w:p>
          <w:p w14:paraId="09ED6C1B" w14:textId="77777777" w:rsidR="00390DB5" w:rsidRDefault="00390DB5">
            <w:pPr>
              <w:spacing w:line="240" w:lineRule="auto"/>
              <w:jc w:val="center"/>
              <w:rPr>
                <w:szCs w:val="22"/>
              </w:rPr>
            </w:pPr>
            <w:r>
              <w:rPr>
                <w:szCs w:val="22"/>
              </w:rPr>
              <w:t>(</w:t>
            </w:r>
            <w:r w:rsidR="000C1CD6">
              <w:rPr>
                <w:szCs w:val="22"/>
              </w:rPr>
              <w:t>0.9</w:t>
            </w:r>
            <w:r>
              <w:rPr>
                <w:szCs w:val="22"/>
              </w:rPr>
              <w:t>-</w:t>
            </w:r>
            <w:r w:rsidR="000C1CD6">
              <w:rPr>
                <w:szCs w:val="22"/>
              </w:rPr>
              <w:t>72</w:t>
            </w:r>
            <w:r>
              <w:rPr>
                <w:szCs w:val="22"/>
              </w:rPr>
              <w:t>)</w:t>
            </w:r>
          </w:p>
        </w:tc>
        <w:tc>
          <w:tcPr>
            <w:tcW w:w="0" w:type="auto"/>
          </w:tcPr>
          <w:p w14:paraId="7458FD01" w14:textId="77777777" w:rsidR="008C56D2" w:rsidRDefault="008C56D2" w:rsidP="008C56D2">
            <w:pPr>
              <w:spacing w:line="240" w:lineRule="auto"/>
              <w:jc w:val="center"/>
              <w:rPr>
                <w:szCs w:val="22"/>
              </w:rPr>
            </w:pPr>
            <w:r>
              <w:rPr>
                <w:szCs w:val="22"/>
              </w:rPr>
              <w:t>12</w:t>
            </w:r>
          </w:p>
          <w:p w14:paraId="14EF0E38" w14:textId="77777777" w:rsidR="008C56D2" w:rsidRDefault="008C56D2">
            <w:pPr>
              <w:spacing w:line="240" w:lineRule="auto"/>
              <w:jc w:val="center"/>
              <w:rPr>
                <w:szCs w:val="22"/>
              </w:rPr>
            </w:pPr>
            <w:r>
              <w:rPr>
                <w:szCs w:val="22"/>
              </w:rPr>
              <w:t>(</w:t>
            </w:r>
            <w:r w:rsidR="000C1CD6">
              <w:rPr>
                <w:szCs w:val="22"/>
              </w:rPr>
              <w:t>6.8</w:t>
            </w:r>
            <w:r>
              <w:rPr>
                <w:szCs w:val="22"/>
              </w:rPr>
              <w:t>-</w:t>
            </w:r>
            <w:r w:rsidR="000C1CD6">
              <w:rPr>
                <w:szCs w:val="22"/>
              </w:rPr>
              <w:t>22</w:t>
            </w:r>
            <w:r>
              <w:rPr>
                <w:szCs w:val="22"/>
              </w:rPr>
              <w:t>)</w:t>
            </w:r>
          </w:p>
        </w:tc>
        <w:tc>
          <w:tcPr>
            <w:tcW w:w="0" w:type="auto"/>
          </w:tcPr>
          <w:p w14:paraId="320141C0" w14:textId="77777777" w:rsidR="008C56D2" w:rsidRDefault="000C1CD6" w:rsidP="008C56D2">
            <w:pPr>
              <w:spacing w:line="240" w:lineRule="auto"/>
              <w:jc w:val="center"/>
              <w:rPr>
                <w:szCs w:val="22"/>
              </w:rPr>
            </w:pPr>
            <w:r>
              <w:rPr>
                <w:szCs w:val="22"/>
              </w:rPr>
              <w:t>4</w:t>
            </w:r>
            <w:r w:rsidR="008C56D2">
              <w:rPr>
                <w:szCs w:val="22"/>
              </w:rPr>
              <w:t>.</w:t>
            </w:r>
            <w:r>
              <w:rPr>
                <w:szCs w:val="22"/>
              </w:rPr>
              <w:t>3</w:t>
            </w:r>
          </w:p>
          <w:p w14:paraId="7544408F" w14:textId="77777777" w:rsidR="00390DB5" w:rsidRDefault="008C56D2" w:rsidP="008C56D2">
            <w:pPr>
              <w:spacing w:line="240" w:lineRule="auto"/>
              <w:jc w:val="center"/>
              <w:rPr>
                <w:szCs w:val="22"/>
              </w:rPr>
            </w:pPr>
            <w:r>
              <w:rPr>
                <w:szCs w:val="22"/>
              </w:rPr>
              <w:t>(2.</w:t>
            </w:r>
            <w:r w:rsidR="000C1CD6">
              <w:rPr>
                <w:szCs w:val="22"/>
              </w:rPr>
              <w:t>3</w:t>
            </w:r>
            <w:r>
              <w:rPr>
                <w:szCs w:val="22"/>
              </w:rPr>
              <w:t>-</w:t>
            </w:r>
            <w:r w:rsidR="000C1CD6">
              <w:rPr>
                <w:szCs w:val="22"/>
              </w:rPr>
              <w:t>8</w:t>
            </w:r>
            <w:r>
              <w:rPr>
                <w:szCs w:val="22"/>
              </w:rPr>
              <w:t>.</w:t>
            </w:r>
            <w:r w:rsidR="000C1CD6">
              <w:rPr>
                <w:szCs w:val="22"/>
              </w:rPr>
              <w:t>0</w:t>
            </w:r>
            <w:r>
              <w:rPr>
                <w:szCs w:val="22"/>
              </w:rPr>
              <w:t>)</w:t>
            </w:r>
          </w:p>
        </w:tc>
        <w:tc>
          <w:tcPr>
            <w:tcW w:w="0" w:type="auto"/>
          </w:tcPr>
          <w:p w14:paraId="566D97AC" w14:textId="77777777" w:rsidR="00390DB5" w:rsidRDefault="000C1CD6" w:rsidP="00EF77C9">
            <w:pPr>
              <w:spacing w:line="240" w:lineRule="auto"/>
              <w:jc w:val="center"/>
              <w:rPr>
                <w:szCs w:val="22"/>
              </w:rPr>
            </w:pPr>
            <w:r>
              <w:rPr>
                <w:szCs w:val="22"/>
              </w:rPr>
              <w:t>3</w:t>
            </w:r>
            <w:r w:rsidR="00390DB5">
              <w:rPr>
                <w:szCs w:val="22"/>
              </w:rPr>
              <w:t>.</w:t>
            </w:r>
            <w:r>
              <w:rPr>
                <w:szCs w:val="22"/>
              </w:rPr>
              <w:t>2</w:t>
            </w:r>
          </w:p>
          <w:p w14:paraId="456086B6" w14:textId="77777777" w:rsidR="00390DB5" w:rsidRDefault="00AC6071" w:rsidP="00AC6071">
            <w:pPr>
              <w:spacing w:line="240" w:lineRule="auto"/>
              <w:jc w:val="center"/>
              <w:rPr>
                <w:szCs w:val="22"/>
              </w:rPr>
            </w:pPr>
            <w:r>
              <w:rPr>
                <w:szCs w:val="22"/>
              </w:rPr>
              <w:t>(1</w:t>
            </w:r>
            <w:r w:rsidR="00390DB5">
              <w:rPr>
                <w:szCs w:val="22"/>
              </w:rPr>
              <w:t>.</w:t>
            </w:r>
            <w:r>
              <w:rPr>
                <w:szCs w:val="22"/>
              </w:rPr>
              <w:t>8-5.6</w:t>
            </w:r>
            <w:r w:rsidR="00390DB5">
              <w:rPr>
                <w:szCs w:val="22"/>
              </w:rPr>
              <w:t>)</w:t>
            </w:r>
          </w:p>
        </w:tc>
      </w:tr>
      <w:tr w:rsidR="00623688" w:rsidRPr="00986FB9" w14:paraId="1E31E534" w14:textId="77777777" w:rsidTr="00986FB9">
        <w:tc>
          <w:tcPr>
            <w:tcW w:w="0" w:type="auto"/>
          </w:tcPr>
          <w:p w14:paraId="255D876D" w14:textId="77777777" w:rsidR="00EF77C9" w:rsidRDefault="00EF77C9" w:rsidP="00EF77C9">
            <w:pPr>
              <w:spacing w:line="240" w:lineRule="auto"/>
              <w:rPr>
                <w:szCs w:val="22"/>
              </w:rPr>
            </w:pPr>
            <w:r>
              <w:rPr>
                <w:szCs w:val="22"/>
              </w:rPr>
              <w:t>Metastatic cancer</w:t>
            </w:r>
          </w:p>
          <w:p w14:paraId="10211B0C" w14:textId="77777777" w:rsidR="00EF77C9" w:rsidRDefault="00EF77C9" w:rsidP="00EF77C9">
            <w:pPr>
              <w:spacing w:line="240" w:lineRule="auto"/>
              <w:rPr>
                <w:szCs w:val="22"/>
              </w:rPr>
            </w:pPr>
            <w:r>
              <w:rPr>
                <w:szCs w:val="22"/>
              </w:rPr>
              <w:t>(N=2,</w:t>
            </w:r>
            <w:r w:rsidR="00AC6071">
              <w:rPr>
                <w:szCs w:val="22"/>
              </w:rPr>
              <w:t>253</w:t>
            </w:r>
            <w:r>
              <w:rPr>
                <w:szCs w:val="22"/>
              </w:rPr>
              <w:t>)</w:t>
            </w:r>
          </w:p>
          <w:p w14:paraId="6117428C" w14:textId="77777777" w:rsidR="00EF77C9" w:rsidRDefault="00EF77C9" w:rsidP="00EF77C9">
            <w:pPr>
              <w:spacing w:line="240" w:lineRule="auto"/>
              <w:rPr>
                <w:szCs w:val="22"/>
              </w:rPr>
            </w:pPr>
            <w:r>
              <w:rPr>
                <w:szCs w:val="22"/>
              </w:rPr>
              <w:t>(5 studies)</w:t>
            </w:r>
          </w:p>
        </w:tc>
        <w:tc>
          <w:tcPr>
            <w:tcW w:w="0" w:type="auto"/>
          </w:tcPr>
          <w:p w14:paraId="5460CE9F" w14:textId="77777777" w:rsidR="00EF77C9" w:rsidRDefault="001051AB" w:rsidP="00EF77C9">
            <w:pPr>
              <w:spacing w:line="240" w:lineRule="auto"/>
              <w:jc w:val="center"/>
              <w:rPr>
                <w:szCs w:val="22"/>
              </w:rPr>
            </w:pPr>
            <w:r>
              <w:rPr>
                <w:szCs w:val="22"/>
              </w:rPr>
              <w:t>14</w:t>
            </w:r>
          </w:p>
          <w:p w14:paraId="20E39AD5" w14:textId="77777777" w:rsidR="001051AB" w:rsidRDefault="001051AB" w:rsidP="00EF77C9">
            <w:pPr>
              <w:spacing w:line="240" w:lineRule="auto"/>
              <w:jc w:val="center"/>
              <w:rPr>
                <w:szCs w:val="22"/>
              </w:rPr>
            </w:pPr>
            <w:r>
              <w:rPr>
                <w:szCs w:val="22"/>
              </w:rPr>
              <w:t>(2.4-53)</w:t>
            </w:r>
          </w:p>
        </w:tc>
        <w:tc>
          <w:tcPr>
            <w:tcW w:w="0" w:type="auto"/>
          </w:tcPr>
          <w:p w14:paraId="56B79486" w14:textId="77777777" w:rsidR="00EF77C9" w:rsidRDefault="001051AB" w:rsidP="00EF77C9">
            <w:pPr>
              <w:spacing w:line="240" w:lineRule="auto"/>
              <w:jc w:val="center"/>
              <w:rPr>
                <w:szCs w:val="22"/>
              </w:rPr>
            </w:pPr>
            <w:r>
              <w:rPr>
                <w:szCs w:val="22"/>
              </w:rPr>
              <w:t>9.5</w:t>
            </w:r>
          </w:p>
          <w:p w14:paraId="5BC9CCE4" w14:textId="77777777" w:rsidR="001051AB" w:rsidRDefault="001051AB" w:rsidP="00EF77C9">
            <w:pPr>
              <w:spacing w:line="240" w:lineRule="auto"/>
              <w:jc w:val="center"/>
              <w:rPr>
                <w:szCs w:val="22"/>
              </w:rPr>
            </w:pPr>
            <w:r>
              <w:rPr>
                <w:szCs w:val="22"/>
              </w:rPr>
              <w:t>(6.0-15)</w:t>
            </w:r>
          </w:p>
        </w:tc>
        <w:tc>
          <w:tcPr>
            <w:tcW w:w="0" w:type="auto"/>
          </w:tcPr>
          <w:p w14:paraId="67C63C77" w14:textId="77777777" w:rsidR="00EF77C9" w:rsidRDefault="001051AB" w:rsidP="00EF77C9">
            <w:pPr>
              <w:spacing w:line="240" w:lineRule="auto"/>
              <w:jc w:val="center"/>
              <w:rPr>
                <w:szCs w:val="22"/>
              </w:rPr>
            </w:pPr>
            <w:r>
              <w:rPr>
                <w:szCs w:val="22"/>
              </w:rPr>
              <w:t>5.1</w:t>
            </w:r>
          </w:p>
          <w:p w14:paraId="3B0A81D0" w14:textId="77777777" w:rsidR="001051AB" w:rsidRDefault="001051AB" w:rsidP="00EF77C9">
            <w:pPr>
              <w:spacing w:line="240" w:lineRule="auto"/>
              <w:jc w:val="center"/>
              <w:rPr>
                <w:szCs w:val="22"/>
              </w:rPr>
            </w:pPr>
            <w:r>
              <w:rPr>
                <w:szCs w:val="22"/>
              </w:rPr>
              <w:t>(3.3-7.8)</w:t>
            </w:r>
          </w:p>
        </w:tc>
        <w:tc>
          <w:tcPr>
            <w:tcW w:w="0" w:type="auto"/>
          </w:tcPr>
          <w:p w14:paraId="1D22E793" w14:textId="77777777" w:rsidR="00EF77C9" w:rsidRDefault="001051AB" w:rsidP="00EF77C9">
            <w:pPr>
              <w:spacing w:line="240" w:lineRule="auto"/>
              <w:jc w:val="center"/>
              <w:rPr>
                <w:szCs w:val="22"/>
              </w:rPr>
            </w:pPr>
            <w:r>
              <w:rPr>
                <w:szCs w:val="22"/>
              </w:rPr>
              <w:t>1.9</w:t>
            </w:r>
          </w:p>
          <w:p w14:paraId="5F1AB22A" w14:textId="77777777" w:rsidR="001051AB" w:rsidRDefault="001051AB" w:rsidP="00EF77C9">
            <w:pPr>
              <w:spacing w:line="240" w:lineRule="auto"/>
              <w:jc w:val="center"/>
              <w:rPr>
                <w:szCs w:val="22"/>
              </w:rPr>
            </w:pPr>
            <w:r>
              <w:rPr>
                <w:szCs w:val="22"/>
              </w:rPr>
              <w:t>(1.3-2.9)</w:t>
            </w:r>
          </w:p>
        </w:tc>
      </w:tr>
    </w:tbl>
    <w:p w14:paraId="7B32BD99" w14:textId="77777777" w:rsidR="00B437A0" w:rsidRDefault="00B437A0"/>
    <w:p w14:paraId="64A0A23F" w14:textId="77777777" w:rsidR="00B437A0" w:rsidRDefault="00B437A0">
      <w:r>
        <w:t>Analysis restricted to patients in the placebo / observation groups.</w:t>
      </w:r>
    </w:p>
    <w:p w14:paraId="017D3AE9" w14:textId="77777777" w:rsidR="00103A18" w:rsidRDefault="001A052D">
      <w:pPr>
        <w:sectPr w:rsidR="00103A18" w:rsidSect="0087156F">
          <w:pgSz w:w="11906" w:h="16838"/>
          <w:pgMar w:top="1417" w:right="1417" w:bottom="1417" w:left="1417" w:header="708" w:footer="708" w:gutter="0"/>
          <w:cols w:space="708"/>
          <w:docGrid w:linePitch="360"/>
        </w:sectPr>
      </w:pPr>
      <w:r>
        <w:t>Abbreviations: CI, confidence interval; NA, not available; VTE, venous thromboembolism.</w:t>
      </w:r>
    </w:p>
    <w:p w14:paraId="3C499EF6" w14:textId="225FF9D3" w:rsidR="00103A18" w:rsidRPr="00103A18" w:rsidRDefault="00103A18" w:rsidP="00103A18">
      <w:pPr>
        <w:spacing w:after="160" w:line="259" w:lineRule="auto"/>
        <w:rPr>
          <w:b/>
        </w:rPr>
      </w:pPr>
      <w:r>
        <w:rPr>
          <w:b/>
        </w:rPr>
        <w:lastRenderedPageBreak/>
        <w:t xml:space="preserve">Table </w:t>
      </w:r>
      <w:r w:rsidR="00F56AF8">
        <w:rPr>
          <w:b/>
        </w:rPr>
        <w:t>4</w:t>
      </w:r>
      <w:r>
        <w:rPr>
          <w:b/>
        </w:rPr>
        <w:t>A. Summary of findings regarding prognostic performance of the Khorana score</w:t>
      </w:r>
    </w:p>
    <w:tbl>
      <w:tblPr>
        <w:tblStyle w:val="TableGrid"/>
        <w:tblW w:w="0" w:type="auto"/>
        <w:tblLook w:val="04A0" w:firstRow="1" w:lastRow="0" w:firstColumn="1" w:lastColumn="0" w:noHBand="0" w:noVBand="1"/>
      </w:tblPr>
      <w:tblGrid>
        <w:gridCol w:w="1073"/>
        <w:gridCol w:w="1825"/>
        <w:gridCol w:w="1390"/>
        <w:gridCol w:w="1952"/>
        <w:gridCol w:w="1065"/>
        <w:gridCol w:w="1714"/>
        <w:gridCol w:w="1202"/>
        <w:gridCol w:w="3773"/>
      </w:tblGrid>
      <w:tr w:rsidR="00E10E84" w:rsidRPr="00FE659C" w14:paraId="35E4809E" w14:textId="77777777" w:rsidTr="003E7BE2">
        <w:tc>
          <w:tcPr>
            <w:tcW w:w="0" w:type="auto"/>
          </w:tcPr>
          <w:p w14:paraId="6F64248C" w14:textId="77777777" w:rsidR="00103A18" w:rsidRPr="00FE659C" w:rsidRDefault="00103A18" w:rsidP="003E7BE2">
            <w:pPr>
              <w:spacing w:line="240" w:lineRule="auto"/>
              <w:rPr>
                <w:b/>
                <w:sz w:val="20"/>
                <w:szCs w:val="20"/>
              </w:rPr>
            </w:pPr>
            <w:r w:rsidRPr="00FE659C">
              <w:rPr>
                <w:b/>
                <w:sz w:val="20"/>
                <w:szCs w:val="20"/>
              </w:rPr>
              <w:t>Patient group</w:t>
            </w:r>
          </w:p>
        </w:tc>
        <w:tc>
          <w:tcPr>
            <w:tcW w:w="0" w:type="auto"/>
          </w:tcPr>
          <w:p w14:paraId="6FDB0AB7" w14:textId="77777777" w:rsidR="00103A18" w:rsidRPr="00FE659C" w:rsidRDefault="00103A18" w:rsidP="003E7BE2">
            <w:pPr>
              <w:spacing w:line="240" w:lineRule="auto"/>
              <w:rPr>
                <w:b/>
                <w:sz w:val="20"/>
                <w:szCs w:val="20"/>
              </w:rPr>
            </w:pPr>
            <w:r w:rsidRPr="00FE659C">
              <w:rPr>
                <w:b/>
                <w:sz w:val="20"/>
                <w:szCs w:val="20"/>
              </w:rPr>
              <w:t>Outcomes</w:t>
            </w:r>
          </w:p>
        </w:tc>
        <w:tc>
          <w:tcPr>
            <w:tcW w:w="0" w:type="auto"/>
          </w:tcPr>
          <w:p w14:paraId="4136F20F" w14:textId="77777777" w:rsidR="00103A18" w:rsidRPr="00FE659C" w:rsidRDefault="00103A18" w:rsidP="003E7BE2">
            <w:pPr>
              <w:spacing w:line="240" w:lineRule="auto"/>
              <w:rPr>
                <w:b/>
                <w:sz w:val="20"/>
                <w:szCs w:val="20"/>
              </w:rPr>
            </w:pPr>
            <w:r w:rsidRPr="00FE659C">
              <w:rPr>
                <w:b/>
                <w:sz w:val="20"/>
                <w:szCs w:val="20"/>
              </w:rPr>
              <w:t>No. of participants (studies)</w:t>
            </w:r>
            <w:r w:rsidRPr="00FE659C">
              <w:rPr>
                <w:b/>
                <w:sz w:val="20"/>
                <w:szCs w:val="20"/>
              </w:rPr>
              <w:br/>
              <w:t>Follow-up</w:t>
            </w:r>
          </w:p>
        </w:tc>
        <w:tc>
          <w:tcPr>
            <w:tcW w:w="0" w:type="auto"/>
          </w:tcPr>
          <w:p w14:paraId="73F112B8" w14:textId="77777777" w:rsidR="00103A18" w:rsidRPr="00FE659C" w:rsidRDefault="00103A18" w:rsidP="003E7BE2">
            <w:pPr>
              <w:spacing w:line="240" w:lineRule="auto"/>
              <w:rPr>
                <w:b/>
                <w:sz w:val="20"/>
                <w:szCs w:val="20"/>
              </w:rPr>
            </w:pPr>
            <w:r w:rsidRPr="00FE659C">
              <w:rPr>
                <w:b/>
                <w:sz w:val="20"/>
                <w:szCs w:val="20"/>
              </w:rPr>
              <w:t xml:space="preserve">Quality of evidence </w:t>
            </w:r>
          </w:p>
          <w:p w14:paraId="026824EB" w14:textId="77777777" w:rsidR="00103A18" w:rsidRPr="00FE659C" w:rsidRDefault="00103A18" w:rsidP="003E7BE2">
            <w:pPr>
              <w:spacing w:line="240" w:lineRule="auto"/>
              <w:rPr>
                <w:b/>
                <w:sz w:val="20"/>
                <w:szCs w:val="20"/>
              </w:rPr>
            </w:pPr>
            <w:r w:rsidRPr="00FE659C">
              <w:rPr>
                <w:b/>
                <w:sz w:val="20"/>
                <w:szCs w:val="20"/>
              </w:rPr>
              <w:t>(GRADE)</w:t>
            </w:r>
          </w:p>
        </w:tc>
        <w:tc>
          <w:tcPr>
            <w:tcW w:w="0" w:type="auto"/>
          </w:tcPr>
          <w:p w14:paraId="705CF973" w14:textId="77777777" w:rsidR="00103A18" w:rsidRPr="00FE659C" w:rsidRDefault="00103A18" w:rsidP="003E7BE2">
            <w:pPr>
              <w:spacing w:line="240" w:lineRule="auto"/>
              <w:rPr>
                <w:b/>
                <w:sz w:val="20"/>
                <w:szCs w:val="20"/>
              </w:rPr>
            </w:pPr>
            <w:r w:rsidRPr="00FE659C">
              <w:rPr>
                <w:b/>
                <w:sz w:val="20"/>
                <w:szCs w:val="20"/>
              </w:rPr>
              <w:t>Relative effect (95% CI)</w:t>
            </w:r>
          </w:p>
        </w:tc>
        <w:tc>
          <w:tcPr>
            <w:tcW w:w="0" w:type="auto"/>
          </w:tcPr>
          <w:p w14:paraId="39DAA5D2" w14:textId="77777777" w:rsidR="00103A18" w:rsidRPr="00FE659C" w:rsidRDefault="00103A18" w:rsidP="003E7BE2">
            <w:pPr>
              <w:spacing w:line="240" w:lineRule="auto"/>
              <w:rPr>
                <w:b/>
                <w:sz w:val="20"/>
                <w:szCs w:val="20"/>
              </w:rPr>
            </w:pPr>
            <w:r w:rsidRPr="00FE659C">
              <w:rPr>
                <w:b/>
                <w:sz w:val="20"/>
                <w:szCs w:val="20"/>
              </w:rPr>
              <w:t>Risk with low or intermediate risk Khorana score</w:t>
            </w:r>
          </w:p>
        </w:tc>
        <w:tc>
          <w:tcPr>
            <w:tcW w:w="0" w:type="auto"/>
          </w:tcPr>
          <w:p w14:paraId="14182935" w14:textId="77777777" w:rsidR="00103A18" w:rsidRPr="00FE659C" w:rsidRDefault="00103A18" w:rsidP="003E7BE2">
            <w:pPr>
              <w:spacing w:line="240" w:lineRule="auto"/>
              <w:rPr>
                <w:b/>
                <w:sz w:val="20"/>
                <w:szCs w:val="20"/>
              </w:rPr>
            </w:pPr>
            <w:r w:rsidRPr="00FE659C">
              <w:rPr>
                <w:b/>
                <w:sz w:val="20"/>
                <w:szCs w:val="20"/>
              </w:rPr>
              <w:t>Risk with high-risk Khorana score</w:t>
            </w:r>
          </w:p>
        </w:tc>
        <w:tc>
          <w:tcPr>
            <w:tcW w:w="0" w:type="auto"/>
          </w:tcPr>
          <w:p w14:paraId="7DF18767" w14:textId="77777777" w:rsidR="00103A18" w:rsidRPr="00FE659C" w:rsidRDefault="00103A18" w:rsidP="003E7BE2">
            <w:pPr>
              <w:spacing w:line="240" w:lineRule="auto"/>
              <w:rPr>
                <w:b/>
                <w:sz w:val="20"/>
                <w:szCs w:val="20"/>
              </w:rPr>
            </w:pPr>
            <w:r w:rsidRPr="00FE659C">
              <w:rPr>
                <w:b/>
                <w:sz w:val="20"/>
                <w:szCs w:val="20"/>
              </w:rPr>
              <w:t>Summary</w:t>
            </w:r>
          </w:p>
        </w:tc>
      </w:tr>
      <w:tr w:rsidR="00E10E84" w:rsidRPr="00FE659C" w14:paraId="5368EA1E" w14:textId="77777777" w:rsidTr="003E7BE2">
        <w:tc>
          <w:tcPr>
            <w:tcW w:w="0" w:type="auto"/>
          </w:tcPr>
          <w:p w14:paraId="1A26ED2A" w14:textId="77777777" w:rsidR="00103A18" w:rsidRPr="00FE659C" w:rsidRDefault="00103A18" w:rsidP="003E7BE2">
            <w:pPr>
              <w:spacing w:line="240" w:lineRule="auto"/>
              <w:rPr>
                <w:sz w:val="20"/>
                <w:szCs w:val="20"/>
              </w:rPr>
            </w:pPr>
            <w:r w:rsidRPr="00FE659C">
              <w:rPr>
                <w:sz w:val="20"/>
                <w:szCs w:val="20"/>
              </w:rPr>
              <w:t>All patients</w:t>
            </w:r>
          </w:p>
        </w:tc>
        <w:tc>
          <w:tcPr>
            <w:tcW w:w="0" w:type="auto"/>
          </w:tcPr>
          <w:p w14:paraId="62652DD6" w14:textId="77777777" w:rsidR="00103A18" w:rsidRPr="00FE659C" w:rsidRDefault="00103A18" w:rsidP="003E7BE2">
            <w:pPr>
              <w:spacing w:line="240" w:lineRule="auto"/>
              <w:rPr>
                <w:sz w:val="20"/>
                <w:szCs w:val="20"/>
              </w:rPr>
            </w:pPr>
            <w:r w:rsidRPr="00FE659C">
              <w:rPr>
                <w:sz w:val="20"/>
                <w:szCs w:val="20"/>
              </w:rPr>
              <w:t>Venous thromboembolism</w:t>
            </w:r>
          </w:p>
        </w:tc>
        <w:tc>
          <w:tcPr>
            <w:tcW w:w="0" w:type="auto"/>
          </w:tcPr>
          <w:p w14:paraId="5E9C52D1" w14:textId="77777777" w:rsidR="00103A18" w:rsidRPr="00FE659C" w:rsidRDefault="00103A18" w:rsidP="003E7BE2">
            <w:pPr>
              <w:spacing w:line="240" w:lineRule="auto"/>
              <w:rPr>
                <w:sz w:val="20"/>
                <w:szCs w:val="20"/>
              </w:rPr>
            </w:pPr>
            <w:r w:rsidRPr="00FE659C">
              <w:rPr>
                <w:sz w:val="20"/>
                <w:szCs w:val="20"/>
              </w:rPr>
              <w:t>3,</w:t>
            </w:r>
            <w:r w:rsidR="00115E23">
              <w:rPr>
                <w:sz w:val="20"/>
                <w:szCs w:val="20"/>
              </w:rPr>
              <w:t>293</w:t>
            </w:r>
          </w:p>
          <w:p w14:paraId="2E22013B" w14:textId="77777777" w:rsidR="00103A18" w:rsidRPr="00FE659C" w:rsidRDefault="00103A18" w:rsidP="003E7BE2">
            <w:pPr>
              <w:spacing w:line="240" w:lineRule="auto"/>
              <w:rPr>
                <w:sz w:val="20"/>
                <w:szCs w:val="20"/>
              </w:rPr>
            </w:pPr>
            <w:r w:rsidRPr="00FE659C">
              <w:rPr>
                <w:sz w:val="20"/>
                <w:szCs w:val="20"/>
              </w:rPr>
              <w:t>(7 studies)</w:t>
            </w:r>
          </w:p>
          <w:p w14:paraId="6995FE16" w14:textId="3C9092CC" w:rsidR="00BF622F" w:rsidRPr="00FE659C" w:rsidRDefault="00103A18" w:rsidP="003E7BE2">
            <w:pPr>
              <w:spacing w:line="240" w:lineRule="auto"/>
              <w:rPr>
                <w:sz w:val="20"/>
                <w:szCs w:val="20"/>
              </w:rPr>
            </w:pPr>
            <w:r w:rsidRPr="00FE659C">
              <w:rPr>
                <w:sz w:val="20"/>
                <w:szCs w:val="20"/>
              </w:rPr>
              <w:t>6 months</w:t>
            </w:r>
          </w:p>
        </w:tc>
        <w:tc>
          <w:tcPr>
            <w:tcW w:w="0" w:type="auto"/>
          </w:tcPr>
          <w:p w14:paraId="3A418109" w14:textId="77777777" w:rsidR="00103A18" w:rsidRPr="00FE659C" w:rsidRDefault="00103A18" w:rsidP="003E7BE2">
            <w:pPr>
              <w:spacing w:line="240" w:lineRule="auto"/>
              <w:rPr>
                <w:b/>
                <w:sz w:val="20"/>
                <w:szCs w:val="20"/>
              </w:rPr>
            </w:pPr>
            <w:r w:rsidRPr="00FE659C">
              <w:rPr>
                <w:b/>
                <w:sz w:val="20"/>
                <w:szCs w:val="20"/>
              </w:rPr>
              <w:t>Low</w:t>
            </w:r>
          </w:p>
          <w:p w14:paraId="7E001773" w14:textId="77777777" w:rsidR="00103A18" w:rsidRPr="00FE659C" w:rsidRDefault="00103A18" w:rsidP="00605DE9">
            <w:pPr>
              <w:spacing w:line="240" w:lineRule="auto"/>
              <w:rPr>
                <w:sz w:val="20"/>
                <w:szCs w:val="20"/>
              </w:rPr>
            </w:pPr>
            <w:r w:rsidRPr="00FE659C">
              <w:rPr>
                <w:sz w:val="20"/>
                <w:szCs w:val="20"/>
              </w:rPr>
              <w:t xml:space="preserve">due to </w:t>
            </w:r>
            <w:r w:rsidR="00605DE9">
              <w:rPr>
                <w:sz w:val="20"/>
                <w:szCs w:val="20"/>
              </w:rPr>
              <w:t>risk of bias</w:t>
            </w:r>
            <w:r w:rsidRPr="00FE659C">
              <w:rPr>
                <w:sz w:val="20"/>
                <w:szCs w:val="20"/>
              </w:rPr>
              <w:t xml:space="preserve"> and </w:t>
            </w:r>
            <w:r w:rsidR="00E10E84">
              <w:rPr>
                <w:sz w:val="20"/>
                <w:szCs w:val="20"/>
              </w:rPr>
              <w:t xml:space="preserve">a combination of </w:t>
            </w:r>
            <w:r w:rsidRPr="00FE659C">
              <w:rPr>
                <w:sz w:val="20"/>
                <w:szCs w:val="20"/>
              </w:rPr>
              <w:t>inconsistency</w:t>
            </w:r>
            <w:r w:rsidR="00E10E84">
              <w:rPr>
                <w:sz w:val="20"/>
                <w:szCs w:val="20"/>
              </w:rPr>
              <w:t xml:space="preserve"> and </w:t>
            </w:r>
            <w:r w:rsidRPr="00FE659C">
              <w:rPr>
                <w:sz w:val="20"/>
                <w:szCs w:val="20"/>
              </w:rPr>
              <w:t>imprecision</w:t>
            </w:r>
          </w:p>
        </w:tc>
        <w:tc>
          <w:tcPr>
            <w:tcW w:w="0" w:type="auto"/>
          </w:tcPr>
          <w:p w14:paraId="6490872B" w14:textId="77777777" w:rsidR="00103A18" w:rsidRPr="00FE659C" w:rsidRDefault="00103A18" w:rsidP="003E7BE2">
            <w:pPr>
              <w:spacing w:line="240" w:lineRule="auto"/>
              <w:rPr>
                <w:sz w:val="20"/>
                <w:szCs w:val="20"/>
              </w:rPr>
            </w:pPr>
            <w:r w:rsidRPr="00FE659C">
              <w:rPr>
                <w:sz w:val="20"/>
                <w:szCs w:val="20"/>
              </w:rPr>
              <w:t xml:space="preserve">OR 1.6 </w:t>
            </w:r>
          </w:p>
          <w:p w14:paraId="179E6825" w14:textId="77777777" w:rsidR="00103A18" w:rsidRPr="00FE659C" w:rsidRDefault="00103A18" w:rsidP="003E7BE2">
            <w:pPr>
              <w:spacing w:line="240" w:lineRule="auto"/>
              <w:rPr>
                <w:sz w:val="20"/>
                <w:szCs w:val="20"/>
              </w:rPr>
            </w:pPr>
            <w:r w:rsidRPr="00FE659C">
              <w:rPr>
                <w:sz w:val="20"/>
                <w:szCs w:val="20"/>
              </w:rPr>
              <w:t>(1.1 to 2.2)</w:t>
            </w:r>
          </w:p>
        </w:tc>
        <w:tc>
          <w:tcPr>
            <w:tcW w:w="0" w:type="auto"/>
          </w:tcPr>
          <w:p w14:paraId="330E2005" w14:textId="77777777" w:rsidR="00103A18" w:rsidRPr="00FE659C" w:rsidRDefault="00103A18" w:rsidP="003E7BE2">
            <w:pPr>
              <w:spacing w:line="240" w:lineRule="auto"/>
              <w:rPr>
                <w:sz w:val="20"/>
                <w:szCs w:val="20"/>
              </w:rPr>
            </w:pPr>
            <w:r w:rsidRPr="00FE659C">
              <w:rPr>
                <w:sz w:val="20"/>
                <w:szCs w:val="20"/>
              </w:rPr>
              <w:t>64 per 1,000</w:t>
            </w:r>
          </w:p>
        </w:tc>
        <w:tc>
          <w:tcPr>
            <w:tcW w:w="0" w:type="auto"/>
          </w:tcPr>
          <w:p w14:paraId="3FEF2BB8" w14:textId="77777777" w:rsidR="00103A18" w:rsidRPr="00FE659C" w:rsidRDefault="00103A18" w:rsidP="003E7BE2">
            <w:pPr>
              <w:spacing w:line="240" w:lineRule="auto"/>
              <w:rPr>
                <w:sz w:val="20"/>
                <w:szCs w:val="20"/>
              </w:rPr>
            </w:pPr>
            <w:r w:rsidRPr="00FE659C">
              <w:rPr>
                <w:sz w:val="20"/>
                <w:szCs w:val="20"/>
              </w:rPr>
              <w:t>99 per 1,000</w:t>
            </w:r>
          </w:p>
        </w:tc>
        <w:tc>
          <w:tcPr>
            <w:tcW w:w="0" w:type="auto"/>
          </w:tcPr>
          <w:p w14:paraId="556D0BC2" w14:textId="77777777" w:rsidR="00103A18" w:rsidRPr="00FE659C" w:rsidRDefault="00103A18" w:rsidP="003E7BE2">
            <w:pPr>
              <w:spacing w:line="240" w:lineRule="auto"/>
              <w:rPr>
                <w:sz w:val="20"/>
                <w:szCs w:val="20"/>
              </w:rPr>
            </w:pPr>
            <w:r w:rsidRPr="00FE659C">
              <w:rPr>
                <w:sz w:val="20"/>
                <w:szCs w:val="20"/>
              </w:rPr>
              <w:t xml:space="preserve">Low quality evidence suggests that a </w:t>
            </w:r>
            <w:proofErr w:type="gramStart"/>
            <w:r w:rsidRPr="00FE659C">
              <w:rPr>
                <w:sz w:val="20"/>
                <w:szCs w:val="20"/>
              </w:rPr>
              <w:t>high risk</w:t>
            </w:r>
            <w:proofErr w:type="gramEnd"/>
            <w:r w:rsidRPr="00FE659C">
              <w:rPr>
                <w:sz w:val="20"/>
                <w:szCs w:val="20"/>
              </w:rPr>
              <w:t xml:space="preserve"> Khorana score is associated with a moderately increased 6-month risk of venous thromboembolism in patients with solid cancer</w:t>
            </w:r>
          </w:p>
        </w:tc>
      </w:tr>
      <w:tr w:rsidR="00E10E84" w:rsidRPr="00FE659C" w14:paraId="546F46D2" w14:textId="77777777" w:rsidTr="003E7BE2">
        <w:tc>
          <w:tcPr>
            <w:tcW w:w="0" w:type="auto"/>
          </w:tcPr>
          <w:p w14:paraId="7AEA562A" w14:textId="77777777" w:rsidR="00103A18" w:rsidRPr="00FE659C" w:rsidRDefault="00103A18" w:rsidP="003E7BE2">
            <w:pPr>
              <w:spacing w:line="240" w:lineRule="auto"/>
              <w:rPr>
                <w:sz w:val="20"/>
                <w:szCs w:val="20"/>
              </w:rPr>
            </w:pPr>
            <w:r w:rsidRPr="00FE659C">
              <w:rPr>
                <w:sz w:val="20"/>
                <w:szCs w:val="20"/>
              </w:rPr>
              <w:t>Lung cancer patients</w:t>
            </w:r>
          </w:p>
        </w:tc>
        <w:tc>
          <w:tcPr>
            <w:tcW w:w="0" w:type="auto"/>
          </w:tcPr>
          <w:p w14:paraId="0AF87E39" w14:textId="77777777" w:rsidR="00103A18" w:rsidRPr="00FE659C" w:rsidRDefault="00103A18" w:rsidP="003E7BE2">
            <w:pPr>
              <w:spacing w:line="240" w:lineRule="auto"/>
              <w:rPr>
                <w:sz w:val="20"/>
                <w:szCs w:val="20"/>
              </w:rPr>
            </w:pPr>
            <w:r w:rsidRPr="00FE659C">
              <w:rPr>
                <w:sz w:val="20"/>
                <w:szCs w:val="20"/>
              </w:rPr>
              <w:t>Venous thromboembolism</w:t>
            </w:r>
          </w:p>
        </w:tc>
        <w:tc>
          <w:tcPr>
            <w:tcW w:w="0" w:type="auto"/>
          </w:tcPr>
          <w:p w14:paraId="7A0F1902" w14:textId="77777777" w:rsidR="00103A18" w:rsidRPr="00FE659C" w:rsidRDefault="00103A18" w:rsidP="003E7BE2">
            <w:pPr>
              <w:spacing w:line="240" w:lineRule="auto"/>
              <w:rPr>
                <w:sz w:val="20"/>
                <w:szCs w:val="20"/>
              </w:rPr>
            </w:pPr>
            <w:r w:rsidRPr="00FE659C">
              <w:rPr>
                <w:sz w:val="20"/>
                <w:szCs w:val="20"/>
              </w:rPr>
              <w:t>1,9</w:t>
            </w:r>
            <w:r w:rsidR="00115E23">
              <w:rPr>
                <w:sz w:val="20"/>
                <w:szCs w:val="20"/>
              </w:rPr>
              <w:t>13</w:t>
            </w:r>
          </w:p>
          <w:p w14:paraId="303F6CCB" w14:textId="77777777" w:rsidR="00103A18" w:rsidRPr="00FE659C" w:rsidRDefault="00103A18" w:rsidP="003E7BE2">
            <w:pPr>
              <w:spacing w:line="240" w:lineRule="auto"/>
              <w:rPr>
                <w:sz w:val="20"/>
                <w:szCs w:val="20"/>
              </w:rPr>
            </w:pPr>
            <w:r w:rsidRPr="00FE659C">
              <w:rPr>
                <w:sz w:val="20"/>
                <w:szCs w:val="20"/>
              </w:rPr>
              <w:t>(4 studies)</w:t>
            </w:r>
          </w:p>
          <w:p w14:paraId="0C3D8662" w14:textId="77777777" w:rsidR="00103A18" w:rsidRPr="00FE659C" w:rsidRDefault="00103A18" w:rsidP="003E7BE2">
            <w:pPr>
              <w:spacing w:line="240" w:lineRule="auto"/>
              <w:rPr>
                <w:sz w:val="20"/>
                <w:szCs w:val="20"/>
              </w:rPr>
            </w:pPr>
            <w:r w:rsidRPr="00FE659C">
              <w:rPr>
                <w:sz w:val="20"/>
                <w:szCs w:val="20"/>
              </w:rPr>
              <w:t>6 months</w:t>
            </w:r>
          </w:p>
        </w:tc>
        <w:tc>
          <w:tcPr>
            <w:tcW w:w="0" w:type="auto"/>
          </w:tcPr>
          <w:p w14:paraId="2F5920E3" w14:textId="77777777" w:rsidR="00103A18" w:rsidRPr="00FE659C" w:rsidRDefault="00103A18" w:rsidP="003E7BE2">
            <w:pPr>
              <w:spacing w:line="240" w:lineRule="auto"/>
              <w:rPr>
                <w:b/>
                <w:sz w:val="20"/>
                <w:szCs w:val="20"/>
              </w:rPr>
            </w:pPr>
            <w:r w:rsidRPr="00FE659C">
              <w:rPr>
                <w:b/>
                <w:sz w:val="20"/>
                <w:szCs w:val="20"/>
              </w:rPr>
              <w:t>Moderate</w:t>
            </w:r>
          </w:p>
          <w:p w14:paraId="094F82A7" w14:textId="77777777" w:rsidR="00103A18" w:rsidRPr="00FE659C" w:rsidRDefault="00103A18" w:rsidP="00E10E84">
            <w:pPr>
              <w:spacing w:line="240" w:lineRule="auto"/>
              <w:rPr>
                <w:sz w:val="20"/>
                <w:szCs w:val="20"/>
              </w:rPr>
            </w:pPr>
            <w:r w:rsidRPr="00FE659C">
              <w:rPr>
                <w:sz w:val="20"/>
                <w:szCs w:val="20"/>
              </w:rPr>
              <w:t xml:space="preserve">due to </w:t>
            </w:r>
            <w:r w:rsidR="00E10E84">
              <w:rPr>
                <w:sz w:val="20"/>
                <w:szCs w:val="20"/>
              </w:rPr>
              <w:t>risk of bias</w:t>
            </w:r>
          </w:p>
        </w:tc>
        <w:tc>
          <w:tcPr>
            <w:tcW w:w="0" w:type="auto"/>
          </w:tcPr>
          <w:p w14:paraId="4A540082" w14:textId="77777777" w:rsidR="00103A18" w:rsidRPr="00FE659C" w:rsidRDefault="00103A18" w:rsidP="003E7BE2">
            <w:pPr>
              <w:spacing w:line="240" w:lineRule="auto"/>
              <w:rPr>
                <w:sz w:val="20"/>
                <w:szCs w:val="20"/>
              </w:rPr>
            </w:pPr>
            <w:r w:rsidRPr="00FE659C">
              <w:rPr>
                <w:sz w:val="20"/>
                <w:szCs w:val="20"/>
              </w:rPr>
              <w:t>OR 1.1</w:t>
            </w:r>
          </w:p>
          <w:p w14:paraId="13A44BC7" w14:textId="77777777" w:rsidR="00103A18" w:rsidRPr="00FE659C" w:rsidRDefault="00103A18" w:rsidP="003E7BE2">
            <w:pPr>
              <w:spacing w:line="240" w:lineRule="auto"/>
              <w:rPr>
                <w:sz w:val="20"/>
                <w:szCs w:val="20"/>
              </w:rPr>
            </w:pPr>
            <w:r w:rsidRPr="00FE659C">
              <w:rPr>
                <w:sz w:val="20"/>
                <w:szCs w:val="20"/>
              </w:rPr>
              <w:t>(0.72 to 1.7)</w:t>
            </w:r>
          </w:p>
        </w:tc>
        <w:tc>
          <w:tcPr>
            <w:tcW w:w="0" w:type="auto"/>
          </w:tcPr>
          <w:p w14:paraId="20FBCEE3" w14:textId="77777777" w:rsidR="00103A18" w:rsidRPr="00FE659C" w:rsidRDefault="00103A18" w:rsidP="003E7BE2">
            <w:pPr>
              <w:spacing w:line="240" w:lineRule="auto"/>
              <w:rPr>
                <w:sz w:val="20"/>
                <w:szCs w:val="20"/>
              </w:rPr>
            </w:pPr>
            <w:r w:rsidRPr="00FE659C">
              <w:rPr>
                <w:sz w:val="20"/>
                <w:szCs w:val="20"/>
              </w:rPr>
              <w:t>60 per 1,000</w:t>
            </w:r>
          </w:p>
        </w:tc>
        <w:tc>
          <w:tcPr>
            <w:tcW w:w="0" w:type="auto"/>
          </w:tcPr>
          <w:p w14:paraId="773C99C7" w14:textId="77777777" w:rsidR="00103A18" w:rsidRPr="00FE659C" w:rsidRDefault="00103A18" w:rsidP="003E7BE2">
            <w:pPr>
              <w:spacing w:line="240" w:lineRule="auto"/>
              <w:rPr>
                <w:sz w:val="20"/>
                <w:szCs w:val="20"/>
              </w:rPr>
            </w:pPr>
            <w:r w:rsidRPr="00FE659C">
              <w:rPr>
                <w:sz w:val="20"/>
                <w:szCs w:val="20"/>
              </w:rPr>
              <w:t>66 per 1,000</w:t>
            </w:r>
          </w:p>
        </w:tc>
        <w:tc>
          <w:tcPr>
            <w:tcW w:w="0" w:type="auto"/>
          </w:tcPr>
          <w:p w14:paraId="6AE453C9" w14:textId="77777777" w:rsidR="00103A18" w:rsidRPr="00FE659C" w:rsidRDefault="00103A18" w:rsidP="003E7BE2">
            <w:pPr>
              <w:spacing w:line="240" w:lineRule="auto"/>
              <w:rPr>
                <w:sz w:val="20"/>
                <w:szCs w:val="20"/>
              </w:rPr>
            </w:pPr>
            <w:r w:rsidRPr="00FE659C">
              <w:rPr>
                <w:sz w:val="20"/>
                <w:szCs w:val="20"/>
              </w:rPr>
              <w:t xml:space="preserve">Moderate quality evidence suggests that a </w:t>
            </w:r>
            <w:proofErr w:type="gramStart"/>
            <w:r w:rsidRPr="00FE659C">
              <w:rPr>
                <w:sz w:val="20"/>
                <w:szCs w:val="20"/>
              </w:rPr>
              <w:t>high risk</w:t>
            </w:r>
            <w:proofErr w:type="gramEnd"/>
            <w:r w:rsidRPr="00FE659C">
              <w:rPr>
                <w:sz w:val="20"/>
                <w:szCs w:val="20"/>
              </w:rPr>
              <w:t xml:space="preserve"> Khorana score is not associated with an increased 6-month risk of venous thromboembolism in patients with lung cancer</w:t>
            </w:r>
          </w:p>
        </w:tc>
      </w:tr>
      <w:tr w:rsidR="00E10E84" w:rsidRPr="00FE659C" w14:paraId="259E0D56" w14:textId="77777777" w:rsidTr="003E7BE2">
        <w:tc>
          <w:tcPr>
            <w:tcW w:w="0" w:type="auto"/>
          </w:tcPr>
          <w:p w14:paraId="4BFCC96B" w14:textId="77777777" w:rsidR="00103A18" w:rsidRPr="00FE659C" w:rsidRDefault="00103A18" w:rsidP="003E7BE2">
            <w:pPr>
              <w:spacing w:line="240" w:lineRule="auto"/>
              <w:rPr>
                <w:sz w:val="20"/>
                <w:szCs w:val="20"/>
              </w:rPr>
            </w:pPr>
            <w:r w:rsidRPr="00FE659C">
              <w:rPr>
                <w:sz w:val="20"/>
                <w:szCs w:val="20"/>
              </w:rPr>
              <w:t>Non-lung cancer patients</w:t>
            </w:r>
          </w:p>
        </w:tc>
        <w:tc>
          <w:tcPr>
            <w:tcW w:w="0" w:type="auto"/>
          </w:tcPr>
          <w:p w14:paraId="3BC7F3A0" w14:textId="77777777" w:rsidR="00103A18" w:rsidRPr="00FE659C" w:rsidRDefault="00103A18" w:rsidP="003E7BE2">
            <w:pPr>
              <w:spacing w:line="240" w:lineRule="auto"/>
              <w:rPr>
                <w:sz w:val="20"/>
                <w:szCs w:val="20"/>
              </w:rPr>
            </w:pPr>
            <w:r w:rsidRPr="00FE659C">
              <w:rPr>
                <w:sz w:val="20"/>
                <w:szCs w:val="20"/>
              </w:rPr>
              <w:t>Venous thromboembolism</w:t>
            </w:r>
          </w:p>
        </w:tc>
        <w:tc>
          <w:tcPr>
            <w:tcW w:w="0" w:type="auto"/>
          </w:tcPr>
          <w:p w14:paraId="00DA0E3B" w14:textId="77777777" w:rsidR="00103A18" w:rsidRPr="00FE659C" w:rsidRDefault="00115E23" w:rsidP="003E7BE2">
            <w:pPr>
              <w:spacing w:line="240" w:lineRule="auto"/>
              <w:rPr>
                <w:sz w:val="20"/>
                <w:szCs w:val="20"/>
              </w:rPr>
            </w:pPr>
            <w:r>
              <w:rPr>
                <w:sz w:val="20"/>
                <w:szCs w:val="20"/>
              </w:rPr>
              <w:t>1,380</w:t>
            </w:r>
          </w:p>
          <w:p w14:paraId="48609D63" w14:textId="77777777" w:rsidR="00103A18" w:rsidRPr="00FE659C" w:rsidRDefault="00103A18" w:rsidP="003E7BE2">
            <w:pPr>
              <w:spacing w:line="240" w:lineRule="auto"/>
              <w:rPr>
                <w:sz w:val="20"/>
                <w:szCs w:val="20"/>
              </w:rPr>
            </w:pPr>
            <w:r w:rsidRPr="00FE659C">
              <w:rPr>
                <w:sz w:val="20"/>
                <w:szCs w:val="20"/>
              </w:rPr>
              <w:t>(4 studies)</w:t>
            </w:r>
          </w:p>
          <w:p w14:paraId="3D82C265" w14:textId="77777777" w:rsidR="00103A18" w:rsidRPr="00FE659C" w:rsidRDefault="00103A18" w:rsidP="003E7BE2">
            <w:pPr>
              <w:spacing w:line="240" w:lineRule="auto"/>
              <w:rPr>
                <w:sz w:val="20"/>
                <w:szCs w:val="20"/>
              </w:rPr>
            </w:pPr>
            <w:r w:rsidRPr="00FE659C">
              <w:rPr>
                <w:sz w:val="20"/>
                <w:szCs w:val="20"/>
              </w:rPr>
              <w:t>6 months</w:t>
            </w:r>
          </w:p>
        </w:tc>
        <w:tc>
          <w:tcPr>
            <w:tcW w:w="0" w:type="auto"/>
          </w:tcPr>
          <w:p w14:paraId="5C68836B" w14:textId="77777777" w:rsidR="00103A18" w:rsidRPr="00FE659C" w:rsidRDefault="00103A18" w:rsidP="003E7BE2">
            <w:pPr>
              <w:spacing w:line="240" w:lineRule="auto"/>
              <w:rPr>
                <w:b/>
                <w:sz w:val="20"/>
                <w:szCs w:val="20"/>
              </w:rPr>
            </w:pPr>
            <w:r w:rsidRPr="00FE659C">
              <w:rPr>
                <w:b/>
                <w:sz w:val="20"/>
                <w:szCs w:val="20"/>
              </w:rPr>
              <w:t>Moderate</w:t>
            </w:r>
          </w:p>
          <w:p w14:paraId="30867AD6" w14:textId="77777777" w:rsidR="00103A18" w:rsidRPr="00FE659C" w:rsidRDefault="00103A18" w:rsidP="00E10E84">
            <w:pPr>
              <w:spacing w:line="240" w:lineRule="auto"/>
              <w:rPr>
                <w:b/>
                <w:sz w:val="20"/>
                <w:szCs w:val="20"/>
              </w:rPr>
            </w:pPr>
            <w:r w:rsidRPr="00FE659C">
              <w:rPr>
                <w:sz w:val="20"/>
                <w:szCs w:val="20"/>
              </w:rPr>
              <w:t xml:space="preserve">due to </w:t>
            </w:r>
            <w:r w:rsidR="00E10E84">
              <w:rPr>
                <w:sz w:val="20"/>
                <w:szCs w:val="20"/>
              </w:rPr>
              <w:t>risk of bias</w:t>
            </w:r>
          </w:p>
        </w:tc>
        <w:tc>
          <w:tcPr>
            <w:tcW w:w="0" w:type="auto"/>
          </w:tcPr>
          <w:p w14:paraId="32232ADA" w14:textId="77777777" w:rsidR="00103A18" w:rsidRPr="00FE659C" w:rsidRDefault="00103A18" w:rsidP="003E7BE2">
            <w:pPr>
              <w:spacing w:line="240" w:lineRule="auto"/>
              <w:rPr>
                <w:sz w:val="20"/>
                <w:szCs w:val="20"/>
              </w:rPr>
            </w:pPr>
            <w:r w:rsidRPr="00FE659C">
              <w:rPr>
                <w:sz w:val="20"/>
                <w:szCs w:val="20"/>
              </w:rPr>
              <w:t xml:space="preserve">OR </w:t>
            </w:r>
            <w:r w:rsidR="00E6509A">
              <w:rPr>
                <w:sz w:val="20"/>
                <w:szCs w:val="20"/>
              </w:rPr>
              <w:t>3</w:t>
            </w:r>
            <w:r w:rsidRPr="00FE659C">
              <w:rPr>
                <w:sz w:val="20"/>
                <w:szCs w:val="20"/>
              </w:rPr>
              <w:t>.</w:t>
            </w:r>
            <w:r w:rsidR="00E6509A">
              <w:rPr>
                <w:sz w:val="20"/>
                <w:szCs w:val="20"/>
              </w:rPr>
              <w:t>2</w:t>
            </w:r>
          </w:p>
          <w:p w14:paraId="0A2FAF23" w14:textId="77777777" w:rsidR="00103A18" w:rsidRPr="00FE659C" w:rsidRDefault="00103A18">
            <w:pPr>
              <w:spacing w:line="240" w:lineRule="auto"/>
              <w:rPr>
                <w:sz w:val="20"/>
                <w:szCs w:val="20"/>
              </w:rPr>
            </w:pPr>
            <w:r w:rsidRPr="00FE659C">
              <w:rPr>
                <w:sz w:val="20"/>
                <w:szCs w:val="20"/>
              </w:rPr>
              <w:t>(</w:t>
            </w:r>
            <w:r w:rsidR="00E6509A">
              <w:rPr>
                <w:sz w:val="20"/>
                <w:szCs w:val="20"/>
              </w:rPr>
              <w:t>1.8</w:t>
            </w:r>
            <w:r w:rsidRPr="00FE659C">
              <w:rPr>
                <w:sz w:val="20"/>
                <w:szCs w:val="20"/>
              </w:rPr>
              <w:t xml:space="preserve"> to </w:t>
            </w:r>
            <w:r w:rsidR="00E6509A">
              <w:rPr>
                <w:sz w:val="20"/>
                <w:szCs w:val="20"/>
              </w:rPr>
              <w:t>5</w:t>
            </w:r>
            <w:r w:rsidRPr="00FE659C">
              <w:rPr>
                <w:sz w:val="20"/>
                <w:szCs w:val="20"/>
              </w:rPr>
              <w:t>.</w:t>
            </w:r>
            <w:r w:rsidR="00E6509A">
              <w:rPr>
                <w:sz w:val="20"/>
                <w:szCs w:val="20"/>
              </w:rPr>
              <w:t>6</w:t>
            </w:r>
            <w:r w:rsidRPr="00FE659C">
              <w:rPr>
                <w:sz w:val="20"/>
                <w:szCs w:val="20"/>
              </w:rPr>
              <w:t>)</w:t>
            </w:r>
          </w:p>
        </w:tc>
        <w:tc>
          <w:tcPr>
            <w:tcW w:w="0" w:type="auto"/>
          </w:tcPr>
          <w:p w14:paraId="625E7F32" w14:textId="77777777" w:rsidR="00103A18" w:rsidRPr="00FE659C" w:rsidRDefault="00E6509A" w:rsidP="003E7BE2">
            <w:pPr>
              <w:spacing w:line="240" w:lineRule="auto"/>
              <w:rPr>
                <w:sz w:val="20"/>
                <w:szCs w:val="20"/>
              </w:rPr>
            </w:pPr>
            <w:r>
              <w:rPr>
                <w:sz w:val="20"/>
                <w:szCs w:val="20"/>
              </w:rPr>
              <w:t>43</w:t>
            </w:r>
            <w:r w:rsidRPr="00FE659C">
              <w:rPr>
                <w:sz w:val="20"/>
                <w:szCs w:val="20"/>
              </w:rPr>
              <w:t xml:space="preserve"> </w:t>
            </w:r>
            <w:r w:rsidR="00103A18" w:rsidRPr="00FE659C">
              <w:rPr>
                <w:sz w:val="20"/>
                <w:szCs w:val="20"/>
              </w:rPr>
              <w:t>per 1,000</w:t>
            </w:r>
          </w:p>
        </w:tc>
        <w:tc>
          <w:tcPr>
            <w:tcW w:w="0" w:type="auto"/>
          </w:tcPr>
          <w:p w14:paraId="5E4284D1" w14:textId="77777777" w:rsidR="00103A18" w:rsidRPr="00FE659C" w:rsidRDefault="00103A18" w:rsidP="003E7BE2">
            <w:pPr>
              <w:spacing w:line="240" w:lineRule="auto"/>
              <w:rPr>
                <w:sz w:val="20"/>
                <w:szCs w:val="20"/>
              </w:rPr>
            </w:pPr>
            <w:r w:rsidRPr="00FE659C">
              <w:rPr>
                <w:sz w:val="20"/>
                <w:szCs w:val="20"/>
              </w:rPr>
              <w:t>12</w:t>
            </w:r>
            <w:r w:rsidR="00E6509A">
              <w:rPr>
                <w:sz w:val="20"/>
                <w:szCs w:val="20"/>
              </w:rPr>
              <w:t>5</w:t>
            </w:r>
            <w:r w:rsidRPr="00FE659C">
              <w:rPr>
                <w:sz w:val="20"/>
                <w:szCs w:val="20"/>
              </w:rPr>
              <w:t xml:space="preserve"> per 1,000</w:t>
            </w:r>
          </w:p>
        </w:tc>
        <w:tc>
          <w:tcPr>
            <w:tcW w:w="0" w:type="auto"/>
          </w:tcPr>
          <w:p w14:paraId="38EE3618" w14:textId="77777777" w:rsidR="00103A18" w:rsidRPr="00FE659C" w:rsidRDefault="00103A18" w:rsidP="003E7BE2">
            <w:pPr>
              <w:spacing w:line="240" w:lineRule="auto"/>
              <w:rPr>
                <w:sz w:val="20"/>
                <w:szCs w:val="20"/>
              </w:rPr>
            </w:pPr>
            <w:r w:rsidRPr="00FE659C">
              <w:rPr>
                <w:sz w:val="20"/>
                <w:szCs w:val="20"/>
              </w:rPr>
              <w:t xml:space="preserve">Moderate quality evidence suggests that a </w:t>
            </w:r>
            <w:proofErr w:type="gramStart"/>
            <w:r w:rsidRPr="00FE659C">
              <w:rPr>
                <w:sz w:val="20"/>
                <w:szCs w:val="20"/>
              </w:rPr>
              <w:t>high risk</w:t>
            </w:r>
            <w:proofErr w:type="gramEnd"/>
            <w:r w:rsidRPr="00FE659C">
              <w:rPr>
                <w:sz w:val="20"/>
                <w:szCs w:val="20"/>
              </w:rPr>
              <w:t xml:space="preserve"> Khorana score is associated with a substantially increased 6-month risk of venous thromboembolism in patients with cancer other than lung cancer</w:t>
            </w:r>
          </w:p>
        </w:tc>
      </w:tr>
    </w:tbl>
    <w:p w14:paraId="3B72752F" w14:textId="77777777" w:rsidR="00103A18" w:rsidRDefault="00103A18" w:rsidP="00103A18"/>
    <w:p w14:paraId="310656DB" w14:textId="77777777" w:rsidR="00103A18" w:rsidRDefault="00103A18" w:rsidP="00103A18"/>
    <w:p w14:paraId="5B3ECDAC" w14:textId="77777777" w:rsidR="00103A18" w:rsidRDefault="00103A18" w:rsidP="00103A18"/>
    <w:p w14:paraId="13652F95" w14:textId="77777777" w:rsidR="00103A18" w:rsidRDefault="00103A18">
      <w:pPr>
        <w:spacing w:line="240" w:lineRule="auto"/>
      </w:pPr>
      <w:r>
        <w:br w:type="page"/>
      </w:r>
    </w:p>
    <w:p w14:paraId="2BDF106A" w14:textId="32AB936E" w:rsidR="00103A18" w:rsidRPr="00103A18" w:rsidRDefault="00103A18" w:rsidP="00103A18">
      <w:pPr>
        <w:spacing w:after="160" w:line="259" w:lineRule="auto"/>
        <w:rPr>
          <w:b/>
        </w:rPr>
      </w:pPr>
      <w:r>
        <w:rPr>
          <w:b/>
        </w:rPr>
        <w:lastRenderedPageBreak/>
        <w:t xml:space="preserve">Table </w:t>
      </w:r>
      <w:r w:rsidR="00F56AF8">
        <w:rPr>
          <w:b/>
        </w:rPr>
        <w:t>4</w:t>
      </w:r>
      <w:r>
        <w:rPr>
          <w:b/>
        </w:rPr>
        <w:t>B. Summary of findings regarding efficacy and safety of thromboprophylaxis in high-risk Khorana score patients</w:t>
      </w:r>
    </w:p>
    <w:tbl>
      <w:tblPr>
        <w:tblStyle w:val="TableGrid"/>
        <w:tblW w:w="0" w:type="auto"/>
        <w:tblLook w:val="04A0" w:firstRow="1" w:lastRow="0" w:firstColumn="1" w:lastColumn="0" w:noHBand="0" w:noVBand="1"/>
      </w:tblPr>
      <w:tblGrid>
        <w:gridCol w:w="1241"/>
        <w:gridCol w:w="1794"/>
        <w:gridCol w:w="1329"/>
        <w:gridCol w:w="1224"/>
        <w:gridCol w:w="1007"/>
        <w:gridCol w:w="2014"/>
        <w:gridCol w:w="2070"/>
        <w:gridCol w:w="3315"/>
      </w:tblGrid>
      <w:tr w:rsidR="004473E0" w:rsidRPr="00FE659C" w14:paraId="2F8D4F7C" w14:textId="77777777" w:rsidTr="003E7BE2">
        <w:tc>
          <w:tcPr>
            <w:tcW w:w="0" w:type="auto"/>
          </w:tcPr>
          <w:p w14:paraId="27858F92" w14:textId="77777777" w:rsidR="00103A18" w:rsidRPr="00FE659C" w:rsidRDefault="00103A18" w:rsidP="003E7BE2">
            <w:pPr>
              <w:spacing w:line="240" w:lineRule="auto"/>
              <w:rPr>
                <w:b/>
                <w:sz w:val="20"/>
                <w:szCs w:val="20"/>
              </w:rPr>
            </w:pPr>
            <w:r w:rsidRPr="00FE659C">
              <w:rPr>
                <w:b/>
                <w:sz w:val="20"/>
                <w:szCs w:val="20"/>
              </w:rPr>
              <w:t>Patient group</w:t>
            </w:r>
          </w:p>
        </w:tc>
        <w:tc>
          <w:tcPr>
            <w:tcW w:w="0" w:type="auto"/>
          </w:tcPr>
          <w:p w14:paraId="49E19E71" w14:textId="77777777" w:rsidR="00103A18" w:rsidRPr="00FE659C" w:rsidRDefault="00103A18" w:rsidP="003E7BE2">
            <w:pPr>
              <w:spacing w:line="240" w:lineRule="auto"/>
              <w:rPr>
                <w:b/>
                <w:sz w:val="20"/>
                <w:szCs w:val="20"/>
              </w:rPr>
            </w:pPr>
            <w:r w:rsidRPr="00FE659C">
              <w:rPr>
                <w:b/>
                <w:sz w:val="20"/>
                <w:szCs w:val="20"/>
              </w:rPr>
              <w:t>Outcomes</w:t>
            </w:r>
          </w:p>
        </w:tc>
        <w:tc>
          <w:tcPr>
            <w:tcW w:w="0" w:type="auto"/>
          </w:tcPr>
          <w:p w14:paraId="6F883D0C" w14:textId="77777777" w:rsidR="00103A18" w:rsidRPr="00FE659C" w:rsidRDefault="00103A18" w:rsidP="003E7BE2">
            <w:pPr>
              <w:spacing w:line="240" w:lineRule="auto"/>
              <w:rPr>
                <w:b/>
                <w:sz w:val="20"/>
                <w:szCs w:val="20"/>
              </w:rPr>
            </w:pPr>
            <w:r w:rsidRPr="00FE659C">
              <w:rPr>
                <w:b/>
                <w:sz w:val="20"/>
                <w:szCs w:val="20"/>
              </w:rPr>
              <w:t>No. of participants (studies)</w:t>
            </w:r>
            <w:r w:rsidRPr="00FE659C">
              <w:rPr>
                <w:b/>
                <w:sz w:val="20"/>
                <w:szCs w:val="20"/>
              </w:rPr>
              <w:br/>
              <w:t>Follow-up</w:t>
            </w:r>
          </w:p>
        </w:tc>
        <w:tc>
          <w:tcPr>
            <w:tcW w:w="0" w:type="auto"/>
          </w:tcPr>
          <w:p w14:paraId="589AFA0E" w14:textId="77777777" w:rsidR="00103A18" w:rsidRPr="00FE659C" w:rsidRDefault="00103A18" w:rsidP="003E7BE2">
            <w:pPr>
              <w:spacing w:line="240" w:lineRule="auto"/>
              <w:rPr>
                <w:b/>
                <w:sz w:val="20"/>
                <w:szCs w:val="20"/>
              </w:rPr>
            </w:pPr>
            <w:r w:rsidRPr="00FE659C">
              <w:rPr>
                <w:b/>
                <w:sz w:val="20"/>
                <w:szCs w:val="20"/>
              </w:rPr>
              <w:t xml:space="preserve">Quality of evidence </w:t>
            </w:r>
          </w:p>
          <w:p w14:paraId="4C77DF4D" w14:textId="77777777" w:rsidR="00103A18" w:rsidRPr="00FE659C" w:rsidRDefault="00103A18" w:rsidP="003E7BE2">
            <w:pPr>
              <w:spacing w:line="240" w:lineRule="auto"/>
              <w:rPr>
                <w:b/>
                <w:sz w:val="20"/>
                <w:szCs w:val="20"/>
              </w:rPr>
            </w:pPr>
            <w:r w:rsidRPr="00FE659C">
              <w:rPr>
                <w:b/>
                <w:sz w:val="20"/>
                <w:szCs w:val="20"/>
              </w:rPr>
              <w:t>(GRADE)</w:t>
            </w:r>
          </w:p>
        </w:tc>
        <w:tc>
          <w:tcPr>
            <w:tcW w:w="0" w:type="auto"/>
          </w:tcPr>
          <w:p w14:paraId="2DBE5C40" w14:textId="77777777" w:rsidR="00103A18" w:rsidRPr="00FE659C" w:rsidRDefault="00103A18" w:rsidP="003E7BE2">
            <w:pPr>
              <w:spacing w:line="240" w:lineRule="auto"/>
              <w:rPr>
                <w:b/>
                <w:sz w:val="20"/>
                <w:szCs w:val="20"/>
              </w:rPr>
            </w:pPr>
            <w:r w:rsidRPr="00FE659C">
              <w:rPr>
                <w:b/>
                <w:sz w:val="20"/>
                <w:szCs w:val="20"/>
              </w:rPr>
              <w:t>Relative effect (95% CI)</w:t>
            </w:r>
          </w:p>
        </w:tc>
        <w:tc>
          <w:tcPr>
            <w:tcW w:w="0" w:type="auto"/>
          </w:tcPr>
          <w:p w14:paraId="7AE5BD77" w14:textId="77777777" w:rsidR="00103A18" w:rsidRPr="00FE659C" w:rsidRDefault="00103A18" w:rsidP="003E7BE2">
            <w:pPr>
              <w:spacing w:line="240" w:lineRule="auto"/>
              <w:rPr>
                <w:b/>
                <w:sz w:val="20"/>
                <w:szCs w:val="20"/>
              </w:rPr>
            </w:pPr>
            <w:r w:rsidRPr="00FE659C">
              <w:rPr>
                <w:b/>
                <w:sz w:val="20"/>
                <w:szCs w:val="20"/>
              </w:rPr>
              <w:t>Risk without thromboprophylaxis</w:t>
            </w:r>
          </w:p>
        </w:tc>
        <w:tc>
          <w:tcPr>
            <w:tcW w:w="0" w:type="auto"/>
          </w:tcPr>
          <w:p w14:paraId="5AA2839A" w14:textId="77777777" w:rsidR="00103A18" w:rsidRPr="00FE659C" w:rsidRDefault="00103A18" w:rsidP="003E7BE2">
            <w:pPr>
              <w:spacing w:line="240" w:lineRule="auto"/>
              <w:rPr>
                <w:b/>
                <w:sz w:val="20"/>
                <w:szCs w:val="20"/>
              </w:rPr>
            </w:pPr>
            <w:r w:rsidRPr="00FE659C">
              <w:rPr>
                <w:b/>
                <w:sz w:val="20"/>
                <w:szCs w:val="20"/>
              </w:rPr>
              <w:t>Risk difference with thromboprophylaxis</w:t>
            </w:r>
          </w:p>
        </w:tc>
        <w:tc>
          <w:tcPr>
            <w:tcW w:w="0" w:type="auto"/>
          </w:tcPr>
          <w:p w14:paraId="279F9113" w14:textId="77777777" w:rsidR="00103A18" w:rsidRPr="00FE659C" w:rsidRDefault="00103A18" w:rsidP="003E7BE2">
            <w:pPr>
              <w:spacing w:line="240" w:lineRule="auto"/>
              <w:rPr>
                <w:b/>
                <w:sz w:val="20"/>
                <w:szCs w:val="20"/>
              </w:rPr>
            </w:pPr>
            <w:r w:rsidRPr="00FE659C">
              <w:rPr>
                <w:b/>
                <w:sz w:val="20"/>
                <w:szCs w:val="20"/>
              </w:rPr>
              <w:t>Summary</w:t>
            </w:r>
          </w:p>
        </w:tc>
      </w:tr>
      <w:tr w:rsidR="004473E0" w:rsidRPr="00FE659C" w14:paraId="25DB5C7C" w14:textId="77777777" w:rsidTr="003E7BE2">
        <w:tc>
          <w:tcPr>
            <w:tcW w:w="0" w:type="auto"/>
          </w:tcPr>
          <w:p w14:paraId="5B2F09C2" w14:textId="77777777" w:rsidR="00103A18" w:rsidRPr="00FE659C" w:rsidRDefault="00103A18" w:rsidP="003E7BE2">
            <w:pPr>
              <w:spacing w:line="240" w:lineRule="auto"/>
              <w:rPr>
                <w:sz w:val="20"/>
                <w:szCs w:val="20"/>
              </w:rPr>
            </w:pPr>
            <w:r w:rsidRPr="00FE659C">
              <w:rPr>
                <w:sz w:val="20"/>
                <w:szCs w:val="20"/>
              </w:rPr>
              <w:t>Cancer patients with high-risk Khorana score</w:t>
            </w:r>
          </w:p>
        </w:tc>
        <w:tc>
          <w:tcPr>
            <w:tcW w:w="0" w:type="auto"/>
          </w:tcPr>
          <w:p w14:paraId="36963CC8" w14:textId="77777777" w:rsidR="00103A18" w:rsidRPr="00FE659C" w:rsidRDefault="00103A18" w:rsidP="003E7BE2">
            <w:pPr>
              <w:spacing w:line="240" w:lineRule="auto"/>
              <w:rPr>
                <w:sz w:val="20"/>
                <w:szCs w:val="20"/>
              </w:rPr>
            </w:pPr>
            <w:r w:rsidRPr="00FE659C">
              <w:rPr>
                <w:sz w:val="20"/>
                <w:szCs w:val="20"/>
              </w:rPr>
              <w:t>Venous thromboembolism</w:t>
            </w:r>
          </w:p>
        </w:tc>
        <w:tc>
          <w:tcPr>
            <w:tcW w:w="0" w:type="auto"/>
          </w:tcPr>
          <w:p w14:paraId="3CA68E50" w14:textId="77777777" w:rsidR="00103A18" w:rsidRPr="00FE659C" w:rsidRDefault="00103A18" w:rsidP="003E7BE2">
            <w:pPr>
              <w:spacing w:line="240" w:lineRule="auto"/>
              <w:rPr>
                <w:sz w:val="20"/>
                <w:szCs w:val="20"/>
              </w:rPr>
            </w:pPr>
            <w:r w:rsidRPr="00FE659C">
              <w:rPr>
                <w:sz w:val="20"/>
                <w:szCs w:val="20"/>
              </w:rPr>
              <w:t>1,514</w:t>
            </w:r>
          </w:p>
          <w:p w14:paraId="5CAE5BBE" w14:textId="77777777" w:rsidR="00103A18" w:rsidRPr="00FE659C" w:rsidRDefault="00103A18" w:rsidP="003E7BE2">
            <w:pPr>
              <w:spacing w:line="240" w:lineRule="auto"/>
              <w:rPr>
                <w:sz w:val="20"/>
                <w:szCs w:val="20"/>
              </w:rPr>
            </w:pPr>
            <w:r w:rsidRPr="00FE659C">
              <w:rPr>
                <w:sz w:val="20"/>
                <w:szCs w:val="20"/>
              </w:rPr>
              <w:t>(7 studies)</w:t>
            </w:r>
          </w:p>
          <w:p w14:paraId="666785F1" w14:textId="77777777" w:rsidR="00103A18" w:rsidRDefault="00103A18" w:rsidP="003E7BE2">
            <w:pPr>
              <w:spacing w:line="240" w:lineRule="auto"/>
              <w:rPr>
                <w:sz w:val="20"/>
                <w:szCs w:val="20"/>
              </w:rPr>
            </w:pPr>
            <w:r w:rsidRPr="00FE659C">
              <w:rPr>
                <w:sz w:val="20"/>
                <w:szCs w:val="20"/>
              </w:rPr>
              <w:t>6 months</w:t>
            </w:r>
          </w:p>
          <w:p w14:paraId="51EDC025" w14:textId="77777777" w:rsidR="00AC5A96" w:rsidRDefault="00AC5A96" w:rsidP="003E7BE2">
            <w:pPr>
              <w:spacing w:line="240" w:lineRule="auto"/>
              <w:rPr>
                <w:sz w:val="20"/>
                <w:szCs w:val="20"/>
              </w:rPr>
            </w:pPr>
          </w:p>
          <w:p w14:paraId="1CD5F150" w14:textId="2CDFDE39" w:rsidR="00AC5A96" w:rsidRDefault="00AC5A96" w:rsidP="003E7BE2">
            <w:pPr>
              <w:spacing w:line="240" w:lineRule="auto"/>
              <w:rPr>
                <w:sz w:val="20"/>
                <w:szCs w:val="20"/>
              </w:rPr>
            </w:pPr>
            <w:r>
              <w:rPr>
                <w:sz w:val="20"/>
                <w:szCs w:val="20"/>
              </w:rPr>
              <w:t>LMWH</w:t>
            </w:r>
            <w:r w:rsidR="003F4682">
              <w:rPr>
                <w:sz w:val="20"/>
                <w:szCs w:val="20"/>
              </w:rPr>
              <w:t xml:space="preserve"> group</w:t>
            </w:r>
            <w:r>
              <w:rPr>
                <w:sz w:val="20"/>
                <w:szCs w:val="20"/>
              </w:rPr>
              <w:t xml:space="preserve">: </w:t>
            </w:r>
            <w:r w:rsidR="00825822">
              <w:rPr>
                <w:sz w:val="20"/>
                <w:szCs w:val="20"/>
              </w:rPr>
              <w:t>25/</w:t>
            </w:r>
            <w:r>
              <w:rPr>
                <w:sz w:val="20"/>
                <w:szCs w:val="20"/>
              </w:rPr>
              <w:t>744</w:t>
            </w:r>
          </w:p>
          <w:p w14:paraId="28026935" w14:textId="6B6069AA" w:rsidR="00A93D99" w:rsidRPr="00FE659C" w:rsidRDefault="00AC5A96" w:rsidP="003E7BE2">
            <w:pPr>
              <w:spacing w:line="240" w:lineRule="auto"/>
              <w:rPr>
                <w:sz w:val="20"/>
                <w:szCs w:val="20"/>
              </w:rPr>
            </w:pPr>
            <w:r>
              <w:rPr>
                <w:sz w:val="20"/>
                <w:szCs w:val="20"/>
              </w:rPr>
              <w:t>No</w:t>
            </w:r>
            <w:r w:rsidR="003F4682">
              <w:rPr>
                <w:sz w:val="20"/>
                <w:szCs w:val="20"/>
              </w:rPr>
              <w:t>n-</w:t>
            </w:r>
            <w:r>
              <w:rPr>
                <w:sz w:val="20"/>
                <w:szCs w:val="20"/>
              </w:rPr>
              <w:t>LMWH</w:t>
            </w:r>
            <w:r w:rsidR="003F4682">
              <w:rPr>
                <w:sz w:val="20"/>
                <w:szCs w:val="20"/>
              </w:rPr>
              <w:t xml:space="preserve"> group</w:t>
            </w:r>
            <w:r>
              <w:rPr>
                <w:sz w:val="20"/>
                <w:szCs w:val="20"/>
              </w:rPr>
              <w:t xml:space="preserve">: </w:t>
            </w:r>
            <w:r w:rsidR="00825822">
              <w:rPr>
                <w:sz w:val="20"/>
                <w:szCs w:val="20"/>
              </w:rPr>
              <w:t>66/</w:t>
            </w:r>
            <w:r>
              <w:rPr>
                <w:sz w:val="20"/>
                <w:szCs w:val="20"/>
              </w:rPr>
              <w:t>770</w:t>
            </w:r>
          </w:p>
        </w:tc>
        <w:tc>
          <w:tcPr>
            <w:tcW w:w="0" w:type="auto"/>
          </w:tcPr>
          <w:p w14:paraId="7F8AE048" w14:textId="77777777" w:rsidR="00103A18" w:rsidRPr="00FE659C" w:rsidRDefault="00103A18" w:rsidP="003E7BE2">
            <w:pPr>
              <w:spacing w:line="240" w:lineRule="auto"/>
              <w:rPr>
                <w:b/>
                <w:sz w:val="20"/>
                <w:szCs w:val="20"/>
              </w:rPr>
            </w:pPr>
            <w:r w:rsidRPr="00FE659C">
              <w:rPr>
                <w:b/>
                <w:sz w:val="20"/>
                <w:szCs w:val="20"/>
              </w:rPr>
              <w:t>High</w:t>
            </w:r>
          </w:p>
          <w:p w14:paraId="0DCB15AF" w14:textId="77777777" w:rsidR="00103A18" w:rsidRPr="00FE659C" w:rsidRDefault="00103A18" w:rsidP="003E7BE2">
            <w:pPr>
              <w:spacing w:line="240" w:lineRule="auto"/>
              <w:rPr>
                <w:sz w:val="20"/>
                <w:szCs w:val="20"/>
              </w:rPr>
            </w:pPr>
          </w:p>
        </w:tc>
        <w:tc>
          <w:tcPr>
            <w:tcW w:w="0" w:type="auto"/>
          </w:tcPr>
          <w:p w14:paraId="430B80DD" w14:textId="77777777" w:rsidR="00103A18" w:rsidRPr="00FE659C" w:rsidRDefault="00103A18" w:rsidP="003E7BE2">
            <w:pPr>
              <w:spacing w:line="240" w:lineRule="auto"/>
              <w:rPr>
                <w:sz w:val="20"/>
                <w:szCs w:val="20"/>
              </w:rPr>
            </w:pPr>
            <w:r w:rsidRPr="00FE659C">
              <w:rPr>
                <w:sz w:val="20"/>
                <w:szCs w:val="20"/>
              </w:rPr>
              <w:t>OR 0.36</w:t>
            </w:r>
          </w:p>
          <w:p w14:paraId="2B5B7128" w14:textId="77777777" w:rsidR="00103A18" w:rsidRPr="00FE659C" w:rsidRDefault="00103A18" w:rsidP="003E7BE2">
            <w:pPr>
              <w:spacing w:line="240" w:lineRule="auto"/>
              <w:rPr>
                <w:sz w:val="20"/>
                <w:szCs w:val="20"/>
              </w:rPr>
            </w:pPr>
            <w:r w:rsidRPr="00FE659C">
              <w:rPr>
                <w:sz w:val="20"/>
                <w:szCs w:val="20"/>
              </w:rPr>
              <w:t>(0.22 to 0.58)</w:t>
            </w:r>
          </w:p>
        </w:tc>
        <w:tc>
          <w:tcPr>
            <w:tcW w:w="0" w:type="auto"/>
          </w:tcPr>
          <w:p w14:paraId="6E10E152" w14:textId="77777777" w:rsidR="00103A18" w:rsidRPr="00FE659C" w:rsidRDefault="00103A18" w:rsidP="003E7BE2">
            <w:pPr>
              <w:spacing w:line="240" w:lineRule="auto"/>
              <w:rPr>
                <w:sz w:val="20"/>
                <w:szCs w:val="20"/>
              </w:rPr>
            </w:pPr>
            <w:r w:rsidRPr="00FE659C">
              <w:rPr>
                <w:sz w:val="20"/>
                <w:szCs w:val="20"/>
              </w:rPr>
              <w:t>98 per 1,000</w:t>
            </w:r>
          </w:p>
        </w:tc>
        <w:tc>
          <w:tcPr>
            <w:tcW w:w="0" w:type="auto"/>
          </w:tcPr>
          <w:p w14:paraId="18A1062B" w14:textId="77777777" w:rsidR="00103A18" w:rsidRDefault="003E7BE2" w:rsidP="003E7BE2">
            <w:pPr>
              <w:spacing w:line="240" w:lineRule="auto"/>
              <w:rPr>
                <w:sz w:val="20"/>
                <w:szCs w:val="20"/>
              </w:rPr>
            </w:pPr>
            <w:r>
              <w:rPr>
                <w:sz w:val="20"/>
                <w:szCs w:val="20"/>
              </w:rPr>
              <w:t>60</w:t>
            </w:r>
            <w:r w:rsidR="00103A18" w:rsidRPr="00FE659C">
              <w:rPr>
                <w:sz w:val="20"/>
                <w:szCs w:val="20"/>
              </w:rPr>
              <w:t xml:space="preserve"> per 1,000 fewer</w:t>
            </w:r>
          </w:p>
          <w:p w14:paraId="7476715D" w14:textId="77777777" w:rsidR="003E7BE2" w:rsidRPr="00FE659C" w:rsidRDefault="003E7BE2" w:rsidP="003E7BE2">
            <w:pPr>
              <w:spacing w:line="240" w:lineRule="auto"/>
              <w:rPr>
                <w:sz w:val="20"/>
                <w:szCs w:val="20"/>
              </w:rPr>
            </w:pPr>
            <w:r>
              <w:rPr>
                <w:sz w:val="20"/>
                <w:szCs w:val="20"/>
              </w:rPr>
              <w:t>(34 to 76 per 1,000 fewer)</w:t>
            </w:r>
          </w:p>
        </w:tc>
        <w:tc>
          <w:tcPr>
            <w:tcW w:w="0" w:type="auto"/>
          </w:tcPr>
          <w:p w14:paraId="7EE80381" w14:textId="77777777" w:rsidR="00103A18" w:rsidRPr="00FE659C" w:rsidRDefault="00103A18" w:rsidP="003E7BE2">
            <w:pPr>
              <w:spacing w:line="240" w:lineRule="auto"/>
              <w:rPr>
                <w:sz w:val="20"/>
                <w:szCs w:val="20"/>
              </w:rPr>
            </w:pPr>
            <w:r w:rsidRPr="00FE659C">
              <w:rPr>
                <w:sz w:val="20"/>
                <w:szCs w:val="20"/>
              </w:rPr>
              <w:t xml:space="preserve">Among cancer patients with a </w:t>
            </w:r>
            <w:proofErr w:type="gramStart"/>
            <w:r w:rsidRPr="00FE659C">
              <w:rPr>
                <w:sz w:val="20"/>
                <w:szCs w:val="20"/>
              </w:rPr>
              <w:t>high risk</w:t>
            </w:r>
            <w:proofErr w:type="gramEnd"/>
            <w:r w:rsidRPr="00FE659C">
              <w:rPr>
                <w:sz w:val="20"/>
                <w:szCs w:val="20"/>
              </w:rPr>
              <w:t xml:space="preserve"> Khorana score, </w:t>
            </w:r>
            <w:r w:rsidR="004473E0">
              <w:rPr>
                <w:sz w:val="20"/>
                <w:szCs w:val="20"/>
              </w:rPr>
              <w:t xml:space="preserve">high quality evidence suggests that </w:t>
            </w:r>
            <w:r w:rsidRPr="00FE659C">
              <w:rPr>
                <w:sz w:val="20"/>
                <w:szCs w:val="20"/>
              </w:rPr>
              <w:t>prophylactic (ultra)-low-molecular-weight heparin significantly reduces the 6-month risk of venous thromboembolism</w:t>
            </w:r>
          </w:p>
        </w:tc>
      </w:tr>
      <w:tr w:rsidR="004473E0" w:rsidRPr="00FE659C" w14:paraId="0DD23451" w14:textId="77777777" w:rsidTr="003E7BE2">
        <w:tc>
          <w:tcPr>
            <w:tcW w:w="0" w:type="auto"/>
          </w:tcPr>
          <w:p w14:paraId="6B77B4D2" w14:textId="77777777" w:rsidR="00103A18" w:rsidRPr="00FE659C" w:rsidRDefault="00103A18" w:rsidP="003E7BE2">
            <w:pPr>
              <w:spacing w:line="240" w:lineRule="auto"/>
              <w:rPr>
                <w:sz w:val="20"/>
                <w:szCs w:val="20"/>
              </w:rPr>
            </w:pPr>
          </w:p>
        </w:tc>
        <w:tc>
          <w:tcPr>
            <w:tcW w:w="0" w:type="auto"/>
          </w:tcPr>
          <w:p w14:paraId="6A60C9D5" w14:textId="77777777" w:rsidR="00103A18" w:rsidRPr="00FE659C" w:rsidRDefault="00103A18" w:rsidP="003E7BE2">
            <w:pPr>
              <w:spacing w:line="240" w:lineRule="auto"/>
              <w:rPr>
                <w:sz w:val="20"/>
                <w:szCs w:val="20"/>
              </w:rPr>
            </w:pPr>
            <w:r w:rsidRPr="00FE659C">
              <w:rPr>
                <w:sz w:val="20"/>
                <w:szCs w:val="20"/>
              </w:rPr>
              <w:t>Major bleeding</w:t>
            </w:r>
          </w:p>
        </w:tc>
        <w:tc>
          <w:tcPr>
            <w:tcW w:w="0" w:type="auto"/>
          </w:tcPr>
          <w:p w14:paraId="1E2BDFCD" w14:textId="77777777" w:rsidR="00103A18" w:rsidRPr="00FE659C" w:rsidRDefault="00103A18" w:rsidP="003E7BE2">
            <w:pPr>
              <w:spacing w:line="240" w:lineRule="auto"/>
              <w:rPr>
                <w:sz w:val="20"/>
                <w:szCs w:val="20"/>
              </w:rPr>
            </w:pPr>
            <w:r w:rsidRPr="00FE659C">
              <w:rPr>
                <w:sz w:val="20"/>
                <w:szCs w:val="20"/>
              </w:rPr>
              <w:t>1,514</w:t>
            </w:r>
          </w:p>
          <w:p w14:paraId="143572C6" w14:textId="77777777" w:rsidR="00103A18" w:rsidRPr="00FE659C" w:rsidRDefault="00103A18" w:rsidP="003E7BE2">
            <w:pPr>
              <w:spacing w:line="240" w:lineRule="auto"/>
              <w:rPr>
                <w:sz w:val="20"/>
                <w:szCs w:val="20"/>
              </w:rPr>
            </w:pPr>
            <w:r w:rsidRPr="00FE659C">
              <w:rPr>
                <w:sz w:val="20"/>
                <w:szCs w:val="20"/>
              </w:rPr>
              <w:t>(7 studies)</w:t>
            </w:r>
          </w:p>
          <w:p w14:paraId="3EE1BAC3" w14:textId="77777777" w:rsidR="00103A18" w:rsidRDefault="00103A18" w:rsidP="003E7BE2">
            <w:pPr>
              <w:spacing w:line="240" w:lineRule="auto"/>
              <w:rPr>
                <w:sz w:val="20"/>
                <w:szCs w:val="20"/>
              </w:rPr>
            </w:pPr>
            <w:r w:rsidRPr="00FE659C">
              <w:rPr>
                <w:sz w:val="20"/>
                <w:szCs w:val="20"/>
              </w:rPr>
              <w:t>6 months</w:t>
            </w:r>
          </w:p>
          <w:p w14:paraId="02B423E1" w14:textId="77777777" w:rsidR="008E73A3" w:rsidRDefault="008E73A3" w:rsidP="003E7BE2">
            <w:pPr>
              <w:spacing w:line="240" w:lineRule="auto"/>
              <w:rPr>
                <w:sz w:val="20"/>
                <w:szCs w:val="20"/>
              </w:rPr>
            </w:pPr>
          </w:p>
          <w:p w14:paraId="5CE1B114" w14:textId="77777777" w:rsidR="008E73A3" w:rsidRDefault="008E73A3" w:rsidP="003E7BE2">
            <w:pPr>
              <w:spacing w:line="240" w:lineRule="auto"/>
              <w:rPr>
                <w:sz w:val="20"/>
                <w:szCs w:val="20"/>
              </w:rPr>
            </w:pPr>
            <w:r>
              <w:rPr>
                <w:sz w:val="20"/>
                <w:szCs w:val="20"/>
              </w:rPr>
              <w:t>LMWH group: 22/744</w:t>
            </w:r>
          </w:p>
          <w:p w14:paraId="6180CB5A" w14:textId="5C9FF04A" w:rsidR="008E73A3" w:rsidRPr="00FE659C" w:rsidRDefault="008E73A3" w:rsidP="003E7BE2">
            <w:pPr>
              <w:spacing w:line="240" w:lineRule="auto"/>
              <w:rPr>
                <w:sz w:val="20"/>
                <w:szCs w:val="20"/>
              </w:rPr>
            </w:pPr>
            <w:r>
              <w:rPr>
                <w:sz w:val="20"/>
                <w:szCs w:val="20"/>
              </w:rPr>
              <w:t xml:space="preserve">Non-LMWH group: </w:t>
            </w:r>
            <w:r w:rsidR="00430CC8">
              <w:rPr>
                <w:sz w:val="20"/>
                <w:szCs w:val="20"/>
              </w:rPr>
              <w:t>19/770</w:t>
            </w:r>
          </w:p>
        </w:tc>
        <w:tc>
          <w:tcPr>
            <w:tcW w:w="0" w:type="auto"/>
          </w:tcPr>
          <w:p w14:paraId="25062918" w14:textId="77777777" w:rsidR="00103A18" w:rsidRPr="00FE659C" w:rsidRDefault="00103A18" w:rsidP="003E7BE2">
            <w:pPr>
              <w:spacing w:line="240" w:lineRule="auto"/>
              <w:rPr>
                <w:b/>
                <w:sz w:val="20"/>
                <w:szCs w:val="20"/>
              </w:rPr>
            </w:pPr>
            <w:r w:rsidRPr="00FE659C">
              <w:rPr>
                <w:b/>
                <w:sz w:val="20"/>
                <w:szCs w:val="20"/>
              </w:rPr>
              <w:t>Moderate</w:t>
            </w:r>
          </w:p>
          <w:p w14:paraId="786338AF" w14:textId="77777777" w:rsidR="00103A18" w:rsidRPr="00FE659C" w:rsidRDefault="00103A18" w:rsidP="003E7BE2">
            <w:pPr>
              <w:spacing w:line="240" w:lineRule="auto"/>
              <w:rPr>
                <w:sz w:val="20"/>
                <w:szCs w:val="20"/>
              </w:rPr>
            </w:pPr>
            <w:r w:rsidRPr="00FE659C">
              <w:rPr>
                <w:sz w:val="20"/>
                <w:szCs w:val="20"/>
              </w:rPr>
              <w:t>due to imprecision</w:t>
            </w:r>
          </w:p>
        </w:tc>
        <w:tc>
          <w:tcPr>
            <w:tcW w:w="0" w:type="auto"/>
          </w:tcPr>
          <w:p w14:paraId="11828FE8" w14:textId="77777777" w:rsidR="00103A18" w:rsidRPr="00FE659C" w:rsidRDefault="00103A18" w:rsidP="003E7BE2">
            <w:pPr>
              <w:spacing w:line="240" w:lineRule="auto"/>
              <w:rPr>
                <w:sz w:val="20"/>
                <w:szCs w:val="20"/>
              </w:rPr>
            </w:pPr>
            <w:r w:rsidRPr="00FE659C">
              <w:rPr>
                <w:sz w:val="20"/>
                <w:szCs w:val="20"/>
              </w:rPr>
              <w:t>OR 1.1 (0.59 to 2.1)</w:t>
            </w:r>
          </w:p>
        </w:tc>
        <w:tc>
          <w:tcPr>
            <w:tcW w:w="0" w:type="auto"/>
          </w:tcPr>
          <w:p w14:paraId="58D77459" w14:textId="77777777" w:rsidR="00103A18" w:rsidRPr="00FE659C" w:rsidRDefault="00712692" w:rsidP="003E7BE2">
            <w:pPr>
              <w:spacing w:line="240" w:lineRule="auto"/>
              <w:rPr>
                <w:sz w:val="20"/>
                <w:szCs w:val="20"/>
              </w:rPr>
            </w:pPr>
            <w:r>
              <w:rPr>
                <w:sz w:val="20"/>
                <w:szCs w:val="20"/>
              </w:rPr>
              <w:t>20 per 1,000</w:t>
            </w:r>
          </w:p>
        </w:tc>
        <w:tc>
          <w:tcPr>
            <w:tcW w:w="0" w:type="auto"/>
          </w:tcPr>
          <w:p w14:paraId="5C975598" w14:textId="77777777" w:rsidR="00103A18" w:rsidRDefault="00712692" w:rsidP="003E7BE2">
            <w:pPr>
              <w:spacing w:line="240" w:lineRule="auto"/>
              <w:rPr>
                <w:sz w:val="20"/>
                <w:szCs w:val="20"/>
              </w:rPr>
            </w:pPr>
            <w:r>
              <w:rPr>
                <w:sz w:val="20"/>
                <w:szCs w:val="20"/>
              </w:rPr>
              <w:t>2 per 1,000 more</w:t>
            </w:r>
          </w:p>
          <w:p w14:paraId="34BB8B33" w14:textId="77777777" w:rsidR="00712692" w:rsidRPr="00FE659C" w:rsidRDefault="00712692" w:rsidP="00712692">
            <w:pPr>
              <w:spacing w:line="240" w:lineRule="auto"/>
              <w:rPr>
                <w:sz w:val="20"/>
                <w:szCs w:val="20"/>
              </w:rPr>
            </w:pPr>
            <w:r>
              <w:rPr>
                <w:sz w:val="20"/>
                <w:szCs w:val="20"/>
              </w:rPr>
              <w:t>(-13 to 48 per 1,000</w:t>
            </w:r>
            <w:r w:rsidR="003E7BE2">
              <w:rPr>
                <w:sz w:val="20"/>
                <w:szCs w:val="20"/>
              </w:rPr>
              <w:t xml:space="preserve"> more</w:t>
            </w:r>
            <w:r>
              <w:rPr>
                <w:sz w:val="20"/>
                <w:szCs w:val="20"/>
              </w:rPr>
              <w:t>)</w:t>
            </w:r>
          </w:p>
        </w:tc>
        <w:tc>
          <w:tcPr>
            <w:tcW w:w="0" w:type="auto"/>
          </w:tcPr>
          <w:p w14:paraId="19D7FB59" w14:textId="77777777" w:rsidR="00103A18" w:rsidRPr="00FE659C" w:rsidRDefault="00103A18" w:rsidP="004473E0">
            <w:pPr>
              <w:spacing w:line="240" w:lineRule="auto"/>
              <w:rPr>
                <w:sz w:val="20"/>
                <w:szCs w:val="20"/>
              </w:rPr>
            </w:pPr>
            <w:r w:rsidRPr="00FE659C">
              <w:rPr>
                <w:sz w:val="20"/>
                <w:szCs w:val="20"/>
              </w:rPr>
              <w:t xml:space="preserve">Among cancer patients with a </w:t>
            </w:r>
            <w:proofErr w:type="gramStart"/>
            <w:r w:rsidRPr="00FE659C">
              <w:rPr>
                <w:sz w:val="20"/>
                <w:szCs w:val="20"/>
              </w:rPr>
              <w:t>high risk</w:t>
            </w:r>
            <w:proofErr w:type="gramEnd"/>
            <w:r w:rsidRPr="00FE659C">
              <w:rPr>
                <w:sz w:val="20"/>
                <w:szCs w:val="20"/>
              </w:rPr>
              <w:t xml:space="preserve"> Khorana score, </w:t>
            </w:r>
            <w:r w:rsidR="004473E0">
              <w:rPr>
                <w:sz w:val="20"/>
                <w:szCs w:val="20"/>
              </w:rPr>
              <w:t xml:space="preserve">moderate quality evidence suggests that </w:t>
            </w:r>
            <w:r w:rsidRPr="00FE659C">
              <w:rPr>
                <w:sz w:val="20"/>
                <w:szCs w:val="20"/>
              </w:rPr>
              <w:t>prophylactic (ultra)-low-molecular-weight heparin does not increase the 6-month risk of major bleeding</w:t>
            </w:r>
          </w:p>
        </w:tc>
      </w:tr>
      <w:tr w:rsidR="004473E0" w:rsidRPr="00FE659C" w14:paraId="7431404C" w14:textId="77777777" w:rsidTr="003E7BE2">
        <w:tc>
          <w:tcPr>
            <w:tcW w:w="0" w:type="auto"/>
          </w:tcPr>
          <w:p w14:paraId="542DB6A1" w14:textId="77777777" w:rsidR="00103A18" w:rsidRPr="00FE659C" w:rsidRDefault="00103A18" w:rsidP="003E7BE2">
            <w:pPr>
              <w:spacing w:line="240" w:lineRule="auto"/>
              <w:rPr>
                <w:sz w:val="20"/>
                <w:szCs w:val="20"/>
              </w:rPr>
            </w:pPr>
            <w:r w:rsidRPr="00FE659C">
              <w:rPr>
                <w:sz w:val="20"/>
                <w:szCs w:val="20"/>
              </w:rPr>
              <w:t>Non-lung cancer patients with high-risk Khorana score</w:t>
            </w:r>
          </w:p>
        </w:tc>
        <w:tc>
          <w:tcPr>
            <w:tcW w:w="0" w:type="auto"/>
          </w:tcPr>
          <w:p w14:paraId="78C428F5" w14:textId="77777777" w:rsidR="00103A18" w:rsidRPr="00FE659C" w:rsidRDefault="00103A18" w:rsidP="003E7BE2">
            <w:pPr>
              <w:spacing w:line="240" w:lineRule="auto"/>
              <w:rPr>
                <w:sz w:val="20"/>
                <w:szCs w:val="20"/>
              </w:rPr>
            </w:pPr>
            <w:r w:rsidRPr="00FE659C">
              <w:rPr>
                <w:sz w:val="20"/>
                <w:szCs w:val="20"/>
              </w:rPr>
              <w:t>Venous thromboembolism</w:t>
            </w:r>
          </w:p>
        </w:tc>
        <w:tc>
          <w:tcPr>
            <w:tcW w:w="0" w:type="auto"/>
          </w:tcPr>
          <w:p w14:paraId="1864437B" w14:textId="77777777" w:rsidR="00103A18" w:rsidRPr="00FE659C" w:rsidRDefault="00103A18" w:rsidP="003E7BE2">
            <w:pPr>
              <w:spacing w:line="240" w:lineRule="auto"/>
              <w:rPr>
                <w:sz w:val="20"/>
                <w:szCs w:val="20"/>
              </w:rPr>
            </w:pPr>
            <w:r w:rsidRPr="00FE659C">
              <w:rPr>
                <w:sz w:val="20"/>
                <w:szCs w:val="20"/>
              </w:rPr>
              <w:t>619</w:t>
            </w:r>
          </w:p>
          <w:p w14:paraId="597D7E8E" w14:textId="77777777" w:rsidR="00103A18" w:rsidRPr="00FE659C" w:rsidRDefault="00103A18" w:rsidP="003E7BE2">
            <w:pPr>
              <w:spacing w:line="240" w:lineRule="auto"/>
              <w:rPr>
                <w:sz w:val="20"/>
                <w:szCs w:val="20"/>
              </w:rPr>
            </w:pPr>
            <w:r w:rsidRPr="00FE659C">
              <w:rPr>
                <w:sz w:val="20"/>
                <w:szCs w:val="20"/>
              </w:rPr>
              <w:t>(4 studies)</w:t>
            </w:r>
          </w:p>
          <w:p w14:paraId="68F57899" w14:textId="77777777" w:rsidR="00103A18" w:rsidRDefault="00103A18" w:rsidP="003E7BE2">
            <w:pPr>
              <w:spacing w:line="240" w:lineRule="auto"/>
              <w:rPr>
                <w:sz w:val="20"/>
                <w:szCs w:val="20"/>
              </w:rPr>
            </w:pPr>
            <w:r w:rsidRPr="00FE659C">
              <w:rPr>
                <w:sz w:val="20"/>
                <w:szCs w:val="20"/>
              </w:rPr>
              <w:t>6 months</w:t>
            </w:r>
          </w:p>
          <w:p w14:paraId="76D8E044" w14:textId="77777777" w:rsidR="006174FB" w:rsidRDefault="006174FB" w:rsidP="003E7BE2">
            <w:pPr>
              <w:spacing w:line="240" w:lineRule="auto"/>
              <w:rPr>
                <w:sz w:val="20"/>
                <w:szCs w:val="20"/>
              </w:rPr>
            </w:pPr>
          </w:p>
          <w:p w14:paraId="7CCB1359" w14:textId="6AD34CD1" w:rsidR="00806F73" w:rsidRDefault="006174FB" w:rsidP="003E7BE2">
            <w:pPr>
              <w:spacing w:line="240" w:lineRule="auto"/>
              <w:rPr>
                <w:sz w:val="20"/>
                <w:szCs w:val="20"/>
              </w:rPr>
            </w:pPr>
            <w:r>
              <w:rPr>
                <w:sz w:val="20"/>
                <w:szCs w:val="20"/>
              </w:rPr>
              <w:t>LMWH group:</w:t>
            </w:r>
            <w:r w:rsidR="00806F73">
              <w:rPr>
                <w:sz w:val="20"/>
                <w:szCs w:val="20"/>
              </w:rPr>
              <w:t xml:space="preserve"> </w:t>
            </w:r>
            <w:r w:rsidR="00D423B1">
              <w:rPr>
                <w:sz w:val="20"/>
                <w:szCs w:val="20"/>
              </w:rPr>
              <w:t>10/</w:t>
            </w:r>
            <w:r w:rsidR="00806F73">
              <w:rPr>
                <w:sz w:val="20"/>
                <w:szCs w:val="20"/>
              </w:rPr>
              <w:t>318</w:t>
            </w:r>
          </w:p>
          <w:p w14:paraId="3E6CE241" w14:textId="5EF1E559" w:rsidR="006174FB" w:rsidRPr="00FE659C" w:rsidRDefault="00806F73" w:rsidP="003E7BE2">
            <w:pPr>
              <w:spacing w:line="240" w:lineRule="auto"/>
              <w:rPr>
                <w:sz w:val="20"/>
                <w:szCs w:val="20"/>
              </w:rPr>
            </w:pPr>
            <w:r>
              <w:rPr>
                <w:sz w:val="20"/>
                <w:szCs w:val="20"/>
              </w:rPr>
              <w:t xml:space="preserve">Non-LMWH group: </w:t>
            </w:r>
            <w:r w:rsidR="00D423B1">
              <w:rPr>
                <w:sz w:val="20"/>
                <w:szCs w:val="20"/>
              </w:rPr>
              <w:t>35/</w:t>
            </w:r>
            <w:r>
              <w:rPr>
                <w:sz w:val="20"/>
                <w:szCs w:val="20"/>
              </w:rPr>
              <w:t>301</w:t>
            </w:r>
            <w:r w:rsidR="006174FB">
              <w:rPr>
                <w:sz w:val="20"/>
                <w:szCs w:val="20"/>
              </w:rPr>
              <w:t xml:space="preserve"> </w:t>
            </w:r>
          </w:p>
        </w:tc>
        <w:tc>
          <w:tcPr>
            <w:tcW w:w="0" w:type="auto"/>
          </w:tcPr>
          <w:p w14:paraId="7230BB31" w14:textId="77777777" w:rsidR="00103A18" w:rsidRPr="00FE659C" w:rsidRDefault="00103A18" w:rsidP="003E7BE2">
            <w:pPr>
              <w:spacing w:line="240" w:lineRule="auto"/>
              <w:rPr>
                <w:b/>
                <w:sz w:val="20"/>
                <w:szCs w:val="20"/>
              </w:rPr>
            </w:pPr>
            <w:r w:rsidRPr="00FE659C">
              <w:rPr>
                <w:b/>
                <w:sz w:val="20"/>
                <w:szCs w:val="20"/>
              </w:rPr>
              <w:t>High</w:t>
            </w:r>
          </w:p>
          <w:p w14:paraId="528A3000" w14:textId="77777777" w:rsidR="00103A18" w:rsidRPr="00FE659C" w:rsidRDefault="00103A18" w:rsidP="003E7BE2">
            <w:pPr>
              <w:spacing w:line="240" w:lineRule="auto"/>
              <w:rPr>
                <w:b/>
                <w:sz w:val="20"/>
                <w:szCs w:val="20"/>
              </w:rPr>
            </w:pPr>
          </w:p>
        </w:tc>
        <w:tc>
          <w:tcPr>
            <w:tcW w:w="0" w:type="auto"/>
          </w:tcPr>
          <w:p w14:paraId="1A604ABE" w14:textId="77777777" w:rsidR="00103A18" w:rsidRPr="00FE659C" w:rsidRDefault="00103A18" w:rsidP="003E7BE2">
            <w:pPr>
              <w:spacing w:line="240" w:lineRule="auto"/>
              <w:rPr>
                <w:sz w:val="20"/>
                <w:szCs w:val="20"/>
              </w:rPr>
            </w:pPr>
            <w:r w:rsidRPr="00FE659C">
              <w:rPr>
                <w:sz w:val="20"/>
                <w:szCs w:val="20"/>
              </w:rPr>
              <w:t>OR 0.23</w:t>
            </w:r>
          </w:p>
          <w:p w14:paraId="7B200D39" w14:textId="77777777" w:rsidR="00103A18" w:rsidRPr="00FE659C" w:rsidRDefault="00103A18" w:rsidP="003E7BE2">
            <w:pPr>
              <w:spacing w:line="240" w:lineRule="auto"/>
              <w:rPr>
                <w:sz w:val="20"/>
                <w:szCs w:val="20"/>
              </w:rPr>
            </w:pPr>
            <w:r w:rsidRPr="00FE659C">
              <w:rPr>
                <w:sz w:val="20"/>
                <w:szCs w:val="20"/>
              </w:rPr>
              <w:t>(0.11 to 0.46)</w:t>
            </w:r>
          </w:p>
        </w:tc>
        <w:tc>
          <w:tcPr>
            <w:tcW w:w="0" w:type="auto"/>
          </w:tcPr>
          <w:p w14:paraId="17A83860" w14:textId="77777777" w:rsidR="00103A18" w:rsidRPr="00FE659C" w:rsidRDefault="009A2444" w:rsidP="003E7BE2">
            <w:pPr>
              <w:spacing w:line="240" w:lineRule="auto"/>
              <w:rPr>
                <w:sz w:val="20"/>
                <w:szCs w:val="20"/>
              </w:rPr>
            </w:pPr>
            <w:r>
              <w:rPr>
                <w:sz w:val="20"/>
                <w:szCs w:val="20"/>
              </w:rPr>
              <w:t>130</w:t>
            </w:r>
            <w:r w:rsidR="00103A18" w:rsidRPr="00FE659C">
              <w:rPr>
                <w:sz w:val="20"/>
                <w:szCs w:val="20"/>
              </w:rPr>
              <w:t xml:space="preserve"> per 1,000</w:t>
            </w:r>
          </w:p>
        </w:tc>
        <w:tc>
          <w:tcPr>
            <w:tcW w:w="0" w:type="auto"/>
          </w:tcPr>
          <w:p w14:paraId="2B87674F" w14:textId="77777777" w:rsidR="00103A18" w:rsidRDefault="009A2444" w:rsidP="003E7BE2">
            <w:pPr>
              <w:spacing w:line="240" w:lineRule="auto"/>
              <w:rPr>
                <w:sz w:val="20"/>
                <w:szCs w:val="20"/>
              </w:rPr>
            </w:pPr>
            <w:r>
              <w:rPr>
                <w:sz w:val="20"/>
                <w:szCs w:val="20"/>
              </w:rPr>
              <w:t>97</w:t>
            </w:r>
            <w:r w:rsidR="00A033BB">
              <w:rPr>
                <w:sz w:val="20"/>
                <w:szCs w:val="20"/>
              </w:rPr>
              <w:t xml:space="preserve"> per 1,000</w:t>
            </w:r>
            <w:r w:rsidR="003E7BE2">
              <w:rPr>
                <w:sz w:val="20"/>
                <w:szCs w:val="20"/>
              </w:rPr>
              <w:t xml:space="preserve"> fewer</w:t>
            </w:r>
          </w:p>
          <w:p w14:paraId="04931087" w14:textId="77777777" w:rsidR="003E7BE2" w:rsidRPr="00FE659C" w:rsidRDefault="003E7BE2" w:rsidP="003E7BE2">
            <w:pPr>
              <w:spacing w:line="240" w:lineRule="auto"/>
              <w:rPr>
                <w:sz w:val="20"/>
                <w:szCs w:val="20"/>
              </w:rPr>
            </w:pPr>
            <w:r>
              <w:rPr>
                <w:sz w:val="20"/>
                <w:szCs w:val="20"/>
              </w:rPr>
              <w:t>(53 to 116 per 1,000 fewer)</w:t>
            </w:r>
          </w:p>
        </w:tc>
        <w:tc>
          <w:tcPr>
            <w:tcW w:w="0" w:type="auto"/>
          </w:tcPr>
          <w:p w14:paraId="18EDC1D1" w14:textId="77777777" w:rsidR="00103A18" w:rsidRPr="00FE659C" w:rsidRDefault="00103A18" w:rsidP="003E7BE2">
            <w:pPr>
              <w:spacing w:line="240" w:lineRule="auto"/>
              <w:rPr>
                <w:sz w:val="20"/>
                <w:szCs w:val="20"/>
              </w:rPr>
            </w:pPr>
            <w:r w:rsidRPr="00FE659C">
              <w:rPr>
                <w:sz w:val="20"/>
                <w:szCs w:val="20"/>
              </w:rPr>
              <w:t xml:space="preserve">Among patients with cancer other than lung cancer a </w:t>
            </w:r>
            <w:proofErr w:type="gramStart"/>
            <w:r w:rsidRPr="00FE659C">
              <w:rPr>
                <w:sz w:val="20"/>
                <w:szCs w:val="20"/>
              </w:rPr>
              <w:t>high risk</w:t>
            </w:r>
            <w:proofErr w:type="gramEnd"/>
            <w:r w:rsidRPr="00FE659C">
              <w:rPr>
                <w:sz w:val="20"/>
                <w:szCs w:val="20"/>
              </w:rPr>
              <w:t xml:space="preserve"> Khorana score, </w:t>
            </w:r>
            <w:r w:rsidR="004473E0">
              <w:rPr>
                <w:sz w:val="20"/>
                <w:szCs w:val="20"/>
              </w:rPr>
              <w:t xml:space="preserve">high quality evidence suggests that </w:t>
            </w:r>
            <w:r w:rsidRPr="00FE659C">
              <w:rPr>
                <w:sz w:val="20"/>
                <w:szCs w:val="20"/>
              </w:rPr>
              <w:t>prophylactic (ultra)-low-molecular-weight heparin does not increase the 6-month risk of venous thromboembolism</w:t>
            </w:r>
          </w:p>
        </w:tc>
      </w:tr>
      <w:tr w:rsidR="004473E0" w:rsidRPr="00FE659C" w14:paraId="02169D6F" w14:textId="77777777" w:rsidTr="003E7BE2">
        <w:tc>
          <w:tcPr>
            <w:tcW w:w="0" w:type="auto"/>
          </w:tcPr>
          <w:p w14:paraId="207C877E" w14:textId="77777777" w:rsidR="00103A18" w:rsidRPr="00FE659C" w:rsidRDefault="00103A18" w:rsidP="003E7BE2">
            <w:pPr>
              <w:spacing w:line="240" w:lineRule="auto"/>
              <w:rPr>
                <w:sz w:val="20"/>
                <w:szCs w:val="20"/>
              </w:rPr>
            </w:pPr>
          </w:p>
        </w:tc>
        <w:tc>
          <w:tcPr>
            <w:tcW w:w="0" w:type="auto"/>
          </w:tcPr>
          <w:p w14:paraId="6466A531" w14:textId="77777777" w:rsidR="00103A18" w:rsidRPr="00FE659C" w:rsidRDefault="00103A18" w:rsidP="003E7BE2">
            <w:pPr>
              <w:spacing w:line="240" w:lineRule="auto"/>
              <w:rPr>
                <w:sz w:val="20"/>
                <w:szCs w:val="20"/>
              </w:rPr>
            </w:pPr>
            <w:r w:rsidRPr="00FE659C">
              <w:rPr>
                <w:sz w:val="20"/>
                <w:szCs w:val="20"/>
              </w:rPr>
              <w:t>Major bleeding</w:t>
            </w:r>
          </w:p>
        </w:tc>
        <w:tc>
          <w:tcPr>
            <w:tcW w:w="0" w:type="auto"/>
          </w:tcPr>
          <w:p w14:paraId="50DC4063" w14:textId="77777777" w:rsidR="00103A18" w:rsidRPr="00FE659C" w:rsidRDefault="00103A18" w:rsidP="003E7BE2">
            <w:pPr>
              <w:spacing w:line="240" w:lineRule="auto"/>
              <w:rPr>
                <w:sz w:val="20"/>
                <w:szCs w:val="20"/>
              </w:rPr>
            </w:pPr>
            <w:r w:rsidRPr="00FE659C">
              <w:rPr>
                <w:sz w:val="20"/>
                <w:szCs w:val="20"/>
              </w:rPr>
              <w:t>619</w:t>
            </w:r>
          </w:p>
          <w:p w14:paraId="2C9EEBE9" w14:textId="77777777" w:rsidR="00103A18" w:rsidRPr="00FE659C" w:rsidRDefault="00103A18" w:rsidP="003E7BE2">
            <w:pPr>
              <w:spacing w:line="240" w:lineRule="auto"/>
              <w:rPr>
                <w:sz w:val="20"/>
                <w:szCs w:val="20"/>
              </w:rPr>
            </w:pPr>
            <w:r w:rsidRPr="00FE659C">
              <w:rPr>
                <w:sz w:val="20"/>
                <w:szCs w:val="20"/>
              </w:rPr>
              <w:t>(4 studies)</w:t>
            </w:r>
          </w:p>
          <w:p w14:paraId="6D9F508D" w14:textId="77777777" w:rsidR="00103A18" w:rsidRDefault="00103A18" w:rsidP="003E7BE2">
            <w:pPr>
              <w:spacing w:line="240" w:lineRule="auto"/>
              <w:rPr>
                <w:sz w:val="20"/>
                <w:szCs w:val="20"/>
              </w:rPr>
            </w:pPr>
            <w:r w:rsidRPr="00FE659C">
              <w:rPr>
                <w:sz w:val="20"/>
                <w:szCs w:val="20"/>
              </w:rPr>
              <w:t>6 months</w:t>
            </w:r>
          </w:p>
          <w:p w14:paraId="64AF1573" w14:textId="77777777" w:rsidR="00182D9F" w:rsidRDefault="00182D9F" w:rsidP="003E7BE2">
            <w:pPr>
              <w:spacing w:line="240" w:lineRule="auto"/>
              <w:rPr>
                <w:sz w:val="20"/>
                <w:szCs w:val="20"/>
              </w:rPr>
            </w:pPr>
          </w:p>
          <w:p w14:paraId="22693909" w14:textId="77777777" w:rsidR="00182D9F" w:rsidRDefault="00182D9F" w:rsidP="003E7BE2">
            <w:pPr>
              <w:spacing w:line="240" w:lineRule="auto"/>
              <w:rPr>
                <w:sz w:val="20"/>
                <w:szCs w:val="20"/>
              </w:rPr>
            </w:pPr>
            <w:r>
              <w:rPr>
                <w:sz w:val="20"/>
                <w:szCs w:val="20"/>
              </w:rPr>
              <w:t xml:space="preserve">LMWH group: </w:t>
            </w:r>
            <w:r w:rsidR="003E4474">
              <w:rPr>
                <w:sz w:val="20"/>
                <w:szCs w:val="20"/>
              </w:rPr>
              <w:t>17/318</w:t>
            </w:r>
          </w:p>
          <w:p w14:paraId="67CD0A3B" w14:textId="679C9B42" w:rsidR="003E4474" w:rsidRPr="00FE659C" w:rsidRDefault="003E4474" w:rsidP="003E7BE2">
            <w:pPr>
              <w:spacing w:line="240" w:lineRule="auto"/>
              <w:rPr>
                <w:sz w:val="20"/>
                <w:szCs w:val="20"/>
              </w:rPr>
            </w:pPr>
            <w:r>
              <w:rPr>
                <w:sz w:val="20"/>
                <w:szCs w:val="20"/>
              </w:rPr>
              <w:t>Non-LMWH group: 13/301</w:t>
            </w:r>
          </w:p>
        </w:tc>
        <w:tc>
          <w:tcPr>
            <w:tcW w:w="0" w:type="auto"/>
          </w:tcPr>
          <w:p w14:paraId="400E694D" w14:textId="77777777" w:rsidR="00103A18" w:rsidRPr="00FE659C" w:rsidRDefault="00103A18" w:rsidP="003E7BE2">
            <w:pPr>
              <w:spacing w:line="240" w:lineRule="auto"/>
              <w:rPr>
                <w:b/>
                <w:sz w:val="20"/>
                <w:szCs w:val="20"/>
              </w:rPr>
            </w:pPr>
            <w:r w:rsidRPr="00FE659C">
              <w:rPr>
                <w:b/>
                <w:sz w:val="20"/>
                <w:szCs w:val="20"/>
              </w:rPr>
              <w:t>Moderate</w:t>
            </w:r>
          </w:p>
          <w:p w14:paraId="03EA9015" w14:textId="77777777" w:rsidR="00103A18" w:rsidRPr="00FE659C" w:rsidRDefault="00103A18" w:rsidP="003E7BE2">
            <w:pPr>
              <w:spacing w:line="240" w:lineRule="auto"/>
              <w:rPr>
                <w:b/>
                <w:sz w:val="20"/>
                <w:szCs w:val="20"/>
              </w:rPr>
            </w:pPr>
            <w:r w:rsidRPr="00FE659C">
              <w:rPr>
                <w:sz w:val="20"/>
                <w:szCs w:val="20"/>
              </w:rPr>
              <w:t>due to imprecision</w:t>
            </w:r>
          </w:p>
        </w:tc>
        <w:tc>
          <w:tcPr>
            <w:tcW w:w="0" w:type="auto"/>
          </w:tcPr>
          <w:p w14:paraId="58A638B0" w14:textId="77777777" w:rsidR="00103A18" w:rsidRPr="00FE659C" w:rsidRDefault="00103A18" w:rsidP="003E7BE2">
            <w:pPr>
              <w:spacing w:line="240" w:lineRule="auto"/>
              <w:rPr>
                <w:sz w:val="20"/>
                <w:szCs w:val="20"/>
              </w:rPr>
            </w:pPr>
            <w:r w:rsidRPr="00FE659C">
              <w:rPr>
                <w:sz w:val="20"/>
                <w:szCs w:val="20"/>
              </w:rPr>
              <w:t>OR 1.2 (0.56 to 2.5)</w:t>
            </w:r>
          </w:p>
        </w:tc>
        <w:tc>
          <w:tcPr>
            <w:tcW w:w="0" w:type="auto"/>
          </w:tcPr>
          <w:p w14:paraId="7BD9A794" w14:textId="77777777" w:rsidR="00103A18" w:rsidRPr="00FE659C" w:rsidRDefault="00712692" w:rsidP="003E7BE2">
            <w:pPr>
              <w:spacing w:line="240" w:lineRule="auto"/>
              <w:rPr>
                <w:sz w:val="20"/>
                <w:szCs w:val="20"/>
              </w:rPr>
            </w:pPr>
            <w:r>
              <w:rPr>
                <w:sz w:val="20"/>
                <w:szCs w:val="20"/>
              </w:rPr>
              <w:t>21 per 1,000</w:t>
            </w:r>
          </w:p>
        </w:tc>
        <w:tc>
          <w:tcPr>
            <w:tcW w:w="0" w:type="auto"/>
          </w:tcPr>
          <w:p w14:paraId="67FECB54" w14:textId="77777777" w:rsidR="00103A18" w:rsidRDefault="00712692" w:rsidP="003E7BE2">
            <w:pPr>
              <w:spacing w:line="240" w:lineRule="auto"/>
              <w:rPr>
                <w:sz w:val="20"/>
                <w:szCs w:val="20"/>
              </w:rPr>
            </w:pPr>
            <w:r>
              <w:rPr>
                <w:sz w:val="20"/>
                <w:szCs w:val="20"/>
              </w:rPr>
              <w:t>4 per 1,000 more</w:t>
            </w:r>
          </w:p>
          <w:p w14:paraId="34CB4B61" w14:textId="77777777" w:rsidR="00712692" w:rsidRPr="00FE659C" w:rsidRDefault="00712692" w:rsidP="00712692">
            <w:pPr>
              <w:spacing w:line="240" w:lineRule="auto"/>
              <w:rPr>
                <w:sz w:val="20"/>
                <w:szCs w:val="20"/>
              </w:rPr>
            </w:pPr>
            <w:r>
              <w:rPr>
                <w:sz w:val="20"/>
                <w:szCs w:val="20"/>
              </w:rPr>
              <w:t>(-17 to 122 per 1,000</w:t>
            </w:r>
            <w:r w:rsidR="003E7BE2">
              <w:rPr>
                <w:sz w:val="20"/>
                <w:szCs w:val="20"/>
              </w:rPr>
              <w:t xml:space="preserve"> more</w:t>
            </w:r>
            <w:r>
              <w:rPr>
                <w:sz w:val="20"/>
                <w:szCs w:val="20"/>
              </w:rPr>
              <w:t>)</w:t>
            </w:r>
          </w:p>
        </w:tc>
        <w:tc>
          <w:tcPr>
            <w:tcW w:w="0" w:type="auto"/>
          </w:tcPr>
          <w:p w14:paraId="7617975C" w14:textId="77777777" w:rsidR="00103A18" w:rsidRPr="00FE659C" w:rsidRDefault="00103A18" w:rsidP="004473E0">
            <w:pPr>
              <w:spacing w:line="240" w:lineRule="auto"/>
              <w:rPr>
                <w:sz w:val="20"/>
                <w:szCs w:val="20"/>
              </w:rPr>
            </w:pPr>
            <w:r w:rsidRPr="00FE659C">
              <w:rPr>
                <w:sz w:val="20"/>
                <w:szCs w:val="20"/>
              </w:rPr>
              <w:t xml:space="preserve">Among patients with cancer other than lung cancer a </w:t>
            </w:r>
            <w:proofErr w:type="gramStart"/>
            <w:r w:rsidRPr="00FE659C">
              <w:rPr>
                <w:sz w:val="20"/>
                <w:szCs w:val="20"/>
              </w:rPr>
              <w:t>high risk</w:t>
            </w:r>
            <w:proofErr w:type="gramEnd"/>
            <w:r w:rsidRPr="00FE659C">
              <w:rPr>
                <w:sz w:val="20"/>
                <w:szCs w:val="20"/>
              </w:rPr>
              <w:t xml:space="preserve"> Khorana score, </w:t>
            </w:r>
            <w:r w:rsidR="004473E0">
              <w:rPr>
                <w:sz w:val="20"/>
                <w:szCs w:val="20"/>
              </w:rPr>
              <w:t xml:space="preserve">moderate quality evidence suggests that </w:t>
            </w:r>
            <w:r w:rsidRPr="00FE659C">
              <w:rPr>
                <w:sz w:val="20"/>
                <w:szCs w:val="20"/>
              </w:rPr>
              <w:t>prophylactic (ultra)-low-molecular-weight heparin does not increase the 6-month risk of major bleeding</w:t>
            </w:r>
          </w:p>
        </w:tc>
      </w:tr>
    </w:tbl>
    <w:p w14:paraId="38A26C4A" w14:textId="77777777" w:rsidR="00103A18" w:rsidRDefault="00103A18" w:rsidP="00103A18"/>
    <w:p w14:paraId="4A2118DE" w14:textId="77777777" w:rsidR="00B24001" w:rsidRDefault="00B24001">
      <w:pPr>
        <w:sectPr w:rsidR="00B24001" w:rsidSect="00103A18">
          <w:pgSz w:w="16838" w:h="11906" w:orient="landscape"/>
          <w:pgMar w:top="1417" w:right="1417" w:bottom="1417" w:left="1417" w:header="708" w:footer="708" w:gutter="0"/>
          <w:cols w:space="708"/>
          <w:docGrid w:linePitch="360"/>
        </w:sectPr>
      </w:pPr>
    </w:p>
    <w:p w14:paraId="72C3E027" w14:textId="77777777" w:rsidR="00B24001" w:rsidRDefault="00B24001">
      <w:pPr>
        <w:rPr>
          <w:b/>
        </w:rPr>
      </w:pPr>
      <w:r>
        <w:rPr>
          <w:b/>
        </w:rPr>
        <w:lastRenderedPageBreak/>
        <w:t>Supplementary Figure 1. Risk of bias</w:t>
      </w:r>
      <w:r w:rsidR="000B6C24">
        <w:rPr>
          <w:b/>
        </w:rPr>
        <w:t xml:space="preserve"> summary</w:t>
      </w:r>
      <w:r w:rsidR="00035C98">
        <w:rPr>
          <w:b/>
        </w:rPr>
        <w:t xml:space="preserve"> for venous thromboembolism and major bleeding</w:t>
      </w:r>
    </w:p>
    <w:p w14:paraId="5F7B1A66" w14:textId="77777777" w:rsidR="00B24001" w:rsidRDefault="00B24001">
      <w:pPr>
        <w:rPr>
          <w:b/>
        </w:rPr>
      </w:pPr>
      <w:r w:rsidRPr="00FE6617">
        <w:rPr>
          <w:b/>
          <w:noProof/>
          <w:lang w:val="en-CA" w:eastAsia="zh-CN"/>
        </w:rPr>
        <w:drawing>
          <wp:inline distT="0" distB="0" distL="0" distR="0" wp14:anchorId="40A6D233" wp14:editId="5ADAD747">
            <wp:extent cx="4777740" cy="46177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7740" cy="4617720"/>
                    </a:xfrm>
                    <a:prstGeom prst="rect">
                      <a:avLst/>
                    </a:prstGeom>
                    <a:noFill/>
                    <a:ln>
                      <a:noFill/>
                    </a:ln>
                  </pic:spPr>
                </pic:pic>
              </a:graphicData>
            </a:graphic>
          </wp:inline>
        </w:drawing>
      </w:r>
    </w:p>
    <w:p w14:paraId="10B099FE" w14:textId="77777777" w:rsidR="000B6C24" w:rsidRPr="00FE6617" w:rsidRDefault="00843846" w:rsidP="002F3CB2">
      <w:r>
        <w:t>J</w:t>
      </w:r>
      <w:r w:rsidR="000B6C24" w:rsidRPr="00FE6617">
        <w:t>udgements about each methodological quali</w:t>
      </w:r>
      <w:r w:rsidR="000B6C24" w:rsidRPr="000B6C24">
        <w:t>ty item for each included study</w:t>
      </w:r>
      <w:r w:rsidR="000B6C24">
        <w:t>.</w:t>
      </w:r>
    </w:p>
    <w:p w14:paraId="62105E11" w14:textId="0641DE1C" w:rsidR="002F3CB2" w:rsidRPr="00BF06E4" w:rsidRDefault="002F3CB2" w:rsidP="002F3CB2">
      <w:pPr>
        <w:rPr>
          <w:szCs w:val="22"/>
          <w:lang w:val="nl-NL"/>
        </w:rPr>
      </w:pPr>
      <w:r w:rsidRPr="00FE6617">
        <w:t xml:space="preserve">Studies: </w:t>
      </w:r>
      <w:r w:rsidRPr="000B6C24">
        <w:rPr>
          <w:szCs w:val="22"/>
        </w:rPr>
        <w:t>Agnelli (2012)</w:t>
      </w:r>
      <w:r w:rsidR="003528D5" w:rsidRPr="00441CA9">
        <w:rPr>
          <w:sz w:val="20"/>
          <w:szCs w:val="20"/>
        </w:rPr>
        <w:fldChar w:fldCharType="begin" w:fldLock="1"/>
      </w:r>
      <w:r w:rsidR="009115A9">
        <w:rPr>
          <w:sz w:val="20"/>
          <w:szCs w:val="20"/>
        </w:rPr>
        <w:instrText>ADDIN CSL_CITATION {"citationItems":[{"id":"ITEM-1","itemData":{"DOI":"10.1056/NEJMoa1108898","ISBN":"1533-4406 (Electronic)\\r0028-4793 (Linking)","ISSN":"1533-4406","PMID":"22335737","abstract":"Patients receiving chemotherapy for cancer are at increased risk for venous thromboembolism. Limited data support the clinical benefit of antithrombotic prophylaxis.","author":[{"dropping-particle":"","family":"Agnelli","given":"Giancarlo","non-dropping-particle":"","parse-names":false,"suffix":""},{"dropping-particle":"","family":"George","given":"Daniel J.","non-dropping-particle":"","parse-names":false,"suffix":""},{"dropping-particle":"","family":"Kakkar","given":"Ajay K.","non-dropping-particle":"","parse-names":false,"suffix":""},{"dropping-particle":"","family":"Fisher","given":"William","non-dropping-particle":"","parse-names":false,"suffix":""},{"dropping-particle":"","family":"Lassen","given":"Michael R.","non-dropping-particle":"","parse-names":false,"suffix":""},{"dropping-particle":"","family":"Mismetti","given":"Patrick","non-dropping-particle":"","parse-names":false,"suffix":""},{"dropping-particle":"","family":"Mouret","given":"Patrick","non-dropping-particle":"","parse-names":false,"suffix":""},{"dropping-particle":"","family":"Chaudhari","given":"Umesh","non-dropping-particle":"","parse-names":false,"suffix":""},{"dropping-particle":"","family":"Lawson","given":"Francesca","non-dropping-particle":"","parse-names":false,"suffix":""},{"dropping-particle":"","family":"Turpie","given":"Alexander G.G. G","non-dropping-particle":"","parse-names":false,"suffix":""}],"container-title":"The New England journal of medicine","id":"ITEM-1","issue":"7","issued":{"date-parts":[["2012","2","16"]]},"page":"601-9","title":"Semuloparin for thromboprophylaxis in patients receiving chemotherapy for cancer.","type":"article-journal","volume":"366"},"uris":["http://www.mendeley.com/documents/?uuid=163e97f3-3044-457c-b2b6-2ea1146a67b4"]}],"mendeley":{"formattedCitation":"&lt;sup&gt;26&lt;/sup&gt;","plainTextFormattedCitation":"26","previouslyFormattedCitation":"&lt;sup&gt;25&lt;/sup&gt;"},"properties":{"noteIndex":0},"schema":"https://github.com/citation-style-language/schema/raw/master/csl-citation.json"}</w:instrText>
      </w:r>
      <w:r w:rsidR="003528D5" w:rsidRPr="00441CA9">
        <w:rPr>
          <w:sz w:val="20"/>
          <w:szCs w:val="20"/>
        </w:rPr>
        <w:fldChar w:fldCharType="separate"/>
      </w:r>
      <w:r w:rsidR="009115A9" w:rsidRPr="009115A9">
        <w:rPr>
          <w:noProof/>
          <w:sz w:val="20"/>
          <w:szCs w:val="20"/>
          <w:vertAlign w:val="superscript"/>
        </w:rPr>
        <w:t>26</w:t>
      </w:r>
      <w:r w:rsidR="003528D5" w:rsidRPr="00441CA9">
        <w:rPr>
          <w:sz w:val="20"/>
          <w:szCs w:val="20"/>
        </w:rPr>
        <w:fldChar w:fldCharType="end"/>
      </w:r>
      <w:r w:rsidRPr="000B6C24">
        <w:rPr>
          <w:szCs w:val="22"/>
        </w:rPr>
        <w:t>, TOPIC-1 (2005)</w:t>
      </w:r>
      <w:r w:rsidR="002F79B0" w:rsidRPr="00441CA9">
        <w:rPr>
          <w:sz w:val="20"/>
          <w:szCs w:val="20"/>
        </w:rPr>
        <w:fldChar w:fldCharType="begin" w:fldLock="1"/>
      </w:r>
      <w:r w:rsidR="009115A9">
        <w:rPr>
          <w:sz w:val="20"/>
          <w:szCs w:val="20"/>
        </w:rPr>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2F79B0" w:rsidRPr="00441CA9">
        <w:rPr>
          <w:sz w:val="20"/>
          <w:szCs w:val="20"/>
        </w:rPr>
        <w:fldChar w:fldCharType="separate"/>
      </w:r>
      <w:r w:rsidR="009115A9" w:rsidRPr="009115A9">
        <w:rPr>
          <w:noProof/>
          <w:sz w:val="20"/>
          <w:szCs w:val="20"/>
          <w:vertAlign w:val="superscript"/>
        </w:rPr>
        <w:t>25</w:t>
      </w:r>
      <w:r w:rsidR="002F79B0" w:rsidRPr="00441CA9">
        <w:rPr>
          <w:sz w:val="20"/>
          <w:szCs w:val="20"/>
        </w:rPr>
        <w:fldChar w:fldCharType="end"/>
      </w:r>
      <w:r w:rsidRPr="000B6C24">
        <w:rPr>
          <w:szCs w:val="22"/>
        </w:rPr>
        <w:t>, TOPIC-2 (2012)</w:t>
      </w:r>
      <w:r w:rsidR="002F79B0" w:rsidRPr="00441CA9">
        <w:rPr>
          <w:sz w:val="20"/>
          <w:szCs w:val="20"/>
        </w:rPr>
        <w:fldChar w:fldCharType="begin" w:fldLock="1"/>
      </w:r>
      <w:r w:rsidR="009115A9">
        <w:rPr>
          <w:sz w:val="20"/>
          <w:szCs w:val="20"/>
        </w:rPr>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2F79B0" w:rsidRPr="00441CA9">
        <w:rPr>
          <w:sz w:val="20"/>
          <w:szCs w:val="20"/>
        </w:rPr>
        <w:fldChar w:fldCharType="separate"/>
      </w:r>
      <w:r w:rsidR="009115A9" w:rsidRPr="009115A9">
        <w:rPr>
          <w:noProof/>
          <w:sz w:val="20"/>
          <w:szCs w:val="20"/>
          <w:vertAlign w:val="superscript"/>
        </w:rPr>
        <w:t>25</w:t>
      </w:r>
      <w:r w:rsidR="002F79B0" w:rsidRPr="00441CA9">
        <w:rPr>
          <w:sz w:val="20"/>
          <w:szCs w:val="20"/>
        </w:rPr>
        <w:fldChar w:fldCharType="end"/>
      </w:r>
      <w:r w:rsidRPr="000B6C24">
        <w:rPr>
          <w:szCs w:val="22"/>
        </w:rPr>
        <w:t>, Lecumberri (2013)</w:t>
      </w:r>
      <w:r w:rsidR="004829E7">
        <w:rPr>
          <w:sz w:val="20"/>
          <w:szCs w:val="20"/>
        </w:rPr>
        <w:fldChar w:fldCharType="begin" w:fldLock="1"/>
      </w:r>
      <w:r w:rsidR="009115A9">
        <w:rPr>
          <w:sz w:val="20"/>
          <w:szCs w:val="20"/>
        </w:rPr>
        <w:instrText>ADDIN CSL_CITATION {"citationItems":[{"id":"ITEM-1","itemData":{"DOI":"10.1016/j.thromres.2013.09.026","ISBN":"0049-3848","ISSN":"00493848","PMID":"24491267","abstract":"Introduction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Research","id":"ITEM-1","issue":"6","issued":{"date-parts":[["2013"]]},"page":"666-670","publisher":"Elsevier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30&lt;/sup&gt;","plainTextFormattedCitation":"30","previouslyFormattedCitation":"&lt;sup&gt;29&lt;/sup&gt;"},"properties":{"noteIndex":0},"schema":"https://github.com/citation-style-language/schema/raw/master/csl-citation.json"}</w:instrText>
      </w:r>
      <w:r w:rsidR="004829E7">
        <w:rPr>
          <w:sz w:val="20"/>
          <w:szCs w:val="20"/>
        </w:rPr>
        <w:fldChar w:fldCharType="separate"/>
      </w:r>
      <w:r w:rsidR="009115A9" w:rsidRPr="009115A9">
        <w:rPr>
          <w:noProof/>
          <w:sz w:val="20"/>
          <w:szCs w:val="20"/>
          <w:vertAlign w:val="superscript"/>
        </w:rPr>
        <w:t>30</w:t>
      </w:r>
      <w:r w:rsidR="004829E7">
        <w:rPr>
          <w:sz w:val="20"/>
          <w:szCs w:val="20"/>
        </w:rPr>
        <w:fldChar w:fldCharType="end"/>
      </w:r>
      <w:r w:rsidRPr="000B6C24">
        <w:rPr>
          <w:szCs w:val="22"/>
        </w:rPr>
        <w:t>, Macbeth (2015)</w:t>
      </w:r>
      <w:r w:rsidR="001B45C6" w:rsidRPr="00441CA9">
        <w:rPr>
          <w:sz w:val="20"/>
          <w:szCs w:val="20"/>
        </w:rPr>
        <w:fldChar w:fldCharType="begin" w:fldLock="1"/>
      </w:r>
      <w:r w:rsidR="009115A9">
        <w:rPr>
          <w:sz w:val="20"/>
          <w:szCs w:val="20"/>
        </w:rPr>
        <w:instrText>ADDIN CSL_CITATION {"citationItems":[{"id":"ITEM-1","itemData":{"DOI":"10.1200/JCO.2015.64.0268","ISSN":"1527-7755","PMID":"26700124","abstract":"PURPOSE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w:instrText>
      </w:r>
      <w:r w:rsidR="009115A9" w:rsidRPr="009115A9">
        <w:rPr>
          <w:sz w:val="20"/>
          <w:szCs w:val="20"/>
          <w:lang w:val="nl-NL"/>
        </w:rPr>
        <w:instrText>":"Barbara","non-dropping-particle":"","parse-names":false,"suffix":""},{"dropping-particle":"","family":"Woll","given":"Penella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Oncology","id":"ITEM-1","issue":"5","issued":{"date-parts":[["2015"]]},"page":"1-10","title":"Randomized Phase III Trial of Standard Therapy Plus Low Molecular Weight Heparin in Patients With Lung Cancer: FRAGMATIC Trial.","type":"article-journal","volume":"34"},"uris":["http://www.mendeley.com/documents/?uuid=a2c49b34-51df-4edc-9398-694226078cd1"]}],"mendeley":{"formattedCitation":"&lt;sup&gt;27&lt;/sup&gt;","plainTextFormattedCitation":"27","previouslyFormattedCitation":"&lt;sup&gt;26&lt;/sup&gt;"},"properties":{"noteIndex":0},"schema":"https://github.com/citation-style-language/schema/raw/master/csl-citation.json"}</w:instrText>
      </w:r>
      <w:r w:rsidR="001B45C6" w:rsidRPr="00441CA9">
        <w:rPr>
          <w:sz w:val="20"/>
          <w:szCs w:val="20"/>
        </w:rPr>
        <w:fldChar w:fldCharType="separate"/>
      </w:r>
      <w:r w:rsidR="009115A9" w:rsidRPr="009115A9">
        <w:rPr>
          <w:noProof/>
          <w:sz w:val="20"/>
          <w:szCs w:val="20"/>
          <w:vertAlign w:val="superscript"/>
          <w:lang w:val="nl-NL"/>
        </w:rPr>
        <w:t>27</w:t>
      </w:r>
      <w:r w:rsidR="001B45C6" w:rsidRPr="00441CA9">
        <w:rPr>
          <w:sz w:val="20"/>
          <w:szCs w:val="20"/>
        </w:rPr>
        <w:fldChar w:fldCharType="end"/>
      </w:r>
      <w:r w:rsidRPr="00BF06E4">
        <w:rPr>
          <w:szCs w:val="22"/>
          <w:lang w:val="nl-NL"/>
        </w:rPr>
        <w:t>, Pelzer (2015)</w:t>
      </w:r>
      <w:r w:rsidR="0021394E">
        <w:rPr>
          <w:sz w:val="20"/>
          <w:szCs w:val="20"/>
        </w:rPr>
        <w:fldChar w:fldCharType="begin" w:fldLock="1"/>
      </w:r>
      <w:r w:rsidR="009115A9">
        <w:rPr>
          <w:sz w:val="20"/>
          <w:szCs w:val="20"/>
          <w:lang w:val="nl-NL"/>
        </w:rPr>
        <w:instrText>ADDIN CSL_CITATION {"citationItems":[{"id":"ITEM-1","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Oncology","id":"ITEM-1","issue":"18","issued":{"date-parts":[["2015","6","20"]]},"page":"2028-2034","title":"Efficacy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28&lt;/sup&gt;","plainTextFormattedCitation":"28","previouslyFormattedCitation":"&lt;sup&gt;27&lt;/sup&gt;"},"properties":{"noteIndex":0},"schema":"https://github.com/citation-style-language/schema/raw/master/csl-citation.json"}</w:instrText>
      </w:r>
      <w:r w:rsidR="0021394E">
        <w:rPr>
          <w:sz w:val="20"/>
          <w:szCs w:val="20"/>
        </w:rPr>
        <w:fldChar w:fldCharType="separate"/>
      </w:r>
      <w:r w:rsidR="009115A9" w:rsidRPr="009115A9">
        <w:rPr>
          <w:noProof/>
          <w:sz w:val="20"/>
          <w:szCs w:val="20"/>
          <w:vertAlign w:val="superscript"/>
          <w:lang w:val="nl-NL"/>
        </w:rPr>
        <w:t>28</w:t>
      </w:r>
      <w:r w:rsidR="0021394E">
        <w:rPr>
          <w:sz w:val="20"/>
          <w:szCs w:val="20"/>
        </w:rPr>
        <w:fldChar w:fldCharType="end"/>
      </w:r>
      <w:r w:rsidRPr="00BF06E4">
        <w:rPr>
          <w:szCs w:val="22"/>
          <w:lang w:val="nl-NL"/>
        </w:rPr>
        <w:t>, Perry (2010)</w:t>
      </w:r>
      <w:r w:rsidR="003621C6" w:rsidRPr="00441CA9">
        <w:rPr>
          <w:sz w:val="20"/>
          <w:szCs w:val="20"/>
        </w:rPr>
        <w:fldChar w:fldCharType="begin" w:fldLock="1"/>
      </w:r>
      <w:r w:rsidR="009115A9">
        <w:rPr>
          <w:sz w:val="20"/>
          <w:szCs w:val="20"/>
          <w:lang w:val="nl-NL"/>
        </w:rPr>
        <w:instrText>ADDIN CSL_CITATION {"citationItems":[{"id":"ITEM-1","itemData":{"DOI":"10.1111/j.1538-7836.2010.03973.x","ISBN":"1538-7836 (Electronic)\\r1538-7836 (Linking)","ISSN":"15387933","PMID":"20598077","abstract":"Venous thromboembolism (VTE) occurs in 20-30% of patients with malignant glioma per year of survival. We tested the efficacy of long-term dalteparin low-molecular-weight heparin (LMWH) for prevention of VTE in these patients.","author":[{"dropping-particle":"","family":"Perry","given":"J. R.","non-dropping-particle":"","parse-names":false,"suffix":""},{"dropping-particle":"","family":"Julian","given":"J. A.","non-dropping-particle":"","parse-names":false,"suffix":""},{"dropping-particle":"","family":"Laperriere","given":"N. J.","non-dropping-particle":"","parse-names":false,"suffix":""},{"dropping-particle":"","family":"Geerts","given":"W.","non-dropping-particle":"","parse-names":false,"suffix":""},{"dropping-particle":"","family":"Agnelli","given":"G.","non-dropping-particle":"","parse-names":false,"suffix":""},{"dropping-particle":"","family":"Rogers","given":"L. R.","non-dropping-particle":"","parse-names":false,"suffix":""},{"dropping-particle":"","family":"Malkin","given":"M. G.","non-dropping-particle":"","parse-names":false,"suffix":""},{"dropping-particle":"","family":"Sawaya","given":"R.","non-dropping-particle":"","parse-names":false,"suffix":""},{"dropping-particle":"","family":"Baker","given":"R.","non-dropping-particle":"","parse-names":false,"suffix":""},{"dropping-particle":"","family":"Falanga","given":"A.","non-dropping-particle":"","parse-names":false,"suffix":""},{"dropping-particle":"","family":"Parpia","given":"S.","non-dropping-particle":"","parse-names":false,"suffix":""},{"dropping-particle":"","family":"Finch","given":"T.","non-dropping-particle":"","parse-names":false,"suffix":""},{"dropping-particle":"","family":"Levine","given":"M. N.","non-dropping-particle":"","parse-names":false,"suffix":""}],"container-title":"Journal of Thrombosis and Haemostasis","id":"ITEM-1","issue":"9","issued":{"date-parts":[["2010"]]},"page":"1959-1965","title":"PRODIGE: A randomized placebo-controlled trial of dalteparin low-molecular-weight heparin thromboprophylaxis in patients with newly diagnosed malignant glioma","type":"article-journal","volume":"8"},"uris":["http://www.mendeley.com/documents/?uuid=958bc7bf-f2f2-467a-9e12-95870aa61658"]}],"mendeley":{"formattedCitation":"&lt;sup&gt;29&lt;/sup&gt;","plainTextFormattedCitation":"29","previouslyFormattedCitation":"&lt;sup&gt;28&lt;/sup&gt;"},"properties":{"noteIndex":0},"schema":"https://github.com/citation-style-language/schema/raw/master/csl-citation.json"}</w:instrText>
      </w:r>
      <w:r w:rsidR="003621C6" w:rsidRPr="00441CA9">
        <w:rPr>
          <w:sz w:val="20"/>
          <w:szCs w:val="20"/>
        </w:rPr>
        <w:fldChar w:fldCharType="separate"/>
      </w:r>
      <w:r w:rsidR="009115A9" w:rsidRPr="009115A9">
        <w:rPr>
          <w:noProof/>
          <w:sz w:val="20"/>
          <w:szCs w:val="20"/>
          <w:vertAlign w:val="superscript"/>
          <w:lang w:val="nl-NL"/>
        </w:rPr>
        <w:t>29</w:t>
      </w:r>
      <w:r w:rsidR="003621C6" w:rsidRPr="00441CA9">
        <w:rPr>
          <w:sz w:val="20"/>
          <w:szCs w:val="20"/>
        </w:rPr>
        <w:fldChar w:fldCharType="end"/>
      </w:r>
    </w:p>
    <w:p w14:paraId="28F5A63E" w14:textId="77777777" w:rsidR="00B24001" w:rsidRPr="00BF06E4" w:rsidRDefault="00B24001">
      <w:pPr>
        <w:spacing w:line="240" w:lineRule="auto"/>
        <w:rPr>
          <w:b/>
          <w:lang w:val="nl-NL"/>
        </w:rPr>
      </w:pPr>
      <w:r w:rsidRPr="00BF06E4">
        <w:rPr>
          <w:b/>
          <w:lang w:val="nl-NL"/>
        </w:rPr>
        <w:br w:type="page"/>
      </w:r>
    </w:p>
    <w:p w14:paraId="72F759DC" w14:textId="5CBE4D61" w:rsidR="00F079B1" w:rsidRPr="009115A9" w:rsidRDefault="009F7868">
      <w:pPr>
        <w:rPr>
          <w:b/>
          <w:lang w:val="nl-NL"/>
        </w:rPr>
      </w:pPr>
      <w:r w:rsidRPr="009115A9">
        <w:rPr>
          <w:b/>
          <w:lang w:val="nl-NL"/>
        </w:rPr>
        <w:lastRenderedPageBreak/>
        <w:t>Supp</w:t>
      </w:r>
      <w:r w:rsidR="000F507B" w:rsidRPr="009115A9">
        <w:rPr>
          <w:b/>
          <w:lang w:val="nl-NL"/>
        </w:rPr>
        <w:t>lementary Figure</w:t>
      </w:r>
      <w:r w:rsidR="00B24001" w:rsidRPr="009115A9">
        <w:rPr>
          <w:b/>
          <w:lang w:val="nl-NL"/>
        </w:rPr>
        <w:t xml:space="preserve"> 2</w:t>
      </w:r>
      <w:r w:rsidRPr="009115A9">
        <w:rPr>
          <w:b/>
          <w:lang w:val="nl-NL"/>
        </w:rPr>
        <w:t>. Forest plot of area</w:t>
      </w:r>
      <w:r w:rsidR="005254E1" w:rsidRPr="009115A9">
        <w:rPr>
          <w:b/>
          <w:lang w:val="nl-NL"/>
        </w:rPr>
        <w:t>s</w:t>
      </w:r>
      <w:r w:rsidRPr="009115A9">
        <w:rPr>
          <w:b/>
          <w:lang w:val="nl-NL"/>
        </w:rPr>
        <w:t xml:space="preserve"> under the </w:t>
      </w:r>
      <w:r w:rsidR="005254E1" w:rsidRPr="009115A9">
        <w:rPr>
          <w:b/>
          <w:lang w:val="nl-NL"/>
        </w:rPr>
        <w:t xml:space="preserve">receiver operating characteristics </w:t>
      </w:r>
      <w:r w:rsidRPr="009115A9">
        <w:rPr>
          <w:b/>
          <w:lang w:val="nl-NL"/>
        </w:rPr>
        <w:t>curve</w:t>
      </w:r>
      <w:r w:rsidR="005254E1" w:rsidRPr="009115A9">
        <w:rPr>
          <w:b/>
          <w:lang w:val="nl-NL"/>
        </w:rPr>
        <w:t>s</w:t>
      </w:r>
    </w:p>
    <w:p w14:paraId="163F35C0" w14:textId="77777777" w:rsidR="009F7868" w:rsidRPr="009115A9" w:rsidRDefault="009F7868">
      <w:pPr>
        <w:rPr>
          <w:b/>
          <w:lang w:val="nl-NL"/>
        </w:rPr>
      </w:pPr>
    </w:p>
    <w:p w14:paraId="11FDBEB9" w14:textId="1EEC6C3D" w:rsidR="009F7868" w:rsidRPr="00BF06E4" w:rsidRDefault="005254E1">
      <w:pPr>
        <w:rPr>
          <w:lang w:val="nl-NL"/>
        </w:rPr>
      </w:pPr>
      <w:r>
        <w:rPr>
          <w:noProof/>
        </w:rPr>
        <w:drawing>
          <wp:inline distT="0" distB="0" distL="0" distR="0" wp14:anchorId="79823C28" wp14:editId="6061B1BC">
            <wp:extent cx="5756910" cy="2106930"/>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2106930"/>
                    </a:xfrm>
                    <a:prstGeom prst="rect">
                      <a:avLst/>
                    </a:prstGeom>
                    <a:noFill/>
                    <a:ln>
                      <a:noFill/>
                    </a:ln>
                  </pic:spPr>
                </pic:pic>
              </a:graphicData>
            </a:graphic>
          </wp:inline>
        </w:drawing>
      </w:r>
    </w:p>
    <w:p w14:paraId="6ABE8523" w14:textId="6731E4FE" w:rsidR="00A75209" w:rsidRPr="00D70F8D" w:rsidRDefault="005254E1" w:rsidP="00A75209">
      <w:pPr>
        <w:rPr>
          <w:szCs w:val="22"/>
        </w:rPr>
      </w:pPr>
      <w:r w:rsidRPr="009115A9">
        <w:rPr>
          <w:bCs/>
          <w:sz w:val="20"/>
          <w:szCs w:val="20"/>
          <w:lang w:val="nl-NL"/>
        </w:rPr>
        <w:t xml:space="preserve">Forest plot displays area under receiver operating characteristic curves after transformation from logit scale. </w:t>
      </w:r>
      <w:r w:rsidRPr="00BF06E4">
        <w:rPr>
          <w:bCs/>
          <w:sz w:val="20"/>
          <w:szCs w:val="20"/>
          <w:lang w:val="nl-NL"/>
        </w:rPr>
        <w:t xml:space="preserve">Heterogeneity: </w:t>
      </w:r>
      <w:r w:rsidRPr="00BF06E4">
        <w:rPr>
          <w:lang w:val="nl-NL"/>
        </w:rPr>
        <w:t>I</w:t>
      </w:r>
      <w:r w:rsidRPr="00BF06E4">
        <w:rPr>
          <w:vertAlign w:val="superscript"/>
          <w:lang w:val="nl-NL"/>
        </w:rPr>
        <w:t>2</w:t>
      </w:r>
      <w:r w:rsidRPr="00BF06E4">
        <w:rPr>
          <w:lang w:val="nl-NL"/>
        </w:rPr>
        <w:t xml:space="preserve">=57%, </w:t>
      </w:r>
      <w:r w:rsidRPr="00BF06E4">
        <w:rPr>
          <w:i/>
          <w:lang w:val="nl-NL"/>
        </w:rPr>
        <w:t>P</w:t>
      </w:r>
      <w:r w:rsidRPr="00BF06E4">
        <w:rPr>
          <w:lang w:val="nl-NL"/>
        </w:rPr>
        <w:t>=0.03.</w:t>
      </w:r>
      <w:r w:rsidR="001E4FE3" w:rsidRPr="00BF06E4">
        <w:rPr>
          <w:bCs/>
          <w:sz w:val="20"/>
          <w:szCs w:val="20"/>
          <w:lang w:val="nl-NL"/>
        </w:rPr>
        <w:t xml:space="preserve"> </w:t>
      </w:r>
      <w:r w:rsidR="00A75209" w:rsidRPr="00BF06E4">
        <w:rPr>
          <w:lang w:val="nl-NL"/>
        </w:rPr>
        <w:t xml:space="preserve">Studies: </w:t>
      </w:r>
      <w:r w:rsidR="00A75209" w:rsidRPr="00BF06E4">
        <w:rPr>
          <w:szCs w:val="22"/>
          <w:lang w:val="nl-NL"/>
        </w:rPr>
        <w:t>Agnelli (2012)</w:t>
      </w:r>
      <w:r w:rsidR="00A75209" w:rsidRPr="00441CA9">
        <w:rPr>
          <w:sz w:val="20"/>
          <w:szCs w:val="20"/>
        </w:rPr>
        <w:fldChar w:fldCharType="begin" w:fldLock="1"/>
      </w:r>
      <w:r w:rsidR="009115A9">
        <w:rPr>
          <w:sz w:val="20"/>
          <w:szCs w:val="20"/>
          <w:lang w:val="nl-NL"/>
        </w:rPr>
        <w:instrText>ADDIN CSL_CITATION {"citationItems":[{"id":"ITEM-1","itemData":{"DOI":"10.1056/NEJMoa1108898","ISBN":"1533-4406 (Electronic)\\r0028-4793 (Linking)","ISSN":"1533-4406","PMID":"22335737","abstract":"Patients receiving chemotherapy for cancer are at increased risk for venous thromboembolism. Limited data support the clinical benefit of antithrombotic prophylaxis.","author":[{"dropping-particle":"","family":"Agnelli","given":"Giancarlo","non-dropping-particle":"","parse-names":false,"suffix":""},{"dropping-particle":"","family":"George","given":"Daniel J.","non-dropping-particle":"","parse-names":false,"suffix":""},{"dropping-particle":"","family":"Kakkar","given":"Ajay K.","non-dropping-particle":"","parse-names":false,"suffix":""},{"dropping-particle":"","family":"Fisher","given":"William","non-dropping-particle":"","parse-names":false,"suffix":""},{"dropping-particle":"","family":"Lassen","given":"Michael R.","non-dropping-particle":"","parse-names":false,"suffix":""},{"dropping-particle":"","family":"Mismetti","given":"Patrick","non-dropping-particle":"","parse-names":false,"suffix":""},{"dropping-particle":"","family":"Mouret","given":"Patrick","non-dropping-particle":"","parse-names":false,"suffix":""},{"dropping-particle":"","family":"Chaudhari","given":"Umesh","non-dropping-particle":"","parse-names":false,"suffix":""},{"dropping-particle":"","family":"Lawson","given":"Francesca","non-dropping-particle":"","parse-names":false,"suffix":""},{"dropping-particle":"","family":"Turpie","given":"Alexander G.G. G","non-dropping-particle":"","parse-names":false,"suffix":""}],"container-title":"The New England journal of medicine","id":"ITEM-1","issue":"7","issued":{"date-parts":[["2012","2","16"]]},"page":"601-9","title":"Semuloparin for thromboprophylaxis in patients receiving chemotherapy for cancer.","type":"article-journal","volume":"366"},"uris":["http://www.mendeley.com/documents/?uuid=163e97f3-3044-457c-b2b6-2ea1146a67b4"]}],"mendeley":{"formattedCitation":"&lt;sup&gt;26&lt;/sup&gt;","plainTextFormattedCitation":"26","previouslyFormattedCitation":"&lt;sup&gt;25&lt;/sup&gt;"},"properties":{"noteIndex":0},"schema":"https://github.com/citation-style-language/schema/raw/master/csl-citation.json"}</w:instrText>
      </w:r>
      <w:r w:rsidR="00A75209" w:rsidRPr="00441CA9">
        <w:rPr>
          <w:sz w:val="20"/>
          <w:szCs w:val="20"/>
        </w:rPr>
        <w:fldChar w:fldCharType="separate"/>
      </w:r>
      <w:r w:rsidR="009115A9" w:rsidRPr="009115A9">
        <w:rPr>
          <w:noProof/>
          <w:sz w:val="20"/>
          <w:szCs w:val="20"/>
          <w:vertAlign w:val="superscript"/>
          <w:lang w:val="nl-NL"/>
        </w:rPr>
        <w:t>26</w:t>
      </w:r>
      <w:r w:rsidR="00A75209" w:rsidRPr="00441CA9">
        <w:rPr>
          <w:sz w:val="20"/>
          <w:szCs w:val="20"/>
        </w:rPr>
        <w:fldChar w:fldCharType="end"/>
      </w:r>
      <w:r w:rsidR="00A75209" w:rsidRPr="00BC28CF">
        <w:rPr>
          <w:szCs w:val="22"/>
          <w:lang w:val="nl-NL"/>
        </w:rPr>
        <w:t>, TOPIC-1 (2005)</w:t>
      </w:r>
      <w:r w:rsidR="00A75209" w:rsidRPr="00441CA9">
        <w:rPr>
          <w:sz w:val="20"/>
          <w:szCs w:val="20"/>
        </w:rPr>
        <w:fldChar w:fldCharType="begin" w:fldLock="1"/>
      </w:r>
      <w:r w:rsidR="009115A9">
        <w:rPr>
          <w:sz w:val="20"/>
          <w:szCs w:val="20"/>
          <w:lang w:val="nl-NL"/>
        </w:rPr>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A75209" w:rsidRPr="00441CA9">
        <w:rPr>
          <w:sz w:val="20"/>
          <w:szCs w:val="20"/>
        </w:rPr>
        <w:fldChar w:fldCharType="separate"/>
      </w:r>
      <w:r w:rsidR="009115A9" w:rsidRPr="009115A9">
        <w:rPr>
          <w:noProof/>
          <w:sz w:val="20"/>
          <w:szCs w:val="20"/>
          <w:vertAlign w:val="superscript"/>
        </w:rPr>
        <w:t>25</w:t>
      </w:r>
      <w:r w:rsidR="00A75209" w:rsidRPr="00441CA9">
        <w:rPr>
          <w:sz w:val="20"/>
          <w:szCs w:val="20"/>
        </w:rPr>
        <w:fldChar w:fldCharType="end"/>
      </w:r>
      <w:r w:rsidR="00A75209" w:rsidRPr="000B6C24">
        <w:rPr>
          <w:szCs w:val="22"/>
        </w:rPr>
        <w:t>, TOPIC-2 (2012)</w:t>
      </w:r>
      <w:r w:rsidR="00A75209" w:rsidRPr="00441CA9">
        <w:rPr>
          <w:sz w:val="20"/>
          <w:szCs w:val="20"/>
        </w:rPr>
        <w:fldChar w:fldCharType="begin" w:fldLock="1"/>
      </w:r>
      <w:r w:rsidR="009115A9">
        <w:rPr>
          <w:sz w:val="20"/>
          <w:szCs w:val="20"/>
        </w:rPr>
        <w:instrText>ADDIN CSL_CITATION {"citationItems":[{"id":"ITEM-1","itemData":{"DOI":"10.1177/1076029611433769","ISBN":"1111111111","ISSN":"1938-2723","PMID":"22275397","abstract":"In 2 double-blind studies, ambulatory patients with objectively proven, disseminated metastatic breast carcinoma (TOPIC-1) or stage III/IV non-small-cell lung carcinoma (TOPIC-2) were randomized to certoparin 3000 IU or placebo subcutaneously once daily, for 6 months. Primary efficacy outcome was objectively confirmed symptomatic or asymptomatic venous thromboembolism (VTE). Safety outcomes included bleeding (major and minor), and thrombocytopenia. TOPIC-1 was halted after an interim analysis. Venous thromboembolism occurrence was not different between treatment groups in TOPIC-1 (4% treated with certoparin, 7 of 174 vs 4% receiving placebo, 7 of 177, odds ratio [OR] 1.02; 95% confidence interval [CI] 0.30-3.48) and in TOPIC-2 (4.5%, 12 of 268) vs 8.3%, 22 of 264, respectively, OR 0.52; CI 0.23-1.12). Mortality was not different between groups. A post hoc analysis showed certoparin significantly reduced VTE in stage IV lung carcinoma (3.5% vs 10.2%; P = .032) without increased bleeding. In conclusion, thrombosis risk and prophylactic benefit was highest in stage IV lung carcinoma patients.","author":[{"dropping-particle":"","family":"Haas","given":"Sylvia K.","non-dropping-particle":"","parse-names":false,"suffix":""},{"dropping-particle":"","family":"Freund","given":"Mathias","non-dropping-particle":"","parse-names":false,"suffix":""},{"dropping-particle":"","family":"Heigener","given":"David","non-dropping-particle":"","parse-names":false,"suffix":""},{"dropping-particle":"","family":"Heilmann","given":"Lothar","non-dropping-particle":"","parse-names":false,"suffix":""},{"dropping-particle":"","family":"Kemkes-Matthes","given":"Bettina","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dropping-particle":"V.","family":"Tempelhoff","given":"G.-F.","non-dropping-particle":"","parse-names":false,"suffix":""},{"dropping-particle":"","family":"Melzer","given":"Nima","non-dropping-particle":"","parse-names":false,"suffix":""},{"dropping-particle":"","family":"Kakkar","given":"Ajay K.","non-dropping-particle":"","parse-names":false,"suffix":""},{"dropping-particle":"","family":"Tempelhoff","given":"Georg-Friedrich","non-dropping-particle":"von","parse-names":false,"suffix":""},{"dropping-particle":"","family":"Melzer","given":"Nima","non-dropping-particle":"","parse-names":false,"suffix":""},{"dropping-particle":"","family":"Kakkar","given":"Ajay K.","non-dropping-particle":"","parse-names":false,"suffix":""}],"container-title":"Clinical and applied thrombosis/hemostasis : official journal of the International Academy of Clinical and Applied Thrombosis/Hemostasis","id":"ITEM-1","issue":"2","issued":{"date-parts":[["2012"]]},"page":"159-65","title":"Low-molecular-weight heparin versus placebo for the prevention of venous thromboembolism in metastatic breast cancer or stage III/IV lung cancer.","type":"article-journal","volume":"18"},"uris":["http://www.mendeley.com/documents/?uuid=53f38820-ae1c-40f5-a5b6-b72e2afa8487"]}],"mendeley":{"formattedCitation":"&lt;sup&gt;25&lt;/sup&gt;","plainTextFormattedCitation":"25","previouslyFormattedCitation":"&lt;sup&gt;24&lt;/sup&gt;"},"properties":{"noteIndex":0},"schema":"https://github.com/citation-style-language/schema/raw/master/csl-citation.json"}</w:instrText>
      </w:r>
      <w:r w:rsidR="00A75209" w:rsidRPr="00441CA9">
        <w:rPr>
          <w:sz w:val="20"/>
          <w:szCs w:val="20"/>
        </w:rPr>
        <w:fldChar w:fldCharType="separate"/>
      </w:r>
      <w:r w:rsidR="009115A9" w:rsidRPr="009115A9">
        <w:rPr>
          <w:noProof/>
          <w:sz w:val="20"/>
          <w:szCs w:val="20"/>
          <w:vertAlign w:val="superscript"/>
        </w:rPr>
        <w:t>25</w:t>
      </w:r>
      <w:r w:rsidR="00A75209" w:rsidRPr="00441CA9">
        <w:rPr>
          <w:sz w:val="20"/>
          <w:szCs w:val="20"/>
        </w:rPr>
        <w:fldChar w:fldCharType="end"/>
      </w:r>
      <w:r w:rsidR="00A75209" w:rsidRPr="000B6C24">
        <w:rPr>
          <w:szCs w:val="22"/>
        </w:rPr>
        <w:t>, Lecumberri (2013)</w:t>
      </w:r>
      <w:r w:rsidR="00A75209">
        <w:rPr>
          <w:sz w:val="20"/>
          <w:szCs w:val="20"/>
        </w:rPr>
        <w:fldChar w:fldCharType="begin" w:fldLock="1"/>
      </w:r>
      <w:r w:rsidR="009115A9">
        <w:rPr>
          <w:sz w:val="20"/>
          <w:szCs w:val="20"/>
        </w:rPr>
        <w:instrText>ADDIN CSL_CITATION {"citationItems":[{"id":"ITEM-1","itemData":{"DOI":"10.1016/j.thromres.2013.09.026","ISBN":"0049-3848","ISSN":"00493848","PMID":"24491267","abstract":"Introduction The haemostatic system plays an important role in the process of cancer development and spread. Anticoagulants, mainly low molecular weight heparins, could prolong survival in cancer patients, particularly in patients with lung cancer, beyond prevention of thromboembolic events. Methods In a multicenter, investigator-initiated, open-label, randomized, sequential study, 38 patients with newly-diagnosed, limited-stage small-cell lung cancer were randomized to receive standard chemoradiotherapy or the same therapy plus 3,500 IU daily of bemiparin for a maximum of 26 weeks. The primary outcome was progression-free survival. Results The study was terminated early due to slow recruitment. Median progression-free survival was 272 days with chemoradiotherapy alone and 410 days in the bemiparin group; hazard ratio, 2.58 (95% confidence interval [CI], 1.15-5.80); p = 0.022. Median overall survival was 345 days with chemoradiotherapy alone and 1133 days in the bemiparin group; hazard ratio, 2.96 (95% CI, 1.22-7.21); p = 0.017. The rate of tumor response was similar in both study arms. There was no significant between-group difference in the rates of major bleeding. Toxicity related with the experimental treatment was minimal. Conclusion The addition of bemiparin to first line therapy with chemoradiotherapy significantly increases survival in patients with newly-diagnosed, limited-stage small-cell lung cancer. (Funded by the Instituto Científico y Tecnológico, University of Navarra. ClinicalTrials.gov identifier: NCT00324558). © 2013 Elsevier Ltd.","author":[{"dropping-particle":"","family":"Lecumberri","given":"R.","non-dropping-particle":"","parse-names":false,"suffix":""},{"dropping-particle":"","family":"López Vivanco","given":"G.","non-dropping-particle":"","parse-names":false,"suffix":""},{"dropping-particle":"","family":"Font","given":"A.","non-dropping-particle":"","parse-names":false,"suffix":""},{"dropping-particle":"","family":"González Billalabeitia","given":"E.","non-dropping-particle":"","parse-names":false,"suffix":""},{"dropping-particle":"","family":"Gúrpide","given":"A.","non-dropping-particle":"","parse-names":false,"suffix":""},{"dropping-particle":"","family":"Gómez Codina","given":"J.","non-dropping-particle":"","parse-names":false,"suffix":""},{"dropping-particle":"","family":"Isla","given":"D.","non-dropping-particle":"","parse-names":false,"suffix":""},{"dropping-particle":"","family":"Galán","given":"A.","non-dropping-particle":"","parse-names":false,"suffix":""},{"dropping-particle":"","family":"Bover","given":"I.","non-dropping-particle":"","parse-names":false,"suffix":""},{"dropping-particle":"","family":"Domine","given":"M.","non-dropping-particle":"","parse-names":false,"suffix":""},{"dropping-particle":"","family":"Vicente","given":"V.","non-dropping-particle":"","parse-names":false,"suffix":""},{"dropping-particle":"","family":"Rosell","given":"R.","non-dropping-particle":"","parse-names":false,"suffix":""},{"dropping-particle":"","family":"Rocha","given":"E.","non-dropping-particle":"","parse-names":false,"suffix":""}],"container-title":"Thrombosis Research","id":"ITEM-1","issue":"6","issued":{"date-parts":[["2013"]]},"page":"666-670","publisher":"Elsevier Ltd","title":"Adjuvant therapy with bemiparin in patients with limited-stage small cell lung cancer: Results from the ABEL study","type":"article-journal","volume":"132"},"uris":["http://www.mendeley.com/documents/?uuid=335e4451-75e7-4dba-820c-494652d89a41"]}],"mendeley":{"formattedCitation":"&lt;sup&gt;30&lt;/sup&gt;","plainTextFormattedCitation":"30","previouslyFormattedCitation":"&lt;sup&gt;29&lt;/sup&gt;"},"properties":{"noteIndex":0},"schema":"https://github.com/citation-style-language/schema/raw/master/csl-citation.json"}</w:instrText>
      </w:r>
      <w:r w:rsidR="00A75209">
        <w:rPr>
          <w:sz w:val="20"/>
          <w:szCs w:val="20"/>
        </w:rPr>
        <w:fldChar w:fldCharType="separate"/>
      </w:r>
      <w:r w:rsidR="009115A9" w:rsidRPr="009115A9">
        <w:rPr>
          <w:noProof/>
          <w:sz w:val="20"/>
          <w:szCs w:val="20"/>
          <w:vertAlign w:val="superscript"/>
        </w:rPr>
        <w:t>30</w:t>
      </w:r>
      <w:r w:rsidR="00A75209">
        <w:rPr>
          <w:sz w:val="20"/>
          <w:szCs w:val="20"/>
        </w:rPr>
        <w:fldChar w:fldCharType="end"/>
      </w:r>
      <w:r w:rsidR="00A75209" w:rsidRPr="000B6C24">
        <w:rPr>
          <w:szCs w:val="22"/>
        </w:rPr>
        <w:t>, Macbeth (2015)</w:t>
      </w:r>
      <w:r w:rsidR="00A75209" w:rsidRPr="00441CA9">
        <w:rPr>
          <w:sz w:val="20"/>
          <w:szCs w:val="20"/>
        </w:rPr>
        <w:fldChar w:fldCharType="begin" w:fldLock="1"/>
      </w:r>
      <w:r w:rsidR="009115A9">
        <w:rPr>
          <w:sz w:val="20"/>
          <w:szCs w:val="20"/>
        </w:rPr>
        <w:instrText>ADDIN CSL_CITATION {"citationItems":[{"id":"ITEM-1","itemData":{"DOI":"10.1200/JCO.2015.64.0268","ISSN":"1527-7755","PMID":"26700124","abstract":"PURPOSE Venous thromboembolism (VTE) is common in cancer patients. Evidence has suggested that low molecular weight heparin (LMWH) might improve survival in patients with cancer by preventing both VTE and the progression of metastases. No trial in a single cancer type has been powered to demonstrate a clinically significant survival difference. The aim of this trial was to investigate this question in patients with lung cancer. PATIENTS AND METHODS We conducted a multicenter, open-label, randomized trial to evaluate the addition of a primary prophylactic dose of LMWH for 24 weeks to standard treatment in patients with newly diagnosed lung cancer of any stage and histology. The primary outcome was 1-year survival. Secondary outcomes included metastasis-free survival, VTE-free survival, toxicity, and quality of life. RESULTS For this trial, 2,202 patients were randomly assigned to the two treatment arms over 4 years. The trial did not reach its intended number of events for the primary analysis (2,047 deaths), and data were analyzed after 2,013 deaths after discussion with the independent data monitoring committee. There was no evidence of a difference in overall or metastasis-free survival between the two arms (hazard ratio [HR], 1.01; 95% CI, 0.93 to 1.10; P = .814; and HR, 0.99; 95% CI, 0.91 to 1.08; P = .864, respectively). There was a reduction in the risk of VTE from 9.7% to 5.5% (HR, 0.57; 95% CI, 0.42 to 0.79; P = .001) in the LMWH arm and no difference in major bleeding events but evidence of an increase in the composite of major and clinically relevant nonmajor bleeding in the LMWH arm. CONCLUSION LMWH did not improve overall survival in the patients with lung cancer in this trial. A significant reduction in VTE is associated with an increase in clinically relevant nonmajor bleeding. Strategies to target those at greatest risk of VTE are warranted.","author":[{"dropping-particle":"","family":"Macbeth","given":"Fergus","non-dropping-particle":"","parse-names":false,"suffix":""},{"dropping-particle":"","family":"Noble","given":"Simon","non-dropping-particle":"","parse-names":false,"suffix":""},{"dropping-particle":"","family":"Evans","given":"Jessica","non-dropping-particle":"","parse-names":false,"suffix":""},{"dropping-particle":"","family":"Ahmed","given":"Sheikh","non-dropping-particle":"","parse-names":false,"suffix":""},{"dropping-particle":"","family":"Cohen","given":"David","non-dropping-particle":"","parse-names":false,"suffix":""},{"dropping-particle":"","family":"Hood","given":"Kerenza","non-dropping-particle":"","parse-names":false,"suffix":""},{"dropping-particle":"","family":"Knoyle","given":"Dana","non-dropping-particle":"","parse-names":false,"suffix":""},{"dropping-particle":"","family":"Linnane","given":"Seamus","non-dropping-particle":"","parse-names":false,"suffix":""},{"dropping-particle":"","family":"Longo","given":"Mirella","non-dropping-particle":"","parse-names":false,"suffix":""},{"dropping-particle":"","family":"Moore","given":"Barbara","non-dropping-particle":"","parse-names":false,"suffix":""},{"dropping-particle":"","family":"Woll","given":"Penella J.","non-dropping-particle":"","parse-names":false,"suffix":""},{"dropping-particle":"","family":"Appel","given":"Wiebke","non-dropping-particle":"","parse-names":false,"suffix":""},{"dropping-particle":"","family":"Dickson","given":"Jeanette","non-dropping-particle":"","parse-names":false,"suffix":""},{"dropping-particle":"","family":"Ferry","given":"David","non-dropping-particle":"","parse-names":false,"suffix":""},{"dropping-particle":"","family":"Brammer","given":"Caroline","non-dropping-particle":"","parse-names":false,"suffix":""},{"dropping-particle":"","family":"Griffiths","given":"Gareth","non-dropping-particle":"","parse-names":false,"suffix":""}],"container-title":"Journal of clinical oncology : official journal of the American Society of Clinical Oncology","id":"ITEM-1","issue":"5","issued":{"date-parts":[["2015"]]},"page":"1-10","title":"Randomized Phase III Trial of Standard Therapy Plus Low Molecular Weight Heparin in Patients With Lung Cancer: FRAGMATIC Trial.","type":"article-journal","volume":"34"},"uris":["http://www.mendeley.com/documents/?uuid=a2c49b34-51df-4edc-9398-694226078cd1"]}],"mendeley":{"formattedCitation":"&lt;sup&gt;27&lt;/sup&gt;","plainTextFormattedCitation":"27","previouslyFormattedCitation":"&lt;sup&gt;26&lt;/sup&gt;"},"properties":{"noteIndex":0},"schema":"https://github.com/citation-style-language/schema/raw/master/csl-citation.json"}</w:instrText>
      </w:r>
      <w:r w:rsidR="00A75209" w:rsidRPr="00441CA9">
        <w:rPr>
          <w:sz w:val="20"/>
          <w:szCs w:val="20"/>
        </w:rPr>
        <w:fldChar w:fldCharType="separate"/>
      </w:r>
      <w:r w:rsidR="009115A9" w:rsidRPr="009115A9">
        <w:rPr>
          <w:noProof/>
          <w:sz w:val="20"/>
          <w:szCs w:val="20"/>
          <w:vertAlign w:val="superscript"/>
        </w:rPr>
        <w:t>27</w:t>
      </w:r>
      <w:r w:rsidR="00A75209" w:rsidRPr="00441CA9">
        <w:rPr>
          <w:sz w:val="20"/>
          <w:szCs w:val="20"/>
        </w:rPr>
        <w:fldChar w:fldCharType="end"/>
      </w:r>
      <w:r w:rsidR="00A75209" w:rsidRPr="00D70F8D">
        <w:rPr>
          <w:szCs w:val="22"/>
        </w:rPr>
        <w:t>, Pelzer (2015)</w:t>
      </w:r>
      <w:r w:rsidR="00A75209">
        <w:rPr>
          <w:sz w:val="20"/>
          <w:szCs w:val="20"/>
        </w:rPr>
        <w:fldChar w:fldCharType="begin" w:fldLock="1"/>
      </w:r>
      <w:r w:rsidR="009115A9">
        <w:rPr>
          <w:sz w:val="20"/>
          <w:szCs w:val="20"/>
        </w:rPr>
        <w:instrText>ADDIN CSL_CITATION {"citationItems":[{"id":"ITEM-1","itemData":{"DOI":"10.1200/JCO.2014.55.1481","ISSN":"0732-183X","author":[{"dropping-particle":"","family":"Pelzer","given":"U.","non-dropping-particle":"","parse-names":false,"suffix":""},{"dropping-particle":"","family":"Opitz","given":"B.","non-dropping-particle":"","parse-names":false,"suffix":""},{"dropping-particle":"","family":"Deutschinoff","given":"G.","non-dropping-particle":"","parse-names":false,"suffix":""},{"dropping-particle":"","family":"Stauch","given":"M.","non-dropping-particle":"","parse-names":false,"suffix":""},{"dropping-particle":"","family":"Reitzig","given":"P. C.","non-dropping-particle":"","parse-names":false,"suffix":""},{"dropping-particle":"","family":"Hahnfeld","given":"S.","non-dropping-particle":"","parse-names":false,"suffix":""},{"dropping-particle":"","family":"Muller","given":"L.","non-dropping-particle":"","parse-names":false,"suffix":""},{"dropping-particle":"","family":"Grunewald","given":"M.","non-dropping-particle":"","parse-names":false,"suffix":""},{"dropping-particle":"","family":"Stieler","given":"J. M.","non-dropping-particle":"","parse-names":false,"suffix":""},{"dropping-particle":"","family":"Sinn","given":"M.","non-dropping-particle":"","parse-names":false,"suffix":""},{"dropping-particle":"","family":"Denecke","given":"T.","non-dropping-particle":"","parse-names":false,"suffix":""},{"dropping-particle":"","family":"Bischoff","given":"S.","non-dropping-particle":"","parse-names":false,"suffix":""},{"dropping-particle":"","family":"Oettle","given":"H.","non-dropping-particle":"","parse-names":false,"suffix":""},{"dropping-particle":"","family":"Dorken","given":"B.","non-dropping-particle":"","parse-names":false,"suffix":""},{"dropping-particle":"","family":"Riess","given":"H.","non-dropping-particle":"","parse-names":false,"suffix":""}],"container-title":"Journal of Clinical Oncology","id":"ITEM-1","issue":"18","issued":{"date-parts":[["2015","6","20"]]},"page":"2028-2034","title":"Efficacy of Prophylactic Low-Molecular Weight Heparin for Ambulatory Patients With Advanced Pancreatic Cancer: Outcomes From the CONKO-004 Trial","type":"article-journal","volume":"33"},"uris":["http://www.mendeley.com/documents/?uuid=fb1d5adb-b948-42cb-a181-c2ee1f60288d"]}],"mendeley":{"formattedCitation":"&lt;sup&gt;28&lt;/sup&gt;","plainTextFormattedCitation":"28","previouslyFormattedCitation":"&lt;sup&gt;27&lt;/sup&gt;"},"properties":{"noteIndex":0},"schema":"https://github.com/citation-style-language/schema/raw/master/csl-citation.json"}</w:instrText>
      </w:r>
      <w:r w:rsidR="00A75209">
        <w:rPr>
          <w:sz w:val="20"/>
          <w:szCs w:val="20"/>
        </w:rPr>
        <w:fldChar w:fldCharType="separate"/>
      </w:r>
      <w:r w:rsidR="009115A9" w:rsidRPr="009115A9">
        <w:rPr>
          <w:noProof/>
          <w:sz w:val="20"/>
          <w:szCs w:val="20"/>
          <w:vertAlign w:val="superscript"/>
        </w:rPr>
        <w:t>28</w:t>
      </w:r>
      <w:r w:rsidR="00A75209">
        <w:rPr>
          <w:sz w:val="20"/>
          <w:szCs w:val="20"/>
        </w:rPr>
        <w:fldChar w:fldCharType="end"/>
      </w:r>
      <w:r w:rsidR="00A75209" w:rsidRPr="00D70F8D">
        <w:rPr>
          <w:szCs w:val="22"/>
        </w:rPr>
        <w:t>, Perry (2010)</w:t>
      </w:r>
      <w:r w:rsidR="00A75209" w:rsidRPr="00441CA9">
        <w:rPr>
          <w:sz w:val="20"/>
          <w:szCs w:val="20"/>
        </w:rPr>
        <w:fldChar w:fldCharType="begin" w:fldLock="1"/>
      </w:r>
      <w:r w:rsidR="009115A9">
        <w:rPr>
          <w:sz w:val="20"/>
          <w:szCs w:val="20"/>
        </w:rPr>
        <w:instrText>ADDIN CSL_CITATION {"citationItems":[{"id":"ITEM-1","itemData":{"DOI":"10.1111/j.1538-7836.2010.03973.x","ISBN":"1538-7836 (Electronic)\\r1538-7836 (Linking)","ISSN":"15387933","PMID":"20598077","abstract":"Venous thromboembolism (VTE) occurs in 20-30% of patients with malignant glioma per year of survival. We tested the efficacy of long-term dalteparin low-molecular-weight heparin (LMWH) for prevention of VTE in these patients.","author":[{"dropping-particle":"","family":"Perry","given":"J. R.","non-dropping-particle":"","parse-names":false,"suffix":""},{"dropping-particle":"","family":"Julian","given":"J. A.","non-dropping-particle":"","parse-names":false,"suffix":""},{"dropping-particle":"","family":"Laperriere","given":"N. J.","non-dropping-particle":"","parse-names":false,"suffix":""},{"dropping-particle":"","family":"Geerts","given":"W.","non-dropping-particle":"","parse-names":false,"suffix":""},{"dropping-particle":"","family":"Agnelli","given":"G.","non-dropping-particle":"","parse-names":false,"suffix":""},{"dropping-particle":"","family":"Rogers","given":"L. R.","non-dropping-particle":"","parse-names":false,"suffix":""},{"dropping-particle":"","family":"Malkin","given":"M. G.","non-dropping-particle":"","parse-names":false,"suffix":""},{"dropping-particle":"","family":"Sawaya","given":"R.","non-dropping-particle":"","parse-names":false,"suffix":""},{"dropping-particle":"","family":"Baker","given":"R.","non-dropping-particle":"","parse-names":false,"suffix":""},{"dropping-particle":"","family":"Falanga","given":"A.","non-dropping-particle":"","parse-names":false,"suffix":""},{"dropping-particle":"","family":"Parpia","given":"S.","non-dropping-particle":"","parse-names":false,"suffix":""},{"dropping-particle":"","family":"Finch","given":"T.","non-dropping-particle":"","parse-names":false,"suffix":""},{"dropping-particle":"","family":"Levine","given":"M. N.","non-dropping-particle":"","parse-names":false,"suffix":""}],"container-title":"Journal of Thrombosis and Haemostasis","id":"ITEM-1","issue":"9","issued":{"date-parts":[["2010"]]},"page":"1959-1965","title":"PRODIGE: A randomized placebo-controlled trial of dalteparin low-molecular-weight heparin thromboprophylaxis in patients with newly diagnosed malignant glioma","type":"article-journal","volume":"8"},"uris":["http://www.mendeley.com/documents/?uuid=958bc7bf-f2f2-467a-9e12-95870aa61658"]}],"mendeley":{"formattedCitation":"&lt;sup&gt;29&lt;/sup&gt;","plainTextFormattedCitation":"29","previouslyFormattedCitation":"&lt;sup&gt;28&lt;/sup&gt;"},"properties":{"noteIndex":0},"schema":"https://github.com/citation-style-language/schema/raw/master/csl-citation.json"}</w:instrText>
      </w:r>
      <w:r w:rsidR="00A75209" w:rsidRPr="00441CA9">
        <w:rPr>
          <w:sz w:val="20"/>
          <w:szCs w:val="20"/>
        </w:rPr>
        <w:fldChar w:fldCharType="separate"/>
      </w:r>
      <w:r w:rsidR="009115A9" w:rsidRPr="009115A9">
        <w:rPr>
          <w:noProof/>
          <w:sz w:val="20"/>
          <w:szCs w:val="20"/>
          <w:vertAlign w:val="superscript"/>
        </w:rPr>
        <w:t>29</w:t>
      </w:r>
      <w:r w:rsidR="00A75209" w:rsidRPr="00441CA9">
        <w:rPr>
          <w:sz w:val="20"/>
          <w:szCs w:val="20"/>
        </w:rPr>
        <w:fldChar w:fldCharType="end"/>
      </w:r>
    </w:p>
    <w:p w14:paraId="344F67DB" w14:textId="2A06795E" w:rsidR="001E4FE3" w:rsidRPr="005254E1" w:rsidRDefault="001E4FE3" w:rsidP="001E4FE3">
      <w:pPr>
        <w:rPr>
          <w:b/>
          <w:sz w:val="20"/>
          <w:szCs w:val="20"/>
        </w:rPr>
      </w:pPr>
    </w:p>
    <w:p w14:paraId="654FFAE6" w14:textId="77777777" w:rsidR="00765BFB" w:rsidRDefault="00765BFB">
      <w:pPr>
        <w:spacing w:line="240" w:lineRule="auto"/>
        <w:rPr>
          <w:b/>
        </w:rPr>
      </w:pPr>
      <w:r>
        <w:rPr>
          <w:b/>
        </w:rPr>
        <w:br w:type="page"/>
      </w:r>
    </w:p>
    <w:p w14:paraId="48592830" w14:textId="77777777" w:rsidR="000044D4" w:rsidRDefault="000044D4">
      <w:pPr>
        <w:rPr>
          <w:b/>
        </w:rPr>
      </w:pPr>
      <w:r>
        <w:rPr>
          <w:b/>
        </w:rPr>
        <w:lastRenderedPageBreak/>
        <w:t>Supplementary Table</w:t>
      </w:r>
      <w:r w:rsidR="0078077C">
        <w:rPr>
          <w:b/>
        </w:rPr>
        <w:t xml:space="preserve"> 1</w:t>
      </w:r>
      <w:r>
        <w:rPr>
          <w:b/>
        </w:rPr>
        <w:t xml:space="preserve">. Results of risk of bias assessment </w:t>
      </w:r>
      <w:r w:rsidR="00284A43">
        <w:rPr>
          <w:b/>
        </w:rPr>
        <w:t xml:space="preserve">in the control group </w:t>
      </w:r>
      <w:r w:rsidR="00713BF0">
        <w:rPr>
          <w:b/>
        </w:rPr>
        <w:t>using</w:t>
      </w:r>
      <w:r>
        <w:rPr>
          <w:b/>
        </w:rPr>
        <w:t xml:space="preserve"> QUIPS tool</w:t>
      </w:r>
    </w:p>
    <w:tbl>
      <w:tblPr>
        <w:tblStyle w:val="TableGrid"/>
        <w:tblW w:w="0" w:type="auto"/>
        <w:tblLook w:val="04A0" w:firstRow="1" w:lastRow="0" w:firstColumn="1" w:lastColumn="0" w:noHBand="0" w:noVBand="1"/>
      </w:tblPr>
      <w:tblGrid>
        <w:gridCol w:w="1861"/>
        <w:gridCol w:w="1961"/>
        <w:gridCol w:w="1547"/>
        <w:gridCol w:w="2387"/>
      </w:tblGrid>
      <w:tr w:rsidR="00156905" w:rsidRPr="000044D4" w14:paraId="1B169F86" w14:textId="77777777" w:rsidTr="004202E1">
        <w:tc>
          <w:tcPr>
            <w:tcW w:w="0" w:type="auto"/>
          </w:tcPr>
          <w:p w14:paraId="1F67A317" w14:textId="77777777" w:rsidR="00156905" w:rsidRPr="00016E1F" w:rsidRDefault="00714CF0" w:rsidP="000044D4">
            <w:pPr>
              <w:rPr>
                <w:b/>
                <w:szCs w:val="22"/>
              </w:rPr>
            </w:pPr>
            <w:r w:rsidRPr="00016E1F">
              <w:rPr>
                <w:b/>
                <w:szCs w:val="22"/>
              </w:rPr>
              <w:t>Study</w:t>
            </w:r>
          </w:p>
        </w:tc>
        <w:tc>
          <w:tcPr>
            <w:tcW w:w="0" w:type="auto"/>
          </w:tcPr>
          <w:p w14:paraId="65E8612D" w14:textId="77777777" w:rsidR="00156905" w:rsidRPr="00016E1F" w:rsidRDefault="00714CF0" w:rsidP="004202E1">
            <w:pPr>
              <w:jc w:val="right"/>
              <w:rPr>
                <w:b/>
                <w:szCs w:val="22"/>
              </w:rPr>
            </w:pPr>
            <w:r w:rsidRPr="00016E1F">
              <w:rPr>
                <w:b/>
                <w:szCs w:val="22"/>
              </w:rPr>
              <w:t>Study participation</w:t>
            </w:r>
          </w:p>
        </w:tc>
        <w:tc>
          <w:tcPr>
            <w:tcW w:w="0" w:type="auto"/>
          </w:tcPr>
          <w:p w14:paraId="1EE4E18D" w14:textId="77777777" w:rsidR="00156905" w:rsidRPr="00016E1F" w:rsidRDefault="00714CF0" w:rsidP="004202E1">
            <w:pPr>
              <w:jc w:val="right"/>
              <w:rPr>
                <w:b/>
                <w:szCs w:val="22"/>
              </w:rPr>
            </w:pPr>
            <w:r w:rsidRPr="00016E1F">
              <w:rPr>
                <w:b/>
                <w:szCs w:val="22"/>
              </w:rPr>
              <w:t>Study attrition</w:t>
            </w:r>
          </w:p>
        </w:tc>
        <w:tc>
          <w:tcPr>
            <w:tcW w:w="0" w:type="auto"/>
          </w:tcPr>
          <w:p w14:paraId="4DADAEC5" w14:textId="77777777" w:rsidR="00156905" w:rsidRPr="00016E1F" w:rsidRDefault="00714CF0" w:rsidP="004202E1">
            <w:pPr>
              <w:jc w:val="right"/>
              <w:rPr>
                <w:b/>
                <w:szCs w:val="22"/>
              </w:rPr>
            </w:pPr>
            <w:r w:rsidRPr="00016E1F">
              <w:rPr>
                <w:b/>
                <w:szCs w:val="22"/>
              </w:rPr>
              <w:t>Outcome measurement</w:t>
            </w:r>
          </w:p>
        </w:tc>
      </w:tr>
      <w:tr w:rsidR="000044D4" w:rsidRPr="000044D4" w14:paraId="299CCE87" w14:textId="77777777" w:rsidTr="004202E1">
        <w:tc>
          <w:tcPr>
            <w:tcW w:w="0" w:type="auto"/>
          </w:tcPr>
          <w:p w14:paraId="4DF296FE" w14:textId="435A2090" w:rsidR="000044D4" w:rsidRPr="00016E1F" w:rsidRDefault="000044D4" w:rsidP="00E10E43">
            <w:pPr>
              <w:rPr>
                <w:b/>
                <w:szCs w:val="22"/>
              </w:rPr>
            </w:pPr>
            <w:r w:rsidRPr="00016E1F">
              <w:rPr>
                <w:szCs w:val="22"/>
              </w:rPr>
              <w:t>Agnelli (2012)</w:t>
            </w:r>
            <w:r w:rsidR="00A75209" w:rsidRPr="00016E1F">
              <w:rPr>
                <w:b/>
                <w:szCs w:val="22"/>
              </w:rPr>
              <w:t xml:space="preserve"> </w:t>
            </w:r>
          </w:p>
        </w:tc>
        <w:tc>
          <w:tcPr>
            <w:tcW w:w="0" w:type="auto"/>
          </w:tcPr>
          <w:p w14:paraId="6E977AC4" w14:textId="77777777" w:rsidR="000044D4" w:rsidRPr="00E10C9B" w:rsidRDefault="00286770" w:rsidP="00713BF0">
            <w:pPr>
              <w:jc w:val="center"/>
              <w:rPr>
                <w:color w:val="00B050"/>
                <w:szCs w:val="22"/>
              </w:rPr>
            </w:pPr>
            <w:r w:rsidRPr="00E10C9B">
              <w:rPr>
                <w:color w:val="00B050"/>
                <w:szCs w:val="22"/>
              </w:rPr>
              <w:t>Low risk</w:t>
            </w:r>
          </w:p>
        </w:tc>
        <w:tc>
          <w:tcPr>
            <w:tcW w:w="0" w:type="auto"/>
          </w:tcPr>
          <w:p w14:paraId="444DB201" w14:textId="77777777" w:rsidR="000044D4" w:rsidRPr="00016E1F" w:rsidRDefault="00286770" w:rsidP="00713BF0">
            <w:pPr>
              <w:jc w:val="center"/>
              <w:rPr>
                <w:szCs w:val="22"/>
              </w:rPr>
            </w:pPr>
            <w:r w:rsidRPr="00E10C9B">
              <w:rPr>
                <w:color w:val="00B050"/>
                <w:szCs w:val="22"/>
              </w:rPr>
              <w:t>Low risk</w:t>
            </w:r>
          </w:p>
        </w:tc>
        <w:tc>
          <w:tcPr>
            <w:tcW w:w="0" w:type="auto"/>
          </w:tcPr>
          <w:p w14:paraId="73B2B37E" w14:textId="77777777" w:rsidR="000044D4" w:rsidRPr="00E10C9B" w:rsidRDefault="00286770" w:rsidP="00713BF0">
            <w:pPr>
              <w:jc w:val="center"/>
              <w:rPr>
                <w:color w:val="00B050"/>
                <w:szCs w:val="22"/>
              </w:rPr>
            </w:pPr>
            <w:r w:rsidRPr="00E10C9B">
              <w:rPr>
                <w:color w:val="00B050"/>
                <w:szCs w:val="22"/>
              </w:rPr>
              <w:t>Low risk</w:t>
            </w:r>
          </w:p>
        </w:tc>
      </w:tr>
      <w:tr w:rsidR="000044D4" w:rsidRPr="000044D4" w14:paraId="07725CDF" w14:textId="77777777" w:rsidTr="004202E1">
        <w:tc>
          <w:tcPr>
            <w:tcW w:w="0" w:type="auto"/>
          </w:tcPr>
          <w:p w14:paraId="7FABDE4A" w14:textId="5B5D8198" w:rsidR="000044D4" w:rsidRPr="00016E1F" w:rsidRDefault="000044D4" w:rsidP="00E10E43">
            <w:pPr>
              <w:rPr>
                <w:b/>
                <w:szCs w:val="22"/>
              </w:rPr>
            </w:pPr>
            <w:r w:rsidRPr="00016E1F">
              <w:rPr>
                <w:szCs w:val="22"/>
              </w:rPr>
              <w:t>Haas (2005)</w:t>
            </w:r>
            <w:r w:rsidR="00A75209" w:rsidRPr="00016E1F">
              <w:rPr>
                <w:b/>
                <w:szCs w:val="22"/>
              </w:rPr>
              <w:t xml:space="preserve"> </w:t>
            </w:r>
          </w:p>
        </w:tc>
        <w:tc>
          <w:tcPr>
            <w:tcW w:w="0" w:type="auto"/>
          </w:tcPr>
          <w:p w14:paraId="7F7BC77F" w14:textId="77777777" w:rsidR="000044D4" w:rsidRPr="00E10C9B" w:rsidRDefault="00C90E4A" w:rsidP="00713BF0">
            <w:pPr>
              <w:jc w:val="center"/>
              <w:rPr>
                <w:color w:val="00B050"/>
                <w:szCs w:val="22"/>
              </w:rPr>
            </w:pPr>
            <w:r w:rsidRPr="00E10C9B">
              <w:rPr>
                <w:color w:val="00B050"/>
                <w:szCs w:val="22"/>
              </w:rPr>
              <w:t>Low risk</w:t>
            </w:r>
          </w:p>
        </w:tc>
        <w:tc>
          <w:tcPr>
            <w:tcW w:w="0" w:type="auto"/>
          </w:tcPr>
          <w:p w14:paraId="4AA154D6" w14:textId="77777777" w:rsidR="000044D4" w:rsidRPr="00E10C9B" w:rsidRDefault="004E39D7" w:rsidP="00713BF0">
            <w:pPr>
              <w:jc w:val="center"/>
              <w:rPr>
                <w:color w:val="FF0000"/>
                <w:szCs w:val="22"/>
              </w:rPr>
            </w:pPr>
            <w:r w:rsidRPr="00E10C9B">
              <w:rPr>
                <w:color w:val="FF0000"/>
                <w:szCs w:val="22"/>
              </w:rPr>
              <w:t>High</w:t>
            </w:r>
            <w:r w:rsidR="009656A1" w:rsidRPr="00E10C9B">
              <w:rPr>
                <w:color w:val="FF0000"/>
                <w:szCs w:val="22"/>
              </w:rPr>
              <w:t xml:space="preserve"> risk</w:t>
            </w:r>
          </w:p>
        </w:tc>
        <w:tc>
          <w:tcPr>
            <w:tcW w:w="0" w:type="auto"/>
          </w:tcPr>
          <w:p w14:paraId="2A407FC4" w14:textId="77777777" w:rsidR="009656A1" w:rsidRPr="00E10C9B" w:rsidRDefault="009656A1" w:rsidP="009656A1">
            <w:pPr>
              <w:jc w:val="center"/>
              <w:rPr>
                <w:color w:val="00B050"/>
                <w:szCs w:val="22"/>
              </w:rPr>
            </w:pPr>
            <w:r w:rsidRPr="00E10C9B">
              <w:rPr>
                <w:color w:val="00B050"/>
                <w:szCs w:val="22"/>
              </w:rPr>
              <w:t>Low risk</w:t>
            </w:r>
          </w:p>
        </w:tc>
      </w:tr>
      <w:tr w:rsidR="009656A1" w:rsidRPr="000044D4" w14:paraId="34B21F29" w14:textId="77777777" w:rsidTr="004202E1">
        <w:tc>
          <w:tcPr>
            <w:tcW w:w="0" w:type="auto"/>
          </w:tcPr>
          <w:p w14:paraId="4961823F" w14:textId="44B6154F" w:rsidR="009656A1" w:rsidRPr="00016E1F" w:rsidRDefault="009656A1" w:rsidP="00E10E43">
            <w:pPr>
              <w:rPr>
                <w:b/>
                <w:szCs w:val="22"/>
              </w:rPr>
            </w:pPr>
            <w:r w:rsidRPr="00016E1F">
              <w:rPr>
                <w:szCs w:val="22"/>
              </w:rPr>
              <w:t>Haas (2012)</w:t>
            </w:r>
            <w:r w:rsidR="00A75209" w:rsidRPr="00016E1F">
              <w:rPr>
                <w:b/>
                <w:szCs w:val="22"/>
              </w:rPr>
              <w:t xml:space="preserve"> </w:t>
            </w:r>
          </w:p>
        </w:tc>
        <w:tc>
          <w:tcPr>
            <w:tcW w:w="0" w:type="auto"/>
          </w:tcPr>
          <w:p w14:paraId="3CCE7D4F" w14:textId="77777777" w:rsidR="009656A1" w:rsidRPr="00E10C9B" w:rsidRDefault="00C90E4A" w:rsidP="009656A1">
            <w:pPr>
              <w:jc w:val="center"/>
              <w:rPr>
                <w:color w:val="00B050"/>
                <w:szCs w:val="22"/>
              </w:rPr>
            </w:pPr>
            <w:r w:rsidRPr="00E10C9B">
              <w:rPr>
                <w:color w:val="00B050"/>
                <w:szCs w:val="22"/>
              </w:rPr>
              <w:t>Low risk</w:t>
            </w:r>
          </w:p>
        </w:tc>
        <w:tc>
          <w:tcPr>
            <w:tcW w:w="0" w:type="auto"/>
          </w:tcPr>
          <w:p w14:paraId="58AA120B" w14:textId="77777777" w:rsidR="009656A1" w:rsidRPr="00E10C9B" w:rsidRDefault="004E39D7" w:rsidP="009656A1">
            <w:pPr>
              <w:jc w:val="center"/>
              <w:rPr>
                <w:color w:val="FF0000"/>
                <w:szCs w:val="22"/>
              </w:rPr>
            </w:pPr>
            <w:r w:rsidRPr="00E10C9B">
              <w:rPr>
                <w:color w:val="FF0000"/>
                <w:szCs w:val="22"/>
              </w:rPr>
              <w:t xml:space="preserve">High </w:t>
            </w:r>
            <w:r w:rsidR="00016E1F" w:rsidRPr="00E10C9B">
              <w:rPr>
                <w:color w:val="FF0000"/>
                <w:szCs w:val="22"/>
              </w:rPr>
              <w:t>risk</w:t>
            </w:r>
          </w:p>
        </w:tc>
        <w:tc>
          <w:tcPr>
            <w:tcW w:w="0" w:type="auto"/>
          </w:tcPr>
          <w:p w14:paraId="0F8321BE" w14:textId="77777777" w:rsidR="009656A1" w:rsidRPr="00E10C9B" w:rsidRDefault="009656A1" w:rsidP="009656A1">
            <w:pPr>
              <w:jc w:val="center"/>
              <w:rPr>
                <w:color w:val="00B050"/>
                <w:szCs w:val="22"/>
              </w:rPr>
            </w:pPr>
            <w:r w:rsidRPr="00E10C9B">
              <w:rPr>
                <w:color w:val="00B050"/>
                <w:szCs w:val="22"/>
              </w:rPr>
              <w:t>Low risk</w:t>
            </w:r>
          </w:p>
        </w:tc>
      </w:tr>
      <w:tr w:rsidR="00CE408C" w:rsidRPr="000044D4" w14:paraId="2AA64F7E" w14:textId="77777777" w:rsidTr="004202E1">
        <w:tc>
          <w:tcPr>
            <w:tcW w:w="0" w:type="auto"/>
          </w:tcPr>
          <w:p w14:paraId="30623705" w14:textId="2B79CCBC" w:rsidR="00CE408C" w:rsidRPr="00016E1F" w:rsidRDefault="00CE408C" w:rsidP="00E10E43">
            <w:pPr>
              <w:rPr>
                <w:b/>
                <w:szCs w:val="22"/>
              </w:rPr>
            </w:pPr>
            <w:r w:rsidRPr="00016E1F">
              <w:rPr>
                <w:szCs w:val="22"/>
              </w:rPr>
              <w:t>Lecumberri (2013)</w:t>
            </w:r>
            <w:r w:rsidR="00A75209" w:rsidRPr="00016E1F">
              <w:rPr>
                <w:b/>
                <w:szCs w:val="22"/>
              </w:rPr>
              <w:t xml:space="preserve"> </w:t>
            </w:r>
          </w:p>
        </w:tc>
        <w:tc>
          <w:tcPr>
            <w:tcW w:w="0" w:type="auto"/>
          </w:tcPr>
          <w:p w14:paraId="42E58D76" w14:textId="77777777" w:rsidR="00CE408C" w:rsidRPr="00E10C9B" w:rsidRDefault="00CE408C" w:rsidP="00CE408C">
            <w:pPr>
              <w:jc w:val="center"/>
              <w:rPr>
                <w:color w:val="00B050"/>
                <w:szCs w:val="22"/>
              </w:rPr>
            </w:pPr>
            <w:r w:rsidRPr="00E10C9B">
              <w:rPr>
                <w:color w:val="00B050"/>
                <w:szCs w:val="22"/>
              </w:rPr>
              <w:t>Low risk</w:t>
            </w:r>
          </w:p>
        </w:tc>
        <w:tc>
          <w:tcPr>
            <w:tcW w:w="0" w:type="auto"/>
          </w:tcPr>
          <w:p w14:paraId="7B70CF1D" w14:textId="77777777" w:rsidR="00CE408C" w:rsidRPr="00016E1F" w:rsidRDefault="00CE408C" w:rsidP="00CE408C">
            <w:pPr>
              <w:jc w:val="center"/>
              <w:rPr>
                <w:szCs w:val="22"/>
              </w:rPr>
            </w:pPr>
            <w:r w:rsidRPr="00016E1F">
              <w:rPr>
                <w:szCs w:val="22"/>
              </w:rPr>
              <w:t>Unclear risk</w:t>
            </w:r>
          </w:p>
        </w:tc>
        <w:tc>
          <w:tcPr>
            <w:tcW w:w="0" w:type="auto"/>
          </w:tcPr>
          <w:p w14:paraId="31C69747" w14:textId="77777777" w:rsidR="00CE408C" w:rsidRPr="00E10C9B" w:rsidRDefault="002D39D9" w:rsidP="00CE408C">
            <w:pPr>
              <w:jc w:val="center"/>
              <w:rPr>
                <w:color w:val="FFC000"/>
                <w:szCs w:val="22"/>
              </w:rPr>
            </w:pPr>
            <w:r w:rsidRPr="00E10C9B">
              <w:rPr>
                <w:color w:val="FFC000"/>
                <w:szCs w:val="22"/>
              </w:rPr>
              <w:t>Moderate risk</w:t>
            </w:r>
          </w:p>
        </w:tc>
      </w:tr>
      <w:tr w:rsidR="00CE408C" w:rsidRPr="000044D4" w14:paraId="61D31865" w14:textId="77777777" w:rsidTr="004202E1">
        <w:tc>
          <w:tcPr>
            <w:tcW w:w="0" w:type="auto"/>
          </w:tcPr>
          <w:p w14:paraId="4944604D" w14:textId="4E5A5595" w:rsidR="00CE408C" w:rsidRPr="00016E1F" w:rsidRDefault="00151465" w:rsidP="00E10E43">
            <w:pPr>
              <w:rPr>
                <w:szCs w:val="22"/>
              </w:rPr>
            </w:pPr>
            <w:r>
              <w:rPr>
                <w:szCs w:val="22"/>
              </w:rPr>
              <w:t>Macbe</w:t>
            </w:r>
            <w:r w:rsidR="00CE408C" w:rsidRPr="00016E1F">
              <w:rPr>
                <w:szCs w:val="22"/>
              </w:rPr>
              <w:t>th (2015)</w:t>
            </w:r>
            <w:r w:rsidR="00A75209" w:rsidRPr="00016E1F">
              <w:rPr>
                <w:szCs w:val="22"/>
              </w:rPr>
              <w:t xml:space="preserve"> </w:t>
            </w:r>
          </w:p>
        </w:tc>
        <w:tc>
          <w:tcPr>
            <w:tcW w:w="0" w:type="auto"/>
          </w:tcPr>
          <w:p w14:paraId="5F2F4768" w14:textId="77777777" w:rsidR="00CE408C" w:rsidRPr="00E10C9B" w:rsidRDefault="006761B8" w:rsidP="00CE408C">
            <w:pPr>
              <w:jc w:val="center"/>
              <w:rPr>
                <w:color w:val="00B050"/>
                <w:szCs w:val="22"/>
              </w:rPr>
            </w:pPr>
            <w:r w:rsidRPr="00E10C9B">
              <w:rPr>
                <w:color w:val="00B050"/>
                <w:szCs w:val="22"/>
              </w:rPr>
              <w:t>Low risk</w:t>
            </w:r>
          </w:p>
        </w:tc>
        <w:tc>
          <w:tcPr>
            <w:tcW w:w="0" w:type="auto"/>
          </w:tcPr>
          <w:p w14:paraId="33D34E07" w14:textId="77777777" w:rsidR="00CE408C" w:rsidRPr="00016E1F" w:rsidRDefault="00404FF8" w:rsidP="00CE408C">
            <w:pPr>
              <w:jc w:val="center"/>
              <w:rPr>
                <w:szCs w:val="22"/>
              </w:rPr>
            </w:pPr>
            <w:r w:rsidRPr="00E10C9B">
              <w:rPr>
                <w:color w:val="00B050"/>
                <w:szCs w:val="22"/>
              </w:rPr>
              <w:t>Low risk</w:t>
            </w:r>
          </w:p>
        </w:tc>
        <w:tc>
          <w:tcPr>
            <w:tcW w:w="0" w:type="auto"/>
          </w:tcPr>
          <w:p w14:paraId="4C6535F0" w14:textId="77777777" w:rsidR="00CE408C" w:rsidRPr="00E10C9B" w:rsidRDefault="0054399D" w:rsidP="00CE408C">
            <w:pPr>
              <w:jc w:val="center"/>
              <w:rPr>
                <w:color w:val="FFC000"/>
                <w:szCs w:val="22"/>
              </w:rPr>
            </w:pPr>
            <w:r w:rsidRPr="00E10C9B">
              <w:rPr>
                <w:color w:val="00B050"/>
                <w:szCs w:val="22"/>
              </w:rPr>
              <w:t>Low risk</w:t>
            </w:r>
          </w:p>
        </w:tc>
      </w:tr>
      <w:tr w:rsidR="00CE408C" w:rsidRPr="000044D4" w14:paraId="5D43D476" w14:textId="77777777" w:rsidTr="004202E1">
        <w:tc>
          <w:tcPr>
            <w:tcW w:w="0" w:type="auto"/>
          </w:tcPr>
          <w:p w14:paraId="7A5BBD38" w14:textId="4F919A8F" w:rsidR="00CE408C" w:rsidRPr="00016E1F" w:rsidRDefault="00CE408C" w:rsidP="00E10E43">
            <w:pPr>
              <w:rPr>
                <w:szCs w:val="22"/>
              </w:rPr>
            </w:pPr>
            <w:r w:rsidRPr="00016E1F">
              <w:rPr>
                <w:szCs w:val="22"/>
              </w:rPr>
              <w:t>Pelzer (2015)</w:t>
            </w:r>
            <w:r w:rsidR="00A75209" w:rsidRPr="00016E1F">
              <w:rPr>
                <w:szCs w:val="22"/>
              </w:rPr>
              <w:t xml:space="preserve"> </w:t>
            </w:r>
          </w:p>
        </w:tc>
        <w:tc>
          <w:tcPr>
            <w:tcW w:w="0" w:type="auto"/>
          </w:tcPr>
          <w:p w14:paraId="2C770814" w14:textId="77777777" w:rsidR="00CE408C" w:rsidRPr="00E10C9B" w:rsidRDefault="008A3397" w:rsidP="00CE408C">
            <w:pPr>
              <w:jc w:val="center"/>
              <w:rPr>
                <w:color w:val="00B050"/>
                <w:szCs w:val="22"/>
              </w:rPr>
            </w:pPr>
            <w:r w:rsidRPr="00E10C9B">
              <w:rPr>
                <w:color w:val="00B050"/>
                <w:szCs w:val="22"/>
              </w:rPr>
              <w:t>Low risk</w:t>
            </w:r>
          </w:p>
        </w:tc>
        <w:tc>
          <w:tcPr>
            <w:tcW w:w="0" w:type="auto"/>
          </w:tcPr>
          <w:p w14:paraId="6D7DAF1F" w14:textId="77777777" w:rsidR="00CE408C" w:rsidRPr="00016E1F" w:rsidRDefault="00112972" w:rsidP="00CE408C">
            <w:pPr>
              <w:jc w:val="center"/>
              <w:rPr>
                <w:szCs w:val="22"/>
              </w:rPr>
            </w:pPr>
            <w:r w:rsidRPr="00E10C9B">
              <w:rPr>
                <w:color w:val="FFC000"/>
                <w:szCs w:val="22"/>
              </w:rPr>
              <w:t>Moderate risk</w:t>
            </w:r>
          </w:p>
        </w:tc>
        <w:tc>
          <w:tcPr>
            <w:tcW w:w="0" w:type="auto"/>
          </w:tcPr>
          <w:p w14:paraId="09B41986" w14:textId="77777777" w:rsidR="00CE408C" w:rsidRPr="00E10C9B" w:rsidRDefault="00016E1F" w:rsidP="00CE408C">
            <w:pPr>
              <w:jc w:val="center"/>
              <w:rPr>
                <w:color w:val="FFC000"/>
                <w:szCs w:val="22"/>
              </w:rPr>
            </w:pPr>
            <w:r w:rsidRPr="00E10C9B">
              <w:rPr>
                <w:color w:val="FFC000"/>
                <w:szCs w:val="22"/>
              </w:rPr>
              <w:t>Moderate risk</w:t>
            </w:r>
          </w:p>
        </w:tc>
      </w:tr>
      <w:tr w:rsidR="00CE408C" w:rsidRPr="000044D4" w14:paraId="3672C1E4" w14:textId="77777777" w:rsidTr="004202E1">
        <w:tc>
          <w:tcPr>
            <w:tcW w:w="0" w:type="auto"/>
          </w:tcPr>
          <w:p w14:paraId="0E3AA835" w14:textId="6CE1B865" w:rsidR="00CE408C" w:rsidRPr="00016E1F" w:rsidRDefault="00CE408C" w:rsidP="00E10E43">
            <w:pPr>
              <w:rPr>
                <w:szCs w:val="22"/>
              </w:rPr>
            </w:pPr>
            <w:r w:rsidRPr="00016E1F">
              <w:rPr>
                <w:szCs w:val="22"/>
              </w:rPr>
              <w:t>Perry (</w:t>
            </w:r>
            <w:r w:rsidR="00A439BB" w:rsidRPr="00016E1F">
              <w:rPr>
                <w:szCs w:val="22"/>
              </w:rPr>
              <w:t>2010</w:t>
            </w:r>
            <w:r w:rsidRPr="00016E1F">
              <w:rPr>
                <w:szCs w:val="22"/>
              </w:rPr>
              <w:t>)</w:t>
            </w:r>
            <w:r w:rsidR="00A75209" w:rsidRPr="00016E1F">
              <w:rPr>
                <w:szCs w:val="22"/>
              </w:rPr>
              <w:t xml:space="preserve"> </w:t>
            </w:r>
          </w:p>
        </w:tc>
        <w:tc>
          <w:tcPr>
            <w:tcW w:w="0" w:type="auto"/>
          </w:tcPr>
          <w:p w14:paraId="7B53BDF6" w14:textId="77777777" w:rsidR="00CE408C" w:rsidRPr="00E10C9B" w:rsidRDefault="00086791" w:rsidP="00CE408C">
            <w:pPr>
              <w:jc w:val="center"/>
              <w:rPr>
                <w:color w:val="FFC000"/>
                <w:szCs w:val="22"/>
              </w:rPr>
            </w:pPr>
            <w:r w:rsidRPr="00E10C9B">
              <w:rPr>
                <w:color w:val="FFC000"/>
                <w:szCs w:val="22"/>
              </w:rPr>
              <w:t>Moderate</w:t>
            </w:r>
            <w:r w:rsidR="00E753D0" w:rsidRPr="00E10C9B">
              <w:rPr>
                <w:color w:val="FFC000"/>
                <w:szCs w:val="22"/>
              </w:rPr>
              <w:t xml:space="preserve"> risk</w:t>
            </w:r>
          </w:p>
        </w:tc>
        <w:tc>
          <w:tcPr>
            <w:tcW w:w="0" w:type="auto"/>
          </w:tcPr>
          <w:p w14:paraId="56AB75DC" w14:textId="77777777" w:rsidR="00CE408C" w:rsidRPr="00E10C9B" w:rsidRDefault="00E753D0" w:rsidP="00CE408C">
            <w:pPr>
              <w:jc w:val="center"/>
              <w:rPr>
                <w:color w:val="00B050"/>
                <w:szCs w:val="22"/>
              </w:rPr>
            </w:pPr>
            <w:r w:rsidRPr="00E10C9B">
              <w:rPr>
                <w:color w:val="00B050"/>
                <w:szCs w:val="22"/>
              </w:rPr>
              <w:t>Low risk</w:t>
            </w:r>
          </w:p>
        </w:tc>
        <w:tc>
          <w:tcPr>
            <w:tcW w:w="0" w:type="auto"/>
          </w:tcPr>
          <w:p w14:paraId="0AD55D8E" w14:textId="77777777" w:rsidR="00CE408C" w:rsidRPr="00E10C9B" w:rsidRDefault="00E753D0" w:rsidP="00CE408C">
            <w:pPr>
              <w:jc w:val="center"/>
              <w:rPr>
                <w:color w:val="00B050"/>
                <w:szCs w:val="22"/>
              </w:rPr>
            </w:pPr>
            <w:r w:rsidRPr="00E10C9B">
              <w:rPr>
                <w:color w:val="00B050"/>
                <w:szCs w:val="22"/>
              </w:rPr>
              <w:t>Low risk</w:t>
            </w:r>
          </w:p>
        </w:tc>
      </w:tr>
    </w:tbl>
    <w:p w14:paraId="6B850F3C" w14:textId="77777777" w:rsidR="000044D4" w:rsidRDefault="000044D4">
      <w:pPr>
        <w:rPr>
          <w:b/>
        </w:rPr>
      </w:pPr>
    </w:p>
    <w:p w14:paraId="6AA64E9B" w14:textId="77777777" w:rsidR="000044D4" w:rsidRDefault="000044D4">
      <w:pPr>
        <w:rPr>
          <w:b/>
        </w:rPr>
      </w:pPr>
    </w:p>
    <w:p w14:paraId="09227A09" w14:textId="77777777" w:rsidR="004452D2" w:rsidRDefault="004452D2">
      <w:pPr>
        <w:rPr>
          <w:b/>
        </w:rPr>
      </w:pPr>
      <w:bookmarkStart w:id="39" w:name="OLE_LINK9"/>
      <w:bookmarkStart w:id="40" w:name="OLE_LINK10"/>
      <w:bookmarkStart w:id="41" w:name="OLE_LINK13"/>
      <w:bookmarkStart w:id="42" w:name="OLE_LINK14"/>
      <w:r>
        <w:rPr>
          <w:b/>
        </w:rPr>
        <w:t>Supplem</w:t>
      </w:r>
      <w:r w:rsidR="000F507B">
        <w:rPr>
          <w:b/>
        </w:rPr>
        <w:t>entary Table</w:t>
      </w:r>
      <w:r w:rsidR="0078077C">
        <w:rPr>
          <w:b/>
        </w:rPr>
        <w:t xml:space="preserve"> 2</w:t>
      </w:r>
      <w:bookmarkEnd w:id="39"/>
      <w:bookmarkEnd w:id="40"/>
      <w:r>
        <w:rPr>
          <w:b/>
        </w:rPr>
        <w:t>. Multivariable analysis of Khorana score ite</w:t>
      </w:r>
      <w:r w:rsidR="00765BFB">
        <w:rPr>
          <w:b/>
        </w:rPr>
        <w:t>m</w:t>
      </w:r>
      <w:r>
        <w:rPr>
          <w:b/>
        </w:rPr>
        <w:t>s</w:t>
      </w:r>
    </w:p>
    <w:tbl>
      <w:tblPr>
        <w:tblStyle w:val="TableGrid"/>
        <w:tblW w:w="0" w:type="auto"/>
        <w:tblLook w:val="04A0" w:firstRow="1" w:lastRow="0" w:firstColumn="1" w:lastColumn="0" w:noHBand="0" w:noVBand="1"/>
      </w:tblPr>
      <w:tblGrid>
        <w:gridCol w:w="3603"/>
        <w:gridCol w:w="2012"/>
        <w:gridCol w:w="896"/>
      </w:tblGrid>
      <w:tr w:rsidR="0005671F" w14:paraId="58AF8A59" w14:textId="77777777" w:rsidTr="00CE408C">
        <w:tc>
          <w:tcPr>
            <w:tcW w:w="0" w:type="auto"/>
          </w:tcPr>
          <w:p w14:paraId="0AB06A10" w14:textId="77777777" w:rsidR="0005671F" w:rsidRPr="00542F39" w:rsidRDefault="0005671F">
            <w:pPr>
              <w:rPr>
                <w:b/>
              </w:rPr>
            </w:pPr>
            <w:r w:rsidRPr="00542F39">
              <w:rPr>
                <w:b/>
              </w:rPr>
              <w:t>Khorana score item</w:t>
            </w:r>
          </w:p>
        </w:tc>
        <w:tc>
          <w:tcPr>
            <w:tcW w:w="0" w:type="auto"/>
          </w:tcPr>
          <w:p w14:paraId="2CE1A388" w14:textId="77777777" w:rsidR="0005671F" w:rsidRPr="00542F39" w:rsidRDefault="0005671F" w:rsidP="00542F39">
            <w:pPr>
              <w:jc w:val="center"/>
              <w:rPr>
                <w:b/>
              </w:rPr>
            </w:pPr>
            <w:r w:rsidRPr="00542F39">
              <w:rPr>
                <w:b/>
              </w:rPr>
              <w:t>Adjusted odds ratio</w:t>
            </w:r>
          </w:p>
          <w:p w14:paraId="674B6954" w14:textId="77777777" w:rsidR="0005671F" w:rsidRPr="00542F39" w:rsidRDefault="0005671F" w:rsidP="00542F39">
            <w:pPr>
              <w:jc w:val="center"/>
              <w:rPr>
                <w:b/>
              </w:rPr>
            </w:pPr>
            <w:r w:rsidRPr="00542F39">
              <w:rPr>
                <w:b/>
              </w:rPr>
              <w:t>(95% CI)</w:t>
            </w:r>
          </w:p>
        </w:tc>
        <w:tc>
          <w:tcPr>
            <w:tcW w:w="0" w:type="auto"/>
          </w:tcPr>
          <w:p w14:paraId="53149BF3" w14:textId="77777777" w:rsidR="0005671F" w:rsidRPr="00542F39" w:rsidRDefault="0005671F" w:rsidP="00542F39">
            <w:pPr>
              <w:jc w:val="center"/>
              <w:rPr>
                <w:b/>
              </w:rPr>
            </w:pPr>
            <w:r>
              <w:rPr>
                <w:b/>
              </w:rPr>
              <w:t>P-value</w:t>
            </w:r>
          </w:p>
        </w:tc>
      </w:tr>
      <w:tr w:rsidR="0005671F" w14:paraId="671A0E04" w14:textId="77777777" w:rsidTr="00CE408C">
        <w:tc>
          <w:tcPr>
            <w:tcW w:w="0" w:type="auto"/>
          </w:tcPr>
          <w:p w14:paraId="615B66B3" w14:textId="77777777" w:rsidR="0005671F" w:rsidRDefault="00314D5B">
            <w:r>
              <w:t>High-risk</w:t>
            </w:r>
            <w:r w:rsidR="0005671F">
              <w:t xml:space="preserve"> tumor type (vs low risk)</w:t>
            </w:r>
          </w:p>
        </w:tc>
        <w:tc>
          <w:tcPr>
            <w:tcW w:w="0" w:type="auto"/>
          </w:tcPr>
          <w:p w14:paraId="0A7FD039" w14:textId="77777777" w:rsidR="0005671F" w:rsidRDefault="0005671F" w:rsidP="0005671F">
            <w:pPr>
              <w:jc w:val="center"/>
            </w:pPr>
            <w:r>
              <w:t>1.8 (1.05-3.1)</w:t>
            </w:r>
          </w:p>
        </w:tc>
        <w:tc>
          <w:tcPr>
            <w:tcW w:w="0" w:type="auto"/>
          </w:tcPr>
          <w:p w14:paraId="6463E376" w14:textId="77777777" w:rsidR="0005671F" w:rsidRDefault="0005671F" w:rsidP="0005671F">
            <w:pPr>
              <w:jc w:val="center"/>
            </w:pPr>
            <w:r>
              <w:t>0.032</w:t>
            </w:r>
          </w:p>
        </w:tc>
      </w:tr>
      <w:tr w:rsidR="0005671F" w14:paraId="7D9093F1" w14:textId="77777777" w:rsidTr="00CE408C">
        <w:tc>
          <w:tcPr>
            <w:tcW w:w="0" w:type="auto"/>
          </w:tcPr>
          <w:p w14:paraId="6D989BB9" w14:textId="77777777" w:rsidR="0005671F" w:rsidRDefault="0005671F">
            <w:r>
              <w:t xml:space="preserve">Very </w:t>
            </w:r>
            <w:r w:rsidR="00314D5B">
              <w:t>high-risk</w:t>
            </w:r>
            <w:r>
              <w:t xml:space="preserve"> tumor type (vs low risk)</w:t>
            </w:r>
          </w:p>
        </w:tc>
        <w:tc>
          <w:tcPr>
            <w:tcW w:w="0" w:type="auto"/>
          </w:tcPr>
          <w:p w14:paraId="129AF41B" w14:textId="77777777" w:rsidR="0005671F" w:rsidRDefault="0005671F" w:rsidP="0005671F">
            <w:pPr>
              <w:jc w:val="center"/>
            </w:pPr>
            <w:r>
              <w:t>2.4 (1.4-4.4)</w:t>
            </w:r>
          </w:p>
        </w:tc>
        <w:tc>
          <w:tcPr>
            <w:tcW w:w="0" w:type="auto"/>
          </w:tcPr>
          <w:p w14:paraId="5D9378DD" w14:textId="77777777" w:rsidR="0005671F" w:rsidRDefault="0005671F" w:rsidP="0005671F">
            <w:pPr>
              <w:jc w:val="center"/>
            </w:pPr>
            <w:r>
              <w:t>0.003</w:t>
            </w:r>
          </w:p>
        </w:tc>
      </w:tr>
      <w:tr w:rsidR="0005671F" w14:paraId="21A82A89" w14:textId="77777777" w:rsidTr="00CE408C">
        <w:tc>
          <w:tcPr>
            <w:tcW w:w="0" w:type="auto"/>
          </w:tcPr>
          <w:p w14:paraId="2E8886B4" w14:textId="77777777" w:rsidR="0005671F" w:rsidRDefault="0005671F">
            <w:r>
              <w:t>Hemoglobin &lt;10 g/dL or ESA use</w:t>
            </w:r>
          </w:p>
        </w:tc>
        <w:tc>
          <w:tcPr>
            <w:tcW w:w="0" w:type="auto"/>
          </w:tcPr>
          <w:p w14:paraId="46A46E7F" w14:textId="77777777" w:rsidR="0005671F" w:rsidRDefault="0005671F" w:rsidP="00542F39">
            <w:pPr>
              <w:jc w:val="center"/>
            </w:pPr>
            <w:r>
              <w:t>1.01 (0.68-1.5)</w:t>
            </w:r>
          </w:p>
        </w:tc>
        <w:tc>
          <w:tcPr>
            <w:tcW w:w="0" w:type="auto"/>
          </w:tcPr>
          <w:p w14:paraId="2D2FE670" w14:textId="77777777" w:rsidR="0005671F" w:rsidRDefault="0005671F" w:rsidP="00542F39">
            <w:pPr>
              <w:jc w:val="center"/>
            </w:pPr>
            <w:r>
              <w:t>0.97</w:t>
            </w:r>
          </w:p>
        </w:tc>
      </w:tr>
      <w:tr w:rsidR="0005671F" w14:paraId="3046F065" w14:textId="77777777" w:rsidTr="00CE408C">
        <w:tc>
          <w:tcPr>
            <w:tcW w:w="0" w:type="auto"/>
          </w:tcPr>
          <w:p w14:paraId="4B74870F" w14:textId="77777777" w:rsidR="0005671F" w:rsidRDefault="0005671F" w:rsidP="004452D2">
            <w:r>
              <w:t>White blood cell count &gt;11 x 10</w:t>
            </w:r>
            <w:r w:rsidRPr="004452D2">
              <w:rPr>
                <w:vertAlign w:val="superscript"/>
              </w:rPr>
              <w:t>9</w:t>
            </w:r>
            <w:r>
              <w:t>/L</w:t>
            </w:r>
          </w:p>
        </w:tc>
        <w:tc>
          <w:tcPr>
            <w:tcW w:w="0" w:type="auto"/>
          </w:tcPr>
          <w:p w14:paraId="506E3A9E" w14:textId="77777777" w:rsidR="0005671F" w:rsidRDefault="0005671F" w:rsidP="00542F39">
            <w:pPr>
              <w:jc w:val="center"/>
            </w:pPr>
            <w:r>
              <w:t>1.3 (1.00-1.8)</w:t>
            </w:r>
          </w:p>
        </w:tc>
        <w:tc>
          <w:tcPr>
            <w:tcW w:w="0" w:type="auto"/>
          </w:tcPr>
          <w:p w14:paraId="2FCB9604" w14:textId="77777777" w:rsidR="0005671F" w:rsidRDefault="0005671F" w:rsidP="00542F39">
            <w:pPr>
              <w:jc w:val="center"/>
            </w:pPr>
            <w:r>
              <w:t>0.050</w:t>
            </w:r>
          </w:p>
        </w:tc>
      </w:tr>
      <w:tr w:rsidR="0005671F" w14:paraId="1CAA6181" w14:textId="77777777" w:rsidTr="00CE408C">
        <w:tc>
          <w:tcPr>
            <w:tcW w:w="0" w:type="auto"/>
          </w:tcPr>
          <w:p w14:paraId="2C811D79" w14:textId="77777777" w:rsidR="0005671F" w:rsidRDefault="0005671F" w:rsidP="004452D2">
            <w:r>
              <w:t>Platelet count ≥350 x 10</w:t>
            </w:r>
            <w:r w:rsidRPr="004452D2">
              <w:rPr>
                <w:vertAlign w:val="superscript"/>
              </w:rPr>
              <w:t>9</w:t>
            </w:r>
            <w:r>
              <w:t>/L</w:t>
            </w:r>
          </w:p>
        </w:tc>
        <w:tc>
          <w:tcPr>
            <w:tcW w:w="0" w:type="auto"/>
          </w:tcPr>
          <w:p w14:paraId="70546912" w14:textId="77777777" w:rsidR="0005671F" w:rsidRDefault="0005671F" w:rsidP="00542F39">
            <w:pPr>
              <w:jc w:val="center"/>
            </w:pPr>
            <w:r>
              <w:t>0.88 (0.67-1.2)</w:t>
            </w:r>
          </w:p>
        </w:tc>
        <w:tc>
          <w:tcPr>
            <w:tcW w:w="0" w:type="auto"/>
          </w:tcPr>
          <w:p w14:paraId="714FC7A1" w14:textId="77777777" w:rsidR="0005671F" w:rsidRDefault="0005671F" w:rsidP="00542F39">
            <w:pPr>
              <w:jc w:val="center"/>
            </w:pPr>
            <w:r>
              <w:t>0.37</w:t>
            </w:r>
          </w:p>
        </w:tc>
      </w:tr>
      <w:tr w:rsidR="0005671F" w14:paraId="7D445738" w14:textId="77777777" w:rsidTr="00CE408C">
        <w:tc>
          <w:tcPr>
            <w:tcW w:w="0" w:type="auto"/>
          </w:tcPr>
          <w:p w14:paraId="4F6B48A3" w14:textId="77777777" w:rsidR="0005671F" w:rsidRDefault="0005671F" w:rsidP="004452D2">
            <w:r>
              <w:t>Body mass index &gt;35 kg/m</w:t>
            </w:r>
            <w:r w:rsidRPr="004452D2">
              <w:rPr>
                <w:vertAlign w:val="superscript"/>
              </w:rPr>
              <w:t>2</w:t>
            </w:r>
          </w:p>
        </w:tc>
        <w:tc>
          <w:tcPr>
            <w:tcW w:w="0" w:type="auto"/>
          </w:tcPr>
          <w:p w14:paraId="61CE6696" w14:textId="77777777" w:rsidR="0005671F" w:rsidRDefault="0005671F" w:rsidP="00542F39">
            <w:pPr>
              <w:jc w:val="center"/>
            </w:pPr>
            <w:r>
              <w:t>1.6 (0.97-2.6)</w:t>
            </w:r>
          </w:p>
        </w:tc>
        <w:tc>
          <w:tcPr>
            <w:tcW w:w="0" w:type="auto"/>
          </w:tcPr>
          <w:p w14:paraId="46426C5F" w14:textId="77777777" w:rsidR="0005671F" w:rsidRDefault="0005671F" w:rsidP="00542F39">
            <w:pPr>
              <w:jc w:val="center"/>
            </w:pPr>
            <w:r>
              <w:t>0.067</w:t>
            </w:r>
          </w:p>
        </w:tc>
      </w:tr>
    </w:tbl>
    <w:bookmarkEnd w:id="41"/>
    <w:bookmarkEnd w:id="42"/>
    <w:p w14:paraId="318F807E" w14:textId="77777777" w:rsidR="00D77856" w:rsidRPr="00645B92" w:rsidRDefault="00A36892">
      <w:pPr>
        <w:rPr>
          <w:sz w:val="18"/>
          <w:szCs w:val="18"/>
        </w:rPr>
      </w:pPr>
      <w:r w:rsidRPr="00645B92">
        <w:rPr>
          <w:sz w:val="18"/>
          <w:szCs w:val="18"/>
        </w:rPr>
        <w:br/>
      </w:r>
      <w:r w:rsidR="00542F39" w:rsidRPr="00645B92">
        <w:rPr>
          <w:sz w:val="18"/>
          <w:szCs w:val="18"/>
        </w:rPr>
        <w:t>Abbreviations: CI, confidence interval; ESA, erythropoietin stimulating agent.</w:t>
      </w:r>
    </w:p>
    <w:p w14:paraId="046B20CD" w14:textId="77777777" w:rsidR="00A10E25" w:rsidRDefault="00A10E25"/>
    <w:p w14:paraId="1DD4C961" w14:textId="69412D13" w:rsidR="00A10E25" w:rsidRDefault="00A10E25">
      <w:pPr>
        <w:sectPr w:rsidR="00A10E25" w:rsidSect="00B24001">
          <w:pgSz w:w="11906" w:h="16838"/>
          <w:pgMar w:top="1417" w:right="1417" w:bottom="1417" w:left="1417" w:header="708" w:footer="708" w:gutter="0"/>
          <w:cols w:space="708"/>
          <w:docGrid w:linePitch="360"/>
        </w:sectPr>
      </w:pPr>
    </w:p>
    <w:p w14:paraId="41D2EFF6" w14:textId="6DACEB89" w:rsidR="00542F39" w:rsidRDefault="00542F39"/>
    <w:p w14:paraId="544C8A81" w14:textId="77777777" w:rsidR="00F07C52" w:rsidRDefault="00F07C52"/>
    <w:p w14:paraId="176A6469" w14:textId="69715EC5" w:rsidR="00F07C52" w:rsidRDefault="00F07C52">
      <w:pPr>
        <w:rPr>
          <w:b/>
        </w:rPr>
      </w:pPr>
      <w:r>
        <w:rPr>
          <w:b/>
        </w:rPr>
        <w:t>Supplementary Table 3</w:t>
      </w:r>
      <w:r w:rsidR="002B72A0">
        <w:rPr>
          <w:b/>
        </w:rPr>
        <w:t>A</w:t>
      </w:r>
      <w:r>
        <w:rPr>
          <w:b/>
        </w:rPr>
        <w:t xml:space="preserve">. </w:t>
      </w:r>
      <w:r w:rsidR="0034375A">
        <w:rPr>
          <w:b/>
        </w:rPr>
        <w:t>Venous thromboembolism for each</w:t>
      </w:r>
      <w:r>
        <w:rPr>
          <w:b/>
        </w:rPr>
        <w:t xml:space="preserve"> Khorana score per included study</w:t>
      </w:r>
      <w:r w:rsidR="00062E6E">
        <w:rPr>
          <w:b/>
        </w:rPr>
        <w:t xml:space="preserve"> </w:t>
      </w:r>
      <w:r w:rsidR="00A00215">
        <w:rPr>
          <w:b/>
        </w:rPr>
        <w:t>during 6-month follow-up</w:t>
      </w:r>
    </w:p>
    <w:p w14:paraId="641517C6" w14:textId="77777777" w:rsidR="00645B92" w:rsidRDefault="00645B92">
      <w:pPr>
        <w:rPr>
          <w:b/>
        </w:rPr>
      </w:pPr>
    </w:p>
    <w:tbl>
      <w:tblPr>
        <w:tblStyle w:val="TableGrid"/>
        <w:tblW w:w="0" w:type="auto"/>
        <w:tblLook w:val="04A0" w:firstRow="1" w:lastRow="0" w:firstColumn="1" w:lastColumn="0" w:noHBand="0" w:noVBand="1"/>
      </w:tblPr>
      <w:tblGrid>
        <w:gridCol w:w="1334"/>
        <w:gridCol w:w="643"/>
        <w:gridCol w:w="500"/>
        <w:gridCol w:w="709"/>
        <w:gridCol w:w="500"/>
        <w:gridCol w:w="642"/>
        <w:gridCol w:w="500"/>
        <w:gridCol w:w="709"/>
        <w:gridCol w:w="500"/>
        <w:gridCol w:w="642"/>
        <w:gridCol w:w="500"/>
        <w:gridCol w:w="709"/>
        <w:gridCol w:w="500"/>
        <w:gridCol w:w="642"/>
        <w:gridCol w:w="500"/>
        <w:gridCol w:w="709"/>
        <w:gridCol w:w="500"/>
        <w:gridCol w:w="642"/>
        <w:gridCol w:w="500"/>
        <w:gridCol w:w="709"/>
        <w:gridCol w:w="500"/>
        <w:gridCol w:w="642"/>
        <w:gridCol w:w="500"/>
        <w:gridCol w:w="709"/>
        <w:gridCol w:w="500"/>
      </w:tblGrid>
      <w:tr w:rsidR="0034375A" w:rsidRPr="0034375A" w14:paraId="2455DFB3" w14:textId="087D14EF" w:rsidTr="00711193">
        <w:tc>
          <w:tcPr>
            <w:tcW w:w="0" w:type="auto"/>
          </w:tcPr>
          <w:p w14:paraId="679AD90C" w14:textId="77777777" w:rsidR="0034375A" w:rsidRPr="0034375A" w:rsidRDefault="0034375A">
            <w:pPr>
              <w:rPr>
                <w:b/>
                <w:sz w:val="18"/>
                <w:szCs w:val="18"/>
              </w:rPr>
            </w:pPr>
            <w:r w:rsidRPr="0034375A">
              <w:rPr>
                <w:b/>
                <w:sz w:val="18"/>
                <w:szCs w:val="18"/>
              </w:rPr>
              <w:t>Study</w:t>
            </w:r>
          </w:p>
        </w:tc>
        <w:tc>
          <w:tcPr>
            <w:tcW w:w="0" w:type="auto"/>
            <w:gridSpan w:val="4"/>
          </w:tcPr>
          <w:p w14:paraId="08AC9367" w14:textId="3E827440" w:rsidR="0034375A" w:rsidRPr="0034375A" w:rsidRDefault="0034375A" w:rsidP="00F07C52">
            <w:pPr>
              <w:jc w:val="center"/>
              <w:rPr>
                <w:b/>
                <w:sz w:val="18"/>
                <w:szCs w:val="18"/>
              </w:rPr>
            </w:pPr>
            <w:r w:rsidRPr="0034375A">
              <w:rPr>
                <w:b/>
                <w:sz w:val="18"/>
                <w:szCs w:val="18"/>
              </w:rPr>
              <w:t>0 points</w:t>
            </w:r>
          </w:p>
        </w:tc>
        <w:tc>
          <w:tcPr>
            <w:tcW w:w="0" w:type="auto"/>
            <w:gridSpan w:val="4"/>
          </w:tcPr>
          <w:p w14:paraId="5BFB905F" w14:textId="73606FEF" w:rsidR="0034375A" w:rsidRPr="0034375A" w:rsidRDefault="0034375A" w:rsidP="00F07C52">
            <w:pPr>
              <w:jc w:val="center"/>
              <w:rPr>
                <w:b/>
                <w:sz w:val="18"/>
                <w:szCs w:val="18"/>
              </w:rPr>
            </w:pPr>
            <w:r w:rsidRPr="0034375A">
              <w:rPr>
                <w:b/>
                <w:sz w:val="18"/>
                <w:szCs w:val="18"/>
              </w:rPr>
              <w:t>1 point</w:t>
            </w:r>
          </w:p>
        </w:tc>
        <w:tc>
          <w:tcPr>
            <w:tcW w:w="0" w:type="auto"/>
            <w:gridSpan w:val="4"/>
          </w:tcPr>
          <w:p w14:paraId="2C6CAEDD" w14:textId="34B35502" w:rsidR="0034375A" w:rsidRPr="0034375A" w:rsidRDefault="0034375A" w:rsidP="00F07C52">
            <w:pPr>
              <w:jc w:val="center"/>
              <w:rPr>
                <w:b/>
                <w:sz w:val="18"/>
                <w:szCs w:val="18"/>
              </w:rPr>
            </w:pPr>
            <w:r w:rsidRPr="0034375A">
              <w:rPr>
                <w:b/>
                <w:sz w:val="18"/>
                <w:szCs w:val="18"/>
              </w:rPr>
              <w:t>2 points</w:t>
            </w:r>
          </w:p>
        </w:tc>
        <w:tc>
          <w:tcPr>
            <w:tcW w:w="0" w:type="auto"/>
            <w:gridSpan w:val="4"/>
          </w:tcPr>
          <w:p w14:paraId="12A71EE3" w14:textId="7417E18E" w:rsidR="0034375A" w:rsidRPr="0034375A" w:rsidRDefault="0034375A" w:rsidP="00F07C52">
            <w:pPr>
              <w:jc w:val="center"/>
              <w:rPr>
                <w:b/>
                <w:sz w:val="18"/>
                <w:szCs w:val="18"/>
              </w:rPr>
            </w:pPr>
            <w:r w:rsidRPr="0034375A">
              <w:rPr>
                <w:b/>
                <w:sz w:val="18"/>
                <w:szCs w:val="18"/>
              </w:rPr>
              <w:t>3 points</w:t>
            </w:r>
          </w:p>
        </w:tc>
        <w:tc>
          <w:tcPr>
            <w:tcW w:w="0" w:type="auto"/>
            <w:gridSpan w:val="4"/>
          </w:tcPr>
          <w:p w14:paraId="563526D1" w14:textId="707D366F" w:rsidR="0034375A" w:rsidRPr="0034375A" w:rsidRDefault="0034375A" w:rsidP="00F07C52">
            <w:pPr>
              <w:jc w:val="center"/>
              <w:rPr>
                <w:b/>
                <w:sz w:val="18"/>
                <w:szCs w:val="18"/>
              </w:rPr>
            </w:pPr>
            <w:r w:rsidRPr="0034375A">
              <w:rPr>
                <w:b/>
                <w:sz w:val="18"/>
                <w:szCs w:val="18"/>
              </w:rPr>
              <w:t>4 points</w:t>
            </w:r>
          </w:p>
        </w:tc>
        <w:tc>
          <w:tcPr>
            <w:tcW w:w="0" w:type="auto"/>
            <w:gridSpan w:val="4"/>
          </w:tcPr>
          <w:p w14:paraId="4198C8F9" w14:textId="7903B3C6" w:rsidR="0034375A" w:rsidRPr="0034375A" w:rsidRDefault="0034375A" w:rsidP="00F07C52">
            <w:pPr>
              <w:jc w:val="center"/>
              <w:rPr>
                <w:b/>
                <w:sz w:val="18"/>
                <w:szCs w:val="18"/>
              </w:rPr>
            </w:pPr>
            <w:r w:rsidRPr="0034375A">
              <w:rPr>
                <w:b/>
                <w:sz w:val="18"/>
                <w:szCs w:val="18"/>
              </w:rPr>
              <w:t>5 points</w:t>
            </w:r>
          </w:p>
        </w:tc>
      </w:tr>
      <w:tr w:rsidR="00906FC1" w:rsidRPr="0034375A" w14:paraId="6FDA789E" w14:textId="4BCB1EEE" w:rsidTr="00CC6390">
        <w:tc>
          <w:tcPr>
            <w:tcW w:w="0" w:type="auto"/>
          </w:tcPr>
          <w:p w14:paraId="2FFD97B2" w14:textId="77777777" w:rsidR="0034375A" w:rsidRPr="0034375A" w:rsidRDefault="0034375A" w:rsidP="0034375A">
            <w:pPr>
              <w:rPr>
                <w:b/>
                <w:sz w:val="18"/>
                <w:szCs w:val="18"/>
              </w:rPr>
            </w:pPr>
          </w:p>
        </w:tc>
        <w:tc>
          <w:tcPr>
            <w:tcW w:w="1138" w:type="dxa"/>
            <w:gridSpan w:val="2"/>
          </w:tcPr>
          <w:p w14:paraId="70B3FDC7" w14:textId="77777777" w:rsidR="0034375A" w:rsidRPr="0034375A" w:rsidRDefault="0034375A" w:rsidP="0034375A">
            <w:pPr>
              <w:jc w:val="center"/>
              <w:rPr>
                <w:b/>
                <w:sz w:val="18"/>
                <w:szCs w:val="18"/>
              </w:rPr>
            </w:pPr>
            <w:r w:rsidRPr="0034375A">
              <w:rPr>
                <w:b/>
                <w:sz w:val="18"/>
                <w:szCs w:val="18"/>
              </w:rPr>
              <w:t>O/P</w:t>
            </w:r>
          </w:p>
        </w:tc>
        <w:tc>
          <w:tcPr>
            <w:tcW w:w="1206" w:type="dxa"/>
            <w:gridSpan w:val="2"/>
          </w:tcPr>
          <w:p w14:paraId="2EB14F72" w14:textId="7A894564" w:rsidR="0034375A" w:rsidRPr="0034375A" w:rsidRDefault="0034375A" w:rsidP="0034375A">
            <w:pPr>
              <w:jc w:val="center"/>
              <w:rPr>
                <w:b/>
                <w:sz w:val="18"/>
                <w:szCs w:val="18"/>
              </w:rPr>
            </w:pPr>
            <w:r w:rsidRPr="0034375A">
              <w:rPr>
                <w:b/>
                <w:sz w:val="18"/>
                <w:szCs w:val="18"/>
              </w:rPr>
              <w:t>I</w:t>
            </w:r>
            <w:r>
              <w:rPr>
                <w:b/>
                <w:sz w:val="18"/>
                <w:szCs w:val="18"/>
              </w:rPr>
              <w:t>ntervention</w:t>
            </w:r>
          </w:p>
        </w:tc>
        <w:tc>
          <w:tcPr>
            <w:tcW w:w="0" w:type="auto"/>
            <w:gridSpan w:val="2"/>
          </w:tcPr>
          <w:p w14:paraId="6341A2B3" w14:textId="1AC7E949" w:rsidR="0034375A" w:rsidRPr="0034375A" w:rsidRDefault="0034375A" w:rsidP="0034375A">
            <w:pPr>
              <w:jc w:val="center"/>
              <w:rPr>
                <w:b/>
                <w:sz w:val="18"/>
                <w:szCs w:val="18"/>
              </w:rPr>
            </w:pPr>
            <w:r w:rsidRPr="0034375A">
              <w:rPr>
                <w:b/>
                <w:sz w:val="18"/>
                <w:szCs w:val="18"/>
              </w:rPr>
              <w:t>O/P</w:t>
            </w:r>
          </w:p>
        </w:tc>
        <w:tc>
          <w:tcPr>
            <w:tcW w:w="0" w:type="auto"/>
            <w:gridSpan w:val="2"/>
          </w:tcPr>
          <w:p w14:paraId="37479ED3" w14:textId="204EE8FA" w:rsidR="0034375A" w:rsidRPr="0034375A" w:rsidRDefault="0034375A" w:rsidP="0034375A">
            <w:pPr>
              <w:jc w:val="center"/>
              <w:rPr>
                <w:b/>
                <w:sz w:val="18"/>
                <w:szCs w:val="18"/>
              </w:rPr>
            </w:pPr>
            <w:r w:rsidRPr="0034375A">
              <w:rPr>
                <w:b/>
                <w:sz w:val="18"/>
                <w:szCs w:val="18"/>
              </w:rPr>
              <w:t>I</w:t>
            </w:r>
            <w:r>
              <w:rPr>
                <w:b/>
                <w:sz w:val="18"/>
                <w:szCs w:val="18"/>
              </w:rPr>
              <w:t>ntervention</w:t>
            </w:r>
          </w:p>
        </w:tc>
        <w:tc>
          <w:tcPr>
            <w:tcW w:w="0" w:type="auto"/>
            <w:gridSpan w:val="2"/>
          </w:tcPr>
          <w:p w14:paraId="680BA882" w14:textId="6B91110A" w:rsidR="0034375A" w:rsidRPr="0034375A" w:rsidRDefault="0034375A" w:rsidP="0034375A">
            <w:pPr>
              <w:jc w:val="center"/>
              <w:rPr>
                <w:b/>
                <w:sz w:val="18"/>
                <w:szCs w:val="18"/>
              </w:rPr>
            </w:pPr>
            <w:r w:rsidRPr="0034375A">
              <w:rPr>
                <w:b/>
                <w:sz w:val="18"/>
                <w:szCs w:val="18"/>
              </w:rPr>
              <w:t>O/P</w:t>
            </w:r>
          </w:p>
        </w:tc>
        <w:tc>
          <w:tcPr>
            <w:tcW w:w="0" w:type="auto"/>
            <w:gridSpan w:val="2"/>
          </w:tcPr>
          <w:p w14:paraId="3E98960B" w14:textId="27FA2611" w:rsidR="0034375A" w:rsidRPr="0034375A" w:rsidRDefault="0034375A" w:rsidP="0034375A">
            <w:pPr>
              <w:jc w:val="center"/>
              <w:rPr>
                <w:b/>
                <w:sz w:val="18"/>
                <w:szCs w:val="18"/>
              </w:rPr>
            </w:pPr>
            <w:r w:rsidRPr="0034375A">
              <w:rPr>
                <w:b/>
                <w:sz w:val="18"/>
                <w:szCs w:val="18"/>
              </w:rPr>
              <w:t>I</w:t>
            </w:r>
            <w:r>
              <w:rPr>
                <w:b/>
                <w:sz w:val="18"/>
                <w:szCs w:val="18"/>
              </w:rPr>
              <w:t>ntervention</w:t>
            </w:r>
          </w:p>
        </w:tc>
        <w:tc>
          <w:tcPr>
            <w:tcW w:w="0" w:type="auto"/>
            <w:gridSpan w:val="2"/>
          </w:tcPr>
          <w:p w14:paraId="224C6A41" w14:textId="2CCFE533" w:rsidR="0034375A" w:rsidRPr="0034375A" w:rsidRDefault="0034375A" w:rsidP="0034375A">
            <w:pPr>
              <w:jc w:val="center"/>
              <w:rPr>
                <w:b/>
                <w:sz w:val="18"/>
                <w:szCs w:val="18"/>
              </w:rPr>
            </w:pPr>
            <w:r w:rsidRPr="0034375A">
              <w:rPr>
                <w:b/>
                <w:sz w:val="18"/>
                <w:szCs w:val="18"/>
              </w:rPr>
              <w:t>O/P</w:t>
            </w:r>
          </w:p>
        </w:tc>
        <w:tc>
          <w:tcPr>
            <w:tcW w:w="0" w:type="auto"/>
            <w:gridSpan w:val="2"/>
          </w:tcPr>
          <w:p w14:paraId="4A803D08" w14:textId="1EBBEEA0" w:rsidR="0034375A" w:rsidRPr="0034375A" w:rsidRDefault="0034375A" w:rsidP="0034375A">
            <w:pPr>
              <w:jc w:val="center"/>
              <w:rPr>
                <w:b/>
                <w:sz w:val="18"/>
                <w:szCs w:val="18"/>
              </w:rPr>
            </w:pPr>
            <w:r w:rsidRPr="0034375A">
              <w:rPr>
                <w:b/>
                <w:sz w:val="18"/>
                <w:szCs w:val="18"/>
              </w:rPr>
              <w:t>I</w:t>
            </w:r>
            <w:r>
              <w:rPr>
                <w:b/>
                <w:sz w:val="18"/>
                <w:szCs w:val="18"/>
              </w:rPr>
              <w:t>ntervention</w:t>
            </w:r>
          </w:p>
        </w:tc>
        <w:tc>
          <w:tcPr>
            <w:tcW w:w="0" w:type="auto"/>
            <w:gridSpan w:val="2"/>
          </w:tcPr>
          <w:p w14:paraId="68951016" w14:textId="23B0A394" w:rsidR="0034375A" w:rsidRPr="0034375A" w:rsidRDefault="0034375A" w:rsidP="0034375A">
            <w:pPr>
              <w:jc w:val="center"/>
              <w:rPr>
                <w:b/>
                <w:sz w:val="18"/>
                <w:szCs w:val="18"/>
              </w:rPr>
            </w:pPr>
            <w:r w:rsidRPr="0034375A">
              <w:rPr>
                <w:b/>
                <w:sz w:val="18"/>
                <w:szCs w:val="18"/>
              </w:rPr>
              <w:t>O/P</w:t>
            </w:r>
          </w:p>
        </w:tc>
        <w:tc>
          <w:tcPr>
            <w:tcW w:w="0" w:type="auto"/>
            <w:gridSpan w:val="2"/>
          </w:tcPr>
          <w:p w14:paraId="225D7BA8" w14:textId="5F9E8C1E" w:rsidR="0034375A" w:rsidRPr="0034375A" w:rsidRDefault="0034375A" w:rsidP="0034375A">
            <w:pPr>
              <w:jc w:val="center"/>
              <w:rPr>
                <w:b/>
                <w:sz w:val="18"/>
                <w:szCs w:val="18"/>
              </w:rPr>
            </w:pPr>
            <w:r w:rsidRPr="0034375A">
              <w:rPr>
                <w:b/>
                <w:sz w:val="18"/>
                <w:szCs w:val="18"/>
              </w:rPr>
              <w:t>I</w:t>
            </w:r>
            <w:r>
              <w:rPr>
                <w:b/>
                <w:sz w:val="18"/>
                <w:szCs w:val="18"/>
              </w:rPr>
              <w:t>ntervention</w:t>
            </w:r>
          </w:p>
        </w:tc>
        <w:tc>
          <w:tcPr>
            <w:tcW w:w="0" w:type="auto"/>
            <w:gridSpan w:val="2"/>
          </w:tcPr>
          <w:p w14:paraId="3996F8FB" w14:textId="20240EEE" w:rsidR="0034375A" w:rsidRPr="0034375A" w:rsidRDefault="0034375A" w:rsidP="0034375A">
            <w:pPr>
              <w:jc w:val="center"/>
              <w:rPr>
                <w:b/>
                <w:sz w:val="18"/>
                <w:szCs w:val="18"/>
              </w:rPr>
            </w:pPr>
            <w:r w:rsidRPr="0034375A">
              <w:rPr>
                <w:b/>
                <w:sz w:val="18"/>
                <w:szCs w:val="18"/>
              </w:rPr>
              <w:t>O/P</w:t>
            </w:r>
          </w:p>
        </w:tc>
        <w:tc>
          <w:tcPr>
            <w:tcW w:w="0" w:type="auto"/>
            <w:gridSpan w:val="2"/>
          </w:tcPr>
          <w:p w14:paraId="4A6E62F5" w14:textId="1C6BB9A6" w:rsidR="0034375A" w:rsidRPr="0034375A" w:rsidRDefault="0034375A" w:rsidP="0034375A">
            <w:pPr>
              <w:jc w:val="center"/>
              <w:rPr>
                <w:b/>
                <w:sz w:val="18"/>
                <w:szCs w:val="18"/>
              </w:rPr>
            </w:pPr>
            <w:r w:rsidRPr="0034375A">
              <w:rPr>
                <w:b/>
                <w:sz w:val="18"/>
                <w:szCs w:val="18"/>
              </w:rPr>
              <w:t>I</w:t>
            </w:r>
            <w:r>
              <w:rPr>
                <w:b/>
                <w:sz w:val="18"/>
                <w:szCs w:val="18"/>
              </w:rPr>
              <w:t>ntervention</w:t>
            </w:r>
          </w:p>
        </w:tc>
      </w:tr>
      <w:tr w:rsidR="0034375A" w:rsidRPr="0034375A" w14:paraId="3E79B148" w14:textId="03A1C33D" w:rsidTr="0034375A">
        <w:tc>
          <w:tcPr>
            <w:tcW w:w="0" w:type="auto"/>
          </w:tcPr>
          <w:p w14:paraId="0D73980B" w14:textId="77777777" w:rsidR="0034375A" w:rsidRPr="0034375A" w:rsidRDefault="0034375A" w:rsidP="0034375A">
            <w:pPr>
              <w:rPr>
                <w:sz w:val="18"/>
                <w:szCs w:val="18"/>
              </w:rPr>
            </w:pPr>
          </w:p>
        </w:tc>
        <w:tc>
          <w:tcPr>
            <w:tcW w:w="0" w:type="auto"/>
          </w:tcPr>
          <w:p w14:paraId="269C9273" w14:textId="77777777" w:rsidR="0034375A" w:rsidRPr="0034375A" w:rsidRDefault="0034375A" w:rsidP="0034375A">
            <w:pPr>
              <w:jc w:val="center"/>
              <w:rPr>
                <w:b/>
                <w:sz w:val="18"/>
                <w:szCs w:val="18"/>
              </w:rPr>
            </w:pPr>
            <w:r w:rsidRPr="0034375A">
              <w:rPr>
                <w:b/>
                <w:sz w:val="18"/>
                <w:szCs w:val="18"/>
              </w:rPr>
              <w:t>No VTE</w:t>
            </w:r>
          </w:p>
        </w:tc>
        <w:tc>
          <w:tcPr>
            <w:tcW w:w="0" w:type="auto"/>
          </w:tcPr>
          <w:p w14:paraId="5FAAFEF2" w14:textId="72E960C6" w:rsidR="0034375A" w:rsidRPr="0034375A" w:rsidRDefault="0034375A" w:rsidP="0034375A">
            <w:pPr>
              <w:jc w:val="center"/>
              <w:rPr>
                <w:b/>
                <w:sz w:val="18"/>
                <w:szCs w:val="18"/>
              </w:rPr>
            </w:pPr>
            <w:r w:rsidRPr="0034375A">
              <w:rPr>
                <w:b/>
                <w:sz w:val="18"/>
                <w:szCs w:val="18"/>
              </w:rPr>
              <w:t>VTE</w:t>
            </w:r>
          </w:p>
        </w:tc>
        <w:tc>
          <w:tcPr>
            <w:tcW w:w="0" w:type="auto"/>
          </w:tcPr>
          <w:p w14:paraId="17962279" w14:textId="059D381C" w:rsidR="0034375A" w:rsidRPr="0034375A" w:rsidRDefault="0034375A" w:rsidP="0034375A">
            <w:pPr>
              <w:jc w:val="center"/>
              <w:rPr>
                <w:b/>
                <w:sz w:val="18"/>
                <w:szCs w:val="18"/>
              </w:rPr>
            </w:pPr>
            <w:r w:rsidRPr="0034375A">
              <w:rPr>
                <w:b/>
                <w:sz w:val="18"/>
                <w:szCs w:val="18"/>
              </w:rPr>
              <w:t>No VTE</w:t>
            </w:r>
          </w:p>
        </w:tc>
        <w:tc>
          <w:tcPr>
            <w:tcW w:w="0" w:type="auto"/>
          </w:tcPr>
          <w:p w14:paraId="2FD86E47" w14:textId="7B7E388D" w:rsidR="0034375A" w:rsidRPr="0034375A" w:rsidRDefault="0034375A" w:rsidP="0034375A">
            <w:pPr>
              <w:jc w:val="center"/>
              <w:rPr>
                <w:b/>
                <w:sz w:val="18"/>
                <w:szCs w:val="18"/>
              </w:rPr>
            </w:pPr>
            <w:r w:rsidRPr="0034375A">
              <w:rPr>
                <w:b/>
                <w:sz w:val="18"/>
                <w:szCs w:val="18"/>
              </w:rPr>
              <w:t>VTE</w:t>
            </w:r>
          </w:p>
        </w:tc>
        <w:tc>
          <w:tcPr>
            <w:tcW w:w="0" w:type="auto"/>
          </w:tcPr>
          <w:p w14:paraId="0B67AE92" w14:textId="25E72739" w:rsidR="0034375A" w:rsidRPr="0034375A" w:rsidRDefault="0034375A" w:rsidP="0034375A">
            <w:pPr>
              <w:jc w:val="center"/>
              <w:rPr>
                <w:b/>
                <w:sz w:val="18"/>
                <w:szCs w:val="18"/>
              </w:rPr>
            </w:pPr>
            <w:r w:rsidRPr="0034375A">
              <w:rPr>
                <w:b/>
                <w:sz w:val="18"/>
                <w:szCs w:val="18"/>
              </w:rPr>
              <w:t>No VTE</w:t>
            </w:r>
          </w:p>
        </w:tc>
        <w:tc>
          <w:tcPr>
            <w:tcW w:w="0" w:type="auto"/>
          </w:tcPr>
          <w:p w14:paraId="37DF7939" w14:textId="66332987" w:rsidR="0034375A" w:rsidRPr="0034375A" w:rsidRDefault="0034375A" w:rsidP="0034375A">
            <w:pPr>
              <w:jc w:val="center"/>
              <w:rPr>
                <w:b/>
                <w:sz w:val="18"/>
                <w:szCs w:val="18"/>
              </w:rPr>
            </w:pPr>
            <w:r w:rsidRPr="0034375A">
              <w:rPr>
                <w:b/>
                <w:sz w:val="18"/>
                <w:szCs w:val="18"/>
              </w:rPr>
              <w:t>VTE</w:t>
            </w:r>
          </w:p>
        </w:tc>
        <w:tc>
          <w:tcPr>
            <w:tcW w:w="0" w:type="auto"/>
          </w:tcPr>
          <w:p w14:paraId="3105CB09" w14:textId="0D9D4CB3" w:rsidR="0034375A" w:rsidRPr="0034375A" w:rsidRDefault="0034375A" w:rsidP="0034375A">
            <w:pPr>
              <w:jc w:val="center"/>
              <w:rPr>
                <w:b/>
                <w:sz w:val="18"/>
                <w:szCs w:val="18"/>
              </w:rPr>
            </w:pPr>
            <w:r w:rsidRPr="0034375A">
              <w:rPr>
                <w:b/>
                <w:sz w:val="18"/>
                <w:szCs w:val="18"/>
              </w:rPr>
              <w:t>No VTE</w:t>
            </w:r>
          </w:p>
        </w:tc>
        <w:tc>
          <w:tcPr>
            <w:tcW w:w="0" w:type="auto"/>
          </w:tcPr>
          <w:p w14:paraId="56A53168" w14:textId="66943190" w:rsidR="0034375A" w:rsidRPr="0034375A" w:rsidRDefault="0034375A" w:rsidP="0034375A">
            <w:pPr>
              <w:jc w:val="center"/>
              <w:rPr>
                <w:b/>
                <w:sz w:val="18"/>
                <w:szCs w:val="18"/>
              </w:rPr>
            </w:pPr>
            <w:r w:rsidRPr="0034375A">
              <w:rPr>
                <w:b/>
                <w:sz w:val="18"/>
                <w:szCs w:val="18"/>
              </w:rPr>
              <w:t>VTE</w:t>
            </w:r>
          </w:p>
        </w:tc>
        <w:tc>
          <w:tcPr>
            <w:tcW w:w="0" w:type="auto"/>
          </w:tcPr>
          <w:p w14:paraId="3AF71EEF" w14:textId="7D3E35DC" w:rsidR="0034375A" w:rsidRPr="0034375A" w:rsidRDefault="0034375A" w:rsidP="0034375A">
            <w:pPr>
              <w:jc w:val="center"/>
              <w:rPr>
                <w:b/>
                <w:sz w:val="18"/>
                <w:szCs w:val="18"/>
              </w:rPr>
            </w:pPr>
            <w:r w:rsidRPr="0034375A">
              <w:rPr>
                <w:b/>
                <w:sz w:val="18"/>
                <w:szCs w:val="18"/>
              </w:rPr>
              <w:t>No VTE</w:t>
            </w:r>
          </w:p>
        </w:tc>
        <w:tc>
          <w:tcPr>
            <w:tcW w:w="0" w:type="auto"/>
          </w:tcPr>
          <w:p w14:paraId="0C36E297" w14:textId="0A794D1E" w:rsidR="0034375A" w:rsidRPr="0034375A" w:rsidRDefault="0034375A" w:rsidP="0034375A">
            <w:pPr>
              <w:jc w:val="center"/>
              <w:rPr>
                <w:b/>
                <w:sz w:val="18"/>
                <w:szCs w:val="18"/>
              </w:rPr>
            </w:pPr>
            <w:r w:rsidRPr="0034375A">
              <w:rPr>
                <w:b/>
                <w:sz w:val="18"/>
                <w:szCs w:val="18"/>
              </w:rPr>
              <w:t>VTE</w:t>
            </w:r>
          </w:p>
        </w:tc>
        <w:tc>
          <w:tcPr>
            <w:tcW w:w="0" w:type="auto"/>
          </w:tcPr>
          <w:p w14:paraId="1CBAC9E0" w14:textId="7579501E" w:rsidR="0034375A" w:rsidRPr="0034375A" w:rsidRDefault="0034375A" w:rsidP="0034375A">
            <w:pPr>
              <w:jc w:val="center"/>
              <w:rPr>
                <w:b/>
                <w:sz w:val="18"/>
                <w:szCs w:val="18"/>
              </w:rPr>
            </w:pPr>
            <w:r w:rsidRPr="0034375A">
              <w:rPr>
                <w:b/>
                <w:sz w:val="18"/>
                <w:szCs w:val="18"/>
              </w:rPr>
              <w:t>No VTE</w:t>
            </w:r>
          </w:p>
        </w:tc>
        <w:tc>
          <w:tcPr>
            <w:tcW w:w="0" w:type="auto"/>
          </w:tcPr>
          <w:p w14:paraId="53F0D197" w14:textId="4A037733" w:rsidR="0034375A" w:rsidRPr="0034375A" w:rsidRDefault="0034375A" w:rsidP="0034375A">
            <w:pPr>
              <w:jc w:val="center"/>
              <w:rPr>
                <w:b/>
                <w:sz w:val="18"/>
                <w:szCs w:val="18"/>
              </w:rPr>
            </w:pPr>
            <w:r w:rsidRPr="0034375A">
              <w:rPr>
                <w:b/>
                <w:sz w:val="18"/>
                <w:szCs w:val="18"/>
              </w:rPr>
              <w:t>VTE</w:t>
            </w:r>
          </w:p>
        </w:tc>
        <w:tc>
          <w:tcPr>
            <w:tcW w:w="0" w:type="auto"/>
          </w:tcPr>
          <w:p w14:paraId="0377B49E" w14:textId="6FE233F9" w:rsidR="0034375A" w:rsidRPr="0034375A" w:rsidRDefault="0034375A" w:rsidP="0034375A">
            <w:pPr>
              <w:jc w:val="center"/>
              <w:rPr>
                <w:b/>
                <w:sz w:val="18"/>
                <w:szCs w:val="18"/>
              </w:rPr>
            </w:pPr>
            <w:r w:rsidRPr="0034375A">
              <w:rPr>
                <w:b/>
                <w:sz w:val="18"/>
                <w:szCs w:val="18"/>
              </w:rPr>
              <w:t>No VTE</w:t>
            </w:r>
          </w:p>
        </w:tc>
        <w:tc>
          <w:tcPr>
            <w:tcW w:w="0" w:type="auto"/>
          </w:tcPr>
          <w:p w14:paraId="263DCC90" w14:textId="37BBB01B" w:rsidR="0034375A" w:rsidRPr="0034375A" w:rsidRDefault="0034375A" w:rsidP="0034375A">
            <w:pPr>
              <w:jc w:val="center"/>
              <w:rPr>
                <w:b/>
                <w:sz w:val="18"/>
                <w:szCs w:val="18"/>
              </w:rPr>
            </w:pPr>
            <w:r w:rsidRPr="0034375A">
              <w:rPr>
                <w:b/>
                <w:sz w:val="18"/>
                <w:szCs w:val="18"/>
              </w:rPr>
              <w:t>VTE</w:t>
            </w:r>
          </w:p>
        </w:tc>
        <w:tc>
          <w:tcPr>
            <w:tcW w:w="0" w:type="auto"/>
          </w:tcPr>
          <w:p w14:paraId="40B6417E" w14:textId="0C86E8E5" w:rsidR="0034375A" w:rsidRPr="0034375A" w:rsidRDefault="0034375A" w:rsidP="0034375A">
            <w:pPr>
              <w:jc w:val="center"/>
              <w:rPr>
                <w:b/>
                <w:sz w:val="18"/>
                <w:szCs w:val="18"/>
              </w:rPr>
            </w:pPr>
            <w:r w:rsidRPr="0034375A">
              <w:rPr>
                <w:b/>
                <w:sz w:val="18"/>
                <w:szCs w:val="18"/>
              </w:rPr>
              <w:t>No VTE</w:t>
            </w:r>
          </w:p>
        </w:tc>
        <w:tc>
          <w:tcPr>
            <w:tcW w:w="0" w:type="auto"/>
          </w:tcPr>
          <w:p w14:paraId="29E61D7E" w14:textId="2EA1433A" w:rsidR="0034375A" w:rsidRPr="0034375A" w:rsidRDefault="0034375A" w:rsidP="0034375A">
            <w:pPr>
              <w:jc w:val="center"/>
              <w:rPr>
                <w:b/>
                <w:sz w:val="18"/>
                <w:szCs w:val="18"/>
              </w:rPr>
            </w:pPr>
            <w:r w:rsidRPr="0034375A">
              <w:rPr>
                <w:b/>
                <w:sz w:val="18"/>
                <w:szCs w:val="18"/>
              </w:rPr>
              <w:t>VTE</w:t>
            </w:r>
          </w:p>
        </w:tc>
        <w:tc>
          <w:tcPr>
            <w:tcW w:w="0" w:type="auto"/>
          </w:tcPr>
          <w:p w14:paraId="3E037A75" w14:textId="1415F85F" w:rsidR="0034375A" w:rsidRPr="0034375A" w:rsidRDefault="0034375A" w:rsidP="0034375A">
            <w:pPr>
              <w:jc w:val="center"/>
              <w:rPr>
                <w:b/>
                <w:sz w:val="18"/>
                <w:szCs w:val="18"/>
              </w:rPr>
            </w:pPr>
            <w:r w:rsidRPr="0034375A">
              <w:rPr>
                <w:b/>
                <w:sz w:val="18"/>
                <w:szCs w:val="18"/>
              </w:rPr>
              <w:t>No VTE</w:t>
            </w:r>
          </w:p>
        </w:tc>
        <w:tc>
          <w:tcPr>
            <w:tcW w:w="0" w:type="auto"/>
          </w:tcPr>
          <w:p w14:paraId="267DAD9A" w14:textId="6E3CAE09" w:rsidR="0034375A" w:rsidRPr="0034375A" w:rsidRDefault="0034375A" w:rsidP="0034375A">
            <w:pPr>
              <w:jc w:val="center"/>
              <w:rPr>
                <w:b/>
                <w:sz w:val="18"/>
                <w:szCs w:val="18"/>
              </w:rPr>
            </w:pPr>
            <w:r w:rsidRPr="0034375A">
              <w:rPr>
                <w:b/>
                <w:sz w:val="18"/>
                <w:szCs w:val="18"/>
              </w:rPr>
              <w:t>VTE</w:t>
            </w:r>
          </w:p>
        </w:tc>
        <w:tc>
          <w:tcPr>
            <w:tcW w:w="0" w:type="auto"/>
          </w:tcPr>
          <w:p w14:paraId="53AAA1EB" w14:textId="452B5336" w:rsidR="0034375A" w:rsidRPr="0034375A" w:rsidRDefault="0034375A" w:rsidP="0034375A">
            <w:pPr>
              <w:jc w:val="center"/>
              <w:rPr>
                <w:b/>
                <w:sz w:val="18"/>
                <w:szCs w:val="18"/>
              </w:rPr>
            </w:pPr>
            <w:r w:rsidRPr="0034375A">
              <w:rPr>
                <w:b/>
                <w:sz w:val="18"/>
                <w:szCs w:val="18"/>
              </w:rPr>
              <w:t>No VTE</w:t>
            </w:r>
          </w:p>
        </w:tc>
        <w:tc>
          <w:tcPr>
            <w:tcW w:w="0" w:type="auto"/>
          </w:tcPr>
          <w:p w14:paraId="68FC2CA4" w14:textId="2A24196F" w:rsidR="0034375A" w:rsidRPr="0034375A" w:rsidRDefault="0034375A" w:rsidP="0034375A">
            <w:pPr>
              <w:jc w:val="center"/>
              <w:rPr>
                <w:b/>
                <w:sz w:val="18"/>
                <w:szCs w:val="18"/>
              </w:rPr>
            </w:pPr>
            <w:r w:rsidRPr="0034375A">
              <w:rPr>
                <w:b/>
                <w:sz w:val="18"/>
                <w:szCs w:val="18"/>
              </w:rPr>
              <w:t>VTE</w:t>
            </w:r>
          </w:p>
        </w:tc>
        <w:tc>
          <w:tcPr>
            <w:tcW w:w="0" w:type="auto"/>
          </w:tcPr>
          <w:p w14:paraId="0FFF6D01" w14:textId="2718442D" w:rsidR="0034375A" w:rsidRPr="0034375A" w:rsidRDefault="0034375A" w:rsidP="0034375A">
            <w:pPr>
              <w:jc w:val="center"/>
              <w:rPr>
                <w:b/>
                <w:sz w:val="18"/>
                <w:szCs w:val="18"/>
              </w:rPr>
            </w:pPr>
            <w:r w:rsidRPr="0034375A">
              <w:rPr>
                <w:b/>
                <w:sz w:val="18"/>
                <w:szCs w:val="18"/>
              </w:rPr>
              <w:t>No VTE</w:t>
            </w:r>
          </w:p>
        </w:tc>
        <w:tc>
          <w:tcPr>
            <w:tcW w:w="0" w:type="auto"/>
          </w:tcPr>
          <w:p w14:paraId="24D9A0D9" w14:textId="3F956009" w:rsidR="0034375A" w:rsidRPr="0034375A" w:rsidRDefault="0034375A" w:rsidP="0034375A">
            <w:pPr>
              <w:jc w:val="center"/>
              <w:rPr>
                <w:b/>
                <w:sz w:val="18"/>
                <w:szCs w:val="18"/>
              </w:rPr>
            </w:pPr>
            <w:r w:rsidRPr="0034375A">
              <w:rPr>
                <w:b/>
                <w:sz w:val="18"/>
                <w:szCs w:val="18"/>
              </w:rPr>
              <w:t>VTE</w:t>
            </w:r>
          </w:p>
        </w:tc>
        <w:tc>
          <w:tcPr>
            <w:tcW w:w="0" w:type="auto"/>
          </w:tcPr>
          <w:p w14:paraId="7DEE8786" w14:textId="242D4C36" w:rsidR="0034375A" w:rsidRPr="0034375A" w:rsidRDefault="0034375A" w:rsidP="0034375A">
            <w:pPr>
              <w:jc w:val="center"/>
              <w:rPr>
                <w:b/>
                <w:sz w:val="18"/>
                <w:szCs w:val="18"/>
              </w:rPr>
            </w:pPr>
            <w:r w:rsidRPr="0034375A">
              <w:rPr>
                <w:b/>
                <w:sz w:val="18"/>
                <w:szCs w:val="18"/>
              </w:rPr>
              <w:t>No VTE</w:t>
            </w:r>
          </w:p>
        </w:tc>
        <w:tc>
          <w:tcPr>
            <w:tcW w:w="0" w:type="auto"/>
          </w:tcPr>
          <w:p w14:paraId="6FCBA066" w14:textId="78D1764D" w:rsidR="0034375A" w:rsidRPr="0034375A" w:rsidRDefault="0034375A" w:rsidP="0034375A">
            <w:pPr>
              <w:jc w:val="center"/>
              <w:rPr>
                <w:b/>
                <w:sz w:val="18"/>
                <w:szCs w:val="18"/>
              </w:rPr>
            </w:pPr>
            <w:r w:rsidRPr="0034375A">
              <w:rPr>
                <w:b/>
                <w:sz w:val="18"/>
                <w:szCs w:val="18"/>
              </w:rPr>
              <w:t>VTE</w:t>
            </w:r>
          </w:p>
        </w:tc>
      </w:tr>
      <w:tr w:rsidR="0034375A" w:rsidRPr="0034375A" w14:paraId="2D64558C" w14:textId="474C7655" w:rsidTr="0034375A">
        <w:tc>
          <w:tcPr>
            <w:tcW w:w="0" w:type="auto"/>
          </w:tcPr>
          <w:p w14:paraId="5D92E3CE" w14:textId="0990CB72" w:rsidR="0034375A" w:rsidRPr="0034375A" w:rsidRDefault="0034375A" w:rsidP="0034375A">
            <w:pPr>
              <w:rPr>
                <w:sz w:val="18"/>
                <w:szCs w:val="18"/>
              </w:rPr>
            </w:pPr>
            <w:r w:rsidRPr="0034375A">
              <w:rPr>
                <w:sz w:val="18"/>
                <w:szCs w:val="18"/>
              </w:rPr>
              <w:t>Agnelli (2012)</w:t>
            </w:r>
            <w:r w:rsidR="00A75209" w:rsidRPr="0034375A">
              <w:rPr>
                <w:sz w:val="18"/>
                <w:szCs w:val="18"/>
              </w:rPr>
              <w:t xml:space="preserve"> </w:t>
            </w:r>
          </w:p>
        </w:tc>
        <w:tc>
          <w:tcPr>
            <w:tcW w:w="0" w:type="auto"/>
          </w:tcPr>
          <w:p w14:paraId="673A4F11" w14:textId="5727D60F" w:rsidR="0034375A" w:rsidRPr="0034375A" w:rsidRDefault="00906FC1" w:rsidP="0034375A">
            <w:pPr>
              <w:jc w:val="center"/>
              <w:rPr>
                <w:sz w:val="18"/>
                <w:szCs w:val="18"/>
              </w:rPr>
            </w:pPr>
            <w:r>
              <w:rPr>
                <w:sz w:val="18"/>
                <w:szCs w:val="18"/>
              </w:rPr>
              <w:t>292</w:t>
            </w:r>
          </w:p>
        </w:tc>
        <w:tc>
          <w:tcPr>
            <w:tcW w:w="0" w:type="auto"/>
          </w:tcPr>
          <w:p w14:paraId="42F83B55" w14:textId="30694E38" w:rsidR="0034375A" w:rsidRPr="0034375A" w:rsidRDefault="00906FC1" w:rsidP="0034375A">
            <w:pPr>
              <w:jc w:val="center"/>
              <w:rPr>
                <w:sz w:val="18"/>
                <w:szCs w:val="18"/>
              </w:rPr>
            </w:pPr>
            <w:r>
              <w:rPr>
                <w:sz w:val="18"/>
                <w:szCs w:val="18"/>
              </w:rPr>
              <w:t>5</w:t>
            </w:r>
          </w:p>
        </w:tc>
        <w:tc>
          <w:tcPr>
            <w:tcW w:w="0" w:type="auto"/>
          </w:tcPr>
          <w:p w14:paraId="0A8F187A" w14:textId="51F42C2D" w:rsidR="0034375A" w:rsidRPr="0034375A" w:rsidRDefault="00C425D0" w:rsidP="0034375A">
            <w:pPr>
              <w:jc w:val="center"/>
              <w:rPr>
                <w:sz w:val="18"/>
                <w:szCs w:val="18"/>
              </w:rPr>
            </w:pPr>
            <w:r>
              <w:rPr>
                <w:sz w:val="18"/>
                <w:szCs w:val="18"/>
              </w:rPr>
              <w:t>308</w:t>
            </w:r>
          </w:p>
        </w:tc>
        <w:tc>
          <w:tcPr>
            <w:tcW w:w="0" w:type="auto"/>
          </w:tcPr>
          <w:p w14:paraId="2A6D4C2A" w14:textId="1F4F8CB2" w:rsidR="0034375A" w:rsidRPr="0034375A" w:rsidRDefault="00C425D0" w:rsidP="0034375A">
            <w:pPr>
              <w:jc w:val="center"/>
              <w:rPr>
                <w:sz w:val="18"/>
                <w:szCs w:val="18"/>
              </w:rPr>
            </w:pPr>
            <w:r>
              <w:rPr>
                <w:sz w:val="18"/>
                <w:szCs w:val="18"/>
              </w:rPr>
              <w:t>2</w:t>
            </w:r>
          </w:p>
        </w:tc>
        <w:tc>
          <w:tcPr>
            <w:tcW w:w="0" w:type="auto"/>
          </w:tcPr>
          <w:p w14:paraId="1F18BE56" w14:textId="436B7DF7" w:rsidR="0034375A" w:rsidRPr="0034375A" w:rsidRDefault="00906FC1" w:rsidP="0034375A">
            <w:pPr>
              <w:jc w:val="center"/>
              <w:rPr>
                <w:sz w:val="18"/>
                <w:szCs w:val="18"/>
              </w:rPr>
            </w:pPr>
            <w:r>
              <w:rPr>
                <w:sz w:val="18"/>
                <w:szCs w:val="18"/>
              </w:rPr>
              <w:t>451</w:t>
            </w:r>
          </w:p>
        </w:tc>
        <w:tc>
          <w:tcPr>
            <w:tcW w:w="0" w:type="auto"/>
          </w:tcPr>
          <w:p w14:paraId="7A285186" w14:textId="0A88E4D0" w:rsidR="0034375A" w:rsidRPr="0034375A" w:rsidRDefault="00906FC1" w:rsidP="0034375A">
            <w:pPr>
              <w:jc w:val="center"/>
              <w:rPr>
                <w:sz w:val="18"/>
                <w:szCs w:val="18"/>
              </w:rPr>
            </w:pPr>
            <w:r>
              <w:rPr>
                <w:sz w:val="18"/>
                <w:szCs w:val="18"/>
              </w:rPr>
              <w:t>18</w:t>
            </w:r>
          </w:p>
        </w:tc>
        <w:tc>
          <w:tcPr>
            <w:tcW w:w="0" w:type="auto"/>
          </w:tcPr>
          <w:p w14:paraId="4F75E177" w14:textId="38414C43" w:rsidR="0034375A" w:rsidRPr="0034375A" w:rsidRDefault="00C425D0" w:rsidP="0034375A">
            <w:pPr>
              <w:jc w:val="center"/>
              <w:rPr>
                <w:sz w:val="18"/>
                <w:szCs w:val="18"/>
              </w:rPr>
            </w:pPr>
            <w:r>
              <w:rPr>
                <w:sz w:val="18"/>
                <w:szCs w:val="18"/>
              </w:rPr>
              <w:t>480</w:t>
            </w:r>
          </w:p>
        </w:tc>
        <w:tc>
          <w:tcPr>
            <w:tcW w:w="0" w:type="auto"/>
          </w:tcPr>
          <w:p w14:paraId="607D2AD1" w14:textId="3C1778FC" w:rsidR="0034375A" w:rsidRPr="0034375A" w:rsidRDefault="00C425D0" w:rsidP="0034375A">
            <w:pPr>
              <w:jc w:val="center"/>
              <w:rPr>
                <w:sz w:val="18"/>
                <w:szCs w:val="18"/>
              </w:rPr>
            </w:pPr>
            <w:r>
              <w:rPr>
                <w:sz w:val="18"/>
                <w:szCs w:val="18"/>
              </w:rPr>
              <w:t>8</w:t>
            </w:r>
          </w:p>
        </w:tc>
        <w:tc>
          <w:tcPr>
            <w:tcW w:w="0" w:type="auto"/>
          </w:tcPr>
          <w:p w14:paraId="1951CC37" w14:textId="196F01C2" w:rsidR="0034375A" w:rsidRPr="0034375A" w:rsidRDefault="00C425D0" w:rsidP="0034375A">
            <w:pPr>
              <w:jc w:val="center"/>
              <w:rPr>
                <w:sz w:val="18"/>
                <w:szCs w:val="18"/>
              </w:rPr>
            </w:pPr>
            <w:r>
              <w:rPr>
                <w:sz w:val="18"/>
                <w:szCs w:val="18"/>
              </w:rPr>
              <w:t>490</w:t>
            </w:r>
          </w:p>
        </w:tc>
        <w:tc>
          <w:tcPr>
            <w:tcW w:w="0" w:type="auto"/>
          </w:tcPr>
          <w:p w14:paraId="176B48F6" w14:textId="5B0753B4" w:rsidR="0034375A" w:rsidRPr="0034375A" w:rsidRDefault="00C425D0" w:rsidP="0034375A">
            <w:pPr>
              <w:jc w:val="center"/>
              <w:rPr>
                <w:sz w:val="18"/>
                <w:szCs w:val="18"/>
              </w:rPr>
            </w:pPr>
            <w:r>
              <w:rPr>
                <w:sz w:val="18"/>
                <w:szCs w:val="18"/>
              </w:rPr>
              <w:t>16</w:t>
            </w:r>
          </w:p>
        </w:tc>
        <w:tc>
          <w:tcPr>
            <w:tcW w:w="0" w:type="auto"/>
          </w:tcPr>
          <w:p w14:paraId="7B35E7E1" w14:textId="145C2DC5" w:rsidR="0034375A" w:rsidRPr="0034375A" w:rsidRDefault="00C425D0" w:rsidP="0034375A">
            <w:pPr>
              <w:jc w:val="center"/>
              <w:rPr>
                <w:sz w:val="18"/>
                <w:szCs w:val="18"/>
              </w:rPr>
            </w:pPr>
            <w:r>
              <w:rPr>
                <w:sz w:val="18"/>
                <w:szCs w:val="18"/>
              </w:rPr>
              <w:t>479</w:t>
            </w:r>
          </w:p>
        </w:tc>
        <w:tc>
          <w:tcPr>
            <w:tcW w:w="0" w:type="auto"/>
          </w:tcPr>
          <w:p w14:paraId="1E0DDA31" w14:textId="2F549185" w:rsidR="0034375A" w:rsidRPr="0034375A" w:rsidRDefault="00C425D0" w:rsidP="0034375A">
            <w:pPr>
              <w:jc w:val="center"/>
              <w:rPr>
                <w:sz w:val="18"/>
                <w:szCs w:val="18"/>
              </w:rPr>
            </w:pPr>
            <w:r>
              <w:rPr>
                <w:sz w:val="18"/>
                <w:szCs w:val="18"/>
              </w:rPr>
              <w:t>5</w:t>
            </w:r>
          </w:p>
        </w:tc>
        <w:tc>
          <w:tcPr>
            <w:tcW w:w="0" w:type="auto"/>
          </w:tcPr>
          <w:p w14:paraId="2790EC4A" w14:textId="20E77C66" w:rsidR="0034375A" w:rsidRPr="0034375A" w:rsidRDefault="00C425D0" w:rsidP="0034375A">
            <w:pPr>
              <w:jc w:val="center"/>
              <w:rPr>
                <w:sz w:val="18"/>
                <w:szCs w:val="18"/>
              </w:rPr>
            </w:pPr>
            <w:r>
              <w:rPr>
                <w:sz w:val="18"/>
                <w:szCs w:val="18"/>
              </w:rPr>
              <w:t>205</w:t>
            </w:r>
          </w:p>
        </w:tc>
        <w:tc>
          <w:tcPr>
            <w:tcW w:w="0" w:type="auto"/>
          </w:tcPr>
          <w:p w14:paraId="77EAD7AF" w14:textId="5D9568D7" w:rsidR="0034375A" w:rsidRPr="0034375A" w:rsidRDefault="00C425D0" w:rsidP="0034375A">
            <w:pPr>
              <w:jc w:val="center"/>
              <w:rPr>
                <w:sz w:val="18"/>
                <w:szCs w:val="18"/>
              </w:rPr>
            </w:pPr>
            <w:r>
              <w:rPr>
                <w:sz w:val="18"/>
                <w:szCs w:val="18"/>
              </w:rPr>
              <w:t>13</w:t>
            </w:r>
          </w:p>
        </w:tc>
        <w:tc>
          <w:tcPr>
            <w:tcW w:w="0" w:type="auto"/>
          </w:tcPr>
          <w:p w14:paraId="2310F96F" w14:textId="6C0306A5" w:rsidR="0034375A" w:rsidRPr="0034375A" w:rsidRDefault="00C425D0" w:rsidP="0034375A">
            <w:pPr>
              <w:jc w:val="center"/>
              <w:rPr>
                <w:sz w:val="18"/>
                <w:szCs w:val="18"/>
              </w:rPr>
            </w:pPr>
            <w:r>
              <w:rPr>
                <w:sz w:val="18"/>
                <w:szCs w:val="18"/>
              </w:rPr>
              <w:t>208</w:t>
            </w:r>
          </w:p>
        </w:tc>
        <w:tc>
          <w:tcPr>
            <w:tcW w:w="0" w:type="auto"/>
          </w:tcPr>
          <w:p w14:paraId="06C91227" w14:textId="4B22E4EC" w:rsidR="0034375A" w:rsidRPr="0034375A" w:rsidRDefault="00C425D0" w:rsidP="0034375A">
            <w:pPr>
              <w:jc w:val="center"/>
              <w:rPr>
                <w:sz w:val="18"/>
                <w:szCs w:val="18"/>
              </w:rPr>
            </w:pPr>
            <w:r>
              <w:rPr>
                <w:sz w:val="18"/>
                <w:szCs w:val="18"/>
              </w:rPr>
              <w:t>5</w:t>
            </w:r>
          </w:p>
        </w:tc>
        <w:tc>
          <w:tcPr>
            <w:tcW w:w="0" w:type="auto"/>
          </w:tcPr>
          <w:p w14:paraId="480904E5" w14:textId="3501E029" w:rsidR="0034375A" w:rsidRPr="0034375A" w:rsidRDefault="00D467F1" w:rsidP="0034375A">
            <w:pPr>
              <w:jc w:val="center"/>
              <w:rPr>
                <w:sz w:val="18"/>
                <w:szCs w:val="18"/>
              </w:rPr>
            </w:pPr>
            <w:r>
              <w:rPr>
                <w:sz w:val="18"/>
                <w:szCs w:val="18"/>
              </w:rPr>
              <w:t>58</w:t>
            </w:r>
          </w:p>
        </w:tc>
        <w:tc>
          <w:tcPr>
            <w:tcW w:w="0" w:type="auto"/>
          </w:tcPr>
          <w:p w14:paraId="1D0D96F1" w14:textId="240158F7" w:rsidR="0034375A" w:rsidRPr="0034375A" w:rsidRDefault="00D467F1" w:rsidP="0034375A">
            <w:pPr>
              <w:jc w:val="center"/>
              <w:rPr>
                <w:sz w:val="18"/>
                <w:szCs w:val="18"/>
              </w:rPr>
            </w:pPr>
            <w:r>
              <w:rPr>
                <w:sz w:val="18"/>
                <w:szCs w:val="18"/>
              </w:rPr>
              <w:t>1</w:t>
            </w:r>
          </w:p>
        </w:tc>
        <w:tc>
          <w:tcPr>
            <w:tcW w:w="0" w:type="auto"/>
          </w:tcPr>
          <w:p w14:paraId="0FC6FFA7" w14:textId="4CEEE0E7" w:rsidR="0034375A" w:rsidRPr="0034375A" w:rsidRDefault="00D467F1" w:rsidP="0034375A">
            <w:pPr>
              <w:jc w:val="center"/>
              <w:rPr>
                <w:sz w:val="18"/>
                <w:szCs w:val="18"/>
              </w:rPr>
            </w:pPr>
            <w:r>
              <w:rPr>
                <w:sz w:val="18"/>
                <w:szCs w:val="18"/>
              </w:rPr>
              <w:t>59</w:t>
            </w:r>
          </w:p>
        </w:tc>
        <w:tc>
          <w:tcPr>
            <w:tcW w:w="0" w:type="auto"/>
          </w:tcPr>
          <w:p w14:paraId="1073A39E" w14:textId="0336D5AA" w:rsidR="0034375A" w:rsidRPr="0034375A" w:rsidRDefault="00D467F1" w:rsidP="0034375A">
            <w:pPr>
              <w:jc w:val="center"/>
              <w:rPr>
                <w:sz w:val="18"/>
                <w:szCs w:val="18"/>
              </w:rPr>
            </w:pPr>
            <w:r>
              <w:rPr>
                <w:sz w:val="18"/>
                <w:szCs w:val="18"/>
              </w:rPr>
              <w:t>2</w:t>
            </w:r>
          </w:p>
        </w:tc>
        <w:tc>
          <w:tcPr>
            <w:tcW w:w="0" w:type="auto"/>
          </w:tcPr>
          <w:p w14:paraId="6247EF6C" w14:textId="69AF82C4" w:rsidR="0034375A" w:rsidRPr="0034375A" w:rsidRDefault="00D467F1" w:rsidP="0034375A">
            <w:pPr>
              <w:jc w:val="center"/>
              <w:rPr>
                <w:sz w:val="18"/>
                <w:szCs w:val="18"/>
              </w:rPr>
            </w:pPr>
            <w:r>
              <w:rPr>
                <w:sz w:val="18"/>
                <w:szCs w:val="18"/>
              </w:rPr>
              <w:t>4</w:t>
            </w:r>
          </w:p>
        </w:tc>
        <w:tc>
          <w:tcPr>
            <w:tcW w:w="0" w:type="auto"/>
          </w:tcPr>
          <w:p w14:paraId="4F22CA57" w14:textId="0D389943" w:rsidR="0034375A" w:rsidRPr="0034375A" w:rsidRDefault="00D467F1" w:rsidP="0034375A">
            <w:pPr>
              <w:jc w:val="center"/>
              <w:rPr>
                <w:sz w:val="18"/>
                <w:szCs w:val="18"/>
              </w:rPr>
            </w:pPr>
            <w:r>
              <w:rPr>
                <w:sz w:val="18"/>
                <w:szCs w:val="18"/>
              </w:rPr>
              <w:t>0</w:t>
            </w:r>
          </w:p>
        </w:tc>
        <w:tc>
          <w:tcPr>
            <w:tcW w:w="0" w:type="auto"/>
          </w:tcPr>
          <w:p w14:paraId="32A2E19E" w14:textId="4F5C53B7" w:rsidR="0034375A" w:rsidRPr="0034375A" w:rsidRDefault="00D467F1" w:rsidP="0034375A">
            <w:pPr>
              <w:jc w:val="center"/>
              <w:rPr>
                <w:sz w:val="18"/>
                <w:szCs w:val="18"/>
              </w:rPr>
            </w:pPr>
            <w:r>
              <w:rPr>
                <w:sz w:val="18"/>
                <w:szCs w:val="18"/>
              </w:rPr>
              <w:t>6</w:t>
            </w:r>
          </w:p>
        </w:tc>
        <w:tc>
          <w:tcPr>
            <w:tcW w:w="0" w:type="auto"/>
          </w:tcPr>
          <w:p w14:paraId="5B647E88" w14:textId="24046C0C" w:rsidR="0034375A" w:rsidRPr="0034375A" w:rsidRDefault="00D467F1" w:rsidP="0034375A">
            <w:pPr>
              <w:jc w:val="center"/>
              <w:rPr>
                <w:sz w:val="18"/>
                <w:szCs w:val="18"/>
              </w:rPr>
            </w:pPr>
            <w:r>
              <w:rPr>
                <w:sz w:val="18"/>
                <w:szCs w:val="18"/>
              </w:rPr>
              <w:t>0</w:t>
            </w:r>
          </w:p>
        </w:tc>
      </w:tr>
      <w:tr w:rsidR="0034375A" w:rsidRPr="0034375A" w14:paraId="1184BD5F" w14:textId="1E084DC2" w:rsidTr="0034375A">
        <w:tc>
          <w:tcPr>
            <w:tcW w:w="0" w:type="auto"/>
          </w:tcPr>
          <w:p w14:paraId="7D32A5F6" w14:textId="3D72F0AF" w:rsidR="0034375A" w:rsidRPr="0034375A" w:rsidRDefault="0034375A" w:rsidP="0034375A">
            <w:pPr>
              <w:rPr>
                <w:sz w:val="18"/>
                <w:szCs w:val="18"/>
              </w:rPr>
            </w:pPr>
            <w:r w:rsidRPr="0034375A">
              <w:rPr>
                <w:sz w:val="18"/>
                <w:szCs w:val="18"/>
              </w:rPr>
              <w:t>Haas (2005)</w:t>
            </w:r>
            <w:r w:rsidR="00A75209" w:rsidRPr="0034375A">
              <w:rPr>
                <w:sz w:val="18"/>
                <w:szCs w:val="18"/>
              </w:rPr>
              <w:t xml:space="preserve"> </w:t>
            </w:r>
          </w:p>
        </w:tc>
        <w:tc>
          <w:tcPr>
            <w:tcW w:w="0" w:type="auto"/>
          </w:tcPr>
          <w:p w14:paraId="1B15C0DC" w14:textId="34FBC9FD" w:rsidR="0034375A" w:rsidRPr="0034375A" w:rsidRDefault="0047590F" w:rsidP="0034375A">
            <w:pPr>
              <w:jc w:val="center"/>
              <w:rPr>
                <w:sz w:val="18"/>
                <w:szCs w:val="18"/>
              </w:rPr>
            </w:pPr>
            <w:r>
              <w:rPr>
                <w:sz w:val="18"/>
                <w:szCs w:val="18"/>
              </w:rPr>
              <w:t>100</w:t>
            </w:r>
          </w:p>
        </w:tc>
        <w:tc>
          <w:tcPr>
            <w:tcW w:w="0" w:type="auto"/>
          </w:tcPr>
          <w:p w14:paraId="2C948061" w14:textId="3A80C813" w:rsidR="0034375A" w:rsidRPr="0034375A" w:rsidRDefault="0047590F" w:rsidP="0034375A">
            <w:pPr>
              <w:jc w:val="center"/>
              <w:rPr>
                <w:sz w:val="18"/>
                <w:szCs w:val="18"/>
              </w:rPr>
            </w:pPr>
            <w:r>
              <w:rPr>
                <w:sz w:val="18"/>
                <w:szCs w:val="18"/>
              </w:rPr>
              <w:t>5</w:t>
            </w:r>
          </w:p>
        </w:tc>
        <w:tc>
          <w:tcPr>
            <w:tcW w:w="0" w:type="auto"/>
          </w:tcPr>
          <w:p w14:paraId="6E3BE781" w14:textId="70185586" w:rsidR="0034375A" w:rsidRPr="0034375A" w:rsidRDefault="0047590F" w:rsidP="0034375A">
            <w:pPr>
              <w:jc w:val="center"/>
              <w:rPr>
                <w:sz w:val="18"/>
                <w:szCs w:val="18"/>
              </w:rPr>
            </w:pPr>
            <w:r>
              <w:rPr>
                <w:sz w:val="18"/>
                <w:szCs w:val="18"/>
              </w:rPr>
              <w:t>107</w:t>
            </w:r>
          </w:p>
        </w:tc>
        <w:tc>
          <w:tcPr>
            <w:tcW w:w="0" w:type="auto"/>
          </w:tcPr>
          <w:p w14:paraId="58E89D3C" w14:textId="7095E133" w:rsidR="0034375A" w:rsidRPr="0034375A" w:rsidRDefault="0047590F" w:rsidP="0034375A">
            <w:pPr>
              <w:jc w:val="center"/>
              <w:rPr>
                <w:sz w:val="18"/>
                <w:szCs w:val="18"/>
              </w:rPr>
            </w:pPr>
            <w:r>
              <w:rPr>
                <w:sz w:val="18"/>
                <w:szCs w:val="18"/>
              </w:rPr>
              <w:t>4</w:t>
            </w:r>
          </w:p>
        </w:tc>
        <w:tc>
          <w:tcPr>
            <w:tcW w:w="0" w:type="auto"/>
          </w:tcPr>
          <w:p w14:paraId="7D3C14FF" w14:textId="6BD12B70" w:rsidR="0034375A" w:rsidRPr="0034375A" w:rsidRDefault="0047590F" w:rsidP="0034375A">
            <w:pPr>
              <w:jc w:val="center"/>
              <w:rPr>
                <w:sz w:val="18"/>
                <w:szCs w:val="18"/>
              </w:rPr>
            </w:pPr>
            <w:r>
              <w:rPr>
                <w:sz w:val="18"/>
                <w:szCs w:val="18"/>
              </w:rPr>
              <w:t>53</w:t>
            </w:r>
          </w:p>
        </w:tc>
        <w:tc>
          <w:tcPr>
            <w:tcW w:w="0" w:type="auto"/>
          </w:tcPr>
          <w:p w14:paraId="555B23B7" w14:textId="527C6AD0" w:rsidR="0034375A" w:rsidRPr="0034375A" w:rsidRDefault="0047590F" w:rsidP="0034375A">
            <w:pPr>
              <w:jc w:val="center"/>
              <w:rPr>
                <w:sz w:val="18"/>
                <w:szCs w:val="18"/>
              </w:rPr>
            </w:pPr>
            <w:r>
              <w:rPr>
                <w:sz w:val="18"/>
                <w:szCs w:val="18"/>
              </w:rPr>
              <w:t>1</w:t>
            </w:r>
          </w:p>
        </w:tc>
        <w:tc>
          <w:tcPr>
            <w:tcW w:w="0" w:type="auto"/>
          </w:tcPr>
          <w:p w14:paraId="608DC78B" w14:textId="3611545E" w:rsidR="0034375A" w:rsidRPr="0034375A" w:rsidRDefault="0047590F" w:rsidP="0034375A">
            <w:pPr>
              <w:jc w:val="center"/>
              <w:rPr>
                <w:sz w:val="18"/>
                <w:szCs w:val="18"/>
              </w:rPr>
            </w:pPr>
            <w:r>
              <w:rPr>
                <w:sz w:val="18"/>
                <w:szCs w:val="18"/>
              </w:rPr>
              <w:t>35</w:t>
            </w:r>
          </w:p>
        </w:tc>
        <w:tc>
          <w:tcPr>
            <w:tcW w:w="0" w:type="auto"/>
          </w:tcPr>
          <w:p w14:paraId="42E63C60" w14:textId="51DE6EBE" w:rsidR="0034375A" w:rsidRPr="0034375A" w:rsidRDefault="0047590F" w:rsidP="0034375A">
            <w:pPr>
              <w:jc w:val="center"/>
              <w:rPr>
                <w:sz w:val="18"/>
                <w:szCs w:val="18"/>
              </w:rPr>
            </w:pPr>
            <w:r>
              <w:rPr>
                <w:sz w:val="18"/>
                <w:szCs w:val="18"/>
              </w:rPr>
              <w:t>1</w:t>
            </w:r>
          </w:p>
        </w:tc>
        <w:tc>
          <w:tcPr>
            <w:tcW w:w="0" w:type="auto"/>
          </w:tcPr>
          <w:p w14:paraId="397F5598" w14:textId="1F8E6125" w:rsidR="0034375A" w:rsidRPr="0034375A" w:rsidRDefault="0047590F" w:rsidP="0034375A">
            <w:pPr>
              <w:jc w:val="center"/>
              <w:rPr>
                <w:sz w:val="18"/>
                <w:szCs w:val="18"/>
              </w:rPr>
            </w:pPr>
            <w:r>
              <w:rPr>
                <w:sz w:val="18"/>
                <w:szCs w:val="18"/>
              </w:rPr>
              <w:t>5</w:t>
            </w:r>
          </w:p>
        </w:tc>
        <w:tc>
          <w:tcPr>
            <w:tcW w:w="0" w:type="auto"/>
          </w:tcPr>
          <w:p w14:paraId="338BFC51" w14:textId="2CA1732C" w:rsidR="0034375A" w:rsidRPr="0034375A" w:rsidRDefault="0047590F" w:rsidP="0034375A">
            <w:pPr>
              <w:jc w:val="center"/>
              <w:rPr>
                <w:sz w:val="18"/>
                <w:szCs w:val="18"/>
              </w:rPr>
            </w:pPr>
            <w:r>
              <w:rPr>
                <w:sz w:val="18"/>
                <w:szCs w:val="18"/>
              </w:rPr>
              <w:t>0</w:t>
            </w:r>
          </w:p>
        </w:tc>
        <w:tc>
          <w:tcPr>
            <w:tcW w:w="0" w:type="auto"/>
          </w:tcPr>
          <w:p w14:paraId="100921D5" w14:textId="4ACD12B4" w:rsidR="0034375A" w:rsidRPr="0034375A" w:rsidRDefault="0047590F" w:rsidP="0034375A">
            <w:pPr>
              <w:jc w:val="center"/>
              <w:rPr>
                <w:sz w:val="18"/>
                <w:szCs w:val="18"/>
              </w:rPr>
            </w:pPr>
            <w:r>
              <w:rPr>
                <w:sz w:val="18"/>
                <w:szCs w:val="18"/>
              </w:rPr>
              <w:t>12</w:t>
            </w:r>
          </w:p>
        </w:tc>
        <w:tc>
          <w:tcPr>
            <w:tcW w:w="0" w:type="auto"/>
          </w:tcPr>
          <w:p w14:paraId="3FF4A1EF" w14:textId="73BEB47D" w:rsidR="0034375A" w:rsidRPr="0034375A" w:rsidRDefault="0047590F" w:rsidP="0034375A">
            <w:pPr>
              <w:jc w:val="center"/>
              <w:rPr>
                <w:sz w:val="18"/>
                <w:szCs w:val="18"/>
              </w:rPr>
            </w:pPr>
            <w:r>
              <w:rPr>
                <w:sz w:val="18"/>
                <w:szCs w:val="18"/>
              </w:rPr>
              <w:t>1</w:t>
            </w:r>
          </w:p>
        </w:tc>
        <w:tc>
          <w:tcPr>
            <w:tcW w:w="0" w:type="auto"/>
          </w:tcPr>
          <w:p w14:paraId="657F057F" w14:textId="3A0D730E" w:rsidR="0034375A" w:rsidRPr="0034375A" w:rsidRDefault="00217481" w:rsidP="0034375A">
            <w:pPr>
              <w:jc w:val="center"/>
              <w:rPr>
                <w:sz w:val="18"/>
                <w:szCs w:val="18"/>
              </w:rPr>
            </w:pPr>
            <w:r>
              <w:rPr>
                <w:sz w:val="18"/>
                <w:szCs w:val="18"/>
              </w:rPr>
              <w:t>0</w:t>
            </w:r>
          </w:p>
        </w:tc>
        <w:tc>
          <w:tcPr>
            <w:tcW w:w="0" w:type="auto"/>
          </w:tcPr>
          <w:p w14:paraId="4DC2DF55" w14:textId="3103B1FC" w:rsidR="0034375A" w:rsidRPr="0034375A" w:rsidRDefault="00217481" w:rsidP="0034375A">
            <w:pPr>
              <w:jc w:val="center"/>
              <w:rPr>
                <w:sz w:val="18"/>
                <w:szCs w:val="18"/>
              </w:rPr>
            </w:pPr>
            <w:r>
              <w:rPr>
                <w:sz w:val="18"/>
                <w:szCs w:val="18"/>
              </w:rPr>
              <w:t>0</w:t>
            </w:r>
          </w:p>
        </w:tc>
        <w:tc>
          <w:tcPr>
            <w:tcW w:w="0" w:type="auto"/>
          </w:tcPr>
          <w:p w14:paraId="187C0F23" w14:textId="75CFD87A" w:rsidR="0034375A" w:rsidRPr="0034375A" w:rsidRDefault="00217481" w:rsidP="0034375A">
            <w:pPr>
              <w:jc w:val="center"/>
              <w:rPr>
                <w:sz w:val="18"/>
                <w:szCs w:val="18"/>
              </w:rPr>
            </w:pPr>
            <w:r>
              <w:rPr>
                <w:sz w:val="18"/>
                <w:szCs w:val="18"/>
              </w:rPr>
              <w:t>1</w:t>
            </w:r>
          </w:p>
        </w:tc>
        <w:tc>
          <w:tcPr>
            <w:tcW w:w="0" w:type="auto"/>
          </w:tcPr>
          <w:p w14:paraId="4937DDA1" w14:textId="41B0A88C" w:rsidR="0034375A" w:rsidRPr="0034375A" w:rsidRDefault="00217481" w:rsidP="0034375A">
            <w:pPr>
              <w:jc w:val="center"/>
              <w:rPr>
                <w:sz w:val="18"/>
                <w:szCs w:val="18"/>
              </w:rPr>
            </w:pPr>
            <w:r>
              <w:rPr>
                <w:sz w:val="18"/>
                <w:szCs w:val="18"/>
              </w:rPr>
              <w:t>0</w:t>
            </w:r>
          </w:p>
        </w:tc>
        <w:tc>
          <w:tcPr>
            <w:tcW w:w="0" w:type="auto"/>
          </w:tcPr>
          <w:p w14:paraId="580DD584" w14:textId="313ECFD0" w:rsidR="0034375A" w:rsidRPr="0034375A" w:rsidRDefault="00217481" w:rsidP="0034375A">
            <w:pPr>
              <w:jc w:val="center"/>
              <w:rPr>
                <w:sz w:val="18"/>
                <w:szCs w:val="18"/>
              </w:rPr>
            </w:pPr>
            <w:r>
              <w:rPr>
                <w:sz w:val="18"/>
                <w:szCs w:val="18"/>
              </w:rPr>
              <w:t>0</w:t>
            </w:r>
          </w:p>
        </w:tc>
        <w:tc>
          <w:tcPr>
            <w:tcW w:w="0" w:type="auto"/>
          </w:tcPr>
          <w:p w14:paraId="25C4FF59" w14:textId="51B726F1" w:rsidR="0034375A" w:rsidRPr="0034375A" w:rsidRDefault="00217481" w:rsidP="0034375A">
            <w:pPr>
              <w:jc w:val="center"/>
              <w:rPr>
                <w:sz w:val="18"/>
                <w:szCs w:val="18"/>
              </w:rPr>
            </w:pPr>
            <w:r>
              <w:rPr>
                <w:sz w:val="18"/>
                <w:szCs w:val="18"/>
              </w:rPr>
              <w:t>0</w:t>
            </w:r>
          </w:p>
        </w:tc>
        <w:tc>
          <w:tcPr>
            <w:tcW w:w="0" w:type="auto"/>
          </w:tcPr>
          <w:p w14:paraId="281A19D7" w14:textId="7A5DD738" w:rsidR="0034375A" w:rsidRPr="0034375A" w:rsidRDefault="00217481" w:rsidP="0034375A">
            <w:pPr>
              <w:jc w:val="center"/>
              <w:rPr>
                <w:sz w:val="18"/>
                <w:szCs w:val="18"/>
              </w:rPr>
            </w:pPr>
            <w:r>
              <w:rPr>
                <w:sz w:val="18"/>
                <w:szCs w:val="18"/>
              </w:rPr>
              <w:t>0</w:t>
            </w:r>
          </w:p>
        </w:tc>
        <w:tc>
          <w:tcPr>
            <w:tcW w:w="0" w:type="auto"/>
          </w:tcPr>
          <w:p w14:paraId="178A1D19" w14:textId="7D168038" w:rsidR="0034375A" w:rsidRPr="0034375A" w:rsidRDefault="00217481" w:rsidP="0034375A">
            <w:pPr>
              <w:jc w:val="center"/>
              <w:rPr>
                <w:sz w:val="18"/>
                <w:szCs w:val="18"/>
              </w:rPr>
            </w:pPr>
            <w:r>
              <w:rPr>
                <w:sz w:val="18"/>
                <w:szCs w:val="18"/>
              </w:rPr>
              <w:t>0</w:t>
            </w:r>
          </w:p>
        </w:tc>
        <w:tc>
          <w:tcPr>
            <w:tcW w:w="0" w:type="auto"/>
          </w:tcPr>
          <w:p w14:paraId="551CCD9C" w14:textId="6341CE5E" w:rsidR="0034375A" w:rsidRPr="0034375A" w:rsidRDefault="00217481" w:rsidP="0034375A">
            <w:pPr>
              <w:jc w:val="center"/>
              <w:rPr>
                <w:sz w:val="18"/>
                <w:szCs w:val="18"/>
              </w:rPr>
            </w:pPr>
            <w:r>
              <w:rPr>
                <w:sz w:val="18"/>
                <w:szCs w:val="18"/>
              </w:rPr>
              <w:t>0</w:t>
            </w:r>
          </w:p>
        </w:tc>
        <w:tc>
          <w:tcPr>
            <w:tcW w:w="0" w:type="auto"/>
          </w:tcPr>
          <w:p w14:paraId="7C3511CF" w14:textId="6E96C6E2" w:rsidR="0034375A" w:rsidRPr="0034375A" w:rsidRDefault="00217481" w:rsidP="0034375A">
            <w:pPr>
              <w:jc w:val="center"/>
              <w:rPr>
                <w:sz w:val="18"/>
                <w:szCs w:val="18"/>
              </w:rPr>
            </w:pPr>
            <w:r>
              <w:rPr>
                <w:sz w:val="18"/>
                <w:szCs w:val="18"/>
              </w:rPr>
              <w:t>0</w:t>
            </w:r>
          </w:p>
        </w:tc>
        <w:tc>
          <w:tcPr>
            <w:tcW w:w="0" w:type="auto"/>
          </w:tcPr>
          <w:p w14:paraId="37322141" w14:textId="2958CB08" w:rsidR="0034375A" w:rsidRPr="0034375A" w:rsidRDefault="00217481" w:rsidP="0034375A">
            <w:pPr>
              <w:jc w:val="center"/>
              <w:rPr>
                <w:sz w:val="18"/>
                <w:szCs w:val="18"/>
              </w:rPr>
            </w:pPr>
            <w:r>
              <w:rPr>
                <w:sz w:val="18"/>
                <w:szCs w:val="18"/>
              </w:rPr>
              <w:t>0</w:t>
            </w:r>
          </w:p>
        </w:tc>
        <w:tc>
          <w:tcPr>
            <w:tcW w:w="0" w:type="auto"/>
          </w:tcPr>
          <w:p w14:paraId="3F9BD641" w14:textId="4E71C05B" w:rsidR="0034375A" w:rsidRPr="0034375A" w:rsidRDefault="00217481" w:rsidP="0034375A">
            <w:pPr>
              <w:jc w:val="center"/>
              <w:rPr>
                <w:sz w:val="18"/>
                <w:szCs w:val="18"/>
              </w:rPr>
            </w:pPr>
            <w:r>
              <w:rPr>
                <w:sz w:val="18"/>
                <w:szCs w:val="18"/>
              </w:rPr>
              <w:t>0</w:t>
            </w:r>
          </w:p>
        </w:tc>
      </w:tr>
      <w:tr w:rsidR="0034375A" w:rsidRPr="0034375A" w14:paraId="2AA4FAAC" w14:textId="1638056E" w:rsidTr="0034375A">
        <w:tc>
          <w:tcPr>
            <w:tcW w:w="0" w:type="auto"/>
          </w:tcPr>
          <w:p w14:paraId="2C61964B" w14:textId="6D58C4A8" w:rsidR="0034375A" w:rsidRPr="0034375A" w:rsidRDefault="0034375A" w:rsidP="0034375A">
            <w:pPr>
              <w:rPr>
                <w:sz w:val="18"/>
                <w:szCs w:val="18"/>
              </w:rPr>
            </w:pPr>
            <w:r w:rsidRPr="0034375A">
              <w:rPr>
                <w:sz w:val="18"/>
                <w:szCs w:val="18"/>
              </w:rPr>
              <w:t>Haas (2012)</w:t>
            </w:r>
            <w:r w:rsidR="00A75209" w:rsidRPr="0034375A">
              <w:rPr>
                <w:sz w:val="18"/>
                <w:szCs w:val="18"/>
              </w:rPr>
              <w:t xml:space="preserve"> </w:t>
            </w:r>
          </w:p>
        </w:tc>
        <w:tc>
          <w:tcPr>
            <w:tcW w:w="0" w:type="auto"/>
          </w:tcPr>
          <w:p w14:paraId="36CF783D" w14:textId="5923D9AD" w:rsidR="0034375A" w:rsidRPr="0034375A" w:rsidRDefault="0099433A" w:rsidP="0034375A">
            <w:pPr>
              <w:jc w:val="center"/>
              <w:rPr>
                <w:sz w:val="18"/>
                <w:szCs w:val="18"/>
              </w:rPr>
            </w:pPr>
            <w:r>
              <w:rPr>
                <w:sz w:val="18"/>
                <w:szCs w:val="18"/>
              </w:rPr>
              <w:t>0</w:t>
            </w:r>
          </w:p>
        </w:tc>
        <w:tc>
          <w:tcPr>
            <w:tcW w:w="0" w:type="auto"/>
          </w:tcPr>
          <w:p w14:paraId="50449074" w14:textId="4F629504" w:rsidR="0034375A" w:rsidRPr="0034375A" w:rsidRDefault="0099433A" w:rsidP="0034375A">
            <w:pPr>
              <w:jc w:val="center"/>
              <w:rPr>
                <w:sz w:val="18"/>
                <w:szCs w:val="18"/>
              </w:rPr>
            </w:pPr>
            <w:r>
              <w:rPr>
                <w:sz w:val="18"/>
                <w:szCs w:val="18"/>
              </w:rPr>
              <w:t>0</w:t>
            </w:r>
          </w:p>
        </w:tc>
        <w:tc>
          <w:tcPr>
            <w:tcW w:w="0" w:type="auto"/>
          </w:tcPr>
          <w:p w14:paraId="426503A6" w14:textId="13FBAC1F" w:rsidR="0034375A" w:rsidRPr="0034375A" w:rsidRDefault="0099433A" w:rsidP="0034375A">
            <w:pPr>
              <w:jc w:val="center"/>
              <w:rPr>
                <w:sz w:val="18"/>
                <w:szCs w:val="18"/>
              </w:rPr>
            </w:pPr>
            <w:r>
              <w:rPr>
                <w:sz w:val="18"/>
                <w:szCs w:val="18"/>
              </w:rPr>
              <w:t>0</w:t>
            </w:r>
          </w:p>
        </w:tc>
        <w:tc>
          <w:tcPr>
            <w:tcW w:w="0" w:type="auto"/>
          </w:tcPr>
          <w:p w14:paraId="08979D2A" w14:textId="3906E9CB" w:rsidR="0034375A" w:rsidRPr="0034375A" w:rsidRDefault="0099433A" w:rsidP="0034375A">
            <w:pPr>
              <w:jc w:val="center"/>
              <w:rPr>
                <w:sz w:val="18"/>
                <w:szCs w:val="18"/>
              </w:rPr>
            </w:pPr>
            <w:r>
              <w:rPr>
                <w:sz w:val="18"/>
                <w:szCs w:val="18"/>
              </w:rPr>
              <w:t>0</w:t>
            </w:r>
          </w:p>
        </w:tc>
        <w:tc>
          <w:tcPr>
            <w:tcW w:w="0" w:type="auto"/>
          </w:tcPr>
          <w:p w14:paraId="71FC1A66" w14:textId="1C0E1445" w:rsidR="0034375A" w:rsidRPr="0034375A" w:rsidRDefault="0099433A" w:rsidP="0034375A">
            <w:pPr>
              <w:jc w:val="center"/>
              <w:rPr>
                <w:sz w:val="18"/>
                <w:szCs w:val="18"/>
              </w:rPr>
            </w:pPr>
            <w:r>
              <w:rPr>
                <w:sz w:val="18"/>
                <w:szCs w:val="18"/>
              </w:rPr>
              <w:t>113</w:t>
            </w:r>
          </w:p>
        </w:tc>
        <w:tc>
          <w:tcPr>
            <w:tcW w:w="0" w:type="auto"/>
          </w:tcPr>
          <w:p w14:paraId="405FA388" w14:textId="632C6EAF" w:rsidR="0034375A" w:rsidRPr="0034375A" w:rsidRDefault="0099433A" w:rsidP="0034375A">
            <w:pPr>
              <w:jc w:val="center"/>
              <w:rPr>
                <w:sz w:val="18"/>
                <w:szCs w:val="18"/>
              </w:rPr>
            </w:pPr>
            <w:r>
              <w:rPr>
                <w:sz w:val="18"/>
                <w:szCs w:val="18"/>
              </w:rPr>
              <w:t>8</w:t>
            </w:r>
          </w:p>
        </w:tc>
        <w:tc>
          <w:tcPr>
            <w:tcW w:w="0" w:type="auto"/>
          </w:tcPr>
          <w:p w14:paraId="0EEEDF85" w14:textId="2ADAC34E" w:rsidR="0034375A" w:rsidRPr="0034375A" w:rsidRDefault="0099433A" w:rsidP="0034375A">
            <w:pPr>
              <w:jc w:val="center"/>
              <w:rPr>
                <w:sz w:val="18"/>
                <w:szCs w:val="18"/>
              </w:rPr>
            </w:pPr>
            <w:r>
              <w:rPr>
                <w:sz w:val="18"/>
                <w:szCs w:val="18"/>
              </w:rPr>
              <w:t>120</w:t>
            </w:r>
          </w:p>
        </w:tc>
        <w:tc>
          <w:tcPr>
            <w:tcW w:w="0" w:type="auto"/>
          </w:tcPr>
          <w:p w14:paraId="02FF2807" w14:textId="2583447B" w:rsidR="0034375A" w:rsidRPr="0034375A" w:rsidRDefault="0099433A" w:rsidP="0034375A">
            <w:pPr>
              <w:jc w:val="center"/>
              <w:rPr>
                <w:sz w:val="18"/>
                <w:szCs w:val="18"/>
              </w:rPr>
            </w:pPr>
            <w:r>
              <w:rPr>
                <w:sz w:val="18"/>
                <w:szCs w:val="18"/>
              </w:rPr>
              <w:t>5</w:t>
            </w:r>
          </w:p>
        </w:tc>
        <w:tc>
          <w:tcPr>
            <w:tcW w:w="0" w:type="auto"/>
          </w:tcPr>
          <w:p w14:paraId="4CE42B46" w14:textId="2EF4A615" w:rsidR="0034375A" w:rsidRPr="0034375A" w:rsidRDefault="0099433A" w:rsidP="0034375A">
            <w:pPr>
              <w:jc w:val="center"/>
              <w:rPr>
                <w:sz w:val="18"/>
                <w:szCs w:val="18"/>
              </w:rPr>
            </w:pPr>
            <w:r>
              <w:rPr>
                <w:sz w:val="18"/>
                <w:szCs w:val="18"/>
              </w:rPr>
              <w:t>80</w:t>
            </w:r>
          </w:p>
        </w:tc>
        <w:tc>
          <w:tcPr>
            <w:tcW w:w="0" w:type="auto"/>
          </w:tcPr>
          <w:p w14:paraId="72F1955B" w14:textId="7A944BD1" w:rsidR="0034375A" w:rsidRPr="0034375A" w:rsidRDefault="0099433A" w:rsidP="0034375A">
            <w:pPr>
              <w:jc w:val="center"/>
              <w:rPr>
                <w:sz w:val="18"/>
                <w:szCs w:val="18"/>
              </w:rPr>
            </w:pPr>
            <w:r>
              <w:rPr>
                <w:sz w:val="18"/>
                <w:szCs w:val="18"/>
              </w:rPr>
              <w:t>7</w:t>
            </w:r>
          </w:p>
        </w:tc>
        <w:tc>
          <w:tcPr>
            <w:tcW w:w="0" w:type="auto"/>
          </w:tcPr>
          <w:p w14:paraId="7B437183" w14:textId="3BF1DE80" w:rsidR="0034375A" w:rsidRPr="0034375A" w:rsidRDefault="0099433A" w:rsidP="0034375A">
            <w:pPr>
              <w:jc w:val="center"/>
              <w:rPr>
                <w:sz w:val="18"/>
                <w:szCs w:val="18"/>
              </w:rPr>
            </w:pPr>
            <w:r>
              <w:rPr>
                <w:sz w:val="18"/>
                <w:szCs w:val="18"/>
              </w:rPr>
              <w:t>92</w:t>
            </w:r>
          </w:p>
        </w:tc>
        <w:tc>
          <w:tcPr>
            <w:tcW w:w="0" w:type="auto"/>
          </w:tcPr>
          <w:p w14:paraId="47FC9AC5" w14:textId="48F19A7C" w:rsidR="0034375A" w:rsidRPr="0034375A" w:rsidRDefault="0099433A" w:rsidP="0034375A">
            <w:pPr>
              <w:jc w:val="center"/>
              <w:rPr>
                <w:sz w:val="18"/>
                <w:szCs w:val="18"/>
              </w:rPr>
            </w:pPr>
            <w:r>
              <w:rPr>
                <w:sz w:val="18"/>
                <w:szCs w:val="18"/>
              </w:rPr>
              <w:t>5</w:t>
            </w:r>
          </w:p>
        </w:tc>
        <w:tc>
          <w:tcPr>
            <w:tcW w:w="0" w:type="auto"/>
          </w:tcPr>
          <w:p w14:paraId="4C4070A4" w14:textId="3171F67A" w:rsidR="0034375A" w:rsidRPr="0034375A" w:rsidRDefault="002361C7" w:rsidP="0034375A">
            <w:pPr>
              <w:jc w:val="center"/>
              <w:rPr>
                <w:sz w:val="18"/>
                <w:szCs w:val="18"/>
              </w:rPr>
            </w:pPr>
            <w:r>
              <w:rPr>
                <w:sz w:val="18"/>
                <w:szCs w:val="18"/>
              </w:rPr>
              <w:t>42</w:t>
            </w:r>
          </w:p>
        </w:tc>
        <w:tc>
          <w:tcPr>
            <w:tcW w:w="0" w:type="auto"/>
          </w:tcPr>
          <w:p w14:paraId="4380C10B" w14:textId="7C0980C1" w:rsidR="0034375A" w:rsidRPr="0034375A" w:rsidRDefault="002361C7" w:rsidP="0034375A">
            <w:pPr>
              <w:jc w:val="center"/>
              <w:rPr>
                <w:sz w:val="18"/>
                <w:szCs w:val="18"/>
              </w:rPr>
            </w:pPr>
            <w:r>
              <w:rPr>
                <w:sz w:val="18"/>
                <w:szCs w:val="18"/>
              </w:rPr>
              <w:t>5</w:t>
            </w:r>
          </w:p>
        </w:tc>
        <w:tc>
          <w:tcPr>
            <w:tcW w:w="0" w:type="auto"/>
          </w:tcPr>
          <w:p w14:paraId="354166EC" w14:textId="1AB2C158" w:rsidR="0034375A" w:rsidRPr="0034375A" w:rsidRDefault="002361C7" w:rsidP="0034375A">
            <w:pPr>
              <w:jc w:val="center"/>
              <w:rPr>
                <w:sz w:val="18"/>
                <w:szCs w:val="18"/>
              </w:rPr>
            </w:pPr>
            <w:r>
              <w:rPr>
                <w:sz w:val="18"/>
                <w:szCs w:val="18"/>
              </w:rPr>
              <w:t>32</w:t>
            </w:r>
          </w:p>
        </w:tc>
        <w:tc>
          <w:tcPr>
            <w:tcW w:w="0" w:type="auto"/>
          </w:tcPr>
          <w:p w14:paraId="245EDF15" w14:textId="56B005C3" w:rsidR="0034375A" w:rsidRPr="0034375A" w:rsidRDefault="002361C7" w:rsidP="0034375A">
            <w:pPr>
              <w:jc w:val="center"/>
              <w:rPr>
                <w:sz w:val="18"/>
                <w:szCs w:val="18"/>
              </w:rPr>
            </w:pPr>
            <w:r>
              <w:rPr>
                <w:sz w:val="18"/>
                <w:szCs w:val="18"/>
              </w:rPr>
              <w:t>1</w:t>
            </w:r>
          </w:p>
        </w:tc>
        <w:tc>
          <w:tcPr>
            <w:tcW w:w="0" w:type="auto"/>
          </w:tcPr>
          <w:p w14:paraId="7166993D" w14:textId="39D9FDE8" w:rsidR="0034375A" w:rsidRPr="0034375A" w:rsidRDefault="002361C7" w:rsidP="0034375A">
            <w:pPr>
              <w:jc w:val="center"/>
              <w:rPr>
                <w:sz w:val="18"/>
                <w:szCs w:val="18"/>
              </w:rPr>
            </w:pPr>
            <w:r>
              <w:rPr>
                <w:sz w:val="18"/>
                <w:szCs w:val="18"/>
              </w:rPr>
              <w:t>7</w:t>
            </w:r>
          </w:p>
        </w:tc>
        <w:tc>
          <w:tcPr>
            <w:tcW w:w="0" w:type="auto"/>
          </w:tcPr>
          <w:p w14:paraId="0811B6F8" w14:textId="7AEE6E9E" w:rsidR="0034375A" w:rsidRPr="0034375A" w:rsidRDefault="002361C7" w:rsidP="0034375A">
            <w:pPr>
              <w:jc w:val="center"/>
              <w:rPr>
                <w:sz w:val="18"/>
                <w:szCs w:val="18"/>
              </w:rPr>
            </w:pPr>
            <w:r>
              <w:rPr>
                <w:sz w:val="18"/>
                <w:szCs w:val="18"/>
              </w:rPr>
              <w:t>0</w:t>
            </w:r>
          </w:p>
        </w:tc>
        <w:tc>
          <w:tcPr>
            <w:tcW w:w="0" w:type="auto"/>
          </w:tcPr>
          <w:p w14:paraId="23242F87" w14:textId="040E450C" w:rsidR="0034375A" w:rsidRPr="0034375A" w:rsidRDefault="002361C7" w:rsidP="0034375A">
            <w:pPr>
              <w:jc w:val="center"/>
              <w:rPr>
                <w:sz w:val="18"/>
                <w:szCs w:val="18"/>
              </w:rPr>
            </w:pPr>
            <w:r>
              <w:rPr>
                <w:sz w:val="18"/>
                <w:szCs w:val="18"/>
              </w:rPr>
              <w:t>11</w:t>
            </w:r>
          </w:p>
        </w:tc>
        <w:tc>
          <w:tcPr>
            <w:tcW w:w="0" w:type="auto"/>
          </w:tcPr>
          <w:p w14:paraId="324C2C03" w14:textId="327B84C6" w:rsidR="0034375A" w:rsidRPr="0034375A" w:rsidRDefault="002361C7" w:rsidP="0034375A">
            <w:pPr>
              <w:jc w:val="center"/>
              <w:rPr>
                <w:sz w:val="18"/>
                <w:szCs w:val="18"/>
              </w:rPr>
            </w:pPr>
            <w:r>
              <w:rPr>
                <w:sz w:val="18"/>
                <w:szCs w:val="18"/>
              </w:rPr>
              <w:t>0</w:t>
            </w:r>
          </w:p>
        </w:tc>
        <w:tc>
          <w:tcPr>
            <w:tcW w:w="0" w:type="auto"/>
          </w:tcPr>
          <w:p w14:paraId="443DECB8" w14:textId="47A1683C" w:rsidR="0034375A" w:rsidRPr="0034375A" w:rsidRDefault="002361C7" w:rsidP="0034375A">
            <w:pPr>
              <w:jc w:val="center"/>
              <w:rPr>
                <w:sz w:val="18"/>
                <w:szCs w:val="18"/>
              </w:rPr>
            </w:pPr>
            <w:r>
              <w:rPr>
                <w:sz w:val="18"/>
                <w:szCs w:val="18"/>
              </w:rPr>
              <w:t>0</w:t>
            </w:r>
          </w:p>
        </w:tc>
        <w:tc>
          <w:tcPr>
            <w:tcW w:w="0" w:type="auto"/>
          </w:tcPr>
          <w:p w14:paraId="7BD2AB58" w14:textId="1628AA81" w:rsidR="0034375A" w:rsidRPr="0034375A" w:rsidRDefault="002361C7" w:rsidP="0034375A">
            <w:pPr>
              <w:jc w:val="center"/>
              <w:rPr>
                <w:sz w:val="18"/>
                <w:szCs w:val="18"/>
              </w:rPr>
            </w:pPr>
            <w:r>
              <w:rPr>
                <w:sz w:val="18"/>
                <w:szCs w:val="18"/>
              </w:rPr>
              <w:t>0</w:t>
            </w:r>
          </w:p>
        </w:tc>
        <w:tc>
          <w:tcPr>
            <w:tcW w:w="0" w:type="auto"/>
          </w:tcPr>
          <w:p w14:paraId="0F81E168" w14:textId="3121CF23" w:rsidR="0034375A" w:rsidRPr="0034375A" w:rsidRDefault="002361C7" w:rsidP="0034375A">
            <w:pPr>
              <w:jc w:val="center"/>
              <w:rPr>
                <w:sz w:val="18"/>
                <w:szCs w:val="18"/>
              </w:rPr>
            </w:pPr>
            <w:r>
              <w:rPr>
                <w:sz w:val="18"/>
                <w:szCs w:val="18"/>
              </w:rPr>
              <w:t>0</w:t>
            </w:r>
          </w:p>
        </w:tc>
        <w:tc>
          <w:tcPr>
            <w:tcW w:w="0" w:type="auto"/>
          </w:tcPr>
          <w:p w14:paraId="7E3503BB" w14:textId="791434FF" w:rsidR="0034375A" w:rsidRPr="0034375A" w:rsidRDefault="002361C7" w:rsidP="0034375A">
            <w:pPr>
              <w:jc w:val="center"/>
              <w:rPr>
                <w:sz w:val="18"/>
                <w:szCs w:val="18"/>
              </w:rPr>
            </w:pPr>
            <w:r>
              <w:rPr>
                <w:sz w:val="18"/>
                <w:szCs w:val="18"/>
              </w:rPr>
              <w:t>0</w:t>
            </w:r>
          </w:p>
        </w:tc>
      </w:tr>
      <w:tr w:rsidR="0034375A" w:rsidRPr="0034375A" w14:paraId="5A569E10" w14:textId="63014673" w:rsidTr="0034375A">
        <w:tc>
          <w:tcPr>
            <w:tcW w:w="0" w:type="auto"/>
          </w:tcPr>
          <w:p w14:paraId="6644A386" w14:textId="55F7BCCC" w:rsidR="0034375A" w:rsidRPr="0034375A" w:rsidRDefault="0034375A" w:rsidP="0034375A">
            <w:pPr>
              <w:rPr>
                <w:sz w:val="18"/>
                <w:szCs w:val="18"/>
              </w:rPr>
            </w:pPr>
            <w:r w:rsidRPr="0034375A">
              <w:rPr>
                <w:sz w:val="18"/>
                <w:szCs w:val="18"/>
              </w:rPr>
              <w:t>Lecumberri (2013)</w:t>
            </w:r>
            <w:r w:rsidR="00A75209" w:rsidRPr="0034375A">
              <w:rPr>
                <w:sz w:val="18"/>
                <w:szCs w:val="18"/>
              </w:rPr>
              <w:t xml:space="preserve"> </w:t>
            </w:r>
          </w:p>
        </w:tc>
        <w:tc>
          <w:tcPr>
            <w:tcW w:w="0" w:type="auto"/>
          </w:tcPr>
          <w:p w14:paraId="724232A1" w14:textId="50912E37" w:rsidR="0034375A" w:rsidRPr="0034375A" w:rsidRDefault="00F26C95" w:rsidP="0034375A">
            <w:pPr>
              <w:jc w:val="center"/>
              <w:rPr>
                <w:sz w:val="18"/>
                <w:szCs w:val="18"/>
              </w:rPr>
            </w:pPr>
            <w:r>
              <w:rPr>
                <w:sz w:val="18"/>
                <w:szCs w:val="18"/>
              </w:rPr>
              <w:t>0</w:t>
            </w:r>
          </w:p>
        </w:tc>
        <w:tc>
          <w:tcPr>
            <w:tcW w:w="0" w:type="auto"/>
          </w:tcPr>
          <w:p w14:paraId="709D3A5B" w14:textId="6CA6CCEB" w:rsidR="0034375A" w:rsidRPr="0034375A" w:rsidRDefault="00F26C95" w:rsidP="0034375A">
            <w:pPr>
              <w:jc w:val="center"/>
              <w:rPr>
                <w:sz w:val="18"/>
                <w:szCs w:val="18"/>
              </w:rPr>
            </w:pPr>
            <w:r>
              <w:rPr>
                <w:sz w:val="18"/>
                <w:szCs w:val="18"/>
              </w:rPr>
              <w:t>0</w:t>
            </w:r>
          </w:p>
        </w:tc>
        <w:tc>
          <w:tcPr>
            <w:tcW w:w="0" w:type="auto"/>
          </w:tcPr>
          <w:p w14:paraId="7B43EDF2" w14:textId="56104483" w:rsidR="0034375A" w:rsidRPr="0034375A" w:rsidRDefault="00F26C95" w:rsidP="0034375A">
            <w:pPr>
              <w:jc w:val="center"/>
              <w:rPr>
                <w:sz w:val="18"/>
                <w:szCs w:val="18"/>
              </w:rPr>
            </w:pPr>
            <w:r>
              <w:rPr>
                <w:sz w:val="18"/>
                <w:szCs w:val="18"/>
              </w:rPr>
              <w:t>0</w:t>
            </w:r>
          </w:p>
        </w:tc>
        <w:tc>
          <w:tcPr>
            <w:tcW w:w="0" w:type="auto"/>
          </w:tcPr>
          <w:p w14:paraId="54BB2526" w14:textId="49213A38" w:rsidR="0034375A" w:rsidRPr="0034375A" w:rsidRDefault="00F26C95" w:rsidP="0034375A">
            <w:pPr>
              <w:jc w:val="center"/>
              <w:rPr>
                <w:sz w:val="18"/>
                <w:szCs w:val="18"/>
              </w:rPr>
            </w:pPr>
            <w:r>
              <w:rPr>
                <w:sz w:val="18"/>
                <w:szCs w:val="18"/>
              </w:rPr>
              <w:t>0</w:t>
            </w:r>
          </w:p>
        </w:tc>
        <w:tc>
          <w:tcPr>
            <w:tcW w:w="0" w:type="auto"/>
          </w:tcPr>
          <w:p w14:paraId="5AD4963D" w14:textId="7FF875AC" w:rsidR="0034375A" w:rsidRPr="0034375A" w:rsidRDefault="00F26C95" w:rsidP="0034375A">
            <w:pPr>
              <w:jc w:val="center"/>
              <w:rPr>
                <w:sz w:val="18"/>
                <w:szCs w:val="18"/>
              </w:rPr>
            </w:pPr>
            <w:r>
              <w:rPr>
                <w:sz w:val="18"/>
                <w:szCs w:val="18"/>
              </w:rPr>
              <w:t>7</w:t>
            </w:r>
          </w:p>
        </w:tc>
        <w:tc>
          <w:tcPr>
            <w:tcW w:w="0" w:type="auto"/>
          </w:tcPr>
          <w:p w14:paraId="289492A1" w14:textId="6F0A262E" w:rsidR="0034375A" w:rsidRPr="0034375A" w:rsidRDefault="00F26C95" w:rsidP="0034375A">
            <w:pPr>
              <w:jc w:val="center"/>
              <w:rPr>
                <w:sz w:val="18"/>
                <w:szCs w:val="18"/>
              </w:rPr>
            </w:pPr>
            <w:r>
              <w:rPr>
                <w:sz w:val="18"/>
                <w:szCs w:val="18"/>
              </w:rPr>
              <w:t>3</w:t>
            </w:r>
          </w:p>
        </w:tc>
        <w:tc>
          <w:tcPr>
            <w:tcW w:w="0" w:type="auto"/>
          </w:tcPr>
          <w:p w14:paraId="1DED9668" w14:textId="7AC5A1A0" w:rsidR="0034375A" w:rsidRPr="0034375A" w:rsidRDefault="00F26C95" w:rsidP="0034375A">
            <w:pPr>
              <w:jc w:val="center"/>
              <w:rPr>
                <w:sz w:val="18"/>
                <w:szCs w:val="18"/>
              </w:rPr>
            </w:pPr>
            <w:r>
              <w:rPr>
                <w:sz w:val="18"/>
                <w:szCs w:val="18"/>
              </w:rPr>
              <w:t>9</w:t>
            </w:r>
          </w:p>
        </w:tc>
        <w:tc>
          <w:tcPr>
            <w:tcW w:w="0" w:type="auto"/>
          </w:tcPr>
          <w:p w14:paraId="199F1AA2" w14:textId="5433485E" w:rsidR="0034375A" w:rsidRPr="0034375A" w:rsidRDefault="00F26C95" w:rsidP="0034375A">
            <w:pPr>
              <w:jc w:val="center"/>
              <w:rPr>
                <w:sz w:val="18"/>
                <w:szCs w:val="18"/>
              </w:rPr>
            </w:pPr>
            <w:r>
              <w:rPr>
                <w:sz w:val="18"/>
                <w:szCs w:val="18"/>
              </w:rPr>
              <w:t>0</w:t>
            </w:r>
          </w:p>
        </w:tc>
        <w:tc>
          <w:tcPr>
            <w:tcW w:w="0" w:type="auto"/>
          </w:tcPr>
          <w:p w14:paraId="66C9F69D" w14:textId="3F4DE9BC" w:rsidR="0034375A" w:rsidRPr="0034375A" w:rsidRDefault="009378BC" w:rsidP="0034375A">
            <w:pPr>
              <w:jc w:val="center"/>
              <w:rPr>
                <w:sz w:val="18"/>
                <w:szCs w:val="18"/>
              </w:rPr>
            </w:pPr>
            <w:r>
              <w:rPr>
                <w:sz w:val="18"/>
                <w:szCs w:val="18"/>
              </w:rPr>
              <w:t>6</w:t>
            </w:r>
          </w:p>
        </w:tc>
        <w:tc>
          <w:tcPr>
            <w:tcW w:w="0" w:type="auto"/>
          </w:tcPr>
          <w:p w14:paraId="6D06D3DA" w14:textId="1F089B28" w:rsidR="0034375A" w:rsidRPr="0034375A" w:rsidRDefault="009378BC" w:rsidP="0034375A">
            <w:pPr>
              <w:jc w:val="center"/>
              <w:rPr>
                <w:sz w:val="18"/>
                <w:szCs w:val="18"/>
              </w:rPr>
            </w:pPr>
            <w:r>
              <w:rPr>
                <w:sz w:val="18"/>
                <w:szCs w:val="18"/>
              </w:rPr>
              <w:t>0</w:t>
            </w:r>
          </w:p>
        </w:tc>
        <w:tc>
          <w:tcPr>
            <w:tcW w:w="0" w:type="auto"/>
          </w:tcPr>
          <w:p w14:paraId="6C80535E" w14:textId="6F6DAB7D" w:rsidR="0034375A" w:rsidRPr="0034375A" w:rsidRDefault="00F26C95" w:rsidP="0034375A">
            <w:pPr>
              <w:jc w:val="center"/>
              <w:rPr>
                <w:sz w:val="18"/>
                <w:szCs w:val="18"/>
              </w:rPr>
            </w:pPr>
            <w:r>
              <w:rPr>
                <w:sz w:val="18"/>
                <w:szCs w:val="18"/>
              </w:rPr>
              <w:t>9</w:t>
            </w:r>
          </w:p>
        </w:tc>
        <w:tc>
          <w:tcPr>
            <w:tcW w:w="0" w:type="auto"/>
          </w:tcPr>
          <w:p w14:paraId="01A22945" w14:textId="5D58D1D8" w:rsidR="0034375A" w:rsidRPr="0034375A" w:rsidRDefault="00F26C95" w:rsidP="0034375A">
            <w:pPr>
              <w:jc w:val="center"/>
              <w:rPr>
                <w:sz w:val="18"/>
                <w:szCs w:val="18"/>
              </w:rPr>
            </w:pPr>
            <w:r>
              <w:rPr>
                <w:sz w:val="18"/>
                <w:szCs w:val="18"/>
              </w:rPr>
              <w:t>0</w:t>
            </w:r>
          </w:p>
        </w:tc>
        <w:tc>
          <w:tcPr>
            <w:tcW w:w="0" w:type="auto"/>
          </w:tcPr>
          <w:p w14:paraId="39FA44D6" w14:textId="28351E4E" w:rsidR="0034375A" w:rsidRPr="0034375A" w:rsidRDefault="009378BC" w:rsidP="0034375A">
            <w:pPr>
              <w:jc w:val="center"/>
              <w:rPr>
                <w:sz w:val="18"/>
                <w:szCs w:val="18"/>
              </w:rPr>
            </w:pPr>
            <w:r>
              <w:rPr>
                <w:sz w:val="18"/>
                <w:szCs w:val="18"/>
              </w:rPr>
              <w:t>2</w:t>
            </w:r>
          </w:p>
        </w:tc>
        <w:tc>
          <w:tcPr>
            <w:tcW w:w="0" w:type="auto"/>
          </w:tcPr>
          <w:p w14:paraId="512F9C49" w14:textId="18D868D6" w:rsidR="0034375A" w:rsidRPr="0034375A" w:rsidRDefault="009378BC" w:rsidP="0034375A">
            <w:pPr>
              <w:jc w:val="center"/>
              <w:rPr>
                <w:sz w:val="18"/>
                <w:szCs w:val="18"/>
              </w:rPr>
            </w:pPr>
            <w:r>
              <w:rPr>
                <w:sz w:val="18"/>
                <w:szCs w:val="18"/>
              </w:rPr>
              <w:t>0</w:t>
            </w:r>
          </w:p>
        </w:tc>
        <w:tc>
          <w:tcPr>
            <w:tcW w:w="0" w:type="auto"/>
          </w:tcPr>
          <w:p w14:paraId="27D165BE" w14:textId="413A8CB2" w:rsidR="0034375A" w:rsidRPr="0034375A" w:rsidRDefault="009378BC" w:rsidP="0034375A">
            <w:pPr>
              <w:jc w:val="center"/>
              <w:rPr>
                <w:sz w:val="18"/>
                <w:szCs w:val="18"/>
              </w:rPr>
            </w:pPr>
            <w:r>
              <w:rPr>
                <w:sz w:val="18"/>
                <w:szCs w:val="18"/>
              </w:rPr>
              <w:t>2</w:t>
            </w:r>
          </w:p>
        </w:tc>
        <w:tc>
          <w:tcPr>
            <w:tcW w:w="0" w:type="auto"/>
          </w:tcPr>
          <w:p w14:paraId="130D5DBC" w14:textId="7E344FEB" w:rsidR="0034375A" w:rsidRPr="0034375A" w:rsidRDefault="009378BC" w:rsidP="0034375A">
            <w:pPr>
              <w:jc w:val="center"/>
              <w:rPr>
                <w:sz w:val="18"/>
                <w:szCs w:val="18"/>
              </w:rPr>
            </w:pPr>
            <w:r>
              <w:rPr>
                <w:sz w:val="18"/>
                <w:szCs w:val="18"/>
              </w:rPr>
              <w:t>0</w:t>
            </w:r>
          </w:p>
        </w:tc>
        <w:tc>
          <w:tcPr>
            <w:tcW w:w="0" w:type="auto"/>
          </w:tcPr>
          <w:p w14:paraId="2A8B6E7E" w14:textId="37EAE09C" w:rsidR="0034375A" w:rsidRPr="0034375A" w:rsidRDefault="009378BC" w:rsidP="0034375A">
            <w:pPr>
              <w:jc w:val="center"/>
              <w:rPr>
                <w:sz w:val="18"/>
                <w:szCs w:val="18"/>
              </w:rPr>
            </w:pPr>
            <w:r>
              <w:rPr>
                <w:sz w:val="18"/>
                <w:szCs w:val="18"/>
              </w:rPr>
              <w:t>0</w:t>
            </w:r>
          </w:p>
        </w:tc>
        <w:tc>
          <w:tcPr>
            <w:tcW w:w="0" w:type="auto"/>
          </w:tcPr>
          <w:p w14:paraId="421AA6AC" w14:textId="48B78C6D" w:rsidR="0034375A" w:rsidRPr="0034375A" w:rsidRDefault="009378BC" w:rsidP="0034375A">
            <w:pPr>
              <w:jc w:val="center"/>
              <w:rPr>
                <w:sz w:val="18"/>
                <w:szCs w:val="18"/>
              </w:rPr>
            </w:pPr>
            <w:r>
              <w:rPr>
                <w:sz w:val="18"/>
                <w:szCs w:val="18"/>
              </w:rPr>
              <w:t>0</w:t>
            </w:r>
          </w:p>
        </w:tc>
        <w:tc>
          <w:tcPr>
            <w:tcW w:w="0" w:type="auto"/>
          </w:tcPr>
          <w:p w14:paraId="3F35BDDF" w14:textId="4492FD93" w:rsidR="0034375A" w:rsidRPr="0034375A" w:rsidRDefault="009378BC" w:rsidP="0034375A">
            <w:pPr>
              <w:jc w:val="center"/>
              <w:rPr>
                <w:sz w:val="18"/>
                <w:szCs w:val="18"/>
              </w:rPr>
            </w:pPr>
            <w:r>
              <w:rPr>
                <w:sz w:val="18"/>
                <w:szCs w:val="18"/>
              </w:rPr>
              <w:t>0</w:t>
            </w:r>
          </w:p>
        </w:tc>
        <w:tc>
          <w:tcPr>
            <w:tcW w:w="0" w:type="auto"/>
          </w:tcPr>
          <w:p w14:paraId="05B6F087" w14:textId="5616D149" w:rsidR="0034375A" w:rsidRPr="0034375A" w:rsidRDefault="009378BC" w:rsidP="0034375A">
            <w:pPr>
              <w:jc w:val="center"/>
              <w:rPr>
                <w:sz w:val="18"/>
                <w:szCs w:val="18"/>
              </w:rPr>
            </w:pPr>
            <w:r>
              <w:rPr>
                <w:sz w:val="18"/>
                <w:szCs w:val="18"/>
              </w:rPr>
              <w:t>0</w:t>
            </w:r>
          </w:p>
        </w:tc>
        <w:tc>
          <w:tcPr>
            <w:tcW w:w="0" w:type="auto"/>
          </w:tcPr>
          <w:p w14:paraId="1378F897" w14:textId="4467B20A" w:rsidR="0034375A" w:rsidRPr="0034375A" w:rsidRDefault="009378BC" w:rsidP="0034375A">
            <w:pPr>
              <w:jc w:val="center"/>
              <w:rPr>
                <w:sz w:val="18"/>
                <w:szCs w:val="18"/>
              </w:rPr>
            </w:pPr>
            <w:r>
              <w:rPr>
                <w:sz w:val="18"/>
                <w:szCs w:val="18"/>
              </w:rPr>
              <w:t>0</w:t>
            </w:r>
          </w:p>
        </w:tc>
        <w:tc>
          <w:tcPr>
            <w:tcW w:w="0" w:type="auto"/>
          </w:tcPr>
          <w:p w14:paraId="22E5861C" w14:textId="5925FF46" w:rsidR="0034375A" w:rsidRPr="0034375A" w:rsidRDefault="009378BC" w:rsidP="0034375A">
            <w:pPr>
              <w:jc w:val="center"/>
              <w:rPr>
                <w:sz w:val="18"/>
                <w:szCs w:val="18"/>
              </w:rPr>
            </w:pPr>
            <w:r>
              <w:rPr>
                <w:sz w:val="18"/>
                <w:szCs w:val="18"/>
              </w:rPr>
              <w:t>0</w:t>
            </w:r>
          </w:p>
        </w:tc>
        <w:tc>
          <w:tcPr>
            <w:tcW w:w="0" w:type="auto"/>
          </w:tcPr>
          <w:p w14:paraId="4143B64D" w14:textId="21BF11E0" w:rsidR="0034375A" w:rsidRPr="0034375A" w:rsidRDefault="009378BC" w:rsidP="0034375A">
            <w:pPr>
              <w:jc w:val="center"/>
              <w:rPr>
                <w:sz w:val="18"/>
                <w:szCs w:val="18"/>
              </w:rPr>
            </w:pPr>
            <w:r>
              <w:rPr>
                <w:sz w:val="18"/>
                <w:szCs w:val="18"/>
              </w:rPr>
              <w:t>0</w:t>
            </w:r>
          </w:p>
        </w:tc>
        <w:tc>
          <w:tcPr>
            <w:tcW w:w="0" w:type="auto"/>
          </w:tcPr>
          <w:p w14:paraId="42F89227" w14:textId="3A1D7200" w:rsidR="0034375A" w:rsidRPr="0034375A" w:rsidRDefault="009378BC" w:rsidP="0034375A">
            <w:pPr>
              <w:jc w:val="center"/>
              <w:rPr>
                <w:sz w:val="18"/>
                <w:szCs w:val="18"/>
              </w:rPr>
            </w:pPr>
            <w:r>
              <w:rPr>
                <w:sz w:val="18"/>
                <w:szCs w:val="18"/>
              </w:rPr>
              <w:t>0</w:t>
            </w:r>
          </w:p>
        </w:tc>
      </w:tr>
      <w:tr w:rsidR="0034375A" w:rsidRPr="0034375A" w14:paraId="37ABAD7A" w14:textId="2EEA0506" w:rsidTr="0034375A">
        <w:tc>
          <w:tcPr>
            <w:tcW w:w="0" w:type="auto"/>
          </w:tcPr>
          <w:p w14:paraId="5472B05E" w14:textId="14E2BA0E" w:rsidR="0034375A" w:rsidRPr="0034375A" w:rsidRDefault="0034375A" w:rsidP="0034375A">
            <w:pPr>
              <w:rPr>
                <w:sz w:val="18"/>
                <w:szCs w:val="18"/>
              </w:rPr>
            </w:pPr>
            <w:r w:rsidRPr="0034375A">
              <w:rPr>
                <w:sz w:val="18"/>
                <w:szCs w:val="18"/>
              </w:rPr>
              <w:t>Macbeth (2015)</w:t>
            </w:r>
            <w:r w:rsidR="00A75209" w:rsidRPr="0034375A">
              <w:rPr>
                <w:sz w:val="18"/>
                <w:szCs w:val="18"/>
              </w:rPr>
              <w:t xml:space="preserve"> </w:t>
            </w:r>
          </w:p>
        </w:tc>
        <w:tc>
          <w:tcPr>
            <w:tcW w:w="0" w:type="auto"/>
          </w:tcPr>
          <w:p w14:paraId="4EE4E681" w14:textId="1732F9A4" w:rsidR="0034375A" w:rsidRPr="0034375A" w:rsidRDefault="009378BC" w:rsidP="0034375A">
            <w:pPr>
              <w:jc w:val="center"/>
              <w:rPr>
                <w:sz w:val="18"/>
                <w:szCs w:val="18"/>
              </w:rPr>
            </w:pPr>
            <w:r>
              <w:rPr>
                <w:sz w:val="18"/>
                <w:szCs w:val="18"/>
              </w:rPr>
              <w:t>0</w:t>
            </w:r>
          </w:p>
        </w:tc>
        <w:tc>
          <w:tcPr>
            <w:tcW w:w="0" w:type="auto"/>
          </w:tcPr>
          <w:p w14:paraId="3E6BD355" w14:textId="199FC6D9" w:rsidR="0034375A" w:rsidRPr="0034375A" w:rsidRDefault="009378BC" w:rsidP="0034375A">
            <w:pPr>
              <w:jc w:val="center"/>
              <w:rPr>
                <w:sz w:val="18"/>
                <w:szCs w:val="18"/>
              </w:rPr>
            </w:pPr>
            <w:r>
              <w:rPr>
                <w:sz w:val="18"/>
                <w:szCs w:val="18"/>
              </w:rPr>
              <w:t>0</w:t>
            </w:r>
          </w:p>
        </w:tc>
        <w:tc>
          <w:tcPr>
            <w:tcW w:w="0" w:type="auto"/>
          </w:tcPr>
          <w:p w14:paraId="1B2CBBC4" w14:textId="219C2423" w:rsidR="0034375A" w:rsidRPr="0034375A" w:rsidRDefault="009378BC" w:rsidP="0034375A">
            <w:pPr>
              <w:jc w:val="center"/>
              <w:rPr>
                <w:sz w:val="18"/>
                <w:szCs w:val="18"/>
              </w:rPr>
            </w:pPr>
            <w:r>
              <w:rPr>
                <w:sz w:val="18"/>
                <w:szCs w:val="18"/>
              </w:rPr>
              <w:t>0</w:t>
            </w:r>
          </w:p>
        </w:tc>
        <w:tc>
          <w:tcPr>
            <w:tcW w:w="0" w:type="auto"/>
          </w:tcPr>
          <w:p w14:paraId="407502AD" w14:textId="7E231A1E" w:rsidR="0034375A" w:rsidRPr="0034375A" w:rsidRDefault="009378BC" w:rsidP="0034375A">
            <w:pPr>
              <w:jc w:val="center"/>
              <w:rPr>
                <w:sz w:val="18"/>
                <w:szCs w:val="18"/>
              </w:rPr>
            </w:pPr>
            <w:r>
              <w:rPr>
                <w:sz w:val="18"/>
                <w:szCs w:val="18"/>
              </w:rPr>
              <w:t>0</w:t>
            </w:r>
          </w:p>
        </w:tc>
        <w:tc>
          <w:tcPr>
            <w:tcW w:w="0" w:type="auto"/>
          </w:tcPr>
          <w:p w14:paraId="49973001" w14:textId="7D60F87D" w:rsidR="0034375A" w:rsidRPr="0034375A" w:rsidRDefault="009378BC" w:rsidP="0034375A">
            <w:pPr>
              <w:jc w:val="center"/>
              <w:rPr>
                <w:sz w:val="18"/>
                <w:szCs w:val="18"/>
              </w:rPr>
            </w:pPr>
            <w:r>
              <w:rPr>
                <w:sz w:val="18"/>
                <w:szCs w:val="18"/>
              </w:rPr>
              <w:t>355</w:t>
            </w:r>
          </w:p>
        </w:tc>
        <w:tc>
          <w:tcPr>
            <w:tcW w:w="0" w:type="auto"/>
          </w:tcPr>
          <w:p w14:paraId="4819852F" w14:textId="3CE4318E" w:rsidR="0034375A" w:rsidRPr="0034375A" w:rsidRDefault="009378BC" w:rsidP="0034375A">
            <w:pPr>
              <w:jc w:val="center"/>
              <w:rPr>
                <w:sz w:val="18"/>
                <w:szCs w:val="18"/>
              </w:rPr>
            </w:pPr>
            <w:r>
              <w:rPr>
                <w:sz w:val="18"/>
                <w:szCs w:val="18"/>
              </w:rPr>
              <w:t>24</w:t>
            </w:r>
          </w:p>
        </w:tc>
        <w:tc>
          <w:tcPr>
            <w:tcW w:w="0" w:type="auto"/>
          </w:tcPr>
          <w:p w14:paraId="4CF870D0" w14:textId="392717AB" w:rsidR="0034375A" w:rsidRPr="0034375A" w:rsidRDefault="009378BC" w:rsidP="0034375A">
            <w:pPr>
              <w:jc w:val="center"/>
              <w:rPr>
                <w:sz w:val="18"/>
                <w:szCs w:val="18"/>
              </w:rPr>
            </w:pPr>
            <w:r>
              <w:rPr>
                <w:sz w:val="18"/>
                <w:szCs w:val="18"/>
              </w:rPr>
              <w:t>401</w:t>
            </w:r>
          </w:p>
        </w:tc>
        <w:tc>
          <w:tcPr>
            <w:tcW w:w="0" w:type="auto"/>
          </w:tcPr>
          <w:p w14:paraId="362F10C8" w14:textId="0FBA167A" w:rsidR="0034375A" w:rsidRPr="0034375A" w:rsidRDefault="009378BC" w:rsidP="0034375A">
            <w:pPr>
              <w:jc w:val="center"/>
              <w:rPr>
                <w:sz w:val="18"/>
                <w:szCs w:val="18"/>
              </w:rPr>
            </w:pPr>
            <w:r>
              <w:rPr>
                <w:sz w:val="18"/>
                <w:szCs w:val="18"/>
              </w:rPr>
              <w:t>13</w:t>
            </w:r>
          </w:p>
        </w:tc>
        <w:tc>
          <w:tcPr>
            <w:tcW w:w="0" w:type="auto"/>
          </w:tcPr>
          <w:p w14:paraId="1617285B" w14:textId="377DA294" w:rsidR="0034375A" w:rsidRPr="0034375A" w:rsidRDefault="009378BC" w:rsidP="0034375A">
            <w:pPr>
              <w:jc w:val="center"/>
              <w:rPr>
                <w:sz w:val="18"/>
                <w:szCs w:val="18"/>
              </w:rPr>
            </w:pPr>
            <w:r>
              <w:rPr>
                <w:sz w:val="18"/>
                <w:szCs w:val="18"/>
              </w:rPr>
              <w:t>363</w:t>
            </w:r>
          </w:p>
        </w:tc>
        <w:tc>
          <w:tcPr>
            <w:tcW w:w="0" w:type="auto"/>
          </w:tcPr>
          <w:p w14:paraId="1173DB17" w14:textId="5B1FDDBA" w:rsidR="0034375A" w:rsidRPr="0034375A" w:rsidRDefault="009378BC" w:rsidP="0034375A">
            <w:pPr>
              <w:jc w:val="center"/>
              <w:rPr>
                <w:sz w:val="18"/>
                <w:szCs w:val="18"/>
              </w:rPr>
            </w:pPr>
            <w:r>
              <w:rPr>
                <w:sz w:val="18"/>
                <w:szCs w:val="18"/>
              </w:rPr>
              <w:t>24</w:t>
            </w:r>
          </w:p>
        </w:tc>
        <w:tc>
          <w:tcPr>
            <w:tcW w:w="0" w:type="auto"/>
          </w:tcPr>
          <w:p w14:paraId="49F1B274" w14:textId="27CD0C6C" w:rsidR="0034375A" w:rsidRPr="0034375A" w:rsidRDefault="009378BC" w:rsidP="0034375A">
            <w:pPr>
              <w:jc w:val="center"/>
              <w:rPr>
                <w:sz w:val="18"/>
                <w:szCs w:val="18"/>
              </w:rPr>
            </w:pPr>
            <w:r>
              <w:rPr>
                <w:sz w:val="18"/>
                <w:szCs w:val="18"/>
              </w:rPr>
              <w:t>374</w:t>
            </w:r>
          </w:p>
        </w:tc>
        <w:tc>
          <w:tcPr>
            <w:tcW w:w="0" w:type="auto"/>
          </w:tcPr>
          <w:p w14:paraId="26E1F2FD" w14:textId="54969795" w:rsidR="0034375A" w:rsidRPr="0034375A" w:rsidRDefault="009378BC" w:rsidP="0034375A">
            <w:pPr>
              <w:jc w:val="center"/>
              <w:rPr>
                <w:sz w:val="18"/>
                <w:szCs w:val="18"/>
              </w:rPr>
            </w:pPr>
            <w:r>
              <w:rPr>
                <w:sz w:val="18"/>
                <w:szCs w:val="18"/>
              </w:rPr>
              <w:t>15</w:t>
            </w:r>
          </w:p>
        </w:tc>
        <w:tc>
          <w:tcPr>
            <w:tcW w:w="0" w:type="auto"/>
          </w:tcPr>
          <w:p w14:paraId="24A8C564" w14:textId="2638CD7E" w:rsidR="0034375A" w:rsidRPr="0034375A" w:rsidRDefault="008926C0" w:rsidP="0034375A">
            <w:pPr>
              <w:jc w:val="center"/>
              <w:rPr>
                <w:sz w:val="18"/>
                <w:szCs w:val="18"/>
              </w:rPr>
            </w:pPr>
            <w:r>
              <w:rPr>
                <w:sz w:val="18"/>
                <w:szCs w:val="18"/>
              </w:rPr>
              <w:t>256</w:t>
            </w:r>
          </w:p>
        </w:tc>
        <w:tc>
          <w:tcPr>
            <w:tcW w:w="0" w:type="auto"/>
          </w:tcPr>
          <w:p w14:paraId="79A96477" w14:textId="100BE076" w:rsidR="0034375A" w:rsidRPr="0034375A" w:rsidRDefault="008926C0" w:rsidP="0034375A">
            <w:pPr>
              <w:jc w:val="center"/>
              <w:rPr>
                <w:sz w:val="18"/>
                <w:szCs w:val="18"/>
              </w:rPr>
            </w:pPr>
            <w:r>
              <w:rPr>
                <w:sz w:val="18"/>
                <w:szCs w:val="18"/>
              </w:rPr>
              <w:t>19</w:t>
            </w:r>
          </w:p>
        </w:tc>
        <w:tc>
          <w:tcPr>
            <w:tcW w:w="0" w:type="auto"/>
          </w:tcPr>
          <w:p w14:paraId="59CBD327" w14:textId="21087211" w:rsidR="0034375A" w:rsidRPr="0034375A" w:rsidRDefault="008926C0" w:rsidP="0034375A">
            <w:pPr>
              <w:jc w:val="center"/>
              <w:rPr>
                <w:sz w:val="18"/>
                <w:szCs w:val="18"/>
              </w:rPr>
            </w:pPr>
            <w:r>
              <w:rPr>
                <w:sz w:val="18"/>
                <w:szCs w:val="18"/>
              </w:rPr>
              <w:t>222</w:t>
            </w:r>
          </w:p>
        </w:tc>
        <w:tc>
          <w:tcPr>
            <w:tcW w:w="0" w:type="auto"/>
          </w:tcPr>
          <w:p w14:paraId="187F4666" w14:textId="6E22AE56" w:rsidR="0034375A" w:rsidRPr="0034375A" w:rsidRDefault="008926C0" w:rsidP="0034375A">
            <w:pPr>
              <w:jc w:val="center"/>
              <w:rPr>
                <w:sz w:val="18"/>
                <w:szCs w:val="18"/>
              </w:rPr>
            </w:pPr>
            <w:r>
              <w:rPr>
                <w:sz w:val="18"/>
                <w:szCs w:val="18"/>
              </w:rPr>
              <w:t>11</w:t>
            </w:r>
          </w:p>
        </w:tc>
        <w:tc>
          <w:tcPr>
            <w:tcW w:w="0" w:type="auto"/>
          </w:tcPr>
          <w:p w14:paraId="728032F2" w14:textId="2E305B76" w:rsidR="0034375A" w:rsidRPr="0034375A" w:rsidRDefault="008926C0" w:rsidP="0034375A">
            <w:pPr>
              <w:jc w:val="center"/>
              <w:rPr>
                <w:sz w:val="18"/>
                <w:szCs w:val="18"/>
              </w:rPr>
            </w:pPr>
            <w:r>
              <w:rPr>
                <w:sz w:val="18"/>
                <w:szCs w:val="18"/>
              </w:rPr>
              <w:t>25</w:t>
            </w:r>
          </w:p>
        </w:tc>
        <w:tc>
          <w:tcPr>
            <w:tcW w:w="0" w:type="auto"/>
          </w:tcPr>
          <w:p w14:paraId="3B2F68B9" w14:textId="103177B7" w:rsidR="0034375A" w:rsidRPr="0034375A" w:rsidRDefault="008926C0" w:rsidP="0034375A">
            <w:pPr>
              <w:jc w:val="center"/>
              <w:rPr>
                <w:sz w:val="18"/>
                <w:szCs w:val="18"/>
              </w:rPr>
            </w:pPr>
            <w:r>
              <w:rPr>
                <w:sz w:val="18"/>
                <w:szCs w:val="18"/>
              </w:rPr>
              <w:t>2</w:t>
            </w:r>
          </w:p>
        </w:tc>
        <w:tc>
          <w:tcPr>
            <w:tcW w:w="0" w:type="auto"/>
          </w:tcPr>
          <w:p w14:paraId="68A0DA2A" w14:textId="735DABAC" w:rsidR="0034375A" w:rsidRPr="0034375A" w:rsidRDefault="008926C0" w:rsidP="0034375A">
            <w:pPr>
              <w:jc w:val="center"/>
              <w:rPr>
                <w:sz w:val="18"/>
                <w:szCs w:val="18"/>
              </w:rPr>
            </w:pPr>
            <w:r>
              <w:rPr>
                <w:sz w:val="18"/>
                <w:szCs w:val="18"/>
              </w:rPr>
              <w:t>32</w:t>
            </w:r>
          </w:p>
        </w:tc>
        <w:tc>
          <w:tcPr>
            <w:tcW w:w="0" w:type="auto"/>
          </w:tcPr>
          <w:p w14:paraId="26A292EE" w14:textId="6B8FD38D" w:rsidR="0034375A" w:rsidRPr="0034375A" w:rsidRDefault="008926C0" w:rsidP="0034375A">
            <w:pPr>
              <w:jc w:val="center"/>
              <w:rPr>
                <w:sz w:val="18"/>
                <w:szCs w:val="18"/>
              </w:rPr>
            </w:pPr>
            <w:r>
              <w:rPr>
                <w:sz w:val="18"/>
                <w:szCs w:val="18"/>
              </w:rPr>
              <w:t>0</w:t>
            </w:r>
          </w:p>
        </w:tc>
        <w:tc>
          <w:tcPr>
            <w:tcW w:w="0" w:type="auto"/>
          </w:tcPr>
          <w:p w14:paraId="24D14FF5" w14:textId="07B3C1FC" w:rsidR="0034375A" w:rsidRPr="0034375A" w:rsidRDefault="008926C0" w:rsidP="0034375A">
            <w:pPr>
              <w:jc w:val="center"/>
              <w:rPr>
                <w:sz w:val="18"/>
                <w:szCs w:val="18"/>
              </w:rPr>
            </w:pPr>
            <w:r>
              <w:rPr>
                <w:sz w:val="18"/>
                <w:szCs w:val="18"/>
              </w:rPr>
              <w:t>0</w:t>
            </w:r>
          </w:p>
        </w:tc>
        <w:tc>
          <w:tcPr>
            <w:tcW w:w="0" w:type="auto"/>
          </w:tcPr>
          <w:p w14:paraId="0CF5402D" w14:textId="16259A78" w:rsidR="0034375A" w:rsidRPr="0034375A" w:rsidRDefault="008926C0" w:rsidP="0034375A">
            <w:pPr>
              <w:jc w:val="center"/>
              <w:rPr>
                <w:sz w:val="18"/>
                <w:szCs w:val="18"/>
              </w:rPr>
            </w:pPr>
            <w:r>
              <w:rPr>
                <w:sz w:val="18"/>
                <w:szCs w:val="18"/>
              </w:rPr>
              <w:t>0</w:t>
            </w:r>
          </w:p>
        </w:tc>
        <w:tc>
          <w:tcPr>
            <w:tcW w:w="0" w:type="auto"/>
          </w:tcPr>
          <w:p w14:paraId="7954F949" w14:textId="3BA3B0BB" w:rsidR="0034375A" w:rsidRPr="0034375A" w:rsidRDefault="008926C0" w:rsidP="0034375A">
            <w:pPr>
              <w:jc w:val="center"/>
              <w:rPr>
                <w:sz w:val="18"/>
                <w:szCs w:val="18"/>
              </w:rPr>
            </w:pPr>
            <w:r>
              <w:rPr>
                <w:sz w:val="18"/>
                <w:szCs w:val="18"/>
              </w:rPr>
              <w:t>0</w:t>
            </w:r>
          </w:p>
        </w:tc>
        <w:tc>
          <w:tcPr>
            <w:tcW w:w="0" w:type="auto"/>
          </w:tcPr>
          <w:p w14:paraId="62CF8A46" w14:textId="11BFC62F" w:rsidR="0034375A" w:rsidRPr="0034375A" w:rsidRDefault="008926C0" w:rsidP="0034375A">
            <w:pPr>
              <w:jc w:val="center"/>
              <w:rPr>
                <w:sz w:val="18"/>
                <w:szCs w:val="18"/>
              </w:rPr>
            </w:pPr>
            <w:r>
              <w:rPr>
                <w:sz w:val="18"/>
                <w:szCs w:val="18"/>
              </w:rPr>
              <w:t>0</w:t>
            </w:r>
          </w:p>
        </w:tc>
      </w:tr>
      <w:tr w:rsidR="0034375A" w:rsidRPr="0034375A" w14:paraId="1DE8273D" w14:textId="07D1C674" w:rsidTr="0034375A">
        <w:tc>
          <w:tcPr>
            <w:tcW w:w="0" w:type="auto"/>
          </w:tcPr>
          <w:p w14:paraId="76E9F870" w14:textId="3462267B" w:rsidR="0034375A" w:rsidRPr="0034375A" w:rsidRDefault="0034375A" w:rsidP="0034375A">
            <w:pPr>
              <w:rPr>
                <w:sz w:val="18"/>
                <w:szCs w:val="18"/>
              </w:rPr>
            </w:pPr>
            <w:r w:rsidRPr="0034375A">
              <w:rPr>
                <w:sz w:val="18"/>
                <w:szCs w:val="18"/>
              </w:rPr>
              <w:t>Pelzer (2015)</w:t>
            </w:r>
            <w:r w:rsidR="00A75209" w:rsidRPr="0034375A">
              <w:rPr>
                <w:sz w:val="18"/>
                <w:szCs w:val="18"/>
              </w:rPr>
              <w:t xml:space="preserve"> </w:t>
            </w:r>
          </w:p>
        </w:tc>
        <w:tc>
          <w:tcPr>
            <w:tcW w:w="0" w:type="auto"/>
          </w:tcPr>
          <w:p w14:paraId="08ECD009" w14:textId="0522C129" w:rsidR="0034375A" w:rsidRPr="0034375A" w:rsidRDefault="008926C0" w:rsidP="0034375A">
            <w:pPr>
              <w:jc w:val="center"/>
              <w:rPr>
                <w:sz w:val="18"/>
                <w:szCs w:val="18"/>
              </w:rPr>
            </w:pPr>
            <w:r>
              <w:rPr>
                <w:sz w:val="18"/>
                <w:szCs w:val="18"/>
              </w:rPr>
              <w:t>0</w:t>
            </w:r>
          </w:p>
        </w:tc>
        <w:tc>
          <w:tcPr>
            <w:tcW w:w="0" w:type="auto"/>
          </w:tcPr>
          <w:p w14:paraId="7FF599BF" w14:textId="2158EB55" w:rsidR="0034375A" w:rsidRPr="0034375A" w:rsidRDefault="008926C0" w:rsidP="0034375A">
            <w:pPr>
              <w:jc w:val="center"/>
              <w:rPr>
                <w:sz w:val="18"/>
                <w:szCs w:val="18"/>
              </w:rPr>
            </w:pPr>
            <w:r>
              <w:rPr>
                <w:sz w:val="18"/>
                <w:szCs w:val="18"/>
              </w:rPr>
              <w:t>0</w:t>
            </w:r>
          </w:p>
        </w:tc>
        <w:tc>
          <w:tcPr>
            <w:tcW w:w="0" w:type="auto"/>
          </w:tcPr>
          <w:p w14:paraId="178B2BC4" w14:textId="6B48E083" w:rsidR="0034375A" w:rsidRPr="0034375A" w:rsidRDefault="008926C0" w:rsidP="0034375A">
            <w:pPr>
              <w:jc w:val="center"/>
              <w:rPr>
                <w:sz w:val="18"/>
                <w:szCs w:val="18"/>
              </w:rPr>
            </w:pPr>
            <w:r>
              <w:rPr>
                <w:sz w:val="18"/>
                <w:szCs w:val="18"/>
              </w:rPr>
              <w:t>0</w:t>
            </w:r>
          </w:p>
        </w:tc>
        <w:tc>
          <w:tcPr>
            <w:tcW w:w="0" w:type="auto"/>
          </w:tcPr>
          <w:p w14:paraId="2AB29F77" w14:textId="65D9EA1D" w:rsidR="0034375A" w:rsidRPr="0034375A" w:rsidRDefault="008926C0" w:rsidP="0034375A">
            <w:pPr>
              <w:jc w:val="center"/>
              <w:rPr>
                <w:sz w:val="18"/>
                <w:szCs w:val="18"/>
              </w:rPr>
            </w:pPr>
            <w:r>
              <w:rPr>
                <w:sz w:val="18"/>
                <w:szCs w:val="18"/>
              </w:rPr>
              <w:t>0</w:t>
            </w:r>
          </w:p>
        </w:tc>
        <w:tc>
          <w:tcPr>
            <w:tcW w:w="0" w:type="auto"/>
          </w:tcPr>
          <w:p w14:paraId="0C18223C" w14:textId="73F7435B" w:rsidR="0034375A" w:rsidRPr="0034375A" w:rsidRDefault="008926C0" w:rsidP="0034375A">
            <w:pPr>
              <w:jc w:val="center"/>
              <w:rPr>
                <w:sz w:val="18"/>
                <w:szCs w:val="18"/>
              </w:rPr>
            </w:pPr>
            <w:r>
              <w:rPr>
                <w:sz w:val="18"/>
                <w:szCs w:val="18"/>
              </w:rPr>
              <w:t>0</w:t>
            </w:r>
          </w:p>
        </w:tc>
        <w:tc>
          <w:tcPr>
            <w:tcW w:w="0" w:type="auto"/>
          </w:tcPr>
          <w:p w14:paraId="14E6165D" w14:textId="6FDFFEAE" w:rsidR="0034375A" w:rsidRPr="0034375A" w:rsidRDefault="008926C0" w:rsidP="0034375A">
            <w:pPr>
              <w:jc w:val="center"/>
              <w:rPr>
                <w:sz w:val="18"/>
                <w:szCs w:val="18"/>
              </w:rPr>
            </w:pPr>
            <w:r>
              <w:rPr>
                <w:sz w:val="18"/>
                <w:szCs w:val="18"/>
              </w:rPr>
              <w:t>0</w:t>
            </w:r>
          </w:p>
        </w:tc>
        <w:tc>
          <w:tcPr>
            <w:tcW w:w="0" w:type="auto"/>
          </w:tcPr>
          <w:p w14:paraId="766808AD" w14:textId="7F3A4687" w:rsidR="0034375A" w:rsidRPr="0034375A" w:rsidRDefault="008926C0" w:rsidP="0034375A">
            <w:pPr>
              <w:jc w:val="center"/>
              <w:rPr>
                <w:sz w:val="18"/>
                <w:szCs w:val="18"/>
              </w:rPr>
            </w:pPr>
            <w:r>
              <w:rPr>
                <w:sz w:val="18"/>
                <w:szCs w:val="18"/>
              </w:rPr>
              <w:t>0</w:t>
            </w:r>
          </w:p>
        </w:tc>
        <w:tc>
          <w:tcPr>
            <w:tcW w:w="0" w:type="auto"/>
          </w:tcPr>
          <w:p w14:paraId="2D28B44E" w14:textId="79B0A9D7" w:rsidR="0034375A" w:rsidRPr="0034375A" w:rsidRDefault="008926C0" w:rsidP="0034375A">
            <w:pPr>
              <w:jc w:val="center"/>
              <w:rPr>
                <w:sz w:val="18"/>
                <w:szCs w:val="18"/>
              </w:rPr>
            </w:pPr>
            <w:r>
              <w:rPr>
                <w:sz w:val="18"/>
                <w:szCs w:val="18"/>
              </w:rPr>
              <w:t>0</w:t>
            </w:r>
          </w:p>
        </w:tc>
        <w:tc>
          <w:tcPr>
            <w:tcW w:w="0" w:type="auto"/>
          </w:tcPr>
          <w:p w14:paraId="59F4BAF6" w14:textId="41B42169" w:rsidR="0034375A" w:rsidRPr="0034375A" w:rsidRDefault="008926C0" w:rsidP="0034375A">
            <w:pPr>
              <w:jc w:val="center"/>
              <w:rPr>
                <w:sz w:val="18"/>
                <w:szCs w:val="18"/>
              </w:rPr>
            </w:pPr>
            <w:r>
              <w:rPr>
                <w:sz w:val="18"/>
                <w:szCs w:val="18"/>
              </w:rPr>
              <w:t>51</w:t>
            </w:r>
          </w:p>
        </w:tc>
        <w:tc>
          <w:tcPr>
            <w:tcW w:w="0" w:type="auto"/>
          </w:tcPr>
          <w:p w14:paraId="1CB54CA8" w14:textId="36728D37" w:rsidR="0034375A" w:rsidRPr="0034375A" w:rsidRDefault="008926C0" w:rsidP="0034375A">
            <w:pPr>
              <w:jc w:val="center"/>
              <w:rPr>
                <w:sz w:val="18"/>
                <w:szCs w:val="18"/>
              </w:rPr>
            </w:pPr>
            <w:r>
              <w:rPr>
                <w:sz w:val="18"/>
                <w:szCs w:val="18"/>
              </w:rPr>
              <w:t>4</w:t>
            </w:r>
          </w:p>
        </w:tc>
        <w:tc>
          <w:tcPr>
            <w:tcW w:w="0" w:type="auto"/>
          </w:tcPr>
          <w:p w14:paraId="3F15BD35" w14:textId="17242728" w:rsidR="0034375A" w:rsidRPr="0034375A" w:rsidRDefault="008926C0" w:rsidP="0034375A">
            <w:pPr>
              <w:jc w:val="center"/>
              <w:rPr>
                <w:sz w:val="18"/>
                <w:szCs w:val="18"/>
              </w:rPr>
            </w:pPr>
            <w:r>
              <w:rPr>
                <w:sz w:val="18"/>
                <w:szCs w:val="18"/>
              </w:rPr>
              <w:t>47</w:t>
            </w:r>
          </w:p>
        </w:tc>
        <w:tc>
          <w:tcPr>
            <w:tcW w:w="0" w:type="auto"/>
          </w:tcPr>
          <w:p w14:paraId="1B18FE4A" w14:textId="60FEDAE8" w:rsidR="0034375A" w:rsidRPr="0034375A" w:rsidRDefault="008926C0" w:rsidP="0034375A">
            <w:pPr>
              <w:jc w:val="center"/>
              <w:rPr>
                <w:sz w:val="18"/>
                <w:szCs w:val="18"/>
              </w:rPr>
            </w:pPr>
            <w:r>
              <w:rPr>
                <w:sz w:val="18"/>
                <w:szCs w:val="18"/>
              </w:rPr>
              <w:t>2</w:t>
            </w:r>
          </w:p>
        </w:tc>
        <w:tc>
          <w:tcPr>
            <w:tcW w:w="0" w:type="auto"/>
          </w:tcPr>
          <w:p w14:paraId="724A81F9" w14:textId="57EBF55F" w:rsidR="0034375A" w:rsidRPr="0034375A" w:rsidRDefault="00CC6390" w:rsidP="0034375A">
            <w:pPr>
              <w:jc w:val="center"/>
              <w:rPr>
                <w:sz w:val="18"/>
                <w:szCs w:val="18"/>
              </w:rPr>
            </w:pPr>
            <w:r>
              <w:rPr>
                <w:sz w:val="18"/>
                <w:szCs w:val="18"/>
              </w:rPr>
              <w:t>55</w:t>
            </w:r>
          </w:p>
        </w:tc>
        <w:tc>
          <w:tcPr>
            <w:tcW w:w="0" w:type="auto"/>
          </w:tcPr>
          <w:p w14:paraId="2F692F75" w14:textId="01F796C0" w:rsidR="0034375A" w:rsidRPr="0034375A" w:rsidRDefault="00CC6390" w:rsidP="0034375A">
            <w:pPr>
              <w:jc w:val="center"/>
              <w:rPr>
                <w:sz w:val="18"/>
                <w:szCs w:val="18"/>
              </w:rPr>
            </w:pPr>
            <w:r>
              <w:rPr>
                <w:sz w:val="18"/>
                <w:szCs w:val="18"/>
              </w:rPr>
              <w:t>13</w:t>
            </w:r>
          </w:p>
        </w:tc>
        <w:tc>
          <w:tcPr>
            <w:tcW w:w="0" w:type="auto"/>
          </w:tcPr>
          <w:p w14:paraId="3B341B1C" w14:textId="5D7C1D8F" w:rsidR="0034375A" w:rsidRPr="0034375A" w:rsidRDefault="00CC6390" w:rsidP="0034375A">
            <w:pPr>
              <w:jc w:val="center"/>
              <w:rPr>
                <w:sz w:val="18"/>
                <w:szCs w:val="18"/>
              </w:rPr>
            </w:pPr>
            <w:r>
              <w:rPr>
                <w:sz w:val="18"/>
                <w:szCs w:val="18"/>
              </w:rPr>
              <w:t>72</w:t>
            </w:r>
          </w:p>
        </w:tc>
        <w:tc>
          <w:tcPr>
            <w:tcW w:w="0" w:type="auto"/>
          </w:tcPr>
          <w:p w14:paraId="70A06B0E" w14:textId="7D86D14F" w:rsidR="0034375A" w:rsidRPr="0034375A" w:rsidRDefault="00CC6390" w:rsidP="0034375A">
            <w:pPr>
              <w:jc w:val="center"/>
              <w:rPr>
                <w:sz w:val="18"/>
                <w:szCs w:val="18"/>
              </w:rPr>
            </w:pPr>
            <w:r>
              <w:rPr>
                <w:sz w:val="18"/>
                <w:szCs w:val="18"/>
              </w:rPr>
              <w:t>2</w:t>
            </w:r>
          </w:p>
        </w:tc>
        <w:tc>
          <w:tcPr>
            <w:tcW w:w="0" w:type="auto"/>
          </w:tcPr>
          <w:p w14:paraId="714E7B09" w14:textId="297682C9" w:rsidR="0034375A" w:rsidRPr="0034375A" w:rsidRDefault="00CC6390" w:rsidP="0034375A">
            <w:pPr>
              <w:jc w:val="center"/>
              <w:rPr>
                <w:sz w:val="18"/>
                <w:szCs w:val="18"/>
              </w:rPr>
            </w:pPr>
            <w:r>
              <w:rPr>
                <w:sz w:val="18"/>
                <w:szCs w:val="18"/>
              </w:rPr>
              <w:t>14</w:t>
            </w:r>
          </w:p>
        </w:tc>
        <w:tc>
          <w:tcPr>
            <w:tcW w:w="0" w:type="auto"/>
          </w:tcPr>
          <w:p w14:paraId="6AD2F8CF" w14:textId="428430D6" w:rsidR="0034375A" w:rsidRPr="0034375A" w:rsidRDefault="00CC6390" w:rsidP="0034375A">
            <w:pPr>
              <w:jc w:val="center"/>
              <w:rPr>
                <w:sz w:val="18"/>
                <w:szCs w:val="18"/>
              </w:rPr>
            </w:pPr>
            <w:r>
              <w:rPr>
                <w:sz w:val="18"/>
                <w:szCs w:val="18"/>
              </w:rPr>
              <w:t>4</w:t>
            </w:r>
          </w:p>
        </w:tc>
        <w:tc>
          <w:tcPr>
            <w:tcW w:w="0" w:type="auto"/>
          </w:tcPr>
          <w:p w14:paraId="533C8BB2" w14:textId="45E3BC8F" w:rsidR="0034375A" w:rsidRPr="0034375A" w:rsidRDefault="00CC6390" w:rsidP="0034375A">
            <w:pPr>
              <w:jc w:val="center"/>
              <w:rPr>
                <w:sz w:val="18"/>
                <w:szCs w:val="18"/>
              </w:rPr>
            </w:pPr>
            <w:r>
              <w:rPr>
                <w:sz w:val="18"/>
                <w:szCs w:val="18"/>
              </w:rPr>
              <w:t>25</w:t>
            </w:r>
          </w:p>
        </w:tc>
        <w:tc>
          <w:tcPr>
            <w:tcW w:w="0" w:type="auto"/>
          </w:tcPr>
          <w:p w14:paraId="2FFDBDA1" w14:textId="4CC5A46C" w:rsidR="0034375A" w:rsidRPr="0034375A" w:rsidRDefault="00CC6390" w:rsidP="0034375A">
            <w:pPr>
              <w:jc w:val="center"/>
              <w:rPr>
                <w:sz w:val="18"/>
                <w:szCs w:val="18"/>
              </w:rPr>
            </w:pPr>
            <w:r>
              <w:rPr>
                <w:sz w:val="18"/>
                <w:szCs w:val="18"/>
              </w:rPr>
              <w:t>0</w:t>
            </w:r>
          </w:p>
        </w:tc>
        <w:tc>
          <w:tcPr>
            <w:tcW w:w="0" w:type="auto"/>
          </w:tcPr>
          <w:p w14:paraId="3AA016CF" w14:textId="5541A158" w:rsidR="0034375A" w:rsidRPr="0034375A" w:rsidRDefault="00CC6390" w:rsidP="0034375A">
            <w:pPr>
              <w:jc w:val="center"/>
              <w:rPr>
                <w:sz w:val="18"/>
                <w:szCs w:val="18"/>
              </w:rPr>
            </w:pPr>
            <w:r>
              <w:rPr>
                <w:sz w:val="18"/>
                <w:szCs w:val="18"/>
              </w:rPr>
              <w:t>3</w:t>
            </w:r>
          </w:p>
        </w:tc>
        <w:tc>
          <w:tcPr>
            <w:tcW w:w="0" w:type="auto"/>
          </w:tcPr>
          <w:p w14:paraId="2A97D58C" w14:textId="51D78C34" w:rsidR="0034375A" w:rsidRPr="0034375A" w:rsidRDefault="00CC6390" w:rsidP="0034375A">
            <w:pPr>
              <w:jc w:val="center"/>
              <w:rPr>
                <w:sz w:val="18"/>
                <w:szCs w:val="18"/>
              </w:rPr>
            </w:pPr>
            <w:r>
              <w:rPr>
                <w:sz w:val="18"/>
                <w:szCs w:val="18"/>
              </w:rPr>
              <w:t>0</w:t>
            </w:r>
          </w:p>
        </w:tc>
        <w:tc>
          <w:tcPr>
            <w:tcW w:w="0" w:type="auto"/>
          </w:tcPr>
          <w:p w14:paraId="2F9ED2DA" w14:textId="552A7B8F" w:rsidR="0034375A" w:rsidRPr="0034375A" w:rsidRDefault="00CC6390" w:rsidP="0034375A">
            <w:pPr>
              <w:jc w:val="center"/>
              <w:rPr>
                <w:sz w:val="18"/>
                <w:szCs w:val="18"/>
              </w:rPr>
            </w:pPr>
            <w:r>
              <w:rPr>
                <w:sz w:val="18"/>
                <w:szCs w:val="18"/>
              </w:rPr>
              <w:t>5</w:t>
            </w:r>
          </w:p>
        </w:tc>
        <w:tc>
          <w:tcPr>
            <w:tcW w:w="0" w:type="auto"/>
          </w:tcPr>
          <w:p w14:paraId="15B6FF93" w14:textId="59D30087" w:rsidR="0034375A" w:rsidRPr="0034375A" w:rsidRDefault="00CC6390" w:rsidP="0034375A">
            <w:pPr>
              <w:jc w:val="center"/>
              <w:rPr>
                <w:sz w:val="18"/>
                <w:szCs w:val="18"/>
              </w:rPr>
            </w:pPr>
            <w:r>
              <w:rPr>
                <w:sz w:val="18"/>
                <w:szCs w:val="18"/>
              </w:rPr>
              <w:t>1</w:t>
            </w:r>
          </w:p>
        </w:tc>
      </w:tr>
      <w:tr w:rsidR="00CC6390" w:rsidRPr="0034375A" w14:paraId="04B8DAB0" w14:textId="6EB4D2BC" w:rsidTr="0034375A">
        <w:tc>
          <w:tcPr>
            <w:tcW w:w="0" w:type="auto"/>
          </w:tcPr>
          <w:p w14:paraId="2DFF0BB7" w14:textId="0A5A6F38" w:rsidR="00CC6390" w:rsidRPr="0034375A" w:rsidRDefault="00CC6390" w:rsidP="00CC6390">
            <w:pPr>
              <w:rPr>
                <w:sz w:val="18"/>
                <w:szCs w:val="18"/>
              </w:rPr>
            </w:pPr>
            <w:r w:rsidRPr="0034375A">
              <w:rPr>
                <w:sz w:val="18"/>
                <w:szCs w:val="18"/>
              </w:rPr>
              <w:t>Perry (2010)</w:t>
            </w:r>
            <w:r w:rsidR="00A75209" w:rsidRPr="0034375A">
              <w:rPr>
                <w:sz w:val="18"/>
                <w:szCs w:val="18"/>
              </w:rPr>
              <w:t xml:space="preserve"> </w:t>
            </w:r>
          </w:p>
        </w:tc>
        <w:tc>
          <w:tcPr>
            <w:tcW w:w="0" w:type="auto"/>
          </w:tcPr>
          <w:p w14:paraId="2C712F4B" w14:textId="033D4401" w:rsidR="00CC6390" w:rsidRPr="0034375A" w:rsidRDefault="00CC6390" w:rsidP="00CC6390">
            <w:pPr>
              <w:jc w:val="center"/>
              <w:rPr>
                <w:sz w:val="18"/>
                <w:szCs w:val="18"/>
              </w:rPr>
            </w:pPr>
            <w:r>
              <w:rPr>
                <w:sz w:val="18"/>
                <w:szCs w:val="18"/>
              </w:rPr>
              <w:t>0</w:t>
            </w:r>
          </w:p>
        </w:tc>
        <w:tc>
          <w:tcPr>
            <w:tcW w:w="0" w:type="auto"/>
          </w:tcPr>
          <w:p w14:paraId="0D30127C" w14:textId="60667A82" w:rsidR="00CC6390" w:rsidRPr="0034375A" w:rsidRDefault="00CC6390" w:rsidP="00CC6390">
            <w:pPr>
              <w:jc w:val="center"/>
              <w:rPr>
                <w:sz w:val="18"/>
                <w:szCs w:val="18"/>
              </w:rPr>
            </w:pPr>
            <w:r>
              <w:rPr>
                <w:sz w:val="18"/>
                <w:szCs w:val="18"/>
              </w:rPr>
              <w:t>0</w:t>
            </w:r>
          </w:p>
        </w:tc>
        <w:tc>
          <w:tcPr>
            <w:tcW w:w="0" w:type="auto"/>
          </w:tcPr>
          <w:p w14:paraId="1D5F7ECE" w14:textId="5676A425" w:rsidR="00CC6390" w:rsidRPr="0034375A" w:rsidRDefault="00CC6390" w:rsidP="00CC6390">
            <w:pPr>
              <w:jc w:val="center"/>
              <w:rPr>
                <w:sz w:val="18"/>
                <w:szCs w:val="18"/>
              </w:rPr>
            </w:pPr>
            <w:r>
              <w:rPr>
                <w:sz w:val="18"/>
                <w:szCs w:val="18"/>
              </w:rPr>
              <w:t>0</w:t>
            </w:r>
          </w:p>
        </w:tc>
        <w:tc>
          <w:tcPr>
            <w:tcW w:w="0" w:type="auto"/>
          </w:tcPr>
          <w:p w14:paraId="48AAC29D" w14:textId="208404E6" w:rsidR="00CC6390" w:rsidRPr="0034375A" w:rsidRDefault="00CC6390" w:rsidP="00CC6390">
            <w:pPr>
              <w:jc w:val="center"/>
              <w:rPr>
                <w:sz w:val="18"/>
                <w:szCs w:val="18"/>
              </w:rPr>
            </w:pPr>
            <w:r>
              <w:rPr>
                <w:sz w:val="18"/>
                <w:szCs w:val="18"/>
              </w:rPr>
              <w:t>0</w:t>
            </w:r>
          </w:p>
        </w:tc>
        <w:tc>
          <w:tcPr>
            <w:tcW w:w="0" w:type="auto"/>
          </w:tcPr>
          <w:p w14:paraId="0841E868" w14:textId="03BC9CC9" w:rsidR="00CC6390" w:rsidRPr="0034375A" w:rsidRDefault="00CC6390" w:rsidP="00CC6390">
            <w:pPr>
              <w:jc w:val="center"/>
              <w:rPr>
                <w:sz w:val="18"/>
                <w:szCs w:val="18"/>
              </w:rPr>
            </w:pPr>
            <w:r>
              <w:rPr>
                <w:sz w:val="18"/>
                <w:szCs w:val="18"/>
              </w:rPr>
              <w:t>0</w:t>
            </w:r>
          </w:p>
        </w:tc>
        <w:tc>
          <w:tcPr>
            <w:tcW w:w="0" w:type="auto"/>
          </w:tcPr>
          <w:p w14:paraId="637D8A96" w14:textId="75D78B74" w:rsidR="00CC6390" w:rsidRPr="0034375A" w:rsidRDefault="00CC6390" w:rsidP="00CC6390">
            <w:pPr>
              <w:jc w:val="center"/>
              <w:rPr>
                <w:sz w:val="18"/>
                <w:szCs w:val="18"/>
              </w:rPr>
            </w:pPr>
            <w:r>
              <w:rPr>
                <w:sz w:val="18"/>
                <w:szCs w:val="18"/>
              </w:rPr>
              <w:t>0</w:t>
            </w:r>
          </w:p>
        </w:tc>
        <w:tc>
          <w:tcPr>
            <w:tcW w:w="0" w:type="auto"/>
          </w:tcPr>
          <w:p w14:paraId="21B65B83" w14:textId="690DE96F" w:rsidR="00CC6390" w:rsidRPr="0034375A" w:rsidRDefault="00CC6390" w:rsidP="00CC6390">
            <w:pPr>
              <w:jc w:val="center"/>
              <w:rPr>
                <w:sz w:val="18"/>
                <w:szCs w:val="18"/>
              </w:rPr>
            </w:pPr>
            <w:r>
              <w:rPr>
                <w:sz w:val="18"/>
                <w:szCs w:val="18"/>
              </w:rPr>
              <w:t>0</w:t>
            </w:r>
          </w:p>
        </w:tc>
        <w:tc>
          <w:tcPr>
            <w:tcW w:w="0" w:type="auto"/>
          </w:tcPr>
          <w:p w14:paraId="0F9E285D" w14:textId="55C130BF" w:rsidR="00CC6390" w:rsidRPr="0034375A" w:rsidRDefault="00CC6390" w:rsidP="00CC6390">
            <w:pPr>
              <w:jc w:val="center"/>
              <w:rPr>
                <w:sz w:val="18"/>
                <w:szCs w:val="18"/>
              </w:rPr>
            </w:pPr>
            <w:r>
              <w:rPr>
                <w:sz w:val="18"/>
                <w:szCs w:val="18"/>
              </w:rPr>
              <w:t>0</w:t>
            </w:r>
          </w:p>
        </w:tc>
        <w:tc>
          <w:tcPr>
            <w:tcW w:w="0" w:type="auto"/>
          </w:tcPr>
          <w:p w14:paraId="623A8E28" w14:textId="0496FD33" w:rsidR="00CC6390" w:rsidRPr="0034375A" w:rsidRDefault="00CC6390" w:rsidP="00CC6390">
            <w:pPr>
              <w:jc w:val="center"/>
              <w:rPr>
                <w:sz w:val="18"/>
                <w:szCs w:val="18"/>
              </w:rPr>
            </w:pPr>
            <w:r>
              <w:rPr>
                <w:sz w:val="18"/>
                <w:szCs w:val="18"/>
              </w:rPr>
              <w:t>39</w:t>
            </w:r>
          </w:p>
        </w:tc>
        <w:tc>
          <w:tcPr>
            <w:tcW w:w="0" w:type="auto"/>
          </w:tcPr>
          <w:p w14:paraId="7B6C836C" w14:textId="2F7C516A" w:rsidR="00CC6390" w:rsidRPr="0034375A" w:rsidRDefault="00CC6390" w:rsidP="00CC6390">
            <w:pPr>
              <w:jc w:val="center"/>
              <w:rPr>
                <w:sz w:val="18"/>
                <w:szCs w:val="18"/>
              </w:rPr>
            </w:pPr>
            <w:r>
              <w:rPr>
                <w:sz w:val="18"/>
                <w:szCs w:val="18"/>
              </w:rPr>
              <w:t>3</w:t>
            </w:r>
          </w:p>
        </w:tc>
        <w:tc>
          <w:tcPr>
            <w:tcW w:w="0" w:type="auto"/>
          </w:tcPr>
          <w:p w14:paraId="70F4E6F6" w14:textId="4F4C18B6" w:rsidR="00CC6390" w:rsidRPr="0034375A" w:rsidRDefault="00CC6390" w:rsidP="00CC6390">
            <w:pPr>
              <w:jc w:val="center"/>
              <w:rPr>
                <w:sz w:val="18"/>
                <w:szCs w:val="18"/>
              </w:rPr>
            </w:pPr>
            <w:r>
              <w:rPr>
                <w:sz w:val="18"/>
                <w:szCs w:val="18"/>
              </w:rPr>
              <w:t>39</w:t>
            </w:r>
          </w:p>
        </w:tc>
        <w:tc>
          <w:tcPr>
            <w:tcW w:w="0" w:type="auto"/>
          </w:tcPr>
          <w:p w14:paraId="57823313" w14:textId="355CE9B7" w:rsidR="00CC6390" w:rsidRPr="0034375A" w:rsidRDefault="00CC6390" w:rsidP="00CC6390">
            <w:pPr>
              <w:jc w:val="center"/>
              <w:rPr>
                <w:sz w:val="18"/>
                <w:szCs w:val="18"/>
              </w:rPr>
            </w:pPr>
            <w:r>
              <w:rPr>
                <w:sz w:val="18"/>
                <w:szCs w:val="18"/>
              </w:rPr>
              <w:t>6</w:t>
            </w:r>
          </w:p>
        </w:tc>
        <w:tc>
          <w:tcPr>
            <w:tcW w:w="0" w:type="auto"/>
          </w:tcPr>
          <w:p w14:paraId="0CFABFD9" w14:textId="5420E5EE" w:rsidR="00CC6390" w:rsidRPr="0034375A" w:rsidRDefault="00357AA7" w:rsidP="00CC6390">
            <w:pPr>
              <w:jc w:val="center"/>
              <w:rPr>
                <w:sz w:val="18"/>
                <w:szCs w:val="18"/>
              </w:rPr>
            </w:pPr>
            <w:r>
              <w:rPr>
                <w:sz w:val="18"/>
                <w:szCs w:val="18"/>
              </w:rPr>
              <w:t>26</w:t>
            </w:r>
          </w:p>
        </w:tc>
        <w:tc>
          <w:tcPr>
            <w:tcW w:w="0" w:type="auto"/>
          </w:tcPr>
          <w:p w14:paraId="0A9E93D2" w14:textId="0D21CDF4" w:rsidR="00CC6390" w:rsidRPr="0034375A" w:rsidRDefault="00357AA7" w:rsidP="00CC6390">
            <w:pPr>
              <w:jc w:val="center"/>
              <w:rPr>
                <w:sz w:val="18"/>
                <w:szCs w:val="18"/>
              </w:rPr>
            </w:pPr>
            <w:r>
              <w:rPr>
                <w:sz w:val="18"/>
                <w:szCs w:val="18"/>
              </w:rPr>
              <w:t>8</w:t>
            </w:r>
          </w:p>
        </w:tc>
        <w:tc>
          <w:tcPr>
            <w:tcW w:w="0" w:type="auto"/>
          </w:tcPr>
          <w:p w14:paraId="2A673703" w14:textId="0616D55D" w:rsidR="00CC6390" w:rsidRPr="0034375A" w:rsidRDefault="00357AA7" w:rsidP="00CC6390">
            <w:pPr>
              <w:jc w:val="center"/>
              <w:rPr>
                <w:sz w:val="18"/>
                <w:szCs w:val="18"/>
              </w:rPr>
            </w:pPr>
            <w:r>
              <w:rPr>
                <w:sz w:val="18"/>
                <w:szCs w:val="18"/>
              </w:rPr>
              <w:t>36</w:t>
            </w:r>
          </w:p>
        </w:tc>
        <w:tc>
          <w:tcPr>
            <w:tcW w:w="0" w:type="auto"/>
          </w:tcPr>
          <w:p w14:paraId="594D3027" w14:textId="350400D1" w:rsidR="00CC6390" w:rsidRPr="0034375A" w:rsidRDefault="00357AA7" w:rsidP="00CC6390">
            <w:pPr>
              <w:jc w:val="center"/>
              <w:rPr>
                <w:sz w:val="18"/>
                <w:szCs w:val="18"/>
              </w:rPr>
            </w:pPr>
            <w:r>
              <w:rPr>
                <w:sz w:val="18"/>
                <w:szCs w:val="18"/>
              </w:rPr>
              <w:t>3</w:t>
            </w:r>
          </w:p>
        </w:tc>
        <w:tc>
          <w:tcPr>
            <w:tcW w:w="0" w:type="auto"/>
          </w:tcPr>
          <w:p w14:paraId="0099844F" w14:textId="75A015F5" w:rsidR="00CC6390" w:rsidRPr="0034375A" w:rsidRDefault="00357AA7" w:rsidP="00CC6390">
            <w:pPr>
              <w:jc w:val="center"/>
              <w:rPr>
                <w:sz w:val="18"/>
                <w:szCs w:val="18"/>
              </w:rPr>
            </w:pPr>
            <w:r>
              <w:rPr>
                <w:sz w:val="18"/>
                <w:szCs w:val="18"/>
              </w:rPr>
              <w:t>7</w:t>
            </w:r>
          </w:p>
        </w:tc>
        <w:tc>
          <w:tcPr>
            <w:tcW w:w="0" w:type="auto"/>
          </w:tcPr>
          <w:p w14:paraId="1C7573D6" w14:textId="19775583" w:rsidR="00CC6390" w:rsidRPr="0034375A" w:rsidRDefault="00357AA7" w:rsidP="00CC6390">
            <w:pPr>
              <w:jc w:val="center"/>
              <w:rPr>
                <w:sz w:val="18"/>
                <w:szCs w:val="18"/>
              </w:rPr>
            </w:pPr>
            <w:r>
              <w:rPr>
                <w:sz w:val="18"/>
                <w:szCs w:val="18"/>
              </w:rPr>
              <w:t>0</w:t>
            </w:r>
          </w:p>
        </w:tc>
        <w:tc>
          <w:tcPr>
            <w:tcW w:w="0" w:type="auto"/>
          </w:tcPr>
          <w:p w14:paraId="05B6494D" w14:textId="12183FA9" w:rsidR="00CC6390" w:rsidRPr="0034375A" w:rsidRDefault="00357AA7" w:rsidP="00CC6390">
            <w:pPr>
              <w:jc w:val="center"/>
              <w:rPr>
                <w:sz w:val="18"/>
                <w:szCs w:val="18"/>
              </w:rPr>
            </w:pPr>
            <w:r>
              <w:rPr>
                <w:sz w:val="18"/>
                <w:szCs w:val="18"/>
              </w:rPr>
              <w:t>8</w:t>
            </w:r>
          </w:p>
        </w:tc>
        <w:tc>
          <w:tcPr>
            <w:tcW w:w="0" w:type="auto"/>
          </w:tcPr>
          <w:p w14:paraId="1772372D" w14:textId="474EEB4B" w:rsidR="00CC6390" w:rsidRPr="0034375A" w:rsidRDefault="00357AA7" w:rsidP="00CC6390">
            <w:pPr>
              <w:jc w:val="center"/>
              <w:rPr>
                <w:sz w:val="18"/>
                <w:szCs w:val="18"/>
              </w:rPr>
            </w:pPr>
            <w:r>
              <w:rPr>
                <w:sz w:val="18"/>
                <w:szCs w:val="18"/>
              </w:rPr>
              <w:t>0</w:t>
            </w:r>
          </w:p>
        </w:tc>
        <w:tc>
          <w:tcPr>
            <w:tcW w:w="0" w:type="auto"/>
          </w:tcPr>
          <w:p w14:paraId="60E9A7DE" w14:textId="39A57F3A" w:rsidR="00CC6390" w:rsidRPr="0034375A" w:rsidRDefault="00357AA7" w:rsidP="00CC6390">
            <w:pPr>
              <w:jc w:val="center"/>
              <w:rPr>
                <w:sz w:val="18"/>
                <w:szCs w:val="18"/>
              </w:rPr>
            </w:pPr>
            <w:r>
              <w:rPr>
                <w:sz w:val="18"/>
                <w:szCs w:val="18"/>
              </w:rPr>
              <w:t>0</w:t>
            </w:r>
          </w:p>
        </w:tc>
        <w:tc>
          <w:tcPr>
            <w:tcW w:w="0" w:type="auto"/>
          </w:tcPr>
          <w:p w14:paraId="7ED9CDCB" w14:textId="1D0EABE4" w:rsidR="00CC6390" w:rsidRPr="0034375A" w:rsidRDefault="00357AA7" w:rsidP="00CC6390">
            <w:pPr>
              <w:jc w:val="center"/>
              <w:rPr>
                <w:sz w:val="18"/>
                <w:szCs w:val="18"/>
              </w:rPr>
            </w:pPr>
            <w:r>
              <w:rPr>
                <w:sz w:val="18"/>
                <w:szCs w:val="18"/>
              </w:rPr>
              <w:t>1</w:t>
            </w:r>
          </w:p>
        </w:tc>
        <w:tc>
          <w:tcPr>
            <w:tcW w:w="0" w:type="auto"/>
          </w:tcPr>
          <w:p w14:paraId="55074474" w14:textId="56E4F8CF" w:rsidR="00CC6390" w:rsidRPr="0034375A" w:rsidRDefault="00357AA7" w:rsidP="00CC6390">
            <w:pPr>
              <w:jc w:val="center"/>
              <w:rPr>
                <w:sz w:val="18"/>
                <w:szCs w:val="18"/>
              </w:rPr>
            </w:pPr>
            <w:r>
              <w:rPr>
                <w:sz w:val="18"/>
                <w:szCs w:val="18"/>
              </w:rPr>
              <w:t>0</w:t>
            </w:r>
          </w:p>
        </w:tc>
        <w:tc>
          <w:tcPr>
            <w:tcW w:w="0" w:type="auto"/>
          </w:tcPr>
          <w:p w14:paraId="2A0566C4" w14:textId="2929F2C5" w:rsidR="00CC6390" w:rsidRPr="0034375A" w:rsidRDefault="00357AA7" w:rsidP="00CC6390">
            <w:pPr>
              <w:jc w:val="center"/>
              <w:rPr>
                <w:sz w:val="18"/>
                <w:szCs w:val="18"/>
              </w:rPr>
            </w:pPr>
            <w:r>
              <w:rPr>
                <w:sz w:val="18"/>
                <w:szCs w:val="18"/>
              </w:rPr>
              <w:t>0</w:t>
            </w:r>
          </w:p>
        </w:tc>
      </w:tr>
    </w:tbl>
    <w:p w14:paraId="7FDF4927" w14:textId="07A33EB7" w:rsidR="00473156" w:rsidRDefault="00473156" w:rsidP="00473156">
      <w:pPr>
        <w:rPr>
          <w:sz w:val="18"/>
          <w:szCs w:val="18"/>
        </w:rPr>
      </w:pPr>
      <w:r w:rsidRPr="00645B92">
        <w:rPr>
          <w:sz w:val="18"/>
          <w:szCs w:val="18"/>
        </w:rPr>
        <w:t xml:space="preserve">Abbreviations: </w:t>
      </w:r>
      <w:r w:rsidR="0034375A">
        <w:rPr>
          <w:sz w:val="18"/>
          <w:szCs w:val="18"/>
        </w:rPr>
        <w:t xml:space="preserve">O/P, observation/placebo </w:t>
      </w:r>
      <w:proofErr w:type="spellStart"/>
      <w:r w:rsidR="0034375A">
        <w:rPr>
          <w:sz w:val="18"/>
          <w:szCs w:val="18"/>
        </w:rPr>
        <w:t>group</w:t>
      </w:r>
      <w:r w:rsidRPr="00645B92">
        <w:rPr>
          <w:sz w:val="18"/>
          <w:szCs w:val="18"/>
        </w:rPr>
        <w:t>VTE</w:t>
      </w:r>
      <w:proofErr w:type="spellEnd"/>
      <w:r w:rsidRPr="00645B92">
        <w:rPr>
          <w:sz w:val="18"/>
          <w:szCs w:val="18"/>
        </w:rPr>
        <w:t>, venous thromboembolism.</w:t>
      </w:r>
    </w:p>
    <w:p w14:paraId="39CA5CF0" w14:textId="5290A3C2" w:rsidR="00473156" w:rsidRDefault="00473156">
      <w:pPr>
        <w:rPr>
          <w:sz w:val="18"/>
          <w:szCs w:val="18"/>
        </w:rPr>
      </w:pPr>
    </w:p>
    <w:p w14:paraId="401D98C4" w14:textId="77777777" w:rsidR="003E7A6B" w:rsidRDefault="003E7A6B">
      <w:pPr>
        <w:spacing w:line="240" w:lineRule="auto"/>
        <w:rPr>
          <w:b/>
        </w:rPr>
      </w:pPr>
      <w:r>
        <w:rPr>
          <w:b/>
        </w:rPr>
        <w:br w:type="page"/>
      </w:r>
    </w:p>
    <w:p w14:paraId="50931661" w14:textId="78C8048A" w:rsidR="002B72A0" w:rsidRDefault="002B72A0" w:rsidP="002B72A0">
      <w:pPr>
        <w:rPr>
          <w:b/>
        </w:rPr>
      </w:pPr>
      <w:r>
        <w:rPr>
          <w:b/>
        </w:rPr>
        <w:lastRenderedPageBreak/>
        <w:t xml:space="preserve">Supplementary Table 3B. </w:t>
      </w:r>
      <w:r w:rsidR="009F69D6">
        <w:rPr>
          <w:b/>
        </w:rPr>
        <w:t>Major bleeding for each Khorana score per included study during 6-month follow-up</w:t>
      </w:r>
    </w:p>
    <w:tbl>
      <w:tblPr>
        <w:tblStyle w:val="TableGrid"/>
        <w:tblW w:w="0" w:type="auto"/>
        <w:tblLook w:val="04A0" w:firstRow="1" w:lastRow="0" w:firstColumn="1" w:lastColumn="0" w:noHBand="0" w:noVBand="1"/>
      </w:tblPr>
      <w:tblGrid>
        <w:gridCol w:w="1430"/>
        <w:gridCol w:w="669"/>
        <w:gridCol w:w="475"/>
        <w:gridCol w:w="716"/>
        <w:gridCol w:w="475"/>
        <w:gridCol w:w="669"/>
        <w:gridCol w:w="475"/>
        <w:gridCol w:w="717"/>
        <w:gridCol w:w="475"/>
        <w:gridCol w:w="670"/>
        <w:gridCol w:w="475"/>
        <w:gridCol w:w="717"/>
        <w:gridCol w:w="475"/>
        <w:gridCol w:w="670"/>
        <w:gridCol w:w="475"/>
        <w:gridCol w:w="717"/>
        <w:gridCol w:w="475"/>
        <w:gridCol w:w="666"/>
        <w:gridCol w:w="475"/>
        <w:gridCol w:w="717"/>
        <w:gridCol w:w="475"/>
        <w:gridCol w:w="666"/>
        <w:gridCol w:w="475"/>
        <w:gridCol w:w="717"/>
        <w:gridCol w:w="475"/>
      </w:tblGrid>
      <w:tr w:rsidR="003E7A6B" w:rsidRPr="0034375A" w14:paraId="0BD2F232" w14:textId="77777777" w:rsidTr="00C676AB">
        <w:tc>
          <w:tcPr>
            <w:tcW w:w="0" w:type="auto"/>
          </w:tcPr>
          <w:p w14:paraId="4A7A7F35" w14:textId="77777777" w:rsidR="003E7A6B" w:rsidRPr="0034375A" w:rsidRDefault="003E7A6B" w:rsidP="00C676AB">
            <w:pPr>
              <w:rPr>
                <w:b/>
                <w:sz w:val="18"/>
                <w:szCs w:val="18"/>
              </w:rPr>
            </w:pPr>
            <w:r w:rsidRPr="0034375A">
              <w:rPr>
                <w:b/>
                <w:sz w:val="18"/>
                <w:szCs w:val="18"/>
              </w:rPr>
              <w:t>Study</w:t>
            </w:r>
          </w:p>
        </w:tc>
        <w:tc>
          <w:tcPr>
            <w:tcW w:w="0" w:type="auto"/>
            <w:gridSpan w:val="4"/>
          </w:tcPr>
          <w:p w14:paraId="586EE33A" w14:textId="77777777" w:rsidR="003E7A6B" w:rsidRPr="0034375A" w:rsidRDefault="003E7A6B" w:rsidP="00C676AB">
            <w:pPr>
              <w:jc w:val="center"/>
              <w:rPr>
                <w:b/>
                <w:sz w:val="18"/>
                <w:szCs w:val="18"/>
              </w:rPr>
            </w:pPr>
            <w:r w:rsidRPr="0034375A">
              <w:rPr>
                <w:b/>
                <w:sz w:val="18"/>
                <w:szCs w:val="18"/>
              </w:rPr>
              <w:t>0 points</w:t>
            </w:r>
          </w:p>
        </w:tc>
        <w:tc>
          <w:tcPr>
            <w:tcW w:w="0" w:type="auto"/>
            <w:gridSpan w:val="4"/>
          </w:tcPr>
          <w:p w14:paraId="31101325" w14:textId="77777777" w:rsidR="003E7A6B" w:rsidRPr="0034375A" w:rsidRDefault="003E7A6B" w:rsidP="00C676AB">
            <w:pPr>
              <w:jc w:val="center"/>
              <w:rPr>
                <w:b/>
                <w:sz w:val="18"/>
                <w:szCs w:val="18"/>
              </w:rPr>
            </w:pPr>
            <w:r w:rsidRPr="0034375A">
              <w:rPr>
                <w:b/>
                <w:sz w:val="18"/>
                <w:szCs w:val="18"/>
              </w:rPr>
              <w:t>1 point</w:t>
            </w:r>
          </w:p>
        </w:tc>
        <w:tc>
          <w:tcPr>
            <w:tcW w:w="0" w:type="auto"/>
            <w:gridSpan w:val="4"/>
          </w:tcPr>
          <w:p w14:paraId="50BB3B92" w14:textId="77777777" w:rsidR="003E7A6B" w:rsidRPr="0034375A" w:rsidRDefault="003E7A6B" w:rsidP="00C676AB">
            <w:pPr>
              <w:jc w:val="center"/>
              <w:rPr>
                <w:b/>
                <w:sz w:val="18"/>
                <w:szCs w:val="18"/>
              </w:rPr>
            </w:pPr>
            <w:r w:rsidRPr="0034375A">
              <w:rPr>
                <w:b/>
                <w:sz w:val="18"/>
                <w:szCs w:val="18"/>
              </w:rPr>
              <w:t>2 points</w:t>
            </w:r>
          </w:p>
        </w:tc>
        <w:tc>
          <w:tcPr>
            <w:tcW w:w="0" w:type="auto"/>
            <w:gridSpan w:val="4"/>
          </w:tcPr>
          <w:p w14:paraId="39E934AB" w14:textId="77777777" w:rsidR="003E7A6B" w:rsidRPr="0034375A" w:rsidRDefault="003E7A6B" w:rsidP="00C676AB">
            <w:pPr>
              <w:jc w:val="center"/>
              <w:rPr>
                <w:b/>
                <w:sz w:val="18"/>
                <w:szCs w:val="18"/>
              </w:rPr>
            </w:pPr>
            <w:r w:rsidRPr="0034375A">
              <w:rPr>
                <w:b/>
                <w:sz w:val="18"/>
                <w:szCs w:val="18"/>
              </w:rPr>
              <w:t>3 points</w:t>
            </w:r>
          </w:p>
        </w:tc>
        <w:tc>
          <w:tcPr>
            <w:tcW w:w="0" w:type="auto"/>
            <w:gridSpan w:val="4"/>
          </w:tcPr>
          <w:p w14:paraId="42965BCA" w14:textId="77777777" w:rsidR="003E7A6B" w:rsidRPr="0034375A" w:rsidRDefault="003E7A6B" w:rsidP="00C676AB">
            <w:pPr>
              <w:jc w:val="center"/>
              <w:rPr>
                <w:b/>
                <w:sz w:val="18"/>
                <w:szCs w:val="18"/>
              </w:rPr>
            </w:pPr>
            <w:r w:rsidRPr="0034375A">
              <w:rPr>
                <w:b/>
                <w:sz w:val="18"/>
                <w:szCs w:val="18"/>
              </w:rPr>
              <w:t>4 points</w:t>
            </w:r>
          </w:p>
        </w:tc>
        <w:tc>
          <w:tcPr>
            <w:tcW w:w="0" w:type="auto"/>
            <w:gridSpan w:val="4"/>
          </w:tcPr>
          <w:p w14:paraId="1D4C1BCB" w14:textId="77777777" w:rsidR="003E7A6B" w:rsidRPr="0034375A" w:rsidRDefault="003E7A6B" w:rsidP="00C676AB">
            <w:pPr>
              <w:jc w:val="center"/>
              <w:rPr>
                <w:b/>
                <w:sz w:val="18"/>
                <w:szCs w:val="18"/>
              </w:rPr>
            </w:pPr>
            <w:r w:rsidRPr="0034375A">
              <w:rPr>
                <w:b/>
                <w:sz w:val="18"/>
                <w:szCs w:val="18"/>
              </w:rPr>
              <w:t>5 points</w:t>
            </w:r>
          </w:p>
        </w:tc>
      </w:tr>
      <w:tr w:rsidR="003E7A6B" w:rsidRPr="0034375A" w14:paraId="09868559" w14:textId="77777777" w:rsidTr="00E7528D">
        <w:tc>
          <w:tcPr>
            <w:tcW w:w="0" w:type="auto"/>
          </w:tcPr>
          <w:p w14:paraId="36A22B87" w14:textId="77777777" w:rsidR="003E7A6B" w:rsidRPr="0034375A" w:rsidRDefault="003E7A6B" w:rsidP="00C676AB">
            <w:pPr>
              <w:rPr>
                <w:b/>
                <w:sz w:val="18"/>
                <w:szCs w:val="18"/>
              </w:rPr>
            </w:pPr>
          </w:p>
        </w:tc>
        <w:tc>
          <w:tcPr>
            <w:tcW w:w="1135" w:type="dxa"/>
            <w:gridSpan w:val="2"/>
          </w:tcPr>
          <w:p w14:paraId="066C98D6" w14:textId="77777777" w:rsidR="003E7A6B" w:rsidRPr="0034375A" w:rsidRDefault="003E7A6B" w:rsidP="00C676AB">
            <w:pPr>
              <w:jc w:val="center"/>
              <w:rPr>
                <w:b/>
                <w:sz w:val="18"/>
                <w:szCs w:val="18"/>
              </w:rPr>
            </w:pPr>
            <w:r w:rsidRPr="0034375A">
              <w:rPr>
                <w:b/>
                <w:sz w:val="18"/>
                <w:szCs w:val="18"/>
              </w:rPr>
              <w:t>O/P</w:t>
            </w:r>
          </w:p>
        </w:tc>
        <w:tc>
          <w:tcPr>
            <w:tcW w:w="1189" w:type="dxa"/>
            <w:gridSpan w:val="2"/>
          </w:tcPr>
          <w:p w14:paraId="0F300577" w14:textId="77777777" w:rsidR="003E7A6B" w:rsidRPr="0034375A" w:rsidRDefault="003E7A6B" w:rsidP="00C676AB">
            <w:pPr>
              <w:jc w:val="center"/>
              <w:rPr>
                <w:b/>
                <w:sz w:val="18"/>
                <w:szCs w:val="18"/>
              </w:rPr>
            </w:pPr>
            <w:r w:rsidRPr="0034375A">
              <w:rPr>
                <w:b/>
                <w:sz w:val="18"/>
                <w:szCs w:val="18"/>
              </w:rPr>
              <w:t>I</w:t>
            </w:r>
            <w:r>
              <w:rPr>
                <w:b/>
                <w:sz w:val="18"/>
                <w:szCs w:val="18"/>
              </w:rPr>
              <w:t>ntervention</w:t>
            </w:r>
          </w:p>
        </w:tc>
        <w:tc>
          <w:tcPr>
            <w:tcW w:w="0" w:type="auto"/>
            <w:gridSpan w:val="2"/>
          </w:tcPr>
          <w:p w14:paraId="404E50CA" w14:textId="77777777" w:rsidR="003E7A6B" w:rsidRPr="0034375A" w:rsidRDefault="003E7A6B" w:rsidP="00C676AB">
            <w:pPr>
              <w:jc w:val="center"/>
              <w:rPr>
                <w:b/>
                <w:sz w:val="18"/>
                <w:szCs w:val="18"/>
              </w:rPr>
            </w:pPr>
            <w:r w:rsidRPr="0034375A">
              <w:rPr>
                <w:b/>
                <w:sz w:val="18"/>
                <w:szCs w:val="18"/>
              </w:rPr>
              <w:t>O/P</w:t>
            </w:r>
          </w:p>
        </w:tc>
        <w:tc>
          <w:tcPr>
            <w:tcW w:w="0" w:type="auto"/>
            <w:gridSpan w:val="2"/>
          </w:tcPr>
          <w:p w14:paraId="177E35D1" w14:textId="77777777" w:rsidR="003E7A6B" w:rsidRPr="0034375A" w:rsidRDefault="003E7A6B" w:rsidP="00C676AB">
            <w:pPr>
              <w:jc w:val="center"/>
              <w:rPr>
                <w:b/>
                <w:sz w:val="18"/>
                <w:szCs w:val="18"/>
              </w:rPr>
            </w:pPr>
            <w:r w:rsidRPr="0034375A">
              <w:rPr>
                <w:b/>
                <w:sz w:val="18"/>
                <w:szCs w:val="18"/>
              </w:rPr>
              <w:t>I</w:t>
            </w:r>
            <w:r>
              <w:rPr>
                <w:b/>
                <w:sz w:val="18"/>
                <w:szCs w:val="18"/>
              </w:rPr>
              <w:t>ntervention</w:t>
            </w:r>
          </w:p>
        </w:tc>
        <w:tc>
          <w:tcPr>
            <w:tcW w:w="0" w:type="auto"/>
            <w:gridSpan w:val="2"/>
          </w:tcPr>
          <w:p w14:paraId="5FE363FF" w14:textId="77777777" w:rsidR="003E7A6B" w:rsidRPr="0034375A" w:rsidRDefault="003E7A6B" w:rsidP="00C676AB">
            <w:pPr>
              <w:jc w:val="center"/>
              <w:rPr>
                <w:b/>
                <w:sz w:val="18"/>
                <w:szCs w:val="18"/>
              </w:rPr>
            </w:pPr>
            <w:r w:rsidRPr="0034375A">
              <w:rPr>
                <w:b/>
                <w:sz w:val="18"/>
                <w:szCs w:val="18"/>
              </w:rPr>
              <w:t>O/P</w:t>
            </w:r>
          </w:p>
        </w:tc>
        <w:tc>
          <w:tcPr>
            <w:tcW w:w="0" w:type="auto"/>
            <w:gridSpan w:val="2"/>
          </w:tcPr>
          <w:p w14:paraId="31801C02" w14:textId="77777777" w:rsidR="003E7A6B" w:rsidRPr="0034375A" w:rsidRDefault="003E7A6B" w:rsidP="00C676AB">
            <w:pPr>
              <w:jc w:val="center"/>
              <w:rPr>
                <w:b/>
                <w:sz w:val="18"/>
                <w:szCs w:val="18"/>
              </w:rPr>
            </w:pPr>
            <w:r w:rsidRPr="0034375A">
              <w:rPr>
                <w:b/>
                <w:sz w:val="18"/>
                <w:szCs w:val="18"/>
              </w:rPr>
              <w:t>I</w:t>
            </w:r>
            <w:r>
              <w:rPr>
                <w:b/>
                <w:sz w:val="18"/>
                <w:szCs w:val="18"/>
              </w:rPr>
              <w:t>ntervention</w:t>
            </w:r>
          </w:p>
        </w:tc>
        <w:tc>
          <w:tcPr>
            <w:tcW w:w="0" w:type="auto"/>
            <w:gridSpan w:val="2"/>
          </w:tcPr>
          <w:p w14:paraId="1ABF418F" w14:textId="77777777" w:rsidR="003E7A6B" w:rsidRPr="0034375A" w:rsidRDefault="003E7A6B" w:rsidP="00C676AB">
            <w:pPr>
              <w:jc w:val="center"/>
              <w:rPr>
                <w:b/>
                <w:sz w:val="18"/>
                <w:szCs w:val="18"/>
              </w:rPr>
            </w:pPr>
            <w:r w:rsidRPr="0034375A">
              <w:rPr>
                <w:b/>
                <w:sz w:val="18"/>
                <w:szCs w:val="18"/>
              </w:rPr>
              <w:t>O/P</w:t>
            </w:r>
          </w:p>
        </w:tc>
        <w:tc>
          <w:tcPr>
            <w:tcW w:w="0" w:type="auto"/>
            <w:gridSpan w:val="2"/>
          </w:tcPr>
          <w:p w14:paraId="3642D3B5" w14:textId="77777777" w:rsidR="003E7A6B" w:rsidRPr="0034375A" w:rsidRDefault="003E7A6B" w:rsidP="00C676AB">
            <w:pPr>
              <w:jc w:val="center"/>
              <w:rPr>
                <w:b/>
                <w:sz w:val="18"/>
                <w:szCs w:val="18"/>
              </w:rPr>
            </w:pPr>
            <w:r w:rsidRPr="0034375A">
              <w:rPr>
                <w:b/>
                <w:sz w:val="18"/>
                <w:szCs w:val="18"/>
              </w:rPr>
              <w:t>I</w:t>
            </w:r>
            <w:r>
              <w:rPr>
                <w:b/>
                <w:sz w:val="18"/>
                <w:szCs w:val="18"/>
              </w:rPr>
              <w:t>ntervention</w:t>
            </w:r>
          </w:p>
        </w:tc>
        <w:tc>
          <w:tcPr>
            <w:tcW w:w="0" w:type="auto"/>
            <w:gridSpan w:val="2"/>
          </w:tcPr>
          <w:p w14:paraId="3CC0888B" w14:textId="77777777" w:rsidR="003E7A6B" w:rsidRPr="0034375A" w:rsidRDefault="003E7A6B" w:rsidP="00C676AB">
            <w:pPr>
              <w:jc w:val="center"/>
              <w:rPr>
                <w:b/>
                <w:sz w:val="18"/>
                <w:szCs w:val="18"/>
              </w:rPr>
            </w:pPr>
            <w:r w:rsidRPr="0034375A">
              <w:rPr>
                <w:b/>
                <w:sz w:val="18"/>
                <w:szCs w:val="18"/>
              </w:rPr>
              <w:t>O/P</w:t>
            </w:r>
          </w:p>
        </w:tc>
        <w:tc>
          <w:tcPr>
            <w:tcW w:w="0" w:type="auto"/>
            <w:gridSpan w:val="2"/>
          </w:tcPr>
          <w:p w14:paraId="41430268" w14:textId="77777777" w:rsidR="003E7A6B" w:rsidRPr="0034375A" w:rsidRDefault="003E7A6B" w:rsidP="00C676AB">
            <w:pPr>
              <w:jc w:val="center"/>
              <w:rPr>
                <w:b/>
                <w:sz w:val="18"/>
                <w:szCs w:val="18"/>
              </w:rPr>
            </w:pPr>
            <w:r w:rsidRPr="0034375A">
              <w:rPr>
                <w:b/>
                <w:sz w:val="18"/>
                <w:szCs w:val="18"/>
              </w:rPr>
              <w:t>I</w:t>
            </w:r>
            <w:r>
              <w:rPr>
                <w:b/>
                <w:sz w:val="18"/>
                <w:szCs w:val="18"/>
              </w:rPr>
              <w:t>ntervention</w:t>
            </w:r>
          </w:p>
        </w:tc>
        <w:tc>
          <w:tcPr>
            <w:tcW w:w="0" w:type="auto"/>
            <w:gridSpan w:val="2"/>
          </w:tcPr>
          <w:p w14:paraId="42C01551" w14:textId="77777777" w:rsidR="003E7A6B" w:rsidRPr="0034375A" w:rsidRDefault="003E7A6B" w:rsidP="00C676AB">
            <w:pPr>
              <w:jc w:val="center"/>
              <w:rPr>
                <w:b/>
                <w:sz w:val="18"/>
                <w:szCs w:val="18"/>
              </w:rPr>
            </w:pPr>
            <w:r w:rsidRPr="0034375A">
              <w:rPr>
                <w:b/>
                <w:sz w:val="18"/>
                <w:szCs w:val="18"/>
              </w:rPr>
              <w:t>O/P</w:t>
            </w:r>
          </w:p>
        </w:tc>
        <w:tc>
          <w:tcPr>
            <w:tcW w:w="0" w:type="auto"/>
            <w:gridSpan w:val="2"/>
          </w:tcPr>
          <w:p w14:paraId="5DFE8D7B" w14:textId="77777777" w:rsidR="003E7A6B" w:rsidRPr="0034375A" w:rsidRDefault="003E7A6B" w:rsidP="00C676AB">
            <w:pPr>
              <w:jc w:val="center"/>
              <w:rPr>
                <w:b/>
                <w:sz w:val="18"/>
                <w:szCs w:val="18"/>
              </w:rPr>
            </w:pPr>
            <w:r w:rsidRPr="0034375A">
              <w:rPr>
                <w:b/>
                <w:sz w:val="18"/>
                <w:szCs w:val="18"/>
              </w:rPr>
              <w:t>I</w:t>
            </w:r>
            <w:r>
              <w:rPr>
                <w:b/>
                <w:sz w:val="18"/>
                <w:szCs w:val="18"/>
              </w:rPr>
              <w:t>ntervention</w:t>
            </w:r>
          </w:p>
        </w:tc>
      </w:tr>
      <w:tr w:rsidR="003E7A6B" w:rsidRPr="0034375A" w14:paraId="06A4F219" w14:textId="77777777" w:rsidTr="00C676AB">
        <w:tc>
          <w:tcPr>
            <w:tcW w:w="0" w:type="auto"/>
          </w:tcPr>
          <w:p w14:paraId="08B65CC2" w14:textId="77777777" w:rsidR="003E7A6B" w:rsidRPr="0034375A" w:rsidRDefault="003E7A6B" w:rsidP="003E7A6B">
            <w:pPr>
              <w:rPr>
                <w:sz w:val="18"/>
                <w:szCs w:val="18"/>
              </w:rPr>
            </w:pPr>
          </w:p>
        </w:tc>
        <w:tc>
          <w:tcPr>
            <w:tcW w:w="0" w:type="auto"/>
          </w:tcPr>
          <w:p w14:paraId="57114582" w14:textId="35AB8ABF"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4CA46D8F" w14:textId="618702E9" w:rsidR="003E7A6B" w:rsidRPr="0034375A" w:rsidRDefault="003E7A6B" w:rsidP="003E7A6B">
            <w:pPr>
              <w:jc w:val="center"/>
              <w:rPr>
                <w:b/>
                <w:sz w:val="18"/>
                <w:szCs w:val="18"/>
              </w:rPr>
            </w:pPr>
            <w:r>
              <w:rPr>
                <w:b/>
                <w:sz w:val="18"/>
                <w:szCs w:val="18"/>
              </w:rPr>
              <w:t>MB</w:t>
            </w:r>
          </w:p>
        </w:tc>
        <w:tc>
          <w:tcPr>
            <w:tcW w:w="0" w:type="auto"/>
          </w:tcPr>
          <w:p w14:paraId="5B0BDEEA" w14:textId="64695DE7"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71739A49" w14:textId="0F8E2970" w:rsidR="003E7A6B" w:rsidRPr="0034375A" w:rsidRDefault="003E7A6B" w:rsidP="003E7A6B">
            <w:pPr>
              <w:jc w:val="center"/>
              <w:rPr>
                <w:b/>
                <w:sz w:val="18"/>
                <w:szCs w:val="18"/>
              </w:rPr>
            </w:pPr>
            <w:r>
              <w:rPr>
                <w:b/>
                <w:sz w:val="18"/>
                <w:szCs w:val="18"/>
              </w:rPr>
              <w:t>MB</w:t>
            </w:r>
          </w:p>
        </w:tc>
        <w:tc>
          <w:tcPr>
            <w:tcW w:w="0" w:type="auto"/>
          </w:tcPr>
          <w:p w14:paraId="7AF2D635" w14:textId="2C650DF5"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51109A7A" w14:textId="7F7C00C7" w:rsidR="003E7A6B" w:rsidRPr="0034375A" w:rsidRDefault="003E7A6B" w:rsidP="003E7A6B">
            <w:pPr>
              <w:jc w:val="center"/>
              <w:rPr>
                <w:b/>
                <w:sz w:val="18"/>
                <w:szCs w:val="18"/>
              </w:rPr>
            </w:pPr>
            <w:r>
              <w:rPr>
                <w:b/>
                <w:sz w:val="18"/>
                <w:szCs w:val="18"/>
              </w:rPr>
              <w:t>MB</w:t>
            </w:r>
          </w:p>
        </w:tc>
        <w:tc>
          <w:tcPr>
            <w:tcW w:w="0" w:type="auto"/>
          </w:tcPr>
          <w:p w14:paraId="05031177" w14:textId="59739C60"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61C1BF38" w14:textId="7BA106B9" w:rsidR="003E7A6B" w:rsidRPr="0034375A" w:rsidRDefault="003E7A6B" w:rsidP="003E7A6B">
            <w:pPr>
              <w:jc w:val="center"/>
              <w:rPr>
                <w:b/>
                <w:sz w:val="18"/>
                <w:szCs w:val="18"/>
              </w:rPr>
            </w:pPr>
            <w:r>
              <w:rPr>
                <w:b/>
                <w:sz w:val="18"/>
                <w:szCs w:val="18"/>
              </w:rPr>
              <w:t>MB</w:t>
            </w:r>
          </w:p>
        </w:tc>
        <w:tc>
          <w:tcPr>
            <w:tcW w:w="0" w:type="auto"/>
          </w:tcPr>
          <w:p w14:paraId="60D1C200" w14:textId="708FE072"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6A0C6119" w14:textId="21AA2CA3" w:rsidR="003E7A6B" w:rsidRPr="0034375A" w:rsidRDefault="003E7A6B" w:rsidP="003E7A6B">
            <w:pPr>
              <w:jc w:val="center"/>
              <w:rPr>
                <w:b/>
                <w:sz w:val="18"/>
                <w:szCs w:val="18"/>
              </w:rPr>
            </w:pPr>
            <w:r>
              <w:rPr>
                <w:b/>
                <w:sz w:val="18"/>
                <w:szCs w:val="18"/>
              </w:rPr>
              <w:t>MB</w:t>
            </w:r>
          </w:p>
        </w:tc>
        <w:tc>
          <w:tcPr>
            <w:tcW w:w="0" w:type="auto"/>
          </w:tcPr>
          <w:p w14:paraId="77F5F9E2" w14:textId="60319BD3"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32805255" w14:textId="60BDCFD4" w:rsidR="003E7A6B" w:rsidRPr="0034375A" w:rsidRDefault="003E7A6B" w:rsidP="003E7A6B">
            <w:pPr>
              <w:jc w:val="center"/>
              <w:rPr>
                <w:b/>
                <w:sz w:val="18"/>
                <w:szCs w:val="18"/>
              </w:rPr>
            </w:pPr>
            <w:r>
              <w:rPr>
                <w:b/>
                <w:sz w:val="18"/>
                <w:szCs w:val="18"/>
              </w:rPr>
              <w:t>MB</w:t>
            </w:r>
          </w:p>
        </w:tc>
        <w:tc>
          <w:tcPr>
            <w:tcW w:w="0" w:type="auto"/>
          </w:tcPr>
          <w:p w14:paraId="7FE34AD6" w14:textId="4BEACF0C"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4DBAEA47" w14:textId="0639C8AC" w:rsidR="003E7A6B" w:rsidRPr="0034375A" w:rsidRDefault="003E7A6B" w:rsidP="003E7A6B">
            <w:pPr>
              <w:jc w:val="center"/>
              <w:rPr>
                <w:b/>
                <w:sz w:val="18"/>
                <w:szCs w:val="18"/>
              </w:rPr>
            </w:pPr>
            <w:r>
              <w:rPr>
                <w:b/>
                <w:sz w:val="18"/>
                <w:szCs w:val="18"/>
              </w:rPr>
              <w:t>MB</w:t>
            </w:r>
          </w:p>
        </w:tc>
        <w:tc>
          <w:tcPr>
            <w:tcW w:w="0" w:type="auto"/>
          </w:tcPr>
          <w:p w14:paraId="16BA8D6C" w14:textId="73EAF7BB"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0DD023BB" w14:textId="556C252F" w:rsidR="003E7A6B" w:rsidRPr="0034375A" w:rsidRDefault="003E7A6B" w:rsidP="003E7A6B">
            <w:pPr>
              <w:jc w:val="center"/>
              <w:rPr>
                <w:b/>
                <w:sz w:val="18"/>
                <w:szCs w:val="18"/>
              </w:rPr>
            </w:pPr>
            <w:r>
              <w:rPr>
                <w:b/>
                <w:sz w:val="18"/>
                <w:szCs w:val="18"/>
              </w:rPr>
              <w:t>MB</w:t>
            </w:r>
          </w:p>
        </w:tc>
        <w:tc>
          <w:tcPr>
            <w:tcW w:w="0" w:type="auto"/>
          </w:tcPr>
          <w:p w14:paraId="04F778F5" w14:textId="6B2DD026"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24E7EF13" w14:textId="5F7607C9" w:rsidR="003E7A6B" w:rsidRPr="0034375A" w:rsidRDefault="003E7A6B" w:rsidP="003E7A6B">
            <w:pPr>
              <w:jc w:val="center"/>
              <w:rPr>
                <w:b/>
                <w:sz w:val="18"/>
                <w:szCs w:val="18"/>
              </w:rPr>
            </w:pPr>
            <w:r>
              <w:rPr>
                <w:b/>
                <w:sz w:val="18"/>
                <w:szCs w:val="18"/>
              </w:rPr>
              <w:t>MB</w:t>
            </w:r>
          </w:p>
        </w:tc>
        <w:tc>
          <w:tcPr>
            <w:tcW w:w="0" w:type="auto"/>
          </w:tcPr>
          <w:p w14:paraId="70CB7BD9" w14:textId="255BB828"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495B2CC4" w14:textId="0CDFAC3A" w:rsidR="003E7A6B" w:rsidRPr="0034375A" w:rsidRDefault="003E7A6B" w:rsidP="003E7A6B">
            <w:pPr>
              <w:jc w:val="center"/>
              <w:rPr>
                <w:b/>
                <w:sz w:val="18"/>
                <w:szCs w:val="18"/>
              </w:rPr>
            </w:pPr>
            <w:r>
              <w:rPr>
                <w:b/>
                <w:sz w:val="18"/>
                <w:szCs w:val="18"/>
              </w:rPr>
              <w:t>MB</w:t>
            </w:r>
          </w:p>
        </w:tc>
        <w:tc>
          <w:tcPr>
            <w:tcW w:w="0" w:type="auto"/>
          </w:tcPr>
          <w:p w14:paraId="49D13BA3" w14:textId="31AC5D46"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7AE9AD49" w14:textId="0985F644" w:rsidR="003E7A6B" w:rsidRPr="0034375A" w:rsidRDefault="003E7A6B" w:rsidP="003E7A6B">
            <w:pPr>
              <w:jc w:val="center"/>
              <w:rPr>
                <w:b/>
                <w:sz w:val="18"/>
                <w:szCs w:val="18"/>
              </w:rPr>
            </w:pPr>
            <w:r>
              <w:rPr>
                <w:b/>
                <w:sz w:val="18"/>
                <w:szCs w:val="18"/>
              </w:rPr>
              <w:t>MB</w:t>
            </w:r>
          </w:p>
        </w:tc>
        <w:tc>
          <w:tcPr>
            <w:tcW w:w="0" w:type="auto"/>
          </w:tcPr>
          <w:p w14:paraId="71A9B7E3" w14:textId="41E37D93" w:rsidR="003E7A6B" w:rsidRPr="0034375A" w:rsidRDefault="003E7A6B" w:rsidP="003E7A6B">
            <w:pPr>
              <w:jc w:val="center"/>
              <w:rPr>
                <w:b/>
                <w:sz w:val="18"/>
                <w:szCs w:val="18"/>
              </w:rPr>
            </w:pPr>
            <w:r w:rsidRPr="0034375A">
              <w:rPr>
                <w:b/>
                <w:sz w:val="18"/>
                <w:szCs w:val="18"/>
              </w:rPr>
              <w:t xml:space="preserve">No </w:t>
            </w:r>
            <w:r>
              <w:rPr>
                <w:b/>
                <w:sz w:val="18"/>
                <w:szCs w:val="18"/>
              </w:rPr>
              <w:t>MB</w:t>
            </w:r>
          </w:p>
        </w:tc>
        <w:tc>
          <w:tcPr>
            <w:tcW w:w="0" w:type="auto"/>
          </w:tcPr>
          <w:p w14:paraId="17006EBC" w14:textId="15BD81D2" w:rsidR="003E7A6B" w:rsidRPr="0034375A" w:rsidRDefault="003E7A6B" w:rsidP="003E7A6B">
            <w:pPr>
              <w:jc w:val="center"/>
              <w:rPr>
                <w:b/>
                <w:sz w:val="18"/>
                <w:szCs w:val="18"/>
              </w:rPr>
            </w:pPr>
            <w:r>
              <w:rPr>
                <w:b/>
                <w:sz w:val="18"/>
                <w:szCs w:val="18"/>
              </w:rPr>
              <w:t>MB</w:t>
            </w:r>
          </w:p>
        </w:tc>
      </w:tr>
      <w:tr w:rsidR="003A4CC2" w:rsidRPr="0034375A" w14:paraId="6EBEC196" w14:textId="77777777" w:rsidTr="00C676AB">
        <w:tc>
          <w:tcPr>
            <w:tcW w:w="0" w:type="auto"/>
          </w:tcPr>
          <w:p w14:paraId="00E86DB8" w14:textId="49450B2F" w:rsidR="003A4CC2" w:rsidRPr="0034375A" w:rsidRDefault="003A4CC2" w:rsidP="003A4CC2">
            <w:pPr>
              <w:rPr>
                <w:sz w:val="18"/>
                <w:szCs w:val="18"/>
              </w:rPr>
            </w:pPr>
            <w:r w:rsidRPr="0034375A">
              <w:rPr>
                <w:sz w:val="18"/>
                <w:szCs w:val="18"/>
              </w:rPr>
              <w:t>Agnelli (2012)</w:t>
            </w:r>
            <w:r w:rsidR="00A75209" w:rsidRPr="0034375A">
              <w:rPr>
                <w:sz w:val="18"/>
                <w:szCs w:val="18"/>
              </w:rPr>
              <w:t xml:space="preserve"> </w:t>
            </w:r>
          </w:p>
        </w:tc>
        <w:tc>
          <w:tcPr>
            <w:tcW w:w="0" w:type="auto"/>
          </w:tcPr>
          <w:p w14:paraId="6FC5EE01" w14:textId="0E745EEA" w:rsidR="003A4CC2" w:rsidRPr="0034375A" w:rsidRDefault="003A4CC2" w:rsidP="003A4CC2">
            <w:pPr>
              <w:jc w:val="center"/>
              <w:rPr>
                <w:sz w:val="18"/>
                <w:szCs w:val="18"/>
              </w:rPr>
            </w:pPr>
            <w:r>
              <w:rPr>
                <w:sz w:val="18"/>
                <w:szCs w:val="18"/>
              </w:rPr>
              <w:t>295</w:t>
            </w:r>
          </w:p>
        </w:tc>
        <w:tc>
          <w:tcPr>
            <w:tcW w:w="0" w:type="auto"/>
          </w:tcPr>
          <w:p w14:paraId="1748851E" w14:textId="2169ECF5" w:rsidR="003A4CC2" w:rsidRPr="0034375A" w:rsidRDefault="003A4CC2" w:rsidP="003A4CC2">
            <w:pPr>
              <w:jc w:val="center"/>
              <w:rPr>
                <w:sz w:val="18"/>
                <w:szCs w:val="18"/>
              </w:rPr>
            </w:pPr>
            <w:r>
              <w:rPr>
                <w:sz w:val="18"/>
                <w:szCs w:val="18"/>
              </w:rPr>
              <w:t>2</w:t>
            </w:r>
          </w:p>
        </w:tc>
        <w:tc>
          <w:tcPr>
            <w:tcW w:w="0" w:type="auto"/>
          </w:tcPr>
          <w:p w14:paraId="54278C5D" w14:textId="3D7A06DD" w:rsidR="003A4CC2" w:rsidRPr="0034375A" w:rsidRDefault="003A4CC2" w:rsidP="003A4CC2">
            <w:pPr>
              <w:jc w:val="center"/>
              <w:rPr>
                <w:sz w:val="18"/>
                <w:szCs w:val="18"/>
              </w:rPr>
            </w:pPr>
            <w:r>
              <w:rPr>
                <w:sz w:val="18"/>
                <w:szCs w:val="18"/>
              </w:rPr>
              <w:t>309</w:t>
            </w:r>
          </w:p>
        </w:tc>
        <w:tc>
          <w:tcPr>
            <w:tcW w:w="0" w:type="auto"/>
          </w:tcPr>
          <w:p w14:paraId="0C40BC08" w14:textId="0D6624DB" w:rsidR="003A4CC2" w:rsidRPr="0034375A" w:rsidRDefault="003A4CC2" w:rsidP="003A4CC2">
            <w:pPr>
              <w:jc w:val="center"/>
              <w:rPr>
                <w:sz w:val="18"/>
                <w:szCs w:val="18"/>
              </w:rPr>
            </w:pPr>
            <w:r>
              <w:rPr>
                <w:sz w:val="18"/>
                <w:szCs w:val="18"/>
              </w:rPr>
              <w:t>1</w:t>
            </w:r>
          </w:p>
        </w:tc>
        <w:tc>
          <w:tcPr>
            <w:tcW w:w="0" w:type="auto"/>
          </w:tcPr>
          <w:p w14:paraId="2A7A3621" w14:textId="1B43A6C8" w:rsidR="003A4CC2" w:rsidRPr="0034375A" w:rsidRDefault="003A4CC2" w:rsidP="003A4CC2">
            <w:pPr>
              <w:jc w:val="center"/>
              <w:rPr>
                <w:sz w:val="18"/>
                <w:szCs w:val="18"/>
              </w:rPr>
            </w:pPr>
            <w:r>
              <w:rPr>
                <w:sz w:val="18"/>
                <w:szCs w:val="18"/>
              </w:rPr>
              <w:t>464</w:t>
            </w:r>
          </w:p>
        </w:tc>
        <w:tc>
          <w:tcPr>
            <w:tcW w:w="0" w:type="auto"/>
          </w:tcPr>
          <w:p w14:paraId="2D7B64CF" w14:textId="0D62018E" w:rsidR="003A4CC2" w:rsidRPr="0034375A" w:rsidRDefault="003A4CC2" w:rsidP="003A4CC2">
            <w:pPr>
              <w:jc w:val="center"/>
              <w:rPr>
                <w:sz w:val="18"/>
                <w:szCs w:val="18"/>
              </w:rPr>
            </w:pPr>
            <w:r>
              <w:rPr>
                <w:sz w:val="18"/>
                <w:szCs w:val="18"/>
              </w:rPr>
              <w:t>5</w:t>
            </w:r>
          </w:p>
        </w:tc>
        <w:tc>
          <w:tcPr>
            <w:tcW w:w="0" w:type="auto"/>
          </w:tcPr>
          <w:p w14:paraId="71D72459" w14:textId="2D0AB257" w:rsidR="003A4CC2" w:rsidRPr="0034375A" w:rsidRDefault="003A4CC2" w:rsidP="003A4CC2">
            <w:pPr>
              <w:jc w:val="center"/>
              <w:rPr>
                <w:sz w:val="18"/>
                <w:szCs w:val="18"/>
              </w:rPr>
            </w:pPr>
            <w:r>
              <w:rPr>
                <w:sz w:val="18"/>
                <w:szCs w:val="18"/>
              </w:rPr>
              <w:t>479</w:t>
            </w:r>
          </w:p>
        </w:tc>
        <w:tc>
          <w:tcPr>
            <w:tcW w:w="0" w:type="auto"/>
          </w:tcPr>
          <w:p w14:paraId="659A71A7" w14:textId="0E687BFD" w:rsidR="003A4CC2" w:rsidRPr="0034375A" w:rsidRDefault="003A4CC2" w:rsidP="003A4CC2">
            <w:pPr>
              <w:jc w:val="center"/>
              <w:rPr>
                <w:sz w:val="18"/>
                <w:szCs w:val="18"/>
              </w:rPr>
            </w:pPr>
            <w:r>
              <w:rPr>
                <w:sz w:val="18"/>
                <w:szCs w:val="18"/>
              </w:rPr>
              <w:t>9</w:t>
            </w:r>
          </w:p>
        </w:tc>
        <w:tc>
          <w:tcPr>
            <w:tcW w:w="0" w:type="auto"/>
          </w:tcPr>
          <w:p w14:paraId="7106EF4D" w14:textId="36106978" w:rsidR="003A4CC2" w:rsidRPr="0034375A" w:rsidRDefault="003A4CC2" w:rsidP="003A4CC2">
            <w:pPr>
              <w:jc w:val="center"/>
              <w:rPr>
                <w:sz w:val="18"/>
                <w:szCs w:val="18"/>
              </w:rPr>
            </w:pPr>
            <w:r>
              <w:rPr>
                <w:sz w:val="18"/>
                <w:szCs w:val="18"/>
              </w:rPr>
              <w:t>500</w:t>
            </w:r>
          </w:p>
        </w:tc>
        <w:tc>
          <w:tcPr>
            <w:tcW w:w="0" w:type="auto"/>
          </w:tcPr>
          <w:p w14:paraId="321762CC" w14:textId="2EAAE741" w:rsidR="003A4CC2" w:rsidRPr="0034375A" w:rsidRDefault="003A4CC2" w:rsidP="003A4CC2">
            <w:pPr>
              <w:jc w:val="center"/>
              <w:rPr>
                <w:sz w:val="18"/>
                <w:szCs w:val="18"/>
              </w:rPr>
            </w:pPr>
            <w:r>
              <w:rPr>
                <w:sz w:val="18"/>
                <w:szCs w:val="18"/>
              </w:rPr>
              <w:t>6</w:t>
            </w:r>
          </w:p>
        </w:tc>
        <w:tc>
          <w:tcPr>
            <w:tcW w:w="0" w:type="auto"/>
          </w:tcPr>
          <w:p w14:paraId="4635EF78" w14:textId="2457A3F0" w:rsidR="003A4CC2" w:rsidRPr="0034375A" w:rsidRDefault="003A4CC2" w:rsidP="003A4CC2">
            <w:pPr>
              <w:jc w:val="center"/>
              <w:rPr>
                <w:sz w:val="18"/>
                <w:szCs w:val="18"/>
              </w:rPr>
            </w:pPr>
            <w:r>
              <w:rPr>
                <w:sz w:val="18"/>
                <w:szCs w:val="18"/>
              </w:rPr>
              <w:t>479</w:t>
            </w:r>
          </w:p>
        </w:tc>
        <w:tc>
          <w:tcPr>
            <w:tcW w:w="0" w:type="auto"/>
          </w:tcPr>
          <w:p w14:paraId="1E30B3C0" w14:textId="5138EDCD" w:rsidR="003A4CC2" w:rsidRPr="0034375A" w:rsidRDefault="003A4CC2" w:rsidP="003A4CC2">
            <w:pPr>
              <w:jc w:val="center"/>
              <w:rPr>
                <w:sz w:val="18"/>
                <w:szCs w:val="18"/>
              </w:rPr>
            </w:pPr>
            <w:r>
              <w:rPr>
                <w:sz w:val="18"/>
                <w:szCs w:val="18"/>
              </w:rPr>
              <w:t>5</w:t>
            </w:r>
          </w:p>
        </w:tc>
        <w:tc>
          <w:tcPr>
            <w:tcW w:w="0" w:type="auto"/>
          </w:tcPr>
          <w:p w14:paraId="4D6C8878" w14:textId="09C922A5" w:rsidR="003A4CC2" w:rsidRPr="0034375A" w:rsidRDefault="003A4CC2" w:rsidP="003A4CC2">
            <w:pPr>
              <w:jc w:val="center"/>
              <w:rPr>
                <w:sz w:val="18"/>
                <w:szCs w:val="18"/>
              </w:rPr>
            </w:pPr>
            <w:r>
              <w:rPr>
                <w:sz w:val="18"/>
                <w:szCs w:val="18"/>
              </w:rPr>
              <w:t>216</w:t>
            </w:r>
          </w:p>
        </w:tc>
        <w:tc>
          <w:tcPr>
            <w:tcW w:w="0" w:type="auto"/>
          </w:tcPr>
          <w:p w14:paraId="57BC3484" w14:textId="0442D402" w:rsidR="003A4CC2" w:rsidRPr="0034375A" w:rsidRDefault="003A4CC2" w:rsidP="003A4CC2">
            <w:pPr>
              <w:jc w:val="center"/>
              <w:rPr>
                <w:sz w:val="18"/>
                <w:szCs w:val="18"/>
              </w:rPr>
            </w:pPr>
            <w:r>
              <w:rPr>
                <w:sz w:val="18"/>
                <w:szCs w:val="18"/>
              </w:rPr>
              <w:t>2</w:t>
            </w:r>
          </w:p>
        </w:tc>
        <w:tc>
          <w:tcPr>
            <w:tcW w:w="0" w:type="auto"/>
          </w:tcPr>
          <w:p w14:paraId="6A378C62" w14:textId="12CC0FD2" w:rsidR="003A4CC2" w:rsidRPr="0034375A" w:rsidRDefault="003A4CC2" w:rsidP="003A4CC2">
            <w:pPr>
              <w:jc w:val="center"/>
              <w:rPr>
                <w:sz w:val="18"/>
                <w:szCs w:val="18"/>
              </w:rPr>
            </w:pPr>
            <w:r>
              <w:rPr>
                <w:sz w:val="18"/>
                <w:szCs w:val="18"/>
              </w:rPr>
              <w:t>210</w:t>
            </w:r>
          </w:p>
        </w:tc>
        <w:tc>
          <w:tcPr>
            <w:tcW w:w="0" w:type="auto"/>
          </w:tcPr>
          <w:p w14:paraId="70118309" w14:textId="39879C85" w:rsidR="003A4CC2" w:rsidRPr="0034375A" w:rsidRDefault="003A4CC2" w:rsidP="003A4CC2">
            <w:pPr>
              <w:jc w:val="center"/>
              <w:rPr>
                <w:sz w:val="18"/>
                <w:szCs w:val="18"/>
              </w:rPr>
            </w:pPr>
            <w:r>
              <w:rPr>
                <w:sz w:val="18"/>
                <w:szCs w:val="18"/>
              </w:rPr>
              <w:t>3</w:t>
            </w:r>
          </w:p>
        </w:tc>
        <w:tc>
          <w:tcPr>
            <w:tcW w:w="0" w:type="auto"/>
          </w:tcPr>
          <w:p w14:paraId="6ADCDEA3" w14:textId="35DA3F2E" w:rsidR="003A4CC2" w:rsidRPr="0034375A" w:rsidRDefault="003A4CC2" w:rsidP="003A4CC2">
            <w:pPr>
              <w:jc w:val="center"/>
              <w:rPr>
                <w:sz w:val="18"/>
                <w:szCs w:val="18"/>
              </w:rPr>
            </w:pPr>
            <w:r>
              <w:rPr>
                <w:sz w:val="18"/>
                <w:szCs w:val="18"/>
              </w:rPr>
              <w:t>57</w:t>
            </w:r>
          </w:p>
        </w:tc>
        <w:tc>
          <w:tcPr>
            <w:tcW w:w="0" w:type="auto"/>
          </w:tcPr>
          <w:p w14:paraId="3656027C" w14:textId="10B69770" w:rsidR="003A4CC2" w:rsidRPr="0034375A" w:rsidRDefault="003A4CC2" w:rsidP="003A4CC2">
            <w:pPr>
              <w:jc w:val="center"/>
              <w:rPr>
                <w:sz w:val="18"/>
                <w:szCs w:val="18"/>
              </w:rPr>
            </w:pPr>
            <w:r>
              <w:rPr>
                <w:sz w:val="18"/>
                <w:szCs w:val="18"/>
              </w:rPr>
              <w:t>2</w:t>
            </w:r>
          </w:p>
        </w:tc>
        <w:tc>
          <w:tcPr>
            <w:tcW w:w="0" w:type="auto"/>
          </w:tcPr>
          <w:p w14:paraId="1CAA1ED9" w14:textId="47DC615A" w:rsidR="003A4CC2" w:rsidRPr="0034375A" w:rsidRDefault="003A4CC2" w:rsidP="003A4CC2">
            <w:pPr>
              <w:jc w:val="center"/>
              <w:rPr>
                <w:sz w:val="18"/>
                <w:szCs w:val="18"/>
              </w:rPr>
            </w:pPr>
            <w:r>
              <w:rPr>
                <w:sz w:val="18"/>
                <w:szCs w:val="18"/>
              </w:rPr>
              <w:t>61</w:t>
            </w:r>
          </w:p>
        </w:tc>
        <w:tc>
          <w:tcPr>
            <w:tcW w:w="0" w:type="auto"/>
          </w:tcPr>
          <w:p w14:paraId="456E2F77" w14:textId="6C8FA657" w:rsidR="003A4CC2" w:rsidRPr="0034375A" w:rsidRDefault="003A4CC2" w:rsidP="003A4CC2">
            <w:pPr>
              <w:jc w:val="center"/>
              <w:rPr>
                <w:sz w:val="18"/>
                <w:szCs w:val="18"/>
              </w:rPr>
            </w:pPr>
            <w:r>
              <w:rPr>
                <w:sz w:val="18"/>
                <w:szCs w:val="18"/>
              </w:rPr>
              <w:t>0</w:t>
            </w:r>
          </w:p>
        </w:tc>
        <w:tc>
          <w:tcPr>
            <w:tcW w:w="0" w:type="auto"/>
          </w:tcPr>
          <w:p w14:paraId="2F1FD0C2" w14:textId="5DED3FFB" w:rsidR="003A4CC2" w:rsidRPr="0034375A" w:rsidRDefault="003A4CC2" w:rsidP="003A4CC2">
            <w:pPr>
              <w:jc w:val="center"/>
              <w:rPr>
                <w:sz w:val="18"/>
                <w:szCs w:val="18"/>
              </w:rPr>
            </w:pPr>
            <w:r>
              <w:rPr>
                <w:sz w:val="18"/>
                <w:szCs w:val="18"/>
              </w:rPr>
              <w:t>3</w:t>
            </w:r>
          </w:p>
        </w:tc>
        <w:tc>
          <w:tcPr>
            <w:tcW w:w="0" w:type="auto"/>
          </w:tcPr>
          <w:p w14:paraId="729864DC" w14:textId="71BC5B12" w:rsidR="003A4CC2" w:rsidRPr="0034375A" w:rsidRDefault="003A4CC2" w:rsidP="003A4CC2">
            <w:pPr>
              <w:jc w:val="center"/>
              <w:rPr>
                <w:sz w:val="18"/>
                <w:szCs w:val="18"/>
              </w:rPr>
            </w:pPr>
            <w:r>
              <w:rPr>
                <w:sz w:val="18"/>
                <w:szCs w:val="18"/>
              </w:rPr>
              <w:t>1</w:t>
            </w:r>
          </w:p>
        </w:tc>
        <w:tc>
          <w:tcPr>
            <w:tcW w:w="0" w:type="auto"/>
          </w:tcPr>
          <w:p w14:paraId="5B624993" w14:textId="61FEA80A" w:rsidR="003A4CC2" w:rsidRPr="0034375A" w:rsidRDefault="003A4CC2" w:rsidP="003A4CC2">
            <w:pPr>
              <w:jc w:val="center"/>
              <w:rPr>
                <w:sz w:val="18"/>
                <w:szCs w:val="18"/>
              </w:rPr>
            </w:pPr>
            <w:r>
              <w:rPr>
                <w:sz w:val="18"/>
                <w:szCs w:val="18"/>
              </w:rPr>
              <w:t>5</w:t>
            </w:r>
          </w:p>
        </w:tc>
        <w:tc>
          <w:tcPr>
            <w:tcW w:w="0" w:type="auto"/>
          </w:tcPr>
          <w:p w14:paraId="64AD7DC4" w14:textId="0181740F" w:rsidR="003A4CC2" w:rsidRPr="0034375A" w:rsidRDefault="003A4CC2" w:rsidP="003A4CC2">
            <w:pPr>
              <w:jc w:val="center"/>
              <w:rPr>
                <w:sz w:val="18"/>
                <w:szCs w:val="18"/>
              </w:rPr>
            </w:pPr>
            <w:r>
              <w:rPr>
                <w:sz w:val="18"/>
                <w:szCs w:val="18"/>
              </w:rPr>
              <w:t>1</w:t>
            </w:r>
          </w:p>
        </w:tc>
      </w:tr>
      <w:tr w:rsidR="003A4CC2" w:rsidRPr="0034375A" w14:paraId="7868A669" w14:textId="77777777" w:rsidTr="00C676AB">
        <w:tc>
          <w:tcPr>
            <w:tcW w:w="0" w:type="auto"/>
          </w:tcPr>
          <w:p w14:paraId="27157B39" w14:textId="1C9042EC" w:rsidR="003A4CC2" w:rsidRPr="0034375A" w:rsidRDefault="003A4CC2" w:rsidP="003A4CC2">
            <w:pPr>
              <w:rPr>
                <w:sz w:val="18"/>
                <w:szCs w:val="18"/>
              </w:rPr>
            </w:pPr>
            <w:r w:rsidRPr="0034375A">
              <w:rPr>
                <w:sz w:val="18"/>
                <w:szCs w:val="18"/>
              </w:rPr>
              <w:t>Haas (2005</w:t>
            </w:r>
            <w:r w:rsidR="00A75209">
              <w:rPr>
                <w:sz w:val="18"/>
                <w:szCs w:val="18"/>
              </w:rPr>
              <w:t>)</w:t>
            </w:r>
          </w:p>
        </w:tc>
        <w:tc>
          <w:tcPr>
            <w:tcW w:w="0" w:type="auto"/>
          </w:tcPr>
          <w:p w14:paraId="7E250A8D" w14:textId="18DDCC20" w:rsidR="003A4CC2" w:rsidRPr="0034375A" w:rsidRDefault="009D6FFB" w:rsidP="003A4CC2">
            <w:pPr>
              <w:jc w:val="center"/>
              <w:rPr>
                <w:sz w:val="18"/>
                <w:szCs w:val="18"/>
              </w:rPr>
            </w:pPr>
            <w:r>
              <w:rPr>
                <w:sz w:val="18"/>
                <w:szCs w:val="18"/>
              </w:rPr>
              <w:t>105</w:t>
            </w:r>
          </w:p>
        </w:tc>
        <w:tc>
          <w:tcPr>
            <w:tcW w:w="0" w:type="auto"/>
          </w:tcPr>
          <w:p w14:paraId="6E12C30C" w14:textId="0FEC964F" w:rsidR="003A4CC2" w:rsidRPr="0034375A" w:rsidRDefault="009D6FFB" w:rsidP="003A4CC2">
            <w:pPr>
              <w:jc w:val="center"/>
              <w:rPr>
                <w:sz w:val="18"/>
                <w:szCs w:val="18"/>
              </w:rPr>
            </w:pPr>
            <w:r>
              <w:rPr>
                <w:sz w:val="18"/>
                <w:szCs w:val="18"/>
              </w:rPr>
              <w:t>0</w:t>
            </w:r>
          </w:p>
        </w:tc>
        <w:tc>
          <w:tcPr>
            <w:tcW w:w="0" w:type="auto"/>
          </w:tcPr>
          <w:p w14:paraId="60D19F10" w14:textId="3A528622" w:rsidR="003A4CC2" w:rsidRPr="0034375A" w:rsidRDefault="009D6FFB" w:rsidP="003A4CC2">
            <w:pPr>
              <w:jc w:val="center"/>
              <w:rPr>
                <w:sz w:val="18"/>
                <w:szCs w:val="18"/>
              </w:rPr>
            </w:pPr>
            <w:r>
              <w:rPr>
                <w:sz w:val="18"/>
                <w:szCs w:val="18"/>
              </w:rPr>
              <w:t>108</w:t>
            </w:r>
          </w:p>
        </w:tc>
        <w:tc>
          <w:tcPr>
            <w:tcW w:w="0" w:type="auto"/>
          </w:tcPr>
          <w:p w14:paraId="64D024D1" w14:textId="0AF0A451" w:rsidR="003A4CC2" w:rsidRPr="0034375A" w:rsidRDefault="009D6FFB" w:rsidP="003A4CC2">
            <w:pPr>
              <w:jc w:val="center"/>
              <w:rPr>
                <w:sz w:val="18"/>
                <w:szCs w:val="18"/>
              </w:rPr>
            </w:pPr>
            <w:r>
              <w:rPr>
                <w:sz w:val="18"/>
                <w:szCs w:val="18"/>
              </w:rPr>
              <w:t>3</w:t>
            </w:r>
          </w:p>
        </w:tc>
        <w:tc>
          <w:tcPr>
            <w:tcW w:w="0" w:type="auto"/>
          </w:tcPr>
          <w:p w14:paraId="2021575F" w14:textId="3DB64055" w:rsidR="003A4CC2" w:rsidRPr="0034375A" w:rsidRDefault="009D6FFB" w:rsidP="003A4CC2">
            <w:pPr>
              <w:jc w:val="center"/>
              <w:rPr>
                <w:sz w:val="18"/>
                <w:szCs w:val="18"/>
              </w:rPr>
            </w:pPr>
            <w:r>
              <w:rPr>
                <w:sz w:val="18"/>
                <w:szCs w:val="18"/>
              </w:rPr>
              <w:t>54</w:t>
            </w:r>
          </w:p>
        </w:tc>
        <w:tc>
          <w:tcPr>
            <w:tcW w:w="0" w:type="auto"/>
          </w:tcPr>
          <w:p w14:paraId="3A218B23" w14:textId="13CEDFB6" w:rsidR="003A4CC2" w:rsidRPr="0034375A" w:rsidRDefault="009D6FFB" w:rsidP="003A4CC2">
            <w:pPr>
              <w:jc w:val="center"/>
              <w:rPr>
                <w:sz w:val="18"/>
                <w:szCs w:val="18"/>
              </w:rPr>
            </w:pPr>
            <w:r>
              <w:rPr>
                <w:sz w:val="18"/>
                <w:szCs w:val="18"/>
              </w:rPr>
              <w:t>0</w:t>
            </w:r>
          </w:p>
        </w:tc>
        <w:tc>
          <w:tcPr>
            <w:tcW w:w="0" w:type="auto"/>
          </w:tcPr>
          <w:p w14:paraId="33E39D53" w14:textId="140A9E3A" w:rsidR="003A4CC2" w:rsidRPr="0034375A" w:rsidRDefault="009D6FFB" w:rsidP="003A4CC2">
            <w:pPr>
              <w:jc w:val="center"/>
              <w:rPr>
                <w:sz w:val="18"/>
                <w:szCs w:val="18"/>
              </w:rPr>
            </w:pPr>
            <w:r>
              <w:rPr>
                <w:sz w:val="18"/>
                <w:szCs w:val="18"/>
              </w:rPr>
              <w:t>36</w:t>
            </w:r>
          </w:p>
        </w:tc>
        <w:tc>
          <w:tcPr>
            <w:tcW w:w="0" w:type="auto"/>
          </w:tcPr>
          <w:p w14:paraId="3E174A4D" w14:textId="7664C586" w:rsidR="003A4CC2" w:rsidRPr="0034375A" w:rsidRDefault="009D6FFB" w:rsidP="003A4CC2">
            <w:pPr>
              <w:jc w:val="center"/>
              <w:rPr>
                <w:sz w:val="18"/>
                <w:szCs w:val="18"/>
              </w:rPr>
            </w:pPr>
            <w:r>
              <w:rPr>
                <w:sz w:val="18"/>
                <w:szCs w:val="18"/>
              </w:rPr>
              <w:t>0</w:t>
            </w:r>
          </w:p>
        </w:tc>
        <w:tc>
          <w:tcPr>
            <w:tcW w:w="0" w:type="auto"/>
          </w:tcPr>
          <w:p w14:paraId="1E8A3AF3" w14:textId="12FAAE34" w:rsidR="003A4CC2" w:rsidRPr="0034375A" w:rsidRDefault="009D6FFB" w:rsidP="003A4CC2">
            <w:pPr>
              <w:jc w:val="center"/>
              <w:rPr>
                <w:sz w:val="18"/>
                <w:szCs w:val="18"/>
              </w:rPr>
            </w:pPr>
            <w:r>
              <w:rPr>
                <w:sz w:val="18"/>
                <w:szCs w:val="18"/>
              </w:rPr>
              <w:t>5</w:t>
            </w:r>
          </w:p>
        </w:tc>
        <w:tc>
          <w:tcPr>
            <w:tcW w:w="0" w:type="auto"/>
          </w:tcPr>
          <w:p w14:paraId="380440FD" w14:textId="35F9B292" w:rsidR="003A4CC2" w:rsidRPr="0034375A" w:rsidRDefault="009D6FFB" w:rsidP="003A4CC2">
            <w:pPr>
              <w:jc w:val="center"/>
              <w:rPr>
                <w:sz w:val="18"/>
                <w:szCs w:val="18"/>
              </w:rPr>
            </w:pPr>
            <w:r>
              <w:rPr>
                <w:sz w:val="18"/>
                <w:szCs w:val="18"/>
              </w:rPr>
              <w:t>0</w:t>
            </w:r>
          </w:p>
        </w:tc>
        <w:tc>
          <w:tcPr>
            <w:tcW w:w="0" w:type="auto"/>
          </w:tcPr>
          <w:p w14:paraId="163DF30B" w14:textId="2294A34E" w:rsidR="003A4CC2" w:rsidRPr="0034375A" w:rsidRDefault="009D6FFB" w:rsidP="003A4CC2">
            <w:pPr>
              <w:jc w:val="center"/>
              <w:rPr>
                <w:sz w:val="18"/>
                <w:szCs w:val="18"/>
              </w:rPr>
            </w:pPr>
            <w:r>
              <w:rPr>
                <w:sz w:val="18"/>
                <w:szCs w:val="18"/>
              </w:rPr>
              <w:t>13</w:t>
            </w:r>
          </w:p>
        </w:tc>
        <w:tc>
          <w:tcPr>
            <w:tcW w:w="0" w:type="auto"/>
          </w:tcPr>
          <w:p w14:paraId="61A1AB43" w14:textId="3B49AC92" w:rsidR="003A4CC2" w:rsidRPr="0034375A" w:rsidRDefault="009D6FFB" w:rsidP="003A4CC2">
            <w:pPr>
              <w:jc w:val="center"/>
              <w:rPr>
                <w:sz w:val="18"/>
                <w:szCs w:val="18"/>
              </w:rPr>
            </w:pPr>
            <w:r>
              <w:rPr>
                <w:sz w:val="18"/>
                <w:szCs w:val="18"/>
              </w:rPr>
              <w:t>0</w:t>
            </w:r>
          </w:p>
        </w:tc>
        <w:tc>
          <w:tcPr>
            <w:tcW w:w="0" w:type="auto"/>
          </w:tcPr>
          <w:p w14:paraId="12340102" w14:textId="146E3096" w:rsidR="003A4CC2" w:rsidRPr="0034375A" w:rsidRDefault="009D6FFB" w:rsidP="003A4CC2">
            <w:pPr>
              <w:jc w:val="center"/>
              <w:rPr>
                <w:sz w:val="18"/>
                <w:szCs w:val="18"/>
              </w:rPr>
            </w:pPr>
            <w:r>
              <w:rPr>
                <w:sz w:val="18"/>
                <w:szCs w:val="18"/>
              </w:rPr>
              <w:t>0</w:t>
            </w:r>
          </w:p>
        </w:tc>
        <w:tc>
          <w:tcPr>
            <w:tcW w:w="0" w:type="auto"/>
          </w:tcPr>
          <w:p w14:paraId="70177121" w14:textId="624AB246" w:rsidR="003A4CC2" w:rsidRPr="0034375A" w:rsidRDefault="009D6FFB" w:rsidP="003A4CC2">
            <w:pPr>
              <w:jc w:val="center"/>
              <w:rPr>
                <w:sz w:val="18"/>
                <w:szCs w:val="18"/>
              </w:rPr>
            </w:pPr>
            <w:r>
              <w:rPr>
                <w:sz w:val="18"/>
                <w:szCs w:val="18"/>
              </w:rPr>
              <w:t>0</w:t>
            </w:r>
          </w:p>
        </w:tc>
        <w:tc>
          <w:tcPr>
            <w:tcW w:w="0" w:type="auto"/>
          </w:tcPr>
          <w:p w14:paraId="4E5C0329" w14:textId="42F182FD" w:rsidR="003A4CC2" w:rsidRPr="0034375A" w:rsidRDefault="009D6FFB" w:rsidP="003A4CC2">
            <w:pPr>
              <w:jc w:val="center"/>
              <w:rPr>
                <w:sz w:val="18"/>
                <w:szCs w:val="18"/>
              </w:rPr>
            </w:pPr>
            <w:r>
              <w:rPr>
                <w:sz w:val="18"/>
                <w:szCs w:val="18"/>
              </w:rPr>
              <w:t>1</w:t>
            </w:r>
          </w:p>
        </w:tc>
        <w:tc>
          <w:tcPr>
            <w:tcW w:w="0" w:type="auto"/>
          </w:tcPr>
          <w:p w14:paraId="3AF2259E" w14:textId="099CC4F7" w:rsidR="003A4CC2" w:rsidRPr="0034375A" w:rsidRDefault="009D6FFB" w:rsidP="003A4CC2">
            <w:pPr>
              <w:jc w:val="center"/>
              <w:rPr>
                <w:sz w:val="18"/>
                <w:szCs w:val="18"/>
              </w:rPr>
            </w:pPr>
            <w:r>
              <w:rPr>
                <w:sz w:val="18"/>
                <w:szCs w:val="18"/>
              </w:rPr>
              <w:t>0</w:t>
            </w:r>
          </w:p>
        </w:tc>
        <w:tc>
          <w:tcPr>
            <w:tcW w:w="0" w:type="auto"/>
          </w:tcPr>
          <w:p w14:paraId="769A038C" w14:textId="5E3CF864" w:rsidR="003A4CC2" w:rsidRPr="0034375A" w:rsidRDefault="009D6FFB" w:rsidP="003A4CC2">
            <w:pPr>
              <w:jc w:val="center"/>
              <w:rPr>
                <w:sz w:val="18"/>
                <w:szCs w:val="18"/>
              </w:rPr>
            </w:pPr>
            <w:r>
              <w:rPr>
                <w:sz w:val="18"/>
                <w:szCs w:val="18"/>
              </w:rPr>
              <w:t>0</w:t>
            </w:r>
          </w:p>
        </w:tc>
        <w:tc>
          <w:tcPr>
            <w:tcW w:w="0" w:type="auto"/>
          </w:tcPr>
          <w:p w14:paraId="0D871A4F" w14:textId="64120B2A" w:rsidR="003A4CC2" w:rsidRPr="0034375A" w:rsidRDefault="009D6FFB" w:rsidP="003A4CC2">
            <w:pPr>
              <w:jc w:val="center"/>
              <w:rPr>
                <w:sz w:val="18"/>
                <w:szCs w:val="18"/>
              </w:rPr>
            </w:pPr>
            <w:r>
              <w:rPr>
                <w:sz w:val="18"/>
                <w:szCs w:val="18"/>
              </w:rPr>
              <w:t>0</w:t>
            </w:r>
          </w:p>
        </w:tc>
        <w:tc>
          <w:tcPr>
            <w:tcW w:w="0" w:type="auto"/>
          </w:tcPr>
          <w:p w14:paraId="1308F356" w14:textId="2343273F" w:rsidR="003A4CC2" w:rsidRPr="0034375A" w:rsidRDefault="009D6FFB" w:rsidP="003A4CC2">
            <w:pPr>
              <w:jc w:val="center"/>
              <w:rPr>
                <w:sz w:val="18"/>
                <w:szCs w:val="18"/>
              </w:rPr>
            </w:pPr>
            <w:r>
              <w:rPr>
                <w:sz w:val="18"/>
                <w:szCs w:val="18"/>
              </w:rPr>
              <w:t>0</w:t>
            </w:r>
          </w:p>
        </w:tc>
        <w:tc>
          <w:tcPr>
            <w:tcW w:w="0" w:type="auto"/>
          </w:tcPr>
          <w:p w14:paraId="596BEB47" w14:textId="62455F52" w:rsidR="003A4CC2" w:rsidRPr="0034375A" w:rsidRDefault="009D6FFB" w:rsidP="003A4CC2">
            <w:pPr>
              <w:jc w:val="center"/>
              <w:rPr>
                <w:sz w:val="18"/>
                <w:szCs w:val="18"/>
              </w:rPr>
            </w:pPr>
            <w:r>
              <w:rPr>
                <w:sz w:val="18"/>
                <w:szCs w:val="18"/>
              </w:rPr>
              <w:t>0</w:t>
            </w:r>
          </w:p>
        </w:tc>
        <w:tc>
          <w:tcPr>
            <w:tcW w:w="0" w:type="auto"/>
          </w:tcPr>
          <w:p w14:paraId="1C2DF61C" w14:textId="1A66B8EA" w:rsidR="003A4CC2" w:rsidRPr="0034375A" w:rsidRDefault="009D6FFB" w:rsidP="003A4CC2">
            <w:pPr>
              <w:jc w:val="center"/>
              <w:rPr>
                <w:sz w:val="18"/>
                <w:szCs w:val="18"/>
              </w:rPr>
            </w:pPr>
            <w:r>
              <w:rPr>
                <w:sz w:val="18"/>
                <w:szCs w:val="18"/>
              </w:rPr>
              <w:t>0</w:t>
            </w:r>
          </w:p>
        </w:tc>
        <w:tc>
          <w:tcPr>
            <w:tcW w:w="0" w:type="auto"/>
          </w:tcPr>
          <w:p w14:paraId="2A47588E" w14:textId="71D0A09A" w:rsidR="003A4CC2" w:rsidRPr="0034375A" w:rsidRDefault="009D6FFB" w:rsidP="003A4CC2">
            <w:pPr>
              <w:jc w:val="center"/>
              <w:rPr>
                <w:sz w:val="18"/>
                <w:szCs w:val="18"/>
              </w:rPr>
            </w:pPr>
            <w:r>
              <w:rPr>
                <w:sz w:val="18"/>
                <w:szCs w:val="18"/>
              </w:rPr>
              <w:t>0</w:t>
            </w:r>
          </w:p>
        </w:tc>
        <w:tc>
          <w:tcPr>
            <w:tcW w:w="0" w:type="auto"/>
          </w:tcPr>
          <w:p w14:paraId="0E1D04E6" w14:textId="6BAE2B9A" w:rsidR="003A4CC2" w:rsidRPr="0034375A" w:rsidRDefault="009D6FFB" w:rsidP="003A4CC2">
            <w:pPr>
              <w:jc w:val="center"/>
              <w:rPr>
                <w:sz w:val="18"/>
                <w:szCs w:val="18"/>
              </w:rPr>
            </w:pPr>
            <w:r>
              <w:rPr>
                <w:sz w:val="18"/>
                <w:szCs w:val="18"/>
              </w:rPr>
              <w:t>0</w:t>
            </w:r>
          </w:p>
        </w:tc>
        <w:tc>
          <w:tcPr>
            <w:tcW w:w="0" w:type="auto"/>
          </w:tcPr>
          <w:p w14:paraId="0A519FB5" w14:textId="13CBB64C" w:rsidR="003A4CC2" w:rsidRPr="0034375A" w:rsidRDefault="009D6FFB" w:rsidP="003A4CC2">
            <w:pPr>
              <w:jc w:val="center"/>
              <w:rPr>
                <w:sz w:val="18"/>
                <w:szCs w:val="18"/>
              </w:rPr>
            </w:pPr>
            <w:r>
              <w:rPr>
                <w:sz w:val="18"/>
                <w:szCs w:val="18"/>
              </w:rPr>
              <w:t>0</w:t>
            </w:r>
          </w:p>
        </w:tc>
      </w:tr>
      <w:tr w:rsidR="003A4CC2" w:rsidRPr="0034375A" w14:paraId="7C2B406E" w14:textId="77777777" w:rsidTr="00C676AB">
        <w:tc>
          <w:tcPr>
            <w:tcW w:w="0" w:type="auto"/>
          </w:tcPr>
          <w:p w14:paraId="61C50B2B" w14:textId="50836C93" w:rsidR="003A4CC2" w:rsidRPr="0034375A" w:rsidRDefault="003A4CC2" w:rsidP="003A4CC2">
            <w:pPr>
              <w:rPr>
                <w:sz w:val="18"/>
                <w:szCs w:val="18"/>
              </w:rPr>
            </w:pPr>
            <w:r w:rsidRPr="0034375A">
              <w:rPr>
                <w:sz w:val="18"/>
                <w:szCs w:val="18"/>
              </w:rPr>
              <w:t>Haas (2012)</w:t>
            </w:r>
            <w:r w:rsidR="00A75209" w:rsidRPr="0034375A">
              <w:rPr>
                <w:sz w:val="18"/>
                <w:szCs w:val="18"/>
              </w:rPr>
              <w:t xml:space="preserve"> </w:t>
            </w:r>
          </w:p>
        </w:tc>
        <w:tc>
          <w:tcPr>
            <w:tcW w:w="0" w:type="auto"/>
          </w:tcPr>
          <w:p w14:paraId="5F4A68BB" w14:textId="63EE2BC2" w:rsidR="003A4CC2" w:rsidRPr="0034375A" w:rsidRDefault="00224EEB" w:rsidP="003A4CC2">
            <w:pPr>
              <w:jc w:val="center"/>
              <w:rPr>
                <w:sz w:val="18"/>
                <w:szCs w:val="18"/>
              </w:rPr>
            </w:pPr>
            <w:r>
              <w:rPr>
                <w:sz w:val="18"/>
                <w:szCs w:val="18"/>
              </w:rPr>
              <w:t>0</w:t>
            </w:r>
          </w:p>
        </w:tc>
        <w:tc>
          <w:tcPr>
            <w:tcW w:w="0" w:type="auto"/>
          </w:tcPr>
          <w:p w14:paraId="44A0AE4B" w14:textId="4311A158" w:rsidR="003A4CC2" w:rsidRPr="0034375A" w:rsidRDefault="00224EEB" w:rsidP="003A4CC2">
            <w:pPr>
              <w:jc w:val="center"/>
              <w:rPr>
                <w:sz w:val="18"/>
                <w:szCs w:val="18"/>
              </w:rPr>
            </w:pPr>
            <w:r>
              <w:rPr>
                <w:sz w:val="18"/>
                <w:szCs w:val="18"/>
              </w:rPr>
              <w:t>0</w:t>
            </w:r>
          </w:p>
        </w:tc>
        <w:tc>
          <w:tcPr>
            <w:tcW w:w="0" w:type="auto"/>
          </w:tcPr>
          <w:p w14:paraId="634B3D59" w14:textId="16678E14" w:rsidR="003A4CC2" w:rsidRPr="0034375A" w:rsidRDefault="00224EEB" w:rsidP="003A4CC2">
            <w:pPr>
              <w:jc w:val="center"/>
              <w:rPr>
                <w:sz w:val="18"/>
                <w:szCs w:val="18"/>
              </w:rPr>
            </w:pPr>
            <w:r>
              <w:rPr>
                <w:sz w:val="18"/>
                <w:szCs w:val="18"/>
              </w:rPr>
              <w:t>0</w:t>
            </w:r>
          </w:p>
        </w:tc>
        <w:tc>
          <w:tcPr>
            <w:tcW w:w="0" w:type="auto"/>
          </w:tcPr>
          <w:p w14:paraId="587D71D2" w14:textId="1DC25854" w:rsidR="003A4CC2" w:rsidRPr="0034375A" w:rsidRDefault="00224EEB" w:rsidP="003A4CC2">
            <w:pPr>
              <w:jc w:val="center"/>
              <w:rPr>
                <w:sz w:val="18"/>
                <w:szCs w:val="18"/>
              </w:rPr>
            </w:pPr>
            <w:r>
              <w:rPr>
                <w:sz w:val="18"/>
                <w:szCs w:val="18"/>
              </w:rPr>
              <w:t>0</w:t>
            </w:r>
          </w:p>
        </w:tc>
        <w:tc>
          <w:tcPr>
            <w:tcW w:w="0" w:type="auto"/>
          </w:tcPr>
          <w:p w14:paraId="5F84741B" w14:textId="4089AD2E" w:rsidR="003A4CC2" w:rsidRPr="0034375A" w:rsidRDefault="00CA6B2B" w:rsidP="003A4CC2">
            <w:pPr>
              <w:jc w:val="center"/>
              <w:rPr>
                <w:sz w:val="18"/>
                <w:szCs w:val="18"/>
              </w:rPr>
            </w:pPr>
            <w:r>
              <w:rPr>
                <w:sz w:val="18"/>
                <w:szCs w:val="18"/>
              </w:rPr>
              <w:t>119</w:t>
            </w:r>
          </w:p>
        </w:tc>
        <w:tc>
          <w:tcPr>
            <w:tcW w:w="0" w:type="auto"/>
          </w:tcPr>
          <w:p w14:paraId="77672272" w14:textId="7CC5A5C8" w:rsidR="003A4CC2" w:rsidRPr="0034375A" w:rsidRDefault="00CA6B2B" w:rsidP="003A4CC2">
            <w:pPr>
              <w:jc w:val="center"/>
              <w:rPr>
                <w:sz w:val="18"/>
                <w:szCs w:val="18"/>
              </w:rPr>
            </w:pPr>
            <w:r>
              <w:rPr>
                <w:sz w:val="18"/>
                <w:szCs w:val="18"/>
              </w:rPr>
              <w:t>2</w:t>
            </w:r>
          </w:p>
        </w:tc>
        <w:tc>
          <w:tcPr>
            <w:tcW w:w="0" w:type="auto"/>
          </w:tcPr>
          <w:p w14:paraId="4AA16C2B" w14:textId="1C49DFE2" w:rsidR="003A4CC2" w:rsidRPr="0034375A" w:rsidRDefault="00CA6B2B" w:rsidP="003A4CC2">
            <w:pPr>
              <w:jc w:val="center"/>
              <w:rPr>
                <w:sz w:val="18"/>
                <w:szCs w:val="18"/>
              </w:rPr>
            </w:pPr>
            <w:r>
              <w:rPr>
                <w:sz w:val="18"/>
                <w:szCs w:val="18"/>
              </w:rPr>
              <w:t>123</w:t>
            </w:r>
          </w:p>
        </w:tc>
        <w:tc>
          <w:tcPr>
            <w:tcW w:w="0" w:type="auto"/>
          </w:tcPr>
          <w:p w14:paraId="2DBF9818" w14:textId="591E9BEB" w:rsidR="003A4CC2" w:rsidRPr="0034375A" w:rsidRDefault="00CA6B2B" w:rsidP="003A4CC2">
            <w:pPr>
              <w:jc w:val="center"/>
              <w:rPr>
                <w:sz w:val="18"/>
                <w:szCs w:val="18"/>
              </w:rPr>
            </w:pPr>
            <w:r>
              <w:rPr>
                <w:sz w:val="18"/>
                <w:szCs w:val="18"/>
              </w:rPr>
              <w:t>2</w:t>
            </w:r>
          </w:p>
        </w:tc>
        <w:tc>
          <w:tcPr>
            <w:tcW w:w="0" w:type="auto"/>
          </w:tcPr>
          <w:p w14:paraId="2A3AAED5" w14:textId="57E9025C" w:rsidR="003A4CC2" w:rsidRPr="0034375A" w:rsidRDefault="00CA6B2B" w:rsidP="003A4CC2">
            <w:pPr>
              <w:jc w:val="center"/>
              <w:rPr>
                <w:sz w:val="18"/>
                <w:szCs w:val="18"/>
              </w:rPr>
            </w:pPr>
            <w:r>
              <w:rPr>
                <w:sz w:val="18"/>
                <w:szCs w:val="18"/>
              </w:rPr>
              <w:t>82</w:t>
            </w:r>
          </w:p>
        </w:tc>
        <w:tc>
          <w:tcPr>
            <w:tcW w:w="0" w:type="auto"/>
          </w:tcPr>
          <w:p w14:paraId="2851DA40" w14:textId="210C765D" w:rsidR="003A4CC2" w:rsidRPr="0034375A" w:rsidRDefault="00CA6B2B" w:rsidP="003A4CC2">
            <w:pPr>
              <w:jc w:val="center"/>
              <w:rPr>
                <w:sz w:val="18"/>
                <w:szCs w:val="18"/>
              </w:rPr>
            </w:pPr>
            <w:r>
              <w:rPr>
                <w:sz w:val="18"/>
                <w:szCs w:val="18"/>
              </w:rPr>
              <w:t>5</w:t>
            </w:r>
          </w:p>
        </w:tc>
        <w:tc>
          <w:tcPr>
            <w:tcW w:w="0" w:type="auto"/>
          </w:tcPr>
          <w:p w14:paraId="672E9DEB" w14:textId="1B85CEDB" w:rsidR="003A4CC2" w:rsidRPr="0034375A" w:rsidRDefault="00CA6B2B" w:rsidP="003A4CC2">
            <w:pPr>
              <w:jc w:val="center"/>
              <w:rPr>
                <w:sz w:val="18"/>
                <w:szCs w:val="18"/>
              </w:rPr>
            </w:pPr>
            <w:r>
              <w:rPr>
                <w:sz w:val="18"/>
                <w:szCs w:val="18"/>
              </w:rPr>
              <w:t>90</w:t>
            </w:r>
          </w:p>
        </w:tc>
        <w:tc>
          <w:tcPr>
            <w:tcW w:w="0" w:type="auto"/>
          </w:tcPr>
          <w:p w14:paraId="026D23F4" w14:textId="775D59D5" w:rsidR="003A4CC2" w:rsidRPr="0034375A" w:rsidRDefault="00CA6B2B" w:rsidP="003A4CC2">
            <w:pPr>
              <w:jc w:val="center"/>
              <w:rPr>
                <w:sz w:val="18"/>
                <w:szCs w:val="18"/>
              </w:rPr>
            </w:pPr>
            <w:r>
              <w:rPr>
                <w:sz w:val="18"/>
                <w:szCs w:val="18"/>
              </w:rPr>
              <w:t>7</w:t>
            </w:r>
          </w:p>
        </w:tc>
        <w:tc>
          <w:tcPr>
            <w:tcW w:w="0" w:type="auto"/>
          </w:tcPr>
          <w:p w14:paraId="30090A7A" w14:textId="485C3254" w:rsidR="003A4CC2" w:rsidRPr="0034375A" w:rsidRDefault="00CA6B2B" w:rsidP="003A4CC2">
            <w:pPr>
              <w:jc w:val="center"/>
              <w:rPr>
                <w:sz w:val="18"/>
                <w:szCs w:val="18"/>
              </w:rPr>
            </w:pPr>
            <w:r>
              <w:rPr>
                <w:sz w:val="18"/>
                <w:szCs w:val="18"/>
              </w:rPr>
              <w:t>47</w:t>
            </w:r>
          </w:p>
        </w:tc>
        <w:tc>
          <w:tcPr>
            <w:tcW w:w="0" w:type="auto"/>
          </w:tcPr>
          <w:p w14:paraId="65E3C50F" w14:textId="1403A659" w:rsidR="003A4CC2" w:rsidRPr="0034375A" w:rsidRDefault="00CA6B2B" w:rsidP="003A4CC2">
            <w:pPr>
              <w:jc w:val="center"/>
              <w:rPr>
                <w:sz w:val="18"/>
                <w:szCs w:val="18"/>
              </w:rPr>
            </w:pPr>
            <w:r>
              <w:rPr>
                <w:sz w:val="18"/>
                <w:szCs w:val="18"/>
              </w:rPr>
              <w:t>0</w:t>
            </w:r>
          </w:p>
        </w:tc>
        <w:tc>
          <w:tcPr>
            <w:tcW w:w="0" w:type="auto"/>
          </w:tcPr>
          <w:p w14:paraId="6E0BC004" w14:textId="12851BD5" w:rsidR="003A4CC2" w:rsidRPr="0034375A" w:rsidRDefault="00CA6B2B" w:rsidP="003A4CC2">
            <w:pPr>
              <w:jc w:val="center"/>
              <w:rPr>
                <w:sz w:val="18"/>
                <w:szCs w:val="18"/>
              </w:rPr>
            </w:pPr>
            <w:r>
              <w:rPr>
                <w:sz w:val="18"/>
                <w:szCs w:val="18"/>
              </w:rPr>
              <w:t>32</w:t>
            </w:r>
          </w:p>
        </w:tc>
        <w:tc>
          <w:tcPr>
            <w:tcW w:w="0" w:type="auto"/>
          </w:tcPr>
          <w:p w14:paraId="53D2450D" w14:textId="178977E6" w:rsidR="003A4CC2" w:rsidRPr="0034375A" w:rsidRDefault="00CA6B2B" w:rsidP="003A4CC2">
            <w:pPr>
              <w:jc w:val="center"/>
              <w:rPr>
                <w:sz w:val="18"/>
                <w:szCs w:val="18"/>
              </w:rPr>
            </w:pPr>
            <w:r>
              <w:rPr>
                <w:sz w:val="18"/>
                <w:szCs w:val="18"/>
              </w:rPr>
              <w:t>1</w:t>
            </w:r>
          </w:p>
        </w:tc>
        <w:tc>
          <w:tcPr>
            <w:tcW w:w="0" w:type="auto"/>
          </w:tcPr>
          <w:p w14:paraId="44AFD745" w14:textId="0FC96AE7" w:rsidR="003A4CC2" w:rsidRPr="0034375A" w:rsidRDefault="00CA6B2B" w:rsidP="003A4CC2">
            <w:pPr>
              <w:jc w:val="center"/>
              <w:rPr>
                <w:sz w:val="18"/>
                <w:szCs w:val="18"/>
              </w:rPr>
            </w:pPr>
            <w:r>
              <w:rPr>
                <w:sz w:val="18"/>
                <w:szCs w:val="18"/>
              </w:rPr>
              <w:t>7</w:t>
            </w:r>
          </w:p>
        </w:tc>
        <w:tc>
          <w:tcPr>
            <w:tcW w:w="0" w:type="auto"/>
          </w:tcPr>
          <w:p w14:paraId="28E239D9" w14:textId="3D16EA2C" w:rsidR="003A4CC2" w:rsidRPr="0034375A" w:rsidRDefault="00CA6B2B" w:rsidP="003A4CC2">
            <w:pPr>
              <w:jc w:val="center"/>
              <w:rPr>
                <w:sz w:val="18"/>
                <w:szCs w:val="18"/>
              </w:rPr>
            </w:pPr>
            <w:r>
              <w:rPr>
                <w:sz w:val="18"/>
                <w:szCs w:val="18"/>
              </w:rPr>
              <w:t>0</w:t>
            </w:r>
          </w:p>
        </w:tc>
        <w:tc>
          <w:tcPr>
            <w:tcW w:w="0" w:type="auto"/>
          </w:tcPr>
          <w:p w14:paraId="09D21420" w14:textId="4BCAD6F0" w:rsidR="003A4CC2" w:rsidRPr="0034375A" w:rsidRDefault="00CA6B2B" w:rsidP="003A4CC2">
            <w:pPr>
              <w:jc w:val="center"/>
              <w:rPr>
                <w:sz w:val="18"/>
                <w:szCs w:val="18"/>
              </w:rPr>
            </w:pPr>
            <w:r>
              <w:rPr>
                <w:sz w:val="18"/>
                <w:szCs w:val="18"/>
              </w:rPr>
              <w:t>11</w:t>
            </w:r>
          </w:p>
        </w:tc>
        <w:tc>
          <w:tcPr>
            <w:tcW w:w="0" w:type="auto"/>
          </w:tcPr>
          <w:p w14:paraId="5B5ABE61" w14:textId="3FA48237" w:rsidR="003A4CC2" w:rsidRPr="0034375A" w:rsidRDefault="00CA6B2B" w:rsidP="003A4CC2">
            <w:pPr>
              <w:jc w:val="center"/>
              <w:rPr>
                <w:sz w:val="18"/>
                <w:szCs w:val="18"/>
              </w:rPr>
            </w:pPr>
            <w:r>
              <w:rPr>
                <w:sz w:val="18"/>
                <w:szCs w:val="18"/>
              </w:rPr>
              <w:t>0</w:t>
            </w:r>
          </w:p>
        </w:tc>
        <w:tc>
          <w:tcPr>
            <w:tcW w:w="0" w:type="auto"/>
          </w:tcPr>
          <w:p w14:paraId="43467644" w14:textId="25244755" w:rsidR="003A4CC2" w:rsidRPr="0034375A" w:rsidRDefault="00CA6B2B" w:rsidP="003A4CC2">
            <w:pPr>
              <w:jc w:val="center"/>
              <w:rPr>
                <w:sz w:val="18"/>
                <w:szCs w:val="18"/>
              </w:rPr>
            </w:pPr>
            <w:r>
              <w:rPr>
                <w:sz w:val="18"/>
                <w:szCs w:val="18"/>
              </w:rPr>
              <w:t>0</w:t>
            </w:r>
          </w:p>
        </w:tc>
        <w:tc>
          <w:tcPr>
            <w:tcW w:w="0" w:type="auto"/>
          </w:tcPr>
          <w:p w14:paraId="0133DF2E" w14:textId="7BD14910" w:rsidR="003A4CC2" w:rsidRPr="0034375A" w:rsidRDefault="00CA6B2B" w:rsidP="003A4CC2">
            <w:pPr>
              <w:jc w:val="center"/>
              <w:rPr>
                <w:sz w:val="18"/>
                <w:szCs w:val="18"/>
              </w:rPr>
            </w:pPr>
            <w:r>
              <w:rPr>
                <w:sz w:val="18"/>
                <w:szCs w:val="18"/>
              </w:rPr>
              <w:t>0</w:t>
            </w:r>
          </w:p>
        </w:tc>
        <w:tc>
          <w:tcPr>
            <w:tcW w:w="0" w:type="auto"/>
          </w:tcPr>
          <w:p w14:paraId="3E059E56" w14:textId="26ECEC11" w:rsidR="003A4CC2" w:rsidRPr="0034375A" w:rsidRDefault="00CA6B2B" w:rsidP="003A4CC2">
            <w:pPr>
              <w:jc w:val="center"/>
              <w:rPr>
                <w:sz w:val="18"/>
                <w:szCs w:val="18"/>
              </w:rPr>
            </w:pPr>
            <w:r>
              <w:rPr>
                <w:sz w:val="18"/>
                <w:szCs w:val="18"/>
              </w:rPr>
              <w:t>0</w:t>
            </w:r>
          </w:p>
        </w:tc>
        <w:tc>
          <w:tcPr>
            <w:tcW w:w="0" w:type="auto"/>
          </w:tcPr>
          <w:p w14:paraId="78980CAD" w14:textId="6A290863" w:rsidR="003A4CC2" w:rsidRPr="0034375A" w:rsidRDefault="00CA6B2B" w:rsidP="003A4CC2">
            <w:pPr>
              <w:jc w:val="center"/>
              <w:rPr>
                <w:sz w:val="18"/>
                <w:szCs w:val="18"/>
              </w:rPr>
            </w:pPr>
            <w:r>
              <w:rPr>
                <w:sz w:val="18"/>
                <w:szCs w:val="18"/>
              </w:rPr>
              <w:t>0</w:t>
            </w:r>
          </w:p>
        </w:tc>
      </w:tr>
      <w:tr w:rsidR="003A4CC2" w:rsidRPr="0034375A" w14:paraId="2DE9A5FE" w14:textId="77777777" w:rsidTr="00C676AB">
        <w:tc>
          <w:tcPr>
            <w:tcW w:w="0" w:type="auto"/>
          </w:tcPr>
          <w:p w14:paraId="2253B845" w14:textId="4A8D6299" w:rsidR="003A4CC2" w:rsidRPr="0034375A" w:rsidRDefault="003A4CC2" w:rsidP="003A4CC2">
            <w:pPr>
              <w:rPr>
                <w:sz w:val="18"/>
                <w:szCs w:val="18"/>
              </w:rPr>
            </w:pPr>
            <w:r w:rsidRPr="0034375A">
              <w:rPr>
                <w:sz w:val="18"/>
                <w:szCs w:val="18"/>
              </w:rPr>
              <w:t>Lecumberri (2013)</w:t>
            </w:r>
            <w:r w:rsidR="00A75209" w:rsidRPr="0034375A">
              <w:rPr>
                <w:sz w:val="18"/>
                <w:szCs w:val="18"/>
              </w:rPr>
              <w:t xml:space="preserve"> </w:t>
            </w:r>
          </w:p>
        </w:tc>
        <w:tc>
          <w:tcPr>
            <w:tcW w:w="0" w:type="auto"/>
          </w:tcPr>
          <w:p w14:paraId="00D0EFBC" w14:textId="34F3A8C8" w:rsidR="003A4CC2" w:rsidRPr="0034375A" w:rsidRDefault="006177D7" w:rsidP="003A4CC2">
            <w:pPr>
              <w:jc w:val="center"/>
              <w:rPr>
                <w:sz w:val="18"/>
                <w:szCs w:val="18"/>
              </w:rPr>
            </w:pPr>
            <w:r>
              <w:rPr>
                <w:sz w:val="18"/>
                <w:szCs w:val="18"/>
              </w:rPr>
              <w:t>0</w:t>
            </w:r>
          </w:p>
        </w:tc>
        <w:tc>
          <w:tcPr>
            <w:tcW w:w="0" w:type="auto"/>
          </w:tcPr>
          <w:p w14:paraId="6A89A968" w14:textId="029ECAC4" w:rsidR="003A4CC2" w:rsidRPr="0034375A" w:rsidRDefault="006177D7" w:rsidP="003A4CC2">
            <w:pPr>
              <w:jc w:val="center"/>
              <w:rPr>
                <w:sz w:val="18"/>
                <w:szCs w:val="18"/>
              </w:rPr>
            </w:pPr>
            <w:r>
              <w:rPr>
                <w:sz w:val="18"/>
                <w:szCs w:val="18"/>
              </w:rPr>
              <w:t>0</w:t>
            </w:r>
          </w:p>
        </w:tc>
        <w:tc>
          <w:tcPr>
            <w:tcW w:w="0" w:type="auto"/>
          </w:tcPr>
          <w:p w14:paraId="3E34D7C5" w14:textId="34571C76" w:rsidR="003A4CC2" w:rsidRPr="0034375A" w:rsidRDefault="006177D7" w:rsidP="003A4CC2">
            <w:pPr>
              <w:jc w:val="center"/>
              <w:rPr>
                <w:sz w:val="18"/>
                <w:szCs w:val="18"/>
              </w:rPr>
            </w:pPr>
            <w:r>
              <w:rPr>
                <w:sz w:val="18"/>
                <w:szCs w:val="18"/>
              </w:rPr>
              <w:t>0</w:t>
            </w:r>
          </w:p>
        </w:tc>
        <w:tc>
          <w:tcPr>
            <w:tcW w:w="0" w:type="auto"/>
          </w:tcPr>
          <w:p w14:paraId="0C466F78" w14:textId="540E0480" w:rsidR="003A4CC2" w:rsidRPr="0034375A" w:rsidRDefault="006177D7" w:rsidP="003A4CC2">
            <w:pPr>
              <w:jc w:val="center"/>
              <w:rPr>
                <w:sz w:val="18"/>
                <w:szCs w:val="18"/>
              </w:rPr>
            </w:pPr>
            <w:r>
              <w:rPr>
                <w:sz w:val="18"/>
                <w:szCs w:val="18"/>
              </w:rPr>
              <w:t>0</w:t>
            </w:r>
          </w:p>
        </w:tc>
        <w:tc>
          <w:tcPr>
            <w:tcW w:w="0" w:type="auto"/>
          </w:tcPr>
          <w:p w14:paraId="052F0C57" w14:textId="49E21107" w:rsidR="003A4CC2" w:rsidRPr="0034375A" w:rsidRDefault="006177D7" w:rsidP="003A4CC2">
            <w:pPr>
              <w:jc w:val="center"/>
              <w:rPr>
                <w:sz w:val="18"/>
                <w:szCs w:val="18"/>
              </w:rPr>
            </w:pPr>
            <w:r>
              <w:rPr>
                <w:sz w:val="18"/>
                <w:szCs w:val="18"/>
              </w:rPr>
              <w:t>10</w:t>
            </w:r>
          </w:p>
        </w:tc>
        <w:tc>
          <w:tcPr>
            <w:tcW w:w="0" w:type="auto"/>
          </w:tcPr>
          <w:p w14:paraId="78F90C7D" w14:textId="00B42046" w:rsidR="003A4CC2" w:rsidRPr="0034375A" w:rsidRDefault="006177D7" w:rsidP="003A4CC2">
            <w:pPr>
              <w:jc w:val="center"/>
              <w:rPr>
                <w:sz w:val="18"/>
                <w:szCs w:val="18"/>
              </w:rPr>
            </w:pPr>
            <w:r>
              <w:rPr>
                <w:sz w:val="18"/>
                <w:szCs w:val="18"/>
              </w:rPr>
              <w:t>0</w:t>
            </w:r>
          </w:p>
        </w:tc>
        <w:tc>
          <w:tcPr>
            <w:tcW w:w="0" w:type="auto"/>
          </w:tcPr>
          <w:p w14:paraId="05612208" w14:textId="1946D208" w:rsidR="003A4CC2" w:rsidRPr="0034375A" w:rsidRDefault="006177D7" w:rsidP="003A4CC2">
            <w:pPr>
              <w:jc w:val="center"/>
              <w:rPr>
                <w:sz w:val="18"/>
                <w:szCs w:val="18"/>
              </w:rPr>
            </w:pPr>
            <w:r>
              <w:rPr>
                <w:sz w:val="18"/>
                <w:szCs w:val="18"/>
              </w:rPr>
              <w:t>9</w:t>
            </w:r>
          </w:p>
        </w:tc>
        <w:tc>
          <w:tcPr>
            <w:tcW w:w="0" w:type="auto"/>
          </w:tcPr>
          <w:p w14:paraId="7A6341E1" w14:textId="4CF44404" w:rsidR="003A4CC2" w:rsidRPr="0034375A" w:rsidRDefault="006177D7" w:rsidP="003A4CC2">
            <w:pPr>
              <w:jc w:val="center"/>
              <w:rPr>
                <w:sz w:val="18"/>
                <w:szCs w:val="18"/>
              </w:rPr>
            </w:pPr>
            <w:r>
              <w:rPr>
                <w:sz w:val="18"/>
                <w:szCs w:val="18"/>
              </w:rPr>
              <w:t>0</w:t>
            </w:r>
          </w:p>
        </w:tc>
        <w:tc>
          <w:tcPr>
            <w:tcW w:w="0" w:type="auto"/>
          </w:tcPr>
          <w:p w14:paraId="4CE33EB0" w14:textId="51E21AE4" w:rsidR="003A4CC2" w:rsidRPr="0034375A" w:rsidRDefault="006177D7" w:rsidP="003A4CC2">
            <w:pPr>
              <w:jc w:val="center"/>
              <w:rPr>
                <w:sz w:val="18"/>
                <w:szCs w:val="18"/>
              </w:rPr>
            </w:pPr>
            <w:r>
              <w:rPr>
                <w:sz w:val="18"/>
                <w:szCs w:val="18"/>
              </w:rPr>
              <w:t>6</w:t>
            </w:r>
          </w:p>
        </w:tc>
        <w:tc>
          <w:tcPr>
            <w:tcW w:w="0" w:type="auto"/>
          </w:tcPr>
          <w:p w14:paraId="44E8B9C8" w14:textId="6A2E7F48" w:rsidR="003A4CC2" w:rsidRPr="0034375A" w:rsidRDefault="006177D7" w:rsidP="003A4CC2">
            <w:pPr>
              <w:jc w:val="center"/>
              <w:rPr>
                <w:sz w:val="18"/>
                <w:szCs w:val="18"/>
              </w:rPr>
            </w:pPr>
            <w:r>
              <w:rPr>
                <w:sz w:val="18"/>
                <w:szCs w:val="18"/>
              </w:rPr>
              <w:t>0</w:t>
            </w:r>
          </w:p>
        </w:tc>
        <w:tc>
          <w:tcPr>
            <w:tcW w:w="0" w:type="auto"/>
          </w:tcPr>
          <w:p w14:paraId="2F2C1150" w14:textId="14D5E0EC" w:rsidR="003A4CC2" w:rsidRPr="0034375A" w:rsidRDefault="006177D7" w:rsidP="003A4CC2">
            <w:pPr>
              <w:jc w:val="center"/>
              <w:rPr>
                <w:sz w:val="18"/>
                <w:szCs w:val="18"/>
              </w:rPr>
            </w:pPr>
            <w:r>
              <w:rPr>
                <w:sz w:val="18"/>
                <w:szCs w:val="18"/>
              </w:rPr>
              <w:t>9</w:t>
            </w:r>
          </w:p>
        </w:tc>
        <w:tc>
          <w:tcPr>
            <w:tcW w:w="0" w:type="auto"/>
          </w:tcPr>
          <w:p w14:paraId="48A0F3DE" w14:textId="6C22898F" w:rsidR="003A4CC2" w:rsidRPr="0034375A" w:rsidRDefault="006177D7" w:rsidP="003A4CC2">
            <w:pPr>
              <w:jc w:val="center"/>
              <w:rPr>
                <w:sz w:val="18"/>
                <w:szCs w:val="18"/>
              </w:rPr>
            </w:pPr>
            <w:r>
              <w:rPr>
                <w:sz w:val="18"/>
                <w:szCs w:val="18"/>
              </w:rPr>
              <w:t>0</w:t>
            </w:r>
          </w:p>
        </w:tc>
        <w:tc>
          <w:tcPr>
            <w:tcW w:w="0" w:type="auto"/>
          </w:tcPr>
          <w:p w14:paraId="61B86244" w14:textId="04042C43" w:rsidR="003A4CC2" w:rsidRPr="0034375A" w:rsidRDefault="006177D7" w:rsidP="003A4CC2">
            <w:pPr>
              <w:jc w:val="center"/>
              <w:rPr>
                <w:sz w:val="18"/>
                <w:szCs w:val="18"/>
              </w:rPr>
            </w:pPr>
            <w:r>
              <w:rPr>
                <w:sz w:val="18"/>
                <w:szCs w:val="18"/>
              </w:rPr>
              <w:t>1</w:t>
            </w:r>
          </w:p>
        </w:tc>
        <w:tc>
          <w:tcPr>
            <w:tcW w:w="0" w:type="auto"/>
          </w:tcPr>
          <w:p w14:paraId="799EA3A4" w14:textId="2F22BCD0" w:rsidR="003A4CC2" w:rsidRPr="0034375A" w:rsidRDefault="006177D7" w:rsidP="003A4CC2">
            <w:pPr>
              <w:jc w:val="center"/>
              <w:rPr>
                <w:sz w:val="18"/>
                <w:szCs w:val="18"/>
              </w:rPr>
            </w:pPr>
            <w:r>
              <w:rPr>
                <w:sz w:val="18"/>
                <w:szCs w:val="18"/>
              </w:rPr>
              <w:t>1</w:t>
            </w:r>
          </w:p>
        </w:tc>
        <w:tc>
          <w:tcPr>
            <w:tcW w:w="0" w:type="auto"/>
          </w:tcPr>
          <w:p w14:paraId="55F8BBB8" w14:textId="62B2536C" w:rsidR="003A4CC2" w:rsidRPr="0034375A" w:rsidRDefault="006177D7" w:rsidP="003A4CC2">
            <w:pPr>
              <w:jc w:val="center"/>
              <w:rPr>
                <w:sz w:val="18"/>
                <w:szCs w:val="18"/>
              </w:rPr>
            </w:pPr>
            <w:r>
              <w:rPr>
                <w:sz w:val="18"/>
                <w:szCs w:val="18"/>
              </w:rPr>
              <w:t>2</w:t>
            </w:r>
          </w:p>
        </w:tc>
        <w:tc>
          <w:tcPr>
            <w:tcW w:w="0" w:type="auto"/>
          </w:tcPr>
          <w:p w14:paraId="42466679" w14:textId="6E374A98" w:rsidR="003A4CC2" w:rsidRPr="0034375A" w:rsidRDefault="006177D7" w:rsidP="003A4CC2">
            <w:pPr>
              <w:jc w:val="center"/>
              <w:rPr>
                <w:sz w:val="18"/>
                <w:szCs w:val="18"/>
              </w:rPr>
            </w:pPr>
            <w:r>
              <w:rPr>
                <w:sz w:val="18"/>
                <w:szCs w:val="18"/>
              </w:rPr>
              <w:t>0</w:t>
            </w:r>
          </w:p>
        </w:tc>
        <w:tc>
          <w:tcPr>
            <w:tcW w:w="0" w:type="auto"/>
          </w:tcPr>
          <w:p w14:paraId="21D607A0" w14:textId="5A35ACCB" w:rsidR="003A4CC2" w:rsidRPr="0034375A" w:rsidRDefault="006177D7" w:rsidP="003A4CC2">
            <w:pPr>
              <w:jc w:val="center"/>
              <w:rPr>
                <w:sz w:val="18"/>
                <w:szCs w:val="18"/>
              </w:rPr>
            </w:pPr>
            <w:r>
              <w:rPr>
                <w:sz w:val="18"/>
                <w:szCs w:val="18"/>
              </w:rPr>
              <w:t>0</w:t>
            </w:r>
          </w:p>
        </w:tc>
        <w:tc>
          <w:tcPr>
            <w:tcW w:w="0" w:type="auto"/>
          </w:tcPr>
          <w:p w14:paraId="2AEF4C89" w14:textId="5832C016" w:rsidR="003A4CC2" w:rsidRPr="0034375A" w:rsidRDefault="006177D7" w:rsidP="003A4CC2">
            <w:pPr>
              <w:jc w:val="center"/>
              <w:rPr>
                <w:sz w:val="18"/>
                <w:szCs w:val="18"/>
              </w:rPr>
            </w:pPr>
            <w:r>
              <w:rPr>
                <w:sz w:val="18"/>
                <w:szCs w:val="18"/>
              </w:rPr>
              <w:t>0</w:t>
            </w:r>
          </w:p>
        </w:tc>
        <w:tc>
          <w:tcPr>
            <w:tcW w:w="0" w:type="auto"/>
          </w:tcPr>
          <w:p w14:paraId="3957DB38" w14:textId="2DFFEBC1" w:rsidR="003A4CC2" w:rsidRPr="0034375A" w:rsidRDefault="006177D7" w:rsidP="003A4CC2">
            <w:pPr>
              <w:jc w:val="center"/>
              <w:rPr>
                <w:sz w:val="18"/>
                <w:szCs w:val="18"/>
              </w:rPr>
            </w:pPr>
            <w:r>
              <w:rPr>
                <w:sz w:val="18"/>
                <w:szCs w:val="18"/>
              </w:rPr>
              <w:t>0</w:t>
            </w:r>
          </w:p>
        </w:tc>
        <w:tc>
          <w:tcPr>
            <w:tcW w:w="0" w:type="auto"/>
          </w:tcPr>
          <w:p w14:paraId="7A81B6B3" w14:textId="4E0403D5" w:rsidR="003A4CC2" w:rsidRPr="0034375A" w:rsidRDefault="006177D7" w:rsidP="003A4CC2">
            <w:pPr>
              <w:jc w:val="center"/>
              <w:rPr>
                <w:sz w:val="18"/>
                <w:szCs w:val="18"/>
              </w:rPr>
            </w:pPr>
            <w:r>
              <w:rPr>
                <w:sz w:val="18"/>
                <w:szCs w:val="18"/>
              </w:rPr>
              <w:t>0</w:t>
            </w:r>
          </w:p>
        </w:tc>
        <w:tc>
          <w:tcPr>
            <w:tcW w:w="0" w:type="auto"/>
          </w:tcPr>
          <w:p w14:paraId="5D4AFC8B" w14:textId="0B13EF7A" w:rsidR="003A4CC2" w:rsidRPr="0034375A" w:rsidRDefault="006177D7" w:rsidP="003A4CC2">
            <w:pPr>
              <w:jc w:val="center"/>
              <w:rPr>
                <w:sz w:val="18"/>
                <w:szCs w:val="18"/>
              </w:rPr>
            </w:pPr>
            <w:r>
              <w:rPr>
                <w:sz w:val="18"/>
                <w:szCs w:val="18"/>
              </w:rPr>
              <w:t>0</w:t>
            </w:r>
          </w:p>
        </w:tc>
        <w:tc>
          <w:tcPr>
            <w:tcW w:w="0" w:type="auto"/>
          </w:tcPr>
          <w:p w14:paraId="20C742BB" w14:textId="16D6E0C8" w:rsidR="003A4CC2" w:rsidRPr="0034375A" w:rsidRDefault="006177D7" w:rsidP="003A4CC2">
            <w:pPr>
              <w:jc w:val="center"/>
              <w:rPr>
                <w:sz w:val="18"/>
                <w:szCs w:val="18"/>
              </w:rPr>
            </w:pPr>
            <w:r>
              <w:rPr>
                <w:sz w:val="18"/>
                <w:szCs w:val="18"/>
              </w:rPr>
              <w:t>0</w:t>
            </w:r>
          </w:p>
        </w:tc>
        <w:tc>
          <w:tcPr>
            <w:tcW w:w="0" w:type="auto"/>
          </w:tcPr>
          <w:p w14:paraId="1757B86F" w14:textId="4C7A1ABE" w:rsidR="003A4CC2" w:rsidRPr="0034375A" w:rsidRDefault="006177D7" w:rsidP="003A4CC2">
            <w:pPr>
              <w:jc w:val="center"/>
              <w:rPr>
                <w:sz w:val="18"/>
                <w:szCs w:val="18"/>
              </w:rPr>
            </w:pPr>
            <w:r>
              <w:rPr>
                <w:sz w:val="18"/>
                <w:szCs w:val="18"/>
              </w:rPr>
              <w:t>0</w:t>
            </w:r>
          </w:p>
        </w:tc>
        <w:tc>
          <w:tcPr>
            <w:tcW w:w="0" w:type="auto"/>
          </w:tcPr>
          <w:p w14:paraId="1B4B2C27" w14:textId="0360CCCF" w:rsidR="003A4CC2" w:rsidRPr="0034375A" w:rsidRDefault="006177D7" w:rsidP="003A4CC2">
            <w:pPr>
              <w:jc w:val="center"/>
              <w:rPr>
                <w:sz w:val="18"/>
                <w:szCs w:val="18"/>
              </w:rPr>
            </w:pPr>
            <w:r>
              <w:rPr>
                <w:sz w:val="18"/>
                <w:szCs w:val="18"/>
              </w:rPr>
              <w:t>0</w:t>
            </w:r>
          </w:p>
        </w:tc>
      </w:tr>
      <w:tr w:rsidR="00E7528D" w:rsidRPr="0034375A" w14:paraId="7990FE84" w14:textId="77777777" w:rsidTr="00C676AB">
        <w:tc>
          <w:tcPr>
            <w:tcW w:w="0" w:type="auto"/>
          </w:tcPr>
          <w:p w14:paraId="7791C23C" w14:textId="797D7DE1" w:rsidR="00E7528D" w:rsidRPr="0034375A" w:rsidRDefault="00E7528D" w:rsidP="00E7528D">
            <w:pPr>
              <w:rPr>
                <w:sz w:val="18"/>
                <w:szCs w:val="18"/>
              </w:rPr>
            </w:pPr>
            <w:r w:rsidRPr="0034375A">
              <w:rPr>
                <w:sz w:val="18"/>
                <w:szCs w:val="18"/>
              </w:rPr>
              <w:t>Macbeth (2015)</w:t>
            </w:r>
            <w:r w:rsidR="00A75209" w:rsidRPr="0034375A">
              <w:rPr>
                <w:sz w:val="18"/>
                <w:szCs w:val="18"/>
              </w:rPr>
              <w:t xml:space="preserve"> </w:t>
            </w:r>
          </w:p>
        </w:tc>
        <w:tc>
          <w:tcPr>
            <w:tcW w:w="0" w:type="auto"/>
          </w:tcPr>
          <w:p w14:paraId="2DD56425" w14:textId="0B099C5B" w:rsidR="00E7528D" w:rsidRPr="0034375A" w:rsidRDefault="00E7528D" w:rsidP="00E7528D">
            <w:pPr>
              <w:jc w:val="center"/>
              <w:rPr>
                <w:sz w:val="18"/>
                <w:szCs w:val="18"/>
              </w:rPr>
            </w:pPr>
            <w:r>
              <w:rPr>
                <w:sz w:val="18"/>
                <w:szCs w:val="18"/>
              </w:rPr>
              <w:t>0</w:t>
            </w:r>
          </w:p>
        </w:tc>
        <w:tc>
          <w:tcPr>
            <w:tcW w:w="0" w:type="auto"/>
          </w:tcPr>
          <w:p w14:paraId="6E6FAC17" w14:textId="0ABFFC8B" w:rsidR="00E7528D" w:rsidRPr="0034375A" w:rsidRDefault="00E7528D" w:rsidP="00E7528D">
            <w:pPr>
              <w:jc w:val="center"/>
              <w:rPr>
                <w:sz w:val="18"/>
                <w:szCs w:val="18"/>
              </w:rPr>
            </w:pPr>
            <w:r>
              <w:rPr>
                <w:sz w:val="18"/>
                <w:szCs w:val="18"/>
              </w:rPr>
              <w:t>0</w:t>
            </w:r>
          </w:p>
        </w:tc>
        <w:tc>
          <w:tcPr>
            <w:tcW w:w="0" w:type="auto"/>
          </w:tcPr>
          <w:p w14:paraId="4D29E797" w14:textId="02481DCB" w:rsidR="00E7528D" w:rsidRPr="0034375A" w:rsidRDefault="00E7528D" w:rsidP="00E7528D">
            <w:pPr>
              <w:jc w:val="center"/>
              <w:rPr>
                <w:sz w:val="18"/>
                <w:szCs w:val="18"/>
              </w:rPr>
            </w:pPr>
            <w:r>
              <w:rPr>
                <w:sz w:val="18"/>
                <w:szCs w:val="18"/>
              </w:rPr>
              <w:t>0</w:t>
            </w:r>
          </w:p>
        </w:tc>
        <w:tc>
          <w:tcPr>
            <w:tcW w:w="0" w:type="auto"/>
          </w:tcPr>
          <w:p w14:paraId="5BA661CC" w14:textId="23AB9830" w:rsidR="00E7528D" w:rsidRPr="0034375A" w:rsidRDefault="00E7528D" w:rsidP="00E7528D">
            <w:pPr>
              <w:jc w:val="center"/>
              <w:rPr>
                <w:sz w:val="18"/>
                <w:szCs w:val="18"/>
              </w:rPr>
            </w:pPr>
            <w:r>
              <w:rPr>
                <w:sz w:val="18"/>
                <w:szCs w:val="18"/>
              </w:rPr>
              <w:t>0</w:t>
            </w:r>
          </w:p>
        </w:tc>
        <w:tc>
          <w:tcPr>
            <w:tcW w:w="0" w:type="auto"/>
          </w:tcPr>
          <w:p w14:paraId="1902B610" w14:textId="0C5EDC75" w:rsidR="00E7528D" w:rsidRPr="0034375A" w:rsidRDefault="00E7528D" w:rsidP="00E7528D">
            <w:pPr>
              <w:jc w:val="center"/>
              <w:rPr>
                <w:sz w:val="18"/>
                <w:szCs w:val="18"/>
              </w:rPr>
            </w:pPr>
            <w:r>
              <w:rPr>
                <w:sz w:val="18"/>
                <w:szCs w:val="18"/>
              </w:rPr>
              <w:t>375</w:t>
            </w:r>
          </w:p>
        </w:tc>
        <w:tc>
          <w:tcPr>
            <w:tcW w:w="0" w:type="auto"/>
          </w:tcPr>
          <w:p w14:paraId="180F4D52" w14:textId="2E3C200A" w:rsidR="00E7528D" w:rsidRPr="0034375A" w:rsidRDefault="00E7528D" w:rsidP="00E7528D">
            <w:pPr>
              <w:jc w:val="center"/>
              <w:rPr>
                <w:sz w:val="18"/>
                <w:szCs w:val="18"/>
              </w:rPr>
            </w:pPr>
            <w:r>
              <w:rPr>
                <w:sz w:val="18"/>
                <w:szCs w:val="18"/>
              </w:rPr>
              <w:t>4</w:t>
            </w:r>
          </w:p>
        </w:tc>
        <w:tc>
          <w:tcPr>
            <w:tcW w:w="0" w:type="auto"/>
          </w:tcPr>
          <w:p w14:paraId="1E15FD89" w14:textId="53A5E790" w:rsidR="00E7528D" w:rsidRPr="0034375A" w:rsidRDefault="00E7528D" w:rsidP="00E7528D">
            <w:pPr>
              <w:jc w:val="center"/>
              <w:rPr>
                <w:sz w:val="18"/>
                <w:szCs w:val="18"/>
              </w:rPr>
            </w:pPr>
            <w:r>
              <w:rPr>
                <w:sz w:val="18"/>
                <w:szCs w:val="18"/>
              </w:rPr>
              <w:t>405</w:t>
            </w:r>
          </w:p>
        </w:tc>
        <w:tc>
          <w:tcPr>
            <w:tcW w:w="0" w:type="auto"/>
          </w:tcPr>
          <w:p w14:paraId="4CAC33D4" w14:textId="1EB1678A" w:rsidR="00E7528D" w:rsidRPr="0034375A" w:rsidRDefault="00E7528D" w:rsidP="00E7528D">
            <w:pPr>
              <w:jc w:val="center"/>
              <w:rPr>
                <w:sz w:val="18"/>
                <w:szCs w:val="18"/>
              </w:rPr>
            </w:pPr>
            <w:r>
              <w:rPr>
                <w:sz w:val="18"/>
                <w:szCs w:val="18"/>
              </w:rPr>
              <w:t>9</w:t>
            </w:r>
          </w:p>
        </w:tc>
        <w:tc>
          <w:tcPr>
            <w:tcW w:w="0" w:type="auto"/>
          </w:tcPr>
          <w:p w14:paraId="054D3BAA" w14:textId="16DDE603" w:rsidR="00E7528D" w:rsidRPr="0034375A" w:rsidRDefault="00E7528D" w:rsidP="00E7528D">
            <w:pPr>
              <w:jc w:val="center"/>
              <w:rPr>
                <w:sz w:val="18"/>
                <w:szCs w:val="18"/>
              </w:rPr>
            </w:pPr>
            <w:r>
              <w:rPr>
                <w:sz w:val="18"/>
                <w:szCs w:val="18"/>
              </w:rPr>
              <w:t>377</w:t>
            </w:r>
          </w:p>
        </w:tc>
        <w:tc>
          <w:tcPr>
            <w:tcW w:w="0" w:type="auto"/>
          </w:tcPr>
          <w:p w14:paraId="7EF68E98" w14:textId="59CDC280" w:rsidR="00E7528D" w:rsidRPr="0034375A" w:rsidRDefault="00E7528D" w:rsidP="00E7528D">
            <w:pPr>
              <w:jc w:val="center"/>
              <w:rPr>
                <w:sz w:val="18"/>
                <w:szCs w:val="18"/>
              </w:rPr>
            </w:pPr>
            <w:r>
              <w:rPr>
                <w:sz w:val="18"/>
                <w:szCs w:val="18"/>
              </w:rPr>
              <w:t>10</w:t>
            </w:r>
          </w:p>
        </w:tc>
        <w:tc>
          <w:tcPr>
            <w:tcW w:w="0" w:type="auto"/>
          </w:tcPr>
          <w:p w14:paraId="53C95301" w14:textId="45AB984B" w:rsidR="00E7528D" w:rsidRPr="0034375A" w:rsidRDefault="00E7528D" w:rsidP="00E7528D">
            <w:pPr>
              <w:jc w:val="center"/>
              <w:rPr>
                <w:sz w:val="18"/>
                <w:szCs w:val="18"/>
              </w:rPr>
            </w:pPr>
            <w:r>
              <w:rPr>
                <w:sz w:val="18"/>
                <w:szCs w:val="18"/>
              </w:rPr>
              <w:t>384</w:t>
            </w:r>
          </w:p>
        </w:tc>
        <w:tc>
          <w:tcPr>
            <w:tcW w:w="0" w:type="auto"/>
          </w:tcPr>
          <w:p w14:paraId="6D823BE1" w14:textId="62FE4F62" w:rsidR="00E7528D" w:rsidRPr="0034375A" w:rsidRDefault="00E7528D" w:rsidP="00E7528D">
            <w:pPr>
              <w:jc w:val="center"/>
              <w:rPr>
                <w:sz w:val="18"/>
                <w:szCs w:val="18"/>
              </w:rPr>
            </w:pPr>
            <w:r>
              <w:rPr>
                <w:sz w:val="18"/>
                <w:szCs w:val="18"/>
              </w:rPr>
              <w:t>5</w:t>
            </w:r>
          </w:p>
        </w:tc>
        <w:tc>
          <w:tcPr>
            <w:tcW w:w="0" w:type="auto"/>
          </w:tcPr>
          <w:p w14:paraId="384023DF" w14:textId="51385025" w:rsidR="00E7528D" w:rsidRPr="0034375A" w:rsidRDefault="00E7528D" w:rsidP="00E7528D">
            <w:pPr>
              <w:jc w:val="center"/>
              <w:rPr>
                <w:sz w:val="18"/>
                <w:szCs w:val="18"/>
              </w:rPr>
            </w:pPr>
            <w:r>
              <w:rPr>
                <w:sz w:val="18"/>
                <w:szCs w:val="18"/>
              </w:rPr>
              <w:t>272</w:t>
            </w:r>
          </w:p>
        </w:tc>
        <w:tc>
          <w:tcPr>
            <w:tcW w:w="0" w:type="auto"/>
          </w:tcPr>
          <w:p w14:paraId="0FACE2AE" w14:textId="78678AB5" w:rsidR="00E7528D" w:rsidRPr="0034375A" w:rsidRDefault="00E7528D" w:rsidP="00E7528D">
            <w:pPr>
              <w:jc w:val="center"/>
              <w:rPr>
                <w:sz w:val="18"/>
                <w:szCs w:val="18"/>
              </w:rPr>
            </w:pPr>
            <w:r>
              <w:rPr>
                <w:sz w:val="18"/>
                <w:szCs w:val="18"/>
              </w:rPr>
              <w:t>3</w:t>
            </w:r>
          </w:p>
        </w:tc>
        <w:tc>
          <w:tcPr>
            <w:tcW w:w="0" w:type="auto"/>
          </w:tcPr>
          <w:p w14:paraId="7680D751" w14:textId="374137D7" w:rsidR="00E7528D" w:rsidRPr="0034375A" w:rsidRDefault="00E7528D" w:rsidP="00E7528D">
            <w:pPr>
              <w:jc w:val="center"/>
              <w:rPr>
                <w:sz w:val="18"/>
                <w:szCs w:val="18"/>
              </w:rPr>
            </w:pPr>
            <w:r>
              <w:rPr>
                <w:sz w:val="18"/>
                <w:szCs w:val="18"/>
              </w:rPr>
              <w:t>229</w:t>
            </w:r>
          </w:p>
        </w:tc>
        <w:tc>
          <w:tcPr>
            <w:tcW w:w="0" w:type="auto"/>
          </w:tcPr>
          <w:p w14:paraId="47D141C6" w14:textId="5C081722" w:rsidR="00E7528D" w:rsidRPr="0034375A" w:rsidRDefault="00E7528D" w:rsidP="00E7528D">
            <w:pPr>
              <w:jc w:val="center"/>
              <w:rPr>
                <w:sz w:val="18"/>
                <w:szCs w:val="18"/>
              </w:rPr>
            </w:pPr>
            <w:r>
              <w:rPr>
                <w:sz w:val="18"/>
                <w:szCs w:val="18"/>
              </w:rPr>
              <w:t>4</w:t>
            </w:r>
          </w:p>
        </w:tc>
        <w:tc>
          <w:tcPr>
            <w:tcW w:w="0" w:type="auto"/>
          </w:tcPr>
          <w:p w14:paraId="41D532CE" w14:textId="3D6C6000" w:rsidR="00E7528D" w:rsidRPr="0034375A" w:rsidRDefault="00E7528D" w:rsidP="00E7528D">
            <w:pPr>
              <w:jc w:val="center"/>
              <w:rPr>
                <w:sz w:val="18"/>
                <w:szCs w:val="18"/>
              </w:rPr>
            </w:pPr>
            <w:r>
              <w:rPr>
                <w:sz w:val="18"/>
                <w:szCs w:val="18"/>
              </w:rPr>
              <w:t>27</w:t>
            </w:r>
          </w:p>
        </w:tc>
        <w:tc>
          <w:tcPr>
            <w:tcW w:w="0" w:type="auto"/>
          </w:tcPr>
          <w:p w14:paraId="2B0AD590" w14:textId="01ABA204" w:rsidR="00E7528D" w:rsidRPr="0034375A" w:rsidRDefault="00E7528D" w:rsidP="00E7528D">
            <w:pPr>
              <w:jc w:val="center"/>
              <w:rPr>
                <w:sz w:val="18"/>
                <w:szCs w:val="18"/>
              </w:rPr>
            </w:pPr>
            <w:r>
              <w:rPr>
                <w:sz w:val="18"/>
                <w:szCs w:val="18"/>
              </w:rPr>
              <w:t>0</w:t>
            </w:r>
          </w:p>
        </w:tc>
        <w:tc>
          <w:tcPr>
            <w:tcW w:w="0" w:type="auto"/>
          </w:tcPr>
          <w:p w14:paraId="59AFCF26" w14:textId="307327E7" w:rsidR="00E7528D" w:rsidRPr="0034375A" w:rsidRDefault="00E7528D" w:rsidP="00E7528D">
            <w:pPr>
              <w:jc w:val="center"/>
              <w:rPr>
                <w:sz w:val="18"/>
                <w:szCs w:val="18"/>
              </w:rPr>
            </w:pPr>
            <w:r>
              <w:rPr>
                <w:sz w:val="18"/>
                <w:szCs w:val="18"/>
              </w:rPr>
              <w:t>32</w:t>
            </w:r>
          </w:p>
        </w:tc>
        <w:tc>
          <w:tcPr>
            <w:tcW w:w="0" w:type="auto"/>
          </w:tcPr>
          <w:p w14:paraId="48AADCD7" w14:textId="4CCEA874" w:rsidR="00E7528D" w:rsidRPr="0034375A" w:rsidRDefault="00E7528D" w:rsidP="00E7528D">
            <w:pPr>
              <w:jc w:val="center"/>
              <w:rPr>
                <w:sz w:val="18"/>
                <w:szCs w:val="18"/>
              </w:rPr>
            </w:pPr>
            <w:r>
              <w:rPr>
                <w:sz w:val="18"/>
                <w:szCs w:val="18"/>
              </w:rPr>
              <w:t>0</w:t>
            </w:r>
          </w:p>
        </w:tc>
        <w:tc>
          <w:tcPr>
            <w:tcW w:w="0" w:type="auto"/>
          </w:tcPr>
          <w:p w14:paraId="5DE6FD7E" w14:textId="08FA4010" w:rsidR="00E7528D" w:rsidRPr="0034375A" w:rsidRDefault="00E7528D" w:rsidP="00E7528D">
            <w:pPr>
              <w:jc w:val="center"/>
              <w:rPr>
                <w:sz w:val="18"/>
                <w:szCs w:val="18"/>
              </w:rPr>
            </w:pPr>
            <w:r>
              <w:rPr>
                <w:sz w:val="18"/>
                <w:szCs w:val="18"/>
              </w:rPr>
              <w:t>0</w:t>
            </w:r>
          </w:p>
        </w:tc>
        <w:tc>
          <w:tcPr>
            <w:tcW w:w="0" w:type="auto"/>
          </w:tcPr>
          <w:p w14:paraId="0197BF5E" w14:textId="03784908" w:rsidR="00E7528D" w:rsidRPr="0034375A" w:rsidRDefault="00E7528D" w:rsidP="00E7528D">
            <w:pPr>
              <w:jc w:val="center"/>
              <w:rPr>
                <w:sz w:val="18"/>
                <w:szCs w:val="18"/>
              </w:rPr>
            </w:pPr>
            <w:r>
              <w:rPr>
                <w:sz w:val="18"/>
                <w:szCs w:val="18"/>
              </w:rPr>
              <w:t>0</w:t>
            </w:r>
          </w:p>
        </w:tc>
        <w:tc>
          <w:tcPr>
            <w:tcW w:w="0" w:type="auto"/>
          </w:tcPr>
          <w:p w14:paraId="35951E8A" w14:textId="3896799F" w:rsidR="00E7528D" w:rsidRPr="0034375A" w:rsidRDefault="00E7528D" w:rsidP="00E7528D">
            <w:pPr>
              <w:jc w:val="center"/>
              <w:rPr>
                <w:sz w:val="18"/>
                <w:szCs w:val="18"/>
              </w:rPr>
            </w:pPr>
            <w:r>
              <w:rPr>
                <w:sz w:val="18"/>
                <w:szCs w:val="18"/>
              </w:rPr>
              <w:t>0</w:t>
            </w:r>
          </w:p>
        </w:tc>
        <w:tc>
          <w:tcPr>
            <w:tcW w:w="0" w:type="auto"/>
          </w:tcPr>
          <w:p w14:paraId="34C1601D" w14:textId="7FC487B3" w:rsidR="00E7528D" w:rsidRPr="0034375A" w:rsidRDefault="00E7528D" w:rsidP="00E7528D">
            <w:pPr>
              <w:jc w:val="center"/>
              <w:rPr>
                <w:sz w:val="18"/>
                <w:szCs w:val="18"/>
              </w:rPr>
            </w:pPr>
            <w:r>
              <w:rPr>
                <w:sz w:val="18"/>
                <w:szCs w:val="18"/>
              </w:rPr>
              <w:t>0</w:t>
            </w:r>
          </w:p>
        </w:tc>
      </w:tr>
      <w:tr w:rsidR="00E86E1F" w:rsidRPr="0034375A" w14:paraId="23C785BD" w14:textId="77777777" w:rsidTr="00C676AB">
        <w:tc>
          <w:tcPr>
            <w:tcW w:w="0" w:type="auto"/>
          </w:tcPr>
          <w:p w14:paraId="4A8100D1" w14:textId="324C7B87" w:rsidR="00E86E1F" w:rsidRPr="0034375A" w:rsidRDefault="00E86E1F" w:rsidP="00E86E1F">
            <w:pPr>
              <w:rPr>
                <w:sz w:val="18"/>
                <w:szCs w:val="18"/>
              </w:rPr>
            </w:pPr>
            <w:r w:rsidRPr="0034375A">
              <w:rPr>
                <w:sz w:val="18"/>
                <w:szCs w:val="18"/>
              </w:rPr>
              <w:t>Pelzer (2015)</w:t>
            </w:r>
            <w:r w:rsidR="00A75209" w:rsidRPr="0034375A">
              <w:rPr>
                <w:sz w:val="18"/>
                <w:szCs w:val="18"/>
              </w:rPr>
              <w:t xml:space="preserve"> </w:t>
            </w:r>
          </w:p>
        </w:tc>
        <w:tc>
          <w:tcPr>
            <w:tcW w:w="0" w:type="auto"/>
          </w:tcPr>
          <w:p w14:paraId="52093D4C" w14:textId="056F2A64" w:rsidR="00E86E1F" w:rsidRPr="0034375A" w:rsidRDefault="00E86E1F" w:rsidP="00E86E1F">
            <w:pPr>
              <w:jc w:val="center"/>
              <w:rPr>
                <w:sz w:val="18"/>
                <w:szCs w:val="18"/>
              </w:rPr>
            </w:pPr>
            <w:r>
              <w:rPr>
                <w:sz w:val="18"/>
                <w:szCs w:val="18"/>
              </w:rPr>
              <w:t>0</w:t>
            </w:r>
          </w:p>
        </w:tc>
        <w:tc>
          <w:tcPr>
            <w:tcW w:w="0" w:type="auto"/>
          </w:tcPr>
          <w:p w14:paraId="4781719D" w14:textId="14B9E093" w:rsidR="00E86E1F" w:rsidRPr="0034375A" w:rsidRDefault="00E86E1F" w:rsidP="00E86E1F">
            <w:pPr>
              <w:jc w:val="center"/>
              <w:rPr>
                <w:sz w:val="18"/>
                <w:szCs w:val="18"/>
              </w:rPr>
            </w:pPr>
            <w:r>
              <w:rPr>
                <w:sz w:val="18"/>
                <w:szCs w:val="18"/>
              </w:rPr>
              <w:t>0</w:t>
            </w:r>
          </w:p>
        </w:tc>
        <w:tc>
          <w:tcPr>
            <w:tcW w:w="0" w:type="auto"/>
          </w:tcPr>
          <w:p w14:paraId="4BF0682E" w14:textId="39E91B41" w:rsidR="00E86E1F" w:rsidRPr="0034375A" w:rsidRDefault="00E86E1F" w:rsidP="00E86E1F">
            <w:pPr>
              <w:jc w:val="center"/>
              <w:rPr>
                <w:sz w:val="18"/>
                <w:szCs w:val="18"/>
              </w:rPr>
            </w:pPr>
            <w:r>
              <w:rPr>
                <w:sz w:val="18"/>
                <w:szCs w:val="18"/>
              </w:rPr>
              <w:t>0</w:t>
            </w:r>
          </w:p>
        </w:tc>
        <w:tc>
          <w:tcPr>
            <w:tcW w:w="0" w:type="auto"/>
          </w:tcPr>
          <w:p w14:paraId="60D985E0" w14:textId="3EC75AC4" w:rsidR="00E86E1F" w:rsidRPr="0034375A" w:rsidRDefault="00E86E1F" w:rsidP="00E86E1F">
            <w:pPr>
              <w:jc w:val="center"/>
              <w:rPr>
                <w:sz w:val="18"/>
                <w:szCs w:val="18"/>
              </w:rPr>
            </w:pPr>
            <w:r>
              <w:rPr>
                <w:sz w:val="18"/>
                <w:szCs w:val="18"/>
              </w:rPr>
              <w:t>0</w:t>
            </w:r>
          </w:p>
        </w:tc>
        <w:tc>
          <w:tcPr>
            <w:tcW w:w="0" w:type="auto"/>
          </w:tcPr>
          <w:p w14:paraId="13F1C210" w14:textId="00F1D5FE" w:rsidR="00E86E1F" w:rsidRPr="0034375A" w:rsidRDefault="00E86E1F" w:rsidP="00E86E1F">
            <w:pPr>
              <w:jc w:val="center"/>
              <w:rPr>
                <w:sz w:val="18"/>
                <w:szCs w:val="18"/>
              </w:rPr>
            </w:pPr>
            <w:r>
              <w:rPr>
                <w:sz w:val="18"/>
                <w:szCs w:val="18"/>
              </w:rPr>
              <w:t>0</w:t>
            </w:r>
          </w:p>
        </w:tc>
        <w:tc>
          <w:tcPr>
            <w:tcW w:w="0" w:type="auto"/>
          </w:tcPr>
          <w:p w14:paraId="3CAE9191" w14:textId="58AB1B02" w:rsidR="00E86E1F" w:rsidRPr="0034375A" w:rsidRDefault="00E86E1F" w:rsidP="00E86E1F">
            <w:pPr>
              <w:jc w:val="center"/>
              <w:rPr>
                <w:sz w:val="18"/>
                <w:szCs w:val="18"/>
              </w:rPr>
            </w:pPr>
            <w:r>
              <w:rPr>
                <w:sz w:val="18"/>
                <w:szCs w:val="18"/>
              </w:rPr>
              <w:t>0</w:t>
            </w:r>
          </w:p>
        </w:tc>
        <w:tc>
          <w:tcPr>
            <w:tcW w:w="0" w:type="auto"/>
          </w:tcPr>
          <w:p w14:paraId="10133288" w14:textId="3737FC3C" w:rsidR="00E86E1F" w:rsidRPr="0034375A" w:rsidRDefault="00E86E1F" w:rsidP="00E86E1F">
            <w:pPr>
              <w:jc w:val="center"/>
              <w:rPr>
                <w:sz w:val="18"/>
                <w:szCs w:val="18"/>
              </w:rPr>
            </w:pPr>
            <w:r>
              <w:rPr>
                <w:sz w:val="18"/>
                <w:szCs w:val="18"/>
              </w:rPr>
              <w:t>0</w:t>
            </w:r>
          </w:p>
        </w:tc>
        <w:tc>
          <w:tcPr>
            <w:tcW w:w="0" w:type="auto"/>
          </w:tcPr>
          <w:p w14:paraId="4B86507D" w14:textId="79D46D4C" w:rsidR="00E86E1F" w:rsidRPr="0034375A" w:rsidRDefault="00E86E1F" w:rsidP="00E86E1F">
            <w:pPr>
              <w:jc w:val="center"/>
              <w:rPr>
                <w:sz w:val="18"/>
                <w:szCs w:val="18"/>
              </w:rPr>
            </w:pPr>
            <w:r>
              <w:rPr>
                <w:sz w:val="18"/>
                <w:szCs w:val="18"/>
              </w:rPr>
              <w:t>0</w:t>
            </w:r>
          </w:p>
        </w:tc>
        <w:tc>
          <w:tcPr>
            <w:tcW w:w="0" w:type="auto"/>
          </w:tcPr>
          <w:p w14:paraId="7ACAB761" w14:textId="3AE8060B" w:rsidR="00E86E1F" w:rsidRPr="0034375A" w:rsidRDefault="00E86E1F" w:rsidP="00E86E1F">
            <w:pPr>
              <w:jc w:val="center"/>
              <w:rPr>
                <w:sz w:val="18"/>
                <w:szCs w:val="18"/>
              </w:rPr>
            </w:pPr>
            <w:r>
              <w:rPr>
                <w:sz w:val="18"/>
                <w:szCs w:val="18"/>
              </w:rPr>
              <w:t>55</w:t>
            </w:r>
          </w:p>
        </w:tc>
        <w:tc>
          <w:tcPr>
            <w:tcW w:w="0" w:type="auto"/>
          </w:tcPr>
          <w:p w14:paraId="4DE9FAA0" w14:textId="723CA763" w:rsidR="00E86E1F" w:rsidRPr="0034375A" w:rsidRDefault="00E86E1F" w:rsidP="00E86E1F">
            <w:pPr>
              <w:jc w:val="center"/>
              <w:rPr>
                <w:sz w:val="18"/>
                <w:szCs w:val="18"/>
              </w:rPr>
            </w:pPr>
            <w:r>
              <w:rPr>
                <w:sz w:val="18"/>
                <w:szCs w:val="18"/>
              </w:rPr>
              <w:t>0</w:t>
            </w:r>
          </w:p>
        </w:tc>
        <w:tc>
          <w:tcPr>
            <w:tcW w:w="0" w:type="auto"/>
          </w:tcPr>
          <w:p w14:paraId="2440A5AB" w14:textId="1BEE878A" w:rsidR="00E86E1F" w:rsidRPr="0034375A" w:rsidRDefault="00E86E1F" w:rsidP="00E86E1F">
            <w:pPr>
              <w:jc w:val="center"/>
              <w:rPr>
                <w:sz w:val="18"/>
                <w:szCs w:val="18"/>
              </w:rPr>
            </w:pPr>
            <w:r>
              <w:rPr>
                <w:sz w:val="18"/>
                <w:szCs w:val="18"/>
              </w:rPr>
              <w:t>49</w:t>
            </w:r>
          </w:p>
        </w:tc>
        <w:tc>
          <w:tcPr>
            <w:tcW w:w="0" w:type="auto"/>
          </w:tcPr>
          <w:p w14:paraId="5F2046EB" w14:textId="28D2754D" w:rsidR="00E86E1F" w:rsidRPr="0034375A" w:rsidRDefault="00E86E1F" w:rsidP="00E86E1F">
            <w:pPr>
              <w:jc w:val="center"/>
              <w:rPr>
                <w:sz w:val="18"/>
                <w:szCs w:val="18"/>
              </w:rPr>
            </w:pPr>
            <w:r>
              <w:rPr>
                <w:sz w:val="18"/>
                <w:szCs w:val="18"/>
              </w:rPr>
              <w:t>0</w:t>
            </w:r>
          </w:p>
        </w:tc>
        <w:tc>
          <w:tcPr>
            <w:tcW w:w="0" w:type="auto"/>
          </w:tcPr>
          <w:p w14:paraId="744D8F3E" w14:textId="2CEADF58" w:rsidR="00E86E1F" w:rsidRPr="0034375A" w:rsidRDefault="00E86E1F" w:rsidP="00E86E1F">
            <w:pPr>
              <w:jc w:val="center"/>
              <w:rPr>
                <w:sz w:val="18"/>
                <w:szCs w:val="18"/>
              </w:rPr>
            </w:pPr>
            <w:r>
              <w:rPr>
                <w:sz w:val="18"/>
                <w:szCs w:val="18"/>
              </w:rPr>
              <w:t>60</w:t>
            </w:r>
          </w:p>
        </w:tc>
        <w:tc>
          <w:tcPr>
            <w:tcW w:w="0" w:type="auto"/>
          </w:tcPr>
          <w:p w14:paraId="5E7D309D" w14:textId="4986FAAD" w:rsidR="00E86E1F" w:rsidRPr="0034375A" w:rsidRDefault="00E86E1F" w:rsidP="00E86E1F">
            <w:pPr>
              <w:jc w:val="center"/>
              <w:rPr>
                <w:sz w:val="18"/>
                <w:szCs w:val="18"/>
              </w:rPr>
            </w:pPr>
            <w:r>
              <w:rPr>
                <w:sz w:val="18"/>
                <w:szCs w:val="18"/>
              </w:rPr>
              <w:t>8</w:t>
            </w:r>
          </w:p>
        </w:tc>
        <w:tc>
          <w:tcPr>
            <w:tcW w:w="0" w:type="auto"/>
          </w:tcPr>
          <w:p w14:paraId="03BED0E1" w14:textId="5A4B922B" w:rsidR="00E86E1F" w:rsidRPr="0034375A" w:rsidRDefault="00E86E1F" w:rsidP="00E86E1F">
            <w:pPr>
              <w:jc w:val="center"/>
              <w:rPr>
                <w:sz w:val="18"/>
                <w:szCs w:val="18"/>
              </w:rPr>
            </w:pPr>
            <w:r>
              <w:rPr>
                <w:sz w:val="18"/>
                <w:szCs w:val="18"/>
              </w:rPr>
              <w:t>65</w:t>
            </w:r>
          </w:p>
        </w:tc>
        <w:tc>
          <w:tcPr>
            <w:tcW w:w="0" w:type="auto"/>
          </w:tcPr>
          <w:p w14:paraId="4A5FF30C" w14:textId="203354DD" w:rsidR="00E86E1F" w:rsidRPr="0034375A" w:rsidRDefault="00E86E1F" w:rsidP="00E86E1F">
            <w:pPr>
              <w:jc w:val="center"/>
              <w:rPr>
                <w:sz w:val="18"/>
                <w:szCs w:val="18"/>
              </w:rPr>
            </w:pPr>
            <w:r>
              <w:rPr>
                <w:sz w:val="18"/>
                <w:szCs w:val="18"/>
              </w:rPr>
              <w:t>9</w:t>
            </w:r>
          </w:p>
        </w:tc>
        <w:tc>
          <w:tcPr>
            <w:tcW w:w="0" w:type="auto"/>
          </w:tcPr>
          <w:p w14:paraId="5DFBECBF" w14:textId="623E7AD3" w:rsidR="00E86E1F" w:rsidRPr="0034375A" w:rsidRDefault="00E86E1F" w:rsidP="00E86E1F">
            <w:pPr>
              <w:jc w:val="center"/>
              <w:rPr>
                <w:sz w:val="18"/>
                <w:szCs w:val="18"/>
              </w:rPr>
            </w:pPr>
            <w:r>
              <w:rPr>
                <w:sz w:val="18"/>
                <w:szCs w:val="18"/>
              </w:rPr>
              <w:t>16</w:t>
            </w:r>
          </w:p>
        </w:tc>
        <w:tc>
          <w:tcPr>
            <w:tcW w:w="0" w:type="auto"/>
          </w:tcPr>
          <w:p w14:paraId="24B64FFA" w14:textId="11FACFD0" w:rsidR="00E86E1F" w:rsidRPr="0034375A" w:rsidRDefault="00E86E1F" w:rsidP="00E86E1F">
            <w:pPr>
              <w:jc w:val="center"/>
              <w:rPr>
                <w:sz w:val="18"/>
                <w:szCs w:val="18"/>
              </w:rPr>
            </w:pPr>
            <w:r>
              <w:rPr>
                <w:sz w:val="18"/>
                <w:szCs w:val="18"/>
              </w:rPr>
              <w:t>2</w:t>
            </w:r>
          </w:p>
        </w:tc>
        <w:tc>
          <w:tcPr>
            <w:tcW w:w="0" w:type="auto"/>
          </w:tcPr>
          <w:p w14:paraId="0126F594" w14:textId="3AC5EE0B" w:rsidR="00E86E1F" w:rsidRPr="0034375A" w:rsidRDefault="00E86E1F" w:rsidP="00E86E1F">
            <w:pPr>
              <w:jc w:val="center"/>
              <w:rPr>
                <w:sz w:val="18"/>
                <w:szCs w:val="18"/>
              </w:rPr>
            </w:pPr>
            <w:r>
              <w:rPr>
                <w:sz w:val="18"/>
                <w:szCs w:val="18"/>
              </w:rPr>
              <w:t>22</w:t>
            </w:r>
          </w:p>
        </w:tc>
        <w:tc>
          <w:tcPr>
            <w:tcW w:w="0" w:type="auto"/>
          </w:tcPr>
          <w:p w14:paraId="4EA7D461" w14:textId="5649DE75" w:rsidR="00E86E1F" w:rsidRPr="0034375A" w:rsidRDefault="00E86E1F" w:rsidP="00E86E1F">
            <w:pPr>
              <w:jc w:val="center"/>
              <w:rPr>
                <w:sz w:val="18"/>
                <w:szCs w:val="18"/>
              </w:rPr>
            </w:pPr>
            <w:r>
              <w:rPr>
                <w:sz w:val="18"/>
                <w:szCs w:val="18"/>
              </w:rPr>
              <w:t>3</w:t>
            </w:r>
          </w:p>
        </w:tc>
        <w:tc>
          <w:tcPr>
            <w:tcW w:w="0" w:type="auto"/>
          </w:tcPr>
          <w:p w14:paraId="178B6E20" w14:textId="6AE80CC3" w:rsidR="00E86E1F" w:rsidRPr="0034375A" w:rsidRDefault="00E86E1F" w:rsidP="00E86E1F">
            <w:pPr>
              <w:jc w:val="center"/>
              <w:rPr>
                <w:sz w:val="18"/>
                <w:szCs w:val="18"/>
              </w:rPr>
            </w:pPr>
            <w:r>
              <w:rPr>
                <w:sz w:val="18"/>
                <w:szCs w:val="18"/>
              </w:rPr>
              <w:t>3</w:t>
            </w:r>
          </w:p>
        </w:tc>
        <w:tc>
          <w:tcPr>
            <w:tcW w:w="0" w:type="auto"/>
          </w:tcPr>
          <w:p w14:paraId="5B0C7B3E" w14:textId="633E8202" w:rsidR="00E86E1F" w:rsidRPr="0034375A" w:rsidRDefault="00E86E1F" w:rsidP="00E86E1F">
            <w:pPr>
              <w:jc w:val="center"/>
              <w:rPr>
                <w:sz w:val="18"/>
                <w:szCs w:val="18"/>
              </w:rPr>
            </w:pPr>
            <w:r>
              <w:rPr>
                <w:sz w:val="18"/>
                <w:szCs w:val="18"/>
              </w:rPr>
              <w:t>0</w:t>
            </w:r>
          </w:p>
        </w:tc>
        <w:tc>
          <w:tcPr>
            <w:tcW w:w="0" w:type="auto"/>
          </w:tcPr>
          <w:p w14:paraId="08E0ED84" w14:textId="700E7997" w:rsidR="00E86E1F" w:rsidRPr="0034375A" w:rsidRDefault="00E86E1F" w:rsidP="00E86E1F">
            <w:pPr>
              <w:jc w:val="center"/>
              <w:rPr>
                <w:sz w:val="18"/>
                <w:szCs w:val="18"/>
              </w:rPr>
            </w:pPr>
            <w:r>
              <w:rPr>
                <w:sz w:val="18"/>
                <w:szCs w:val="18"/>
              </w:rPr>
              <w:t>5</w:t>
            </w:r>
          </w:p>
        </w:tc>
        <w:tc>
          <w:tcPr>
            <w:tcW w:w="0" w:type="auto"/>
          </w:tcPr>
          <w:p w14:paraId="38049B53" w14:textId="765B8126" w:rsidR="00E86E1F" w:rsidRPr="0034375A" w:rsidRDefault="00E86E1F" w:rsidP="00E86E1F">
            <w:pPr>
              <w:jc w:val="center"/>
              <w:rPr>
                <w:sz w:val="18"/>
                <w:szCs w:val="18"/>
              </w:rPr>
            </w:pPr>
            <w:r>
              <w:rPr>
                <w:sz w:val="18"/>
                <w:szCs w:val="18"/>
              </w:rPr>
              <w:t>1</w:t>
            </w:r>
          </w:p>
        </w:tc>
      </w:tr>
      <w:tr w:rsidR="00B27F12" w:rsidRPr="0034375A" w14:paraId="4E3EBE97" w14:textId="77777777" w:rsidTr="00C676AB">
        <w:tc>
          <w:tcPr>
            <w:tcW w:w="0" w:type="auto"/>
          </w:tcPr>
          <w:p w14:paraId="38625B2F" w14:textId="187F6CDB" w:rsidR="00B27F12" w:rsidRPr="0034375A" w:rsidRDefault="00B27F12" w:rsidP="00B27F12">
            <w:pPr>
              <w:rPr>
                <w:sz w:val="18"/>
                <w:szCs w:val="18"/>
              </w:rPr>
            </w:pPr>
            <w:r w:rsidRPr="0034375A">
              <w:rPr>
                <w:sz w:val="18"/>
                <w:szCs w:val="18"/>
              </w:rPr>
              <w:t>Perry (2010)</w:t>
            </w:r>
            <w:r w:rsidR="00A75209" w:rsidRPr="0034375A">
              <w:rPr>
                <w:sz w:val="18"/>
                <w:szCs w:val="18"/>
              </w:rPr>
              <w:t xml:space="preserve"> </w:t>
            </w:r>
          </w:p>
        </w:tc>
        <w:tc>
          <w:tcPr>
            <w:tcW w:w="0" w:type="auto"/>
          </w:tcPr>
          <w:p w14:paraId="3050E468" w14:textId="5B997CE4" w:rsidR="00B27F12" w:rsidRPr="0034375A" w:rsidRDefault="00B27F12" w:rsidP="00B27F12">
            <w:pPr>
              <w:jc w:val="center"/>
              <w:rPr>
                <w:sz w:val="18"/>
                <w:szCs w:val="18"/>
              </w:rPr>
            </w:pPr>
            <w:r>
              <w:rPr>
                <w:sz w:val="18"/>
                <w:szCs w:val="18"/>
              </w:rPr>
              <w:t>0</w:t>
            </w:r>
          </w:p>
        </w:tc>
        <w:tc>
          <w:tcPr>
            <w:tcW w:w="0" w:type="auto"/>
          </w:tcPr>
          <w:p w14:paraId="2A572474" w14:textId="2A591BAF" w:rsidR="00B27F12" w:rsidRPr="0034375A" w:rsidRDefault="00B27F12" w:rsidP="00B27F12">
            <w:pPr>
              <w:jc w:val="center"/>
              <w:rPr>
                <w:sz w:val="18"/>
                <w:szCs w:val="18"/>
              </w:rPr>
            </w:pPr>
            <w:r>
              <w:rPr>
                <w:sz w:val="18"/>
                <w:szCs w:val="18"/>
              </w:rPr>
              <w:t>0</w:t>
            </w:r>
          </w:p>
        </w:tc>
        <w:tc>
          <w:tcPr>
            <w:tcW w:w="0" w:type="auto"/>
          </w:tcPr>
          <w:p w14:paraId="6C1E323B" w14:textId="3787CEC8" w:rsidR="00B27F12" w:rsidRPr="0034375A" w:rsidRDefault="00B27F12" w:rsidP="00B27F12">
            <w:pPr>
              <w:jc w:val="center"/>
              <w:rPr>
                <w:sz w:val="18"/>
                <w:szCs w:val="18"/>
              </w:rPr>
            </w:pPr>
            <w:r>
              <w:rPr>
                <w:sz w:val="18"/>
                <w:szCs w:val="18"/>
              </w:rPr>
              <w:t>0</w:t>
            </w:r>
          </w:p>
        </w:tc>
        <w:tc>
          <w:tcPr>
            <w:tcW w:w="0" w:type="auto"/>
          </w:tcPr>
          <w:p w14:paraId="5D79F532" w14:textId="7014B00F" w:rsidR="00B27F12" w:rsidRPr="0034375A" w:rsidRDefault="00B27F12" w:rsidP="00B27F12">
            <w:pPr>
              <w:jc w:val="center"/>
              <w:rPr>
                <w:sz w:val="18"/>
                <w:szCs w:val="18"/>
              </w:rPr>
            </w:pPr>
            <w:r>
              <w:rPr>
                <w:sz w:val="18"/>
                <w:szCs w:val="18"/>
              </w:rPr>
              <w:t>0</w:t>
            </w:r>
          </w:p>
        </w:tc>
        <w:tc>
          <w:tcPr>
            <w:tcW w:w="0" w:type="auto"/>
          </w:tcPr>
          <w:p w14:paraId="2AC0716E" w14:textId="64B334BF" w:rsidR="00B27F12" w:rsidRPr="0034375A" w:rsidRDefault="00B27F12" w:rsidP="00B27F12">
            <w:pPr>
              <w:jc w:val="center"/>
              <w:rPr>
                <w:sz w:val="18"/>
                <w:szCs w:val="18"/>
              </w:rPr>
            </w:pPr>
            <w:r>
              <w:rPr>
                <w:sz w:val="18"/>
                <w:szCs w:val="18"/>
              </w:rPr>
              <w:t>0</w:t>
            </w:r>
          </w:p>
        </w:tc>
        <w:tc>
          <w:tcPr>
            <w:tcW w:w="0" w:type="auto"/>
          </w:tcPr>
          <w:p w14:paraId="33CC62E0" w14:textId="49FB629F" w:rsidR="00B27F12" w:rsidRPr="0034375A" w:rsidRDefault="00B27F12" w:rsidP="00B27F12">
            <w:pPr>
              <w:jc w:val="center"/>
              <w:rPr>
                <w:sz w:val="18"/>
                <w:szCs w:val="18"/>
              </w:rPr>
            </w:pPr>
            <w:r>
              <w:rPr>
                <w:sz w:val="18"/>
                <w:szCs w:val="18"/>
              </w:rPr>
              <w:t>0</w:t>
            </w:r>
          </w:p>
        </w:tc>
        <w:tc>
          <w:tcPr>
            <w:tcW w:w="0" w:type="auto"/>
          </w:tcPr>
          <w:p w14:paraId="42FA0404" w14:textId="4C03426E" w:rsidR="00B27F12" w:rsidRPr="0034375A" w:rsidRDefault="00B27F12" w:rsidP="00B27F12">
            <w:pPr>
              <w:jc w:val="center"/>
              <w:rPr>
                <w:sz w:val="18"/>
                <w:szCs w:val="18"/>
              </w:rPr>
            </w:pPr>
            <w:r>
              <w:rPr>
                <w:sz w:val="18"/>
                <w:szCs w:val="18"/>
              </w:rPr>
              <w:t>0</w:t>
            </w:r>
          </w:p>
        </w:tc>
        <w:tc>
          <w:tcPr>
            <w:tcW w:w="0" w:type="auto"/>
          </w:tcPr>
          <w:p w14:paraId="0C78E2BA" w14:textId="3418598B" w:rsidR="00B27F12" w:rsidRPr="0034375A" w:rsidRDefault="00B27F12" w:rsidP="00B27F12">
            <w:pPr>
              <w:jc w:val="center"/>
              <w:rPr>
                <w:sz w:val="18"/>
                <w:szCs w:val="18"/>
              </w:rPr>
            </w:pPr>
            <w:r>
              <w:rPr>
                <w:sz w:val="18"/>
                <w:szCs w:val="18"/>
              </w:rPr>
              <w:t>0</w:t>
            </w:r>
          </w:p>
        </w:tc>
        <w:tc>
          <w:tcPr>
            <w:tcW w:w="0" w:type="auto"/>
          </w:tcPr>
          <w:p w14:paraId="149EA1CF" w14:textId="7742E2FB" w:rsidR="00B27F12" w:rsidRPr="0034375A" w:rsidRDefault="00B27F12" w:rsidP="00B27F12">
            <w:pPr>
              <w:jc w:val="center"/>
              <w:rPr>
                <w:sz w:val="18"/>
                <w:szCs w:val="18"/>
              </w:rPr>
            </w:pPr>
            <w:r>
              <w:rPr>
                <w:sz w:val="18"/>
                <w:szCs w:val="18"/>
              </w:rPr>
              <w:t>42</w:t>
            </w:r>
          </w:p>
        </w:tc>
        <w:tc>
          <w:tcPr>
            <w:tcW w:w="0" w:type="auto"/>
          </w:tcPr>
          <w:p w14:paraId="24B24A6F" w14:textId="5C0AA481" w:rsidR="00B27F12" w:rsidRPr="0034375A" w:rsidRDefault="00B27F12" w:rsidP="00B27F12">
            <w:pPr>
              <w:jc w:val="center"/>
              <w:rPr>
                <w:sz w:val="18"/>
                <w:szCs w:val="18"/>
              </w:rPr>
            </w:pPr>
            <w:r>
              <w:rPr>
                <w:sz w:val="18"/>
                <w:szCs w:val="18"/>
              </w:rPr>
              <w:t>0</w:t>
            </w:r>
          </w:p>
        </w:tc>
        <w:tc>
          <w:tcPr>
            <w:tcW w:w="0" w:type="auto"/>
          </w:tcPr>
          <w:p w14:paraId="66DE3BB2" w14:textId="1F55C34E" w:rsidR="00B27F12" w:rsidRPr="0034375A" w:rsidRDefault="00B27F12" w:rsidP="00B27F12">
            <w:pPr>
              <w:jc w:val="center"/>
              <w:rPr>
                <w:sz w:val="18"/>
                <w:szCs w:val="18"/>
              </w:rPr>
            </w:pPr>
            <w:r>
              <w:rPr>
                <w:sz w:val="18"/>
                <w:szCs w:val="18"/>
              </w:rPr>
              <w:t>42</w:t>
            </w:r>
          </w:p>
        </w:tc>
        <w:tc>
          <w:tcPr>
            <w:tcW w:w="0" w:type="auto"/>
          </w:tcPr>
          <w:p w14:paraId="76A4FE6B" w14:textId="38324407" w:rsidR="00B27F12" w:rsidRPr="0034375A" w:rsidRDefault="00B27F12" w:rsidP="00B27F12">
            <w:pPr>
              <w:jc w:val="center"/>
              <w:rPr>
                <w:sz w:val="18"/>
                <w:szCs w:val="18"/>
              </w:rPr>
            </w:pPr>
            <w:r>
              <w:rPr>
                <w:sz w:val="18"/>
                <w:szCs w:val="18"/>
              </w:rPr>
              <w:t>3</w:t>
            </w:r>
          </w:p>
        </w:tc>
        <w:tc>
          <w:tcPr>
            <w:tcW w:w="0" w:type="auto"/>
          </w:tcPr>
          <w:p w14:paraId="32C13825" w14:textId="7B689F53" w:rsidR="00B27F12" w:rsidRPr="0034375A" w:rsidRDefault="00B27F12" w:rsidP="00B27F12">
            <w:pPr>
              <w:jc w:val="center"/>
              <w:rPr>
                <w:sz w:val="18"/>
                <w:szCs w:val="18"/>
              </w:rPr>
            </w:pPr>
            <w:r>
              <w:rPr>
                <w:sz w:val="18"/>
                <w:szCs w:val="18"/>
              </w:rPr>
              <w:t>34</w:t>
            </w:r>
          </w:p>
        </w:tc>
        <w:tc>
          <w:tcPr>
            <w:tcW w:w="0" w:type="auto"/>
          </w:tcPr>
          <w:p w14:paraId="3993C539" w14:textId="77B52ABC" w:rsidR="00B27F12" w:rsidRPr="0034375A" w:rsidRDefault="00B27F12" w:rsidP="00B27F12">
            <w:pPr>
              <w:jc w:val="center"/>
              <w:rPr>
                <w:sz w:val="18"/>
                <w:szCs w:val="18"/>
              </w:rPr>
            </w:pPr>
            <w:r>
              <w:rPr>
                <w:sz w:val="18"/>
                <w:szCs w:val="18"/>
              </w:rPr>
              <w:t>0</w:t>
            </w:r>
          </w:p>
        </w:tc>
        <w:tc>
          <w:tcPr>
            <w:tcW w:w="0" w:type="auto"/>
          </w:tcPr>
          <w:p w14:paraId="7501F71E" w14:textId="7C356A99" w:rsidR="00B27F12" w:rsidRPr="0034375A" w:rsidRDefault="00B27F12" w:rsidP="00B27F12">
            <w:pPr>
              <w:jc w:val="center"/>
              <w:rPr>
                <w:sz w:val="18"/>
                <w:szCs w:val="18"/>
              </w:rPr>
            </w:pPr>
            <w:r>
              <w:rPr>
                <w:sz w:val="18"/>
                <w:szCs w:val="18"/>
              </w:rPr>
              <w:t>39</w:t>
            </w:r>
          </w:p>
        </w:tc>
        <w:tc>
          <w:tcPr>
            <w:tcW w:w="0" w:type="auto"/>
          </w:tcPr>
          <w:p w14:paraId="67722AD0" w14:textId="28477CF9" w:rsidR="00B27F12" w:rsidRPr="0034375A" w:rsidRDefault="00B27F12" w:rsidP="00B27F12">
            <w:pPr>
              <w:jc w:val="center"/>
              <w:rPr>
                <w:sz w:val="18"/>
                <w:szCs w:val="18"/>
              </w:rPr>
            </w:pPr>
            <w:r>
              <w:rPr>
                <w:sz w:val="18"/>
                <w:szCs w:val="18"/>
              </w:rPr>
              <w:t>0</w:t>
            </w:r>
          </w:p>
        </w:tc>
        <w:tc>
          <w:tcPr>
            <w:tcW w:w="0" w:type="auto"/>
          </w:tcPr>
          <w:p w14:paraId="21E16394" w14:textId="59922D01" w:rsidR="00B27F12" w:rsidRPr="0034375A" w:rsidRDefault="00B27F12" w:rsidP="00B27F12">
            <w:pPr>
              <w:jc w:val="center"/>
              <w:rPr>
                <w:sz w:val="18"/>
                <w:szCs w:val="18"/>
              </w:rPr>
            </w:pPr>
            <w:r>
              <w:rPr>
                <w:sz w:val="18"/>
                <w:szCs w:val="18"/>
              </w:rPr>
              <w:t>7</w:t>
            </w:r>
          </w:p>
        </w:tc>
        <w:tc>
          <w:tcPr>
            <w:tcW w:w="0" w:type="auto"/>
          </w:tcPr>
          <w:p w14:paraId="5EB5DB76" w14:textId="57D56351" w:rsidR="00B27F12" w:rsidRPr="0034375A" w:rsidRDefault="00B27F12" w:rsidP="00B27F12">
            <w:pPr>
              <w:jc w:val="center"/>
              <w:rPr>
                <w:sz w:val="18"/>
                <w:szCs w:val="18"/>
              </w:rPr>
            </w:pPr>
            <w:r>
              <w:rPr>
                <w:sz w:val="18"/>
                <w:szCs w:val="18"/>
              </w:rPr>
              <w:t>0</w:t>
            </w:r>
          </w:p>
        </w:tc>
        <w:tc>
          <w:tcPr>
            <w:tcW w:w="0" w:type="auto"/>
          </w:tcPr>
          <w:p w14:paraId="01B12EA3" w14:textId="3050001B" w:rsidR="00B27F12" w:rsidRPr="0034375A" w:rsidRDefault="00B27F12" w:rsidP="00B27F12">
            <w:pPr>
              <w:jc w:val="center"/>
              <w:rPr>
                <w:sz w:val="18"/>
                <w:szCs w:val="18"/>
              </w:rPr>
            </w:pPr>
            <w:r>
              <w:rPr>
                <w:sz w:val="18"/>
                <w:szCs w:val="18"/>
              </w:rPr>
              <w:t>8</w:t>
            </w:r>
          </w:p>
        </w:tc>
        <w:tc>
          <w:tcPr>
            <w:tcW w:w="0" w:type="auto"/>
          </w:tcPr>
          <w:p w14:paraId="0556E4DB" w14:textId="0820D1F2" w:rsidR="00B27F12" w:rsidRPr="0034375A" w:rsidRDefault="00B27F12" w:rsidP="00B27F12">
            <w:pPr>
              <w:jc w:val="center"/>
              <w:rPr>
                <w:sz w:val="18"/>
                <w:szCs w:val="18"/>
              </w:rPr>
            </w:pPr>
            <w:r>
              <w:rPr>
                <w:sz w:val="18"/>
                <w:szCs w:val="18"/>
              </w:rPr>
              <w:t>0</w:t>
            </w:r>
          </w:p>
        </w:tc>
        <w:tc>
          <w:tcPr>
            <w:tcW w:w="0" w:type="auto"/>
          </w:tcPr>
          <w:p w14:paraId="71965D88" w14:textId="6E22E4FD" w:rsidR="00B27F12" w:rsidRPr="0034375A" w:rsidRDefault="00B27F12" w:rsidP="00B27F12">
            <w:pPr>
              <w:jc w:val="center"/>
              <w:rPr>
                <w:sz w:val="18"/>
                <w:szCs w:val="18"/>
              </w:rPr>
            </w:pPr>
            <w:r>
              <w:rPr>
                <w:sz w:val="18"/>
                <w:szCs w:val="18"/>
              </w:rPr>
              <w:t>1</w:t>
            </w:r>
          </w:p>
        </w:tc>
        <w:tc>
          <w:tcPr>
            <w:tcW w:w="0" w:type="auto"/>
          </w:tcPr>
          <w:p w14:paraId="308F0F2D" w14:textId="4BB7A0F7" w:rsidR="00B27F12" w:rsidRPr="0034375A" w:rsidRDefault="00B27F12" w:rsidP="00B27F12">
            <w:pPr>
              <w:jc w:val="center"/>
              <w:rPr>
                <w:sz w:val="18"/>
                <w:szCs w:val="18"/>
              </w:rPr>
            </w:pPr>
            <w:r>
              <w:rPr>
                <w:sz w:val="18"/>
                <w:szCs w:val="18"/>
              </w:rPr>
              <w:t>0</w:t>
            </w:r>
          </w:p>
        </w:tc>
        <w:tc>
          <w:tcPr>
            <w:tcW w:w="0" w:type="auto"/>
          </w:tcPr>
          <w:p w14:paraId="7B4607BD" w14:textId="5EA702AA" w:rsidR="00B27F12" w:rsidRPr="0034375A" w:rsidRDefault="00B27F12" w:rsidP="00B27F12">
            <w:pPr>
              <w:jc w:val="center"/>
              <w:rPr>
                <w:sz w:val="18"/>
                <w:szCs w:val="18"/>
              </w:rPr>
            </w:pPr>
            <w:r>
              <w:rPr>
                <w:sz w:val="18"/>
                <w:szCs w:val="18"/>
              </w:rPr>
              <w:t>0</w:t>
            </w:r>
          </w:p>
        </w:tc>
        <w:tc>
          <w:tcPr>
            <w:tcW w:w="0" w:type="auto"/>
          </w:tcPr>
          <w:p w14:paraId="48A3C80F" w14:textId="481E12EB" w:rsidR="00B27F12" w:rsidRPr="0034375A" w:rsidRDefault="00B27F12" w:rsidP="00B27F12">
            <w:pPr>
              <w:jc w:val="center"/>
              <w:rPr>
                <w:sz w:val="18"/>
                <w:szCs w:val="18"/>
              </w:rPr>
            </w:pPr>
            <w:r>
              <w:rPr>
                <w:sz w:val="18"/>
                <w:szCs w:val="18"/>
              </w:rPr>
              <w:t>0</w:t>
            </w:r>
          </w:p>
        </w:tc>
      </w:tr>
    </w:tbl>
    <w:p w14:paraId="11E729FD" w14:textId="6C428096" w:rsidR="002B72A0" w:rsidRDefault="002B72A0">
      <w:pPr>
        <w:rPr>
          <w:sz w:val="18"/>
          <w:szCs w:val="18"/>
        </w:rPr>
      </w:pPr>
    </w:p>
    <w:p w14:paraId="4E4BE4BD" w14:textId="77777777" w:rsidR="002B72A0" w:rsidRDefault="002B72A0">
      <w:pPr>
        <w:rPr>
          <w:sz w:val="18"/>
          <w:szCs w:val="18"/>
        </w:rPr>
      </w:pPr>
    </w:p>
    <w:p w14:paraId="3F6C9837" w14:textId="7D398E3F" w:rsidR="00900008" w:rsidRDefault="00900008">
      <w:pPr>
        <w:spacing w:line="240" w:lineRule="auto"/>
        <w:rPr>
          <w:szCs w:val="22"/>
        </w:rPr>
      </w:pPr>
      <w:r>
        <w:rPr>
          <w:szCs w:val="22"/>
        </w:rPr>
        <w:br w:type="page"/>
      </w:r>
    </w:p>
    <w:p w14:paraId="7E6D3D0F" w14:textId="452140A4" w:rsidR="00900008" w:rsidRDefault="00900008" w:rsidP="00900008">
      <w:pPr>
        <w:rPr>
          <w:b/>
        </w:rPr>
      </w:pPr>
      <w:r>
        <w:rPr>
          <w:b/>
        </w:rPr>
        <w:lastRenderedPageBreak/>
        <w:t>Supplementary Table 3C. All-cause mortality for each Khorana score per included study during 6-month follow-up</w:t>
      </w:r>
    </w:p>
    <w:p w14:paraId="1BBA4EE7" w14:textId="77777777" w:rsidR="00274A08" w:rsidRDefault="00274A08">
      <w:pPr>
        <w:rPr>
          <w:szCs w:val="22"/>
        </w:rPr>
      </w:pPr>
    </w:p>
    <w:tbl>
      <w:tblPr>
        <w:tblStyle w:val="TableGrid"/>
        <w:tblW w:w="0" w:type="auto"/>
        <w:tblLook w:val="04A0" w:firstRow="1" w:lastRow="0" w:firstColumn="1" w:lastColumn="0" w:noHBand="0" w:noVBand="1"/>
      </w:tblPr>
      <w:tblGrid>
        <w:gridCol w:w="1422"/>
        <w:gridCol w:w="665"/>
        <w:gridCol w:w="475"/>
        <w:gridCol w:w="716"/>
        <w:gridCol w:w="475"/>
        <w:gridCol w:w="665"/>
        <w:gridCol w:w="475"/>
        <w:gridCol w:w="716"/>
        <w:gridCol w:w="475"/>
        <w:gridCol w:w="665"/>
        <w:gridCol w:w="490"/>
        <w:gridCol w:w="712"/>
        <w:gridCol w:w="490"/>
        <w:gridCol w:w="665"/>
        <w:gridCol w:w="490"/>
        <w:gridCol w:w="716"/>
        <w:gridCol w:w="475"/>
        <w:gridCol w:w="661"/>
        <w:gridCol w:w="475"/>
        <w:gridCol w:w="716"/>
        <w:gridCol w:w="475"/>
        <w:gridCol w:w="661"/>
        <w:gridCol w:w="475"/>
        <w:gridCol w:w="716"/>
        <w:gridCol w:w="475"/>
      </w:tblGrid>
      <w:tr w:rsidR="00B017B7" w:rsidRPr="0034375A" w14:paraId="53F695BF" w14:textId="77777777" w:rsidTr="004F34F6">
        <w:tc>
          <w:tcPr>
            <w:tcW w:w="0" w:type="auto"/>
          </w:tcPr>
          <w:p w14:paraId="5571BA0D" w14:textId="77777777" w:rsidR="00B017B7" w:rsidRPr="0034375A" w:rsidRDefault="00B017B7" w:rsidP="004F34F6">
            <w:pPr>
              <w:rPr>
                <w:b/>
                <w:sz w:val="18"/>
                <w:szCs w:val="18"/>
              </w:rPr>
            </w:pPr>
            <w:r w:rsidRPr="0034375A">
              <w:rPr>
                <w:b/>
                <w:sz w:val="18"/>
                <w:szCs w:val="18"/>
              </w:rPr>
              <w:t>Study</w:t>
            </w:r>
          </w:p>
        </w:tc>
        <w:tc>
          <w:tcPr>
            <w:tcW w:w="0" w:type="auto"/>
            <w:gridSpan w:val="4"/>
          </w:tcPr>
          <w:p w14:paraId="06FB5F2A" w14:textId="77777777" w:rsidR="00B017B7" w:rsidRPr="0034375A" w:rsidRDefault="00B017B7" w:rsidP="004F34F6">
            <w:pPr>
              <w:jc w:val="center"/>
              <w:rPr>
                <w:b/>
                <w:sz w:val="18"/>
                <w:szCs w:val="18"/>
              </w:rPr>
            </w:pPr>
            <w:r w:rsidRPr="0034375A">
              <w:rPr>
                <w:b/>
                <w:sz w:val="18"/>
                <w:szCs w:val="18"/>
              </w:rPr>
              <w:t>0 points</w:t>
            </w:r>
          </w:p>
        </w:tc>
        <w:tc>
          <w:tcPr>
            <w:tcW w:w="0" w:type="auto"/>
            <w:gridSpan w:val="4"/>
          </w:tcPr>
          <w:p w14:paraId="747E8AF2" w14:textId="77777777" w:rsidR="00B017B7" w:rsidRPr="0034375A" w:rsidRDefault="00B017B7" w:rsidP="004F34F6">
            <w:pPr>
              <w:jc w:val="center"/>
              <w:rPr>
                <w:b/>
                <w:sz w:val="18"/>
                <w:szCs w:val="18"/>
              </w:rPr>
            </w:pPr>
            <w:r w:rsidRPr="0034375A">
              <w:rPr>
                <w:b/>
                <w:sz w:val="18"/>
                <w:szCs w:val="18"/>
              </w:rPr>
              <w:t>1 point</w:t>
            </w:r>
          </w:p>
        </w:tc>
        <w:tc>
          <w:tcPr>
            <w:tcW w:w="0" w:type="auto"/>
            <w:gridSpan w:val="4"/>
          </w:tcPr>
          <w:p w14:paraId="35A56B10" w14:textId="77777777" w:rsidR="00B017B7" w:rsidRPr="0034375A" w:rsidRDefault="00B017B7" w:rsidP="004F34F6">
            <w:pPr>
              <w:jc w:val="center"/>
              <w:rPr>
                <w:b/>
                <w:sz w:val="18"/>
                <w:szCs w:val="18"/>
              </w:rPr>
            </w:pPr>
            <w:r w:rsidRPr="0034375A">
              <w:rPr>
                <w:b/>
                <w:sz w:val="18"/>
                <w:szCs w:val="18"/>
              </w:rPr>
              <w:t>2 points</w:t>
            </w:r>
          </w:p>
        </w:tc>
        <w:tc>
          <w:tcPr>
            <w:tcW w:w="0" w:type="auto"/>
            <w:gridSpan w:val="4"/>
          </w:tcPr>
          <w:p w14:paraId="2609161D" w14:textId="77777777" w:rsidR="00B017B7" w:rsidRPr="0034375A" w:rsidRDefault="00B017B7" w:rsidP="004F34F6">
            <w:pPr>
              <w:jc w:val="center"/>
              <w:rPr>
                <w:b/>
                <w:sz w:val="18"/>
                <w:szCs w:val="18"/>
              </w:rPr>
            </w:pPr>
            <w:r w:rsidRPr="0034375A">
              <w:rPr>
                <w:b/>
                <w:sz w:val="18"/>
                <w:szCs w:val="18"/>
              </w:rPr>
              <w:t>3 points</w:t>
            </w:r>
          </w:p>
        </w:tc>
        <w:tc>
          <w:tcPr>
            <w:tcW w:w="0" w:type="auto"/>
            <w:gridSpan w:val="4"/>
          </w:tcPr>
          <w:p w14:paraId="45A20D15" w14:textId="77777777" w:rsidR="00B017B7" w:rsidRPr="0034375A" w:rsidRDefault="00B017B7" w:rsidP="004F34F6">
            <w:pPr>
              <w:jc w:val="center"/>
              <w:rPr>
                <w:b/>
                <w:sz w:val="18"/>
                <w:szCs w:val="18"/>
              </w:rPr>
            </w:pPr>
            <w:r w:rsidRPr="0034375A">
              <w:rPr>
                <w:b/>
                <w:sz w:val="18"/>
                <w:szCs w:val="18"/>
              </w:rPr>
              <w:t>4 points</w:t>
            </w:r>
          </w:p>
        </w:tc>
        <w:tc>
          <w:tcPr>
            <w:tcW w:w="0" w:type="auto"/>
            <w:gridSpan w:val="4"/>
          </w:tcPr>
          <w:p w14:paraId="74DCC175" w14:textId="77777777" w:rsidR="00B017B7" w:rsidRPr="0034375A" w:rsidRDefault="00B017B7" w:rsidP="004F34F6">
            <w:pPr>
              <w:jc w:val="center"/>
              <w:rPr>
                <w:b/>
                <w:sz w:val="18"/>
                <w:szCs w:val="18"/>
              </w:rPr>
            </w:pPr>
            <w:r w:rsidRPr="0034375A">
              <w:rPr>
                <w:b/>
                <w:sz w:val="18"/>
                <w:szCs w:val="18"/>
              </w:rPr>
              <w:t>5 points</w:t>
            </w:r>
          </w:p>
        </w:tc>
      </w:tr>
      <w:tr w:rsidR="00803EEA" w:rsidRPr="0034375A" w14:paraId="73964158" w14:textId="77777777" w:rsidTr="004F34F6">
        <w:tc>
          <w:tcPr>
            <w:tcW w:w="0" w:type="auto"/>
          </w:tcPr>
          <w:p w14:paraId="35DB9E1F" w14:textId="77777777" w:rsidR="00B017B7" w:rsidRPr="0034375A" w:rsidRDefault="00B017B7" w:rsidP="004F34F6">
            <w:pPr>
              <w:rPr>
                <w:b/>
                <w:sz w:val="18"/>
                <w:szCs w:val="18"/>
              </w:rPr>
            </w:pPr>
          </w:p>
        </w:tc>
        <w:tc>
          <w:tcPr>
            <w:tcW w:w="1135" w:type="dxa"/>
            <w:gridSpan w:val="2"/>
          </w:tcPr>
          <w:p w14:paraId="454DEE04" w14:textId="77777777" w:rsidR="00B017B7" w:rsidRPr="0034375A" w:rsidRDefault="00B017B7" w:rsidP="004F34F6">
            <w:pPr>
              <w:jc w:val="center"/>
              <w:rPr>
                <w:b/>
                <w:sz w:val="18"/>
                <w:szCs w:val="18"/>
              </w:rPr>
            </w:pPr>
            <w:r w:rsidRPr="0034375A">
              <w:rPr>
                <w:b/>
                <w:sz w:val="18"/>
                <w:szCs w:val="18"/>
              </w:rPr>
              <w:t>O/P</w:t>
            </w:r>
          </w:p>
        </w:tc>
        <w:tc>
          <w:tcPr>
            <w:tcW w:w="1189" w:type="dxa"/>
            <w:gridSpan w:val="2"/>
          </w:tcPr>
          <w:p w14:paraId="59B0F8BA" w14:textId="77777777" w:rsidR="00B017B7" w:rsidRPr="0034375A" w:rsidRDefault="00B017B7" w:rsidP="004F34F6">
            <w:pPr>
              <w:jc w:val="center"/>
              <w:rPr>
                <w:b/>
                <w:sz w:val="18"/>
                <w:szCs w:val="18"/>
              </w:rPr>
            </w:pPr>
            <w:r w:rsidRPr="0034375A">
              <w:rPr>
                <w:b/>
                <w:sz w:val="18"/>
                <w:szCs w:val="18"/>
              </w:rPr>
              <w:t>I</w:t>
            </w:r>
            <w:r>
              <w:rPr>
                <w:b/>
                <w:sz w:val="18"/>
                <w:szCs w:val="18"/>
              </w:rPr>
              <w:t>ntervention</w:t>
            </w:r>
          </w:p>
        </w:tc>
        <w:tc>
          <w:tcPr>
            <w:tcW w:w="0" w:type="auto"/>
            <w:gridSpan w:val="2"/>
          </w:tcPr>
          <w:p w14:paraId="7542D946" w14:textId="77777777" w:rsidR="00B017B7" w:rsidRPr="0034375A" w:rsidRDefault="00B017B7" w:rsidP="004F34F6">
            <w:pPr>
              <w:jc w:val="center"/>
              <w:rPr>
                <w:b/>
                <w:sz w:val="18"/>
                <w:szCs w:val="18"/>
              </w:rPr>
            </w:pPr>
            <w:r w:rsidRPr="0034375A">
              <w:rPr>
                <w:b/>
                <w:sz w:val="18"/>
                <w:szCs w:val="18"/>
              </w:rPr>
              <w:t>O/P</w:t>
            </w:r>
          </w:p>
        </w:tc>
        <w:tc>
          <w:tcPr>
            <w:tcW w:w="0" w:type="auto"/>
            <w:gridSpan w:val="2"/>
          </w:tcPr>
          <w:p w14:paraId="20964D3D" w14:textId="77777777" w:rsidR="00B017B7" w:rsidRPr="0034375A" w:rsidRDefault="00B017B7" w:rsidP="004F34F6">
            <w:pPr>
              <w:jc w:val="center"/>
              <w:rPr>
                <w:b/>
                <w:sz w:val="18"/>
                <w:szCs w:val="18"/>
              </w:rPr>
            </w:pPr>
            <w:r w:rsidRPr="0034375A">
              <w:rPr>
                <w:b/>
                <w:sz w:val="18"/>
                <w:szCs w:val="18"/>
              </w:rPr>
              <w:t>I</w:t>
            </w:r>
            <w:r>
              <w:rPr>
                <w:b/>
                <w:sz w:val="18"/>
                <w:szCs w:val="18"/>
              </w:rPr>
              <w:t>ntervention</w:t>
            </w:r>
          </w:p>
        </w:tc>
        <w:tc>
          <w:tcPr>
            <w:tcW w:w="0" w:type="auto"/>
            <w:gridSpan w:val="2"/>
          </w:tcPr>
          <w:p w14:paraId="411DEBE9" w14:textId="77777777" w:rsidR="00B017B7" w:rsidRPr="0034375A" w:rsidRDefault="00B017B7" w:rsidP="004F34F6">
            <w:pPr>
              <w:jc w:val="center"/>
              <w:rPr>
                <w:b/>
                <w:sz w:val="18"/>
                <w:szCs w:val="18"/>
              </w:rPr>
            </w:pPr>
            <w:r w:rsidRPr="0034375A">
              <w:rPr>
                <w:b/>
                <w:sz w:val="18"/>
                <w:szCs w:val="18"/>
              </w:rPr>
              <w:t>O/P</w:t>
            </w:r>
          </w:p>
        </w:tc>
        <w:tc>
          <w:tcPr>
            <w:tcW w:w="0" w:type="auto"/>
            <w:gridSpan w:val="2"/>
          </w:tcPr>
          <w:p w14:paraId="33F01FD0" w14:textId="77777777" w:rsidR="00B017B7" w:rsidRPr="0034375A" w:rsidRDefault="00B017B7" w:rsidP="004F34F6">
            <w:pPr>
              <w:jc w:val="center"/>
              <w:rPr>
                <w:b/>
                <w:sz w:val="18"/>
                <w:szCs w:val="18"/>
              </w:rPr>
            </w:pPr>
            <w:r w:rsidRPr="0034375A">
              <w:rPr>
                <w:b/>
                <w:sz w:val="18"/>
                <w:szCs w:val="18"/>
              </w:rPr>
              <w:t>I</w:t>
            </w:r>
            <w:r>
              <w:rPr>
                <w:b/>
                <w:sz w:val="18"/>
                <w:szCs w:val="18"/>
              </w:rPr>
              <w:t>ntervention</w:t>
            </w:r>
          </w:p>
        </w:tc>
        <w:tc>
          <w:tcPr>
            <w:tcW w:w="0" w:type="auto"/>
            <w:gridSpan w:val="2"/>
          </w:tcPr>
          <w:p w14:paraId="1E01440F" w14:textId="77777777" w:rsidR="00B017B7" w:rsidRPr="0034375A" w:rsidRDefault="00B017B7" w:rsidP="004F34F6">
            <w:pPr>
              <w:jc w:val="center"/>
              <w:rPr>
                <w:b/>
                <w:sz w:val="18"/>
                <w:szCs w:val="18"/>
              </w:rPr>
            </w:pPr>
            <w:r w:rsidRPr="0034375A">
              <w:rPr>
                <w:b/>
                <w:sz w:val="18"/>
                <w:szCs w:val="18"/>
              </w:rPr>
              <w:t>O/P</w:t>
            </w:r>
          </w:p>
        </w:tc>
        <w:tc>
          <w:tcPr>
            <w:tcW w:w="0" w:type="auto"/>
            <w:gridSpan w:val="2"/>
          </w:tcPr>
          <w:p w14:paraId="319CB098" w14:textId="77777777" w:rsidR="00B017B7" w:rsidRPr="0034375A" w:rsidRDefault="00B017B7" w:rsidP="004F34F6">
            <w:pPr>
              <w:jc w:val="center"/>
              <w:rPr>
                <w:b/>
                <w:sz w:val="18"/>
                <w:szCs w:val="18"/>
              </w:rPr>
            </w:pPr>
            <w:r w:rsidRPr="0034375A">
              <w:rPr>
                <w:b/>
                <w:sz w:val="18"/>
                <w:szCs w:val="18"/>
              </w:rPr>
              <w:t>I</w:t>
            </w:r>
            <w:r>
              <w:rPr>
                <w:b/>
                <w:sz w:val="18"/>
                <w:szCs w:val="18"/>
              </w:rPr>
              <w:t>ntervention</w:t>
            </w:r>
          </w:p>
        </w:tc>
        <w:tc>
          <w:tcPr>
            <w:tcW w:w="0" w:type="auto"/>
            <w:gridSpan w:val="2"/>
          </w:tcPr>
          <w:p w14:paraId="632F7316" w14:textId="77777777" w:rsidR="00B017B7" w:rsidRPr="0034375A" w:rsidRDefault="00B017B7" w:rsidP="004F34F6">
            <w:pPr>
              <w:jc w:val="center"/>
              <w:rPr>
                <w:b/>
                <w:sz w:val="18"/>
                <w:szCs w:val="18"/>
              </w:rPr>
            </w:pPr>
            <w:r w:rsidRPr="0034375A">
              <w:rPr>
                <w:b/>
                <w:sz w:val="18"/>
                <w:szCs w:val="18"/>
              </w:rPr>
              <w:t>O/P</w:t>
            </w:r>
          </w:p>
        </w:tc>
        <w:tc>
          <w:tcPr>
            <w:tcW w:w="0" w:type="auto"/>
            <w:gridSpan w:val="2"/>
          </w:tcPr>
          <w:p w14:paraId="2E5EF1DA" w14:textId="77777777" w:rsidR="00B017B7" w:rsidRPr="0034375A" w:rsidRDefault="00B017B7" w:rsidP="004F34F6">
            <w:pPr>
              <w:jc w:val="center"/>
              <w:rPr>
                <w:b/>
                <w:sz w:val="18"/>
                <w:szCs w:val="18"/>
              </w:rPr>
            </w:pPr>
            <w:r w:rsidRPr="0034375A">
              <w:rPr>
                <w:b/>
                <w:sz w:val="18"/>
                <w:szCs w:val="18"/>
              </w:rPr>
              <w:t>I</w:t>
            </w:r>
            <w:r>
              <w:rPr>
                <w:b/>
                <w:sz w:val="18"/>
                <w:szCs w:val="18"/>
              </w:rPr>
              <w:t>ntervention</w:t>
            </w:r>
          </w:p>
        </w:tc>
        <w:tc>
          <w:tcPr>
            <w:tcW w:w="0" w:type="auto"/>
            <w:gridSpan w:val="2"/>
          </w:tcPr>
          <w:p w14:paraId="0B711064" w14:textId="77777777" w:rsidR="00B017B7" w:rsidRPr="0034375A" w:rsidRDefault="00B017B7" w:rsidP="004F34F6">
            <w:pPr>
              <w:jc w:val="center"/>
              <w:rPr>
                <w:b/>
                <w:sz w:val="18"/>
                <w:szCs w:val="18"/>
              </w:rPr>
            </w:pPr>
            <w:r w:rsidRPr="0034375A">
              <w:rPr>
                <w:b/>
                <w:sz w:val="18"/>
                <w:szCs w:val="18"/>
              </w:rPr>
              <w:t>O/P</w:t>
            </w:r>
          </w:p>
        </w:tc>
        <w:tc>
          <w:tcPr>
            <w:tcW w:w="0" w:type="auto"/>
            <w:gridSpan w:val="2"/>
          </w:tcPr>
          <w:p w14:paraId="0B8E77CA" w14:textId="77777777" w:rsidR="00B017B7" w:rsidRPr="0034375A" w:rsidRDefault="00B017B7" w:rsidP="004F34F6">
            <w:pPr>
              <w:jc w:val="center"/>
              <w:rPr>
                <w:b/>
                <w:sz w:val="18"/>
                <w:szCs w:val="18"/>
              </w:rPr>
            </w:pPr>
            <w:r w:rsidRPr="0034375A">
              <w:rPr>
                <w:b/>
                <w:sz w:val="18"/>
                <w:szCs w:val="18"/>
              </w:rPr>
              <w:t>I</w:t>
            </w:r>
            <w:r>
              <w:rPr>
                <w:b/>
                <w:sz w:val="18"/>
                <w:szCs w:val="18"/>
              </w:rPr>
              <w:t>ntervention</w:t>
            </w:r>
          </w:p>
        </w:tc>
      </w:tr>
      <w:tr w:rsidR="00803EEA" w:rsidRPr="0034375A" w14:paraId="63B80616" w14:textId="77777777" w:rsidTr="004F34F6">
        <w:tc>
          <w:tcPr>
            <w:tcW w:w="0" w:type="auto"/>
          </w:tcPr>
          <w:p w14:paraId="6655B950" w14:textId="77777777" w:rsidR="00B017B7" w:rsidRPr="0034375A" w:rsidRDefault="00B017B7" w:rsidP="004F34F6">
            <w:pPr>
              <w:rPr>
                <w:sz w:val="18"/>
                <w:szCs w:val="18"/>
              </w:rPr>
            </w:pPr>
          </w:p>
        </w:tc>
        <w:tc>
          <w:tcPr>
            <w:tcW w:w="0" w:type="auto"/>
          </w:tcPr>
          <w:p w14:paraId="01B32515"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50A24323" w14:textId="77777777" w:rsidR="00B017B7" w:rsidRPr="0034375A" w:rsidRDefault="00B017B7" w:rsidP="004F34F6">
            <w:pPr>
              <w:jc w:val="center"/>
              <w:rPr>
                <w:b/>
                <w:sz w:val="18"/>
                <w:szCs w:val="18"/>
              </w:rPr>
            </w:pPr>
            <w:r>
              <w:rPr>
                <w:b/>
                <w:sz w:val="18"/>
                <w:szCs w:val="18"/>
              </w:rPr>
              <w:t>MB</w:t>
            </w:r>
          </w:p>
        </w:tc>
        <w:tc>
          <w:tcPr>
            <w:tcW w:w="0" w:type="auto"/>
          </w:tcPr>
          <w:p w14:paraId="7BF66B82"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37874A3F" w14:textId="77777777" w:rsidR="00B017B7" w:rsidRPr="0034375A" w:rsidRDefault="00B017B7" w:rsidP="004F34F6">
            <w:pPr>
              <w:jc w:val="center"/>
              <w:rPr>
                <w:b/>
                <w:sz w:val="18"/>
                <w:szCs w:val="18"/>
              </w:rPr>
            </w:pPr>
            <w:r>
              <w:rPr>
                <w:b/>
                <w:sz w:val="18"/>
                <w:szCs w:val="18"/>
              </w:rPr>
              <w:t>MB</w:t>
            </w:r>
          </w:p>
        </w:tc>
        <w:tc>
          <w:tcPr>
            <w:tcW w:w="0" w:type="auto"/>
          </w:tcPr>
          <w:p w14:paraId="5C381BA4"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6F894ABA" w14:textId="77777777" w:rsidR="00B017B7" w:rsidRPr="0034375A" w:rsidRDefault="00B017B7" w:rsidP="004F34F6">
            <w:pPr>
              <w:jc w:val="center"/>
              <w:rPr>
                <w:b/>
                <w:sz w:val="18"/>
                <w:szCs w:val="18"/>
              </w:rPr>
            </w:pPr>
            <w:r>
              <w:rPr>
                <w:b/>
                <w:sz w:val="18"/>
                <w:szCs w:val="18"/>
              </w:rPr>
              <w:t>MB</w:t>
            </w:r>
          </w:p>
        </w:tc>
        <w:tc>
          <w:tcPr>
            <w:tcW w:w="0" w:type="auto"/>
          </w:tcPr>
          <w:p w14:paraId="0104ADD9"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2B8DFD14" w14:textId="77777777" w:rsidR="00B017B7" w:rsidRPr="0034375A" w:rsidRDefault="00B017B7" w:rsidP="004F34F6">
            <w:pPr>
              <w:jc w:val="center"/>
              <w:rPr>
                <w:b/>
                <w:sz w:val="18"/>
                <w:szCs w:val="18"/>
              </w:rPr>
            </w:pPr>
            <w:r>
              <w:rPr>
                <w:b/>
                <w:sz w:val="18"/>
                <w:szCs w:val="18"/>
              </w:rPr>
              <w:t>MB</w:t>
            </w:r>
          </w:p>
        </w:tc>
        <w:tc>
          <w:tcPr>
            <w:tcW w:w="0" w:type="auto"/>
          </w:tcPr>
          <w:p w14:paraId="0132B84B"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11D4D3ED" w14:textId="77777777" w:rsidR="00B017B7" w:rsidRPr="0034375A" w:rsidRDefault="00B017B7" w:rsidP="004F34F6">
            <w:pPr>
              <w:jc w:val="center"/>
              <w:rPr>
                <w:b/>
                <w:sz w:val="18"/>
                <w:szCs w:val="18"/>
              </w:rPr>
            </w:pPr>
            <w:r>
              <w:rPr>
                <w:b/>
                <w:sz w:val="18"/>
                <w:szCs w:val="18"/>
              </w:rPr>
              <w:t>MB</w:t>
            </w:r>
          </w:p>
        </w:tc>
        <w:tc>
          <w:tcPr>
            <w:tcW w:w="0" w:type="auto"/>
          </w:tcPr>
          <w:p w14:paraId="2CD2EF8C"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333C9D49" w14:textId="77777777" w:rsidR="00B017B7" w:rsidRPr="0034375A" w:rsidRDefault="00B017B7" w:rsidP="004F34F6">
            <w:pPr>
              <w:jc w:val="center"/>
              <w:rPr>
                <w:b/>
                <w:sz w:val="18"/>
                <w:szCs w:val="18"/>
              </w:rPr>
            </w:pPr>
            <w:r>
              <w:rPr>
                <w:b/>
                <w:sz w:val="18"/>
                <w:szCs w:val="18"/>
              </w:rPr>
              <w:t>MB</w:t>
            </w:r>
          </w:p>
        </w:tc>
        <w:tc>
          <w:tcPr>
            <w:tcW w:w="0" w:type="auto"/>
          </w:tcPr>
          <w:p w14:paraId="376AC1AD"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1594E09E" w14:textId="77777777" w:rsidR="00B017B7" w:rsidRPr="0034375A" w:rsidRDefault="00B017B7" w:rsidP="004F34F6">
            <w:pPr>
              <w:jc w:val="center"/>
              <w:rPr>
                <w:b/>
                <w:sz w:val="18"/>
                <w:szCs w:val="18"/>
              </w:rPr>
            </w:pPr>
            <w:r>
              <w:rPr>
                <w:b/>
                <w:sz w:val="18"/>
                <w:szCs w:val="18"/>
              </w:rPr>
              <w:t>MB</w:t>
            </w:r>
          </w:p>
        </w:tc>
        <w:tc>
          <w:tcPr>
            <w:tcW w:w="0" w:type="auto"/>
          </w:tcPr>
          <w:p w14:paraId="0B79CDEA"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5ADD4C8B" w14:textId="77777777" w:rsidR="00B017B7" w:rsidRPr="0034375A" w:rsidRDefault="00B017B7" w:rsidP="004F34F6">
            <w:pPr>
              <w:jc w:val="center"/>
              <w:rPr>
                <w:b/>
                <w:sz w:val="18"/>
                <w:szCs w:val="18"/>
              </w:rPr>
            </w:pPr>
            <w:r>
              <w:rPr>
                <w:b/>
                <w:sz w:val="18"/>
                <w:szCs w:val="18"/>
              </w:rPr>
              <w:t>MB</w:t>
            </w:r>
          </w:p>
        </w:tc>
        <w:tc>
          <w:tcPr>
            <w:tcW w:w="0" w:type="auto"/>
          </w:tcPr>
          <w:p w14:paraId="76CE55B9"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64BB8341" w14:textId="77777777" w:rsidR="00B017B7" w:rsidRPr="0034375A" w:rsidRDefault="00B017B7" w:rsidP="004F34F6">
            <w:pPr>
              <w:jc w:val="center"/>
              <w:rPr>
                <w:b/>
                <w:sz w:val="18"/>
                <w:szCs w:val="18"/>
              </w:rPr>
            </w:pPr>
            <w:r>
              <w:rPr>
                <w:b/>
                <w:sz w:val="18"/>
                <w:szCs w:val="18"/>
              </w:rPr>
              <w:t>MB</w:t>
            </w:r>
          </w:p>
        </w:tc>
        <w:tc>
          <w:tcPr>
            <w:tcW w:w="0" w:type="auto"/>
          </w:tcPr>
          <w:p w14:paraId="08A747EE"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147F3DD8" w14:textId="77777777" w:rsidR="00B017B7" w:rsidRPr="0034375A" w:rsidRDefault="00B017B7" w:rsidP="004F34F6">
            <w:pPr>
              <w:jc w:val="center"/>
              <w:rPr>
                <w:b/>
                <w:sz w:val="18"/>
                <w:szCs w:val="18"/>
              </w:rPr>
            </w:pPr>
            <w:r>
              <w:rPr>
                <w:b/>
                <w:sz w:val="18"/>
                <w:szCs w:val="18"/>
              </w:rPr>
              <w:t>MB</w:t>
            </w:r>
          </w:p>
        </w:tc>
        <w:tc>
          <w:tcPr>
            <w:tcW w:w="0" w:type="auto"/>
          </w:tcPr>
          <w:p w14:paraId="70744CC6"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38B248CF" w14:textId="77777777" w:rsidR="00B017B7" w:rsidRPr="0034375A" w:rsidRDefault="00B017B7" w:rsidP="004F34F6">
            <w:pPr>
              <w:jc w:val="center"/>
              <w:rPr>
                <w:b/>
                <w:sz w:val="18"/>
                <w:szCs w:val="18"/>
              </w:rPr>
            </w:pPr>
            <w:r>
              <w:rPr>
                <w:b/>
                <w:sz w:val="18"/>
                <w:szCs w:val="18"/>
              </w:rPr>
              <w:t>MB</w:t>
            </w:r>
          </w:p>
        </w:tc>
        <w:tc>
          <w:tcPr>
            <w:tcW w:w="0" w:type="auto"/>
          </w:tcPr>
          <w:p w14:paraId="2A9FF0DC" w14:textId="77777777" w:rsidR="00B017B7" w:rsidRPr="0034375A" w:rsidRDefault="00B017B7" w:rsidP="004F34F6">
            <w:pPr>
              <w:jc w:val="center"/>
              <w:rPr>
                <w:b/>
                <w:sz w:val="18"/>
                <w:szCs w:val="18"/>
              </w:rPr>
            </w:pPr>
            <w:r w:rsidRPr="0034375A">
              <w:rPr>
                <w:b/>
                <w:sz w:val="18"/>
                <w:szCs w:val="18"/>
              </w:rPr>
              <w:t xml:space="preserve">No </w:t>
            </w:r>
            <w:r>
              <w:rPr>
                <w:b/>
                <w:sz w:val="18"/>
                <w:szCs w:val="18"/>
              </w:rPr>
              <w:t>MB</w:t>
            </w:r>
          </w:p>
        </w:tc>
        <w:tc>
          <w:tcPr>
            <w:tcW w:w="0" w:type="auto"/>
          </w:tcPr>
          <w:p w14:paraId="54E80296" w14:textId="77777777" w:rsidR="00B017B7" w:rsidRPr="0034375A" w:rsidRDefault="00B017B7" w:rsidP="004F34F6">
            <w:pPr>
              <w:jc w:val="center"/>
              <w:rPr>
                <w:b/>
                <w:sz w:val="18"/>
                <w:szCs w:val="18"/>
              </w:rPr>
            </w:pPr>
            <w:r>
              <w:rPr>
                <w:b/>
                <w:sz w:val="18"/>
                <w:szCs w:val="18"/>
              </w:rPr>
              <w:t>MB</w:t>
            </w:r>
          </w:p>
        </w:tc>
      </w:tr>
      <w:tr w:rsidR="00803EEA" w:rsidRPr="0034375A" w14:paraId="538019E5" w14:textId="77777777" w:rsidTr="004F34F6">
        <w:tc>
          <w:tcPr>
            <w:tcW w:w="0" w:type="auto"/>
          </w:tcPr>
          <w:p w14:paraId="25CE72C7" w14:textId="1F53E57D" w:rsidR="00B017B7" w:rsidRPr="0034375A" w:rsidRDefault="00B017B7" w:rsidP="004F34F6">
            <w:pPr>
              <w:rPr>
                <w:sz w:val="18"/>
                <w:szCs w:val="18"/>
              </w:rPr>
            </w:pPr>
            <w:r w:rsidRPr="0034375A">
              <w:rPr>
                <w:sz w:val="18"/>
                <w:szCs w:val="18"/>
              </w:rPr>
              <w:t>Agnelli (2012)</w:t>
            </w:r>
            <w:r w:rsidR="00A75209" w:rsidRPr="0034375A">
              <w:rPr>
                <w:sz w:val="18"/>
                <w:szCs w:val="18"/>
              </w:rPr>
              <w:t xml:space="preserve"> </w:t>
            </w:r>
          </w:p>
        </w:tc>
        <w:tc>
          <w:tcPr>
            <w:tcW w:w="0" w:type="auto"/>
          </w:tcPr>
          <w:p w14:paraId="7C160EA3" w14:textId="30AF8F5F" w:rsidR="00B017B7" w:rsidRPr="0034375A" w:rsidRDefault="00DF1B31" w:rsidP="004F34F6">
            <w:pPr>
              <w:jc w:val="center"/>
              <w:rPr>
                <w:sz w:val="18"/>
                <w:szCs w:val="18"/>
              </w:rPr>
            </w:pPr>
            <w:r>
              <w:rPr>
                <w:sz w:val="18"/>
                <w:szCs w:val="18"/>
              </w:rPr>
              <w:t>274</w:t>
            </w:r>
          </w:p>
        </w:tc>
        <w:tc>
          <w:tcPr>
            <w:tcW w:w="0" w:type="auto"/>
          </w:tcPr>
          <w:p w14:paraId="753C74F4" w14:textId="2D378BEB" w:rsidR="00B017B7" w:rsidRPr="0034375A" w:rsidRDefault="00DF1B31" w:rsidP="004F34F6">
            <w:pPr>
              <w:jc w:val="center"/>
              <w:rPr>
                <w:sz w:val="18"/>
                <w:szCs w:val="18"/>
              </w:rPr>
            </w:pPr>
            <w:r>
              <w:rPr>
                <w:sz w:val="18"/>
                <w:szCs w:val="18"/>
              </w:rPr>
              <w:t>23</w:t>
            </w:r>
          </w:p>
        </w:tc>
        <w:tc>
          <w:tcPr>
            <w:tcW w:w="0" w:type="auto"/>
          </w:tcPr>
          <w:p w14:paraId="2B5FAAA7" w14:textId="565AB7A5" w:rsidR="00B017B7" w:rsidRPr="0034375A" w:rsidRDefault="00941148" w:rsidP="004F34F6">
            <w:pPr>
              <w:jc w:val="center"/>
              <w:rPr>
                <w:sz w:val="18"/>
                <w:szCs w:val="18"/>
              </w:rPr>
            </w:pPr>
            <w:r>
              <w:rPr>
                <w:sz w:val="18"/>
                <w:szCs w:val="18"/>
              </w:rPr>
              <w:t>282</w:t>
            </w:r>
          </w:p>
        </w:tc>
        <w:tc>
          <w:tcPr>
            <w:tcW w:w="0" w:type="auto"/>
          </w:tcPr>
          <w:p w14:paraId="1022A5CF" w14:textId="5D818319" w:rsidR="00B017B7" w:rsidRPr="0034375A" w:rsidRDefault="00941148" w:rsidP="004F34F6">
            <w:pPr>
              <w:jc w:val="center"/>
              <w:rPr>
                <w:sz w:val="18"/>
                <w:szCs w:val="18"/>
              </w:rPr>
            </w:pPr>
            <w:r>
              <w:rPr>
                <w:sz w:val="18"/>
                <w:szCs w:val="18"/>
              </w:rPr>
              <w:t>28</w:t>
            </w:r>
          </w:p>
        </w:tc>
        <w:tc>
          <w:tcPr>
            <w:tcW w:w="0" w:type="auto"/>
          </w:tcPr>
          <w:p w14:paraId="1C3FA136" w14:textId="51D4F95F" w:rsidR="00B017B7" w:rsidRPr="0034375A" w:rsidRDefault="00941148" w:rsidP="004F34F6">
            <w:pPr>
              <w:jc w:val="center"/>
              <w:rPr>
                <w:sz w:val="18"/>
                <w:szCs w:val="18"/>
              </w:rPr>
            </w:pPr>
            <w:r>
              <w:rPr>
                <w:sz w:val="18"/>
                <w:szCs w:val="18"/>
              </w:rPr>
              <w:t>392</w:t>
            </w:r>
          </w:p>
        </w:tc>
        <w:tc>
          <w:tcPr>
            <w:tcW w:w="0" w:type="auto"/>
          </w:tcPr>
          <w:p w14:paraId="50185222" w14:textId="3DB49CAF" w:rsidR="00B017B7" w:rsidRPr="0034375A" w:rsidRDefault="00941148" w:rsidP="004F34F6">
            <w:pPr>
              <w:jc w:val="center"/>
              <w:rPr>
                <w:sz w:val="18"/>
                <w:szCs w:val="18"/>
              </w:rPr>
            </w:pPr>
            <w:r>
              <w:rPr>
                <w:sz w:val="18"/>
                <w:szCs w:val="18"/>
              </w:rPr>
              <w:t>77</w:t>
            </w:r>
          </w:p>
        </w:tc>
        <w:tc>
          <w:tcPr>
            <w:tcW w:w="0" w:type="auto"/>
          </w:tcPr>
          <w:p w14:paraId="5013C10F" w14:textId="6F93FD26" w:rsidR="00B017B7" w:rsidRPr="0034375A" w:rsidRDefault="00803EEA" w:rsidP="004F34F6">
            <w:pPr>
              <w:jc w:val="center"/>
              <w:rPr>
                <w:sz w:val="18"/>
                <w:szCs w:val="18"/>
              </w:rPr>
            </w:pPr>
            <w:r>
              <w:rPr>
                <w:sz w:val="18"/>
                <w:szCs w:val="18"/>
              </w:rPr>
              <w:t>404</w:t>
            </w:r>
          </w:p>
        </w:tc>
        <w:tc>
          <w:tcPr>
            <w:tcW w:w="0" w:type="auto"/>
          </w:tcPr>
          <w:p w14:paraId="20E24D12" w14:textId="470C5195" w:rsidR="00B017B7" w:rsidRPr="0034375A" w:rsidRDefault="00803EEA" w:rsidP="004F34F6">
            <w:pPr>
              <w:jc w:val="center"/>
              <w:rPr>
                <w:sz w:val="18"/>
                <w:szCs w:val="18"/>
              </w:rPr>
            </w:pPr>
            <w:r>
              <w:rPr>
                <w:sz w:val="18"/>
                <w:szCs w:val="18"/>
              </w:rPr>
              <w:t>84</w:t>
            </w:r>
          </w:p>
        </w:tc>
        <w:tc>
          <w:tcPr>
            <w:tcW w:w="0" w:type="auto"/>
          </w:tcPr>
          <w:p w14:paraId="24B35F3E" w14:textId="388E8602" w:rsidR="00B017B7" w:rsidRPr="0034375A" w:rsidRDefault="00803EEA" w:rsidP="004F34F6">
            <w:pPr>
              <w:jc w:val="center"/>
              <w:rPr>
                <w:sz w:val="18"/>
                <w:szCs w:val="18"/>
              </w:rPr>
            </w:pPr>
            <w:r>
              <w:rPr>
                <w:sz w:val="18"/>
                <w:szCs w:val="18"/>
              </w:rPr>
              <w:t>375</w:t>
            </w:r>
          </w:p>
        </w:tc>
        <w:tc>
          <w:tcPr>
            <w:tcW w:w="0" w:type="auto"/>
          </w:tcPr>
          <w:p w14:paraId="10598DBD" w14:textId="165FF8C8" w:rsidR="00B017B7" w:rsidRPr="0034375A" w:rsidRDefault="00803EEA" w:rsidP="004F34F6">
            <w:pPr>
              <w:jc w:val="center"/>
              <w:rPr>
                <w:sz w:val="18"/>
                <w:szCs w:val="18"/>
              </w:rPr>
            </w:pPr>
            <w:r>
              <w:rPr>
                <w:sz w:val="18"/>
                <w:szCs w:val="18"/>
              </w:rPr>
              <w:t>131</w:t>
            </w:r>
          </w:p>
        </w:tc>
        <w:tc>
          <w:tcPr>
            <w:tcW w:w="0" w:type="auto"/>
          </w:tcPr>
          <w:p w14:paraId="569F58AF" w14:textId="5929DFBA" w:rsidR="00B017B7" w:rsidRPr="0034375A" w:rsidRDefault="00803EEA" w:rsidP="004F34F6">
            <w:pPr>
              <w:jc w:val="center"/>
              <w:rPr>
                <w:sz w:val="18"/>
                <w:szCs w:val="18"/>
              </w:rPr>
            </w:pPr>
            <w:r>
              <w:rPr>
                <w:sz w:val="18"/>
                <w:szCs w:val="18"/>
              </w:rPr>
              <w:t>376</w:t>
            </w:r>
          </w:p>
        </w:tc>
        <w:tc>
          <w:tcPr>
            <w:tcW w:w="0" w:type="auto"/>
          </w:tcPr>
          <w:p w14:paraId="3A1A274A" w14:textId="7035060F" w:rsidR="00B017B7" w:rsidRPr="0034375A" w:rsidRDefault="00803EEA" w:rsidP="004F34F6">
            <w:pPr>
              <w:jc w:val="center"/>
              <w:rPr>
                <w:sz w:val="18"/>
                <w:szCs w:val="18"/>
              </w:rPr>
            </w:pPr>
            <w:r>
              <w:rPr>
                <w:sz w:val="18"/>
                <w:szCs w:val="18"/>
              </w:rPr>
              <w:t>117</w:t>
            </w:r>
          </w:p>
        </w:tc>
        <w:tc>
          <w:tcPr>
            <w:tcW w:w="0" w:type="auto"/>
          </w:tcPr>
          <w:p w14:paraId="18620313" w14:textId="08D844BA" w:rsidR="00B017B7" w:rsidRPr="0034375A" w:rsidRDefault="00D941EA" w:rsidP="004F34F6">
            <w:pPr>
              <w:jc w:val="center"/>
              <w:rPr>
                <w:sz w:val="18"/>
                <w:szCs w:val="18"/>
              </w:rPr>
            </w:pPr>
            <w:r>
              <w:rPr>
                <w:sz w:val="18"/>
                <w:szCs w:val="18"/>
              </w:rPr>
              <w:t>135</w:t>
            </w:r>
          </w:p>
        </w:tc>
        <w:tc>
          <w:tcPr>
            <w:tcW w:w="0" w:type="auto"/>
          </w:tcPr>
          <w:p w14:paraId="031CA46E" w14:textId="56298E55" w:rsidR="00B017B7" w:rsidRPr="0034375A" w:rsidRDefault="00D941EA" w:rsidP="004F34F6">
            <w:pPr>
              <w:jc w:val="center"/>
              <w:rPr>
                <w:sz w:val="18"/>
                <w:szCs w:val="18"/>
              </w:rPr>
            </w:pPr>
            <w:r>
              <w:rPr>
                <w:sz w:val="18"/>
                <w:szCs w:val="18"/>
              </w:rPr>
              <w:t>83</w:t>
            </w:r>
          </w:p>
        </w:tc>
        <w:tc>
          <w:tcPr>
            <w:tcW w:w="0" w:type="auto"/>
          </w:tcPr>
          <w:p w14:paraId="7CDCD019" w14:textId="3FC90F42" w:rsidR="00B017B7" w:rsidRPr="0034375A" w:rsidRDefault="00D941EA" w:rsidP="004F34F6">
            <w:pPr>
              <w:jc w:val="center"/>
              <w:rPr>
                <w:sz w:val="18"/>
                <w:szCs w:val="18"/>
              </w:rPr>
            </w:pPr>
            <w:r>
              <w:rPr>
                <w:sz w:val="18"/>
                <w:szCs w:val="18"/>
              </w:rPr>
              <w:t>154</w:t>
            </w:r>
          </w:p>
        </w:tc>
        <w:tc>
          <w:tcPr>
            <w:tcW w:w="0" w:type="auto"/>
          </w:tcPr>
          <w:p w14:paraId="3E283B82" w14:textId="0686C975" w:rsidR="00B017B7" w:rsidRPr="0034375A" w:rsidRDefault="00D941EA" w:rsidP="004F34F6">
            <w:pPr>
              <w:jc w:val="center"/>
              <w:rPr>
                <w:sz w:val="18"/>
                <w:szCs w:val="18"/>
              </w:rPr>
            </w:pPr>
            <w:r>
              <w:rPr>
                <w:sz w:val="18"/>
                <w:szCs w:val="18"/>
              </w:rPr>
              <w:t>59</w:t>
            </w:r>
          </w:p>
        </w:tc>
        <w:tc>
          <w:tcPr>
            <w:tcW w:w="0" w:type="auto"/>
          </w:tcPr>
          <w:p w14:paraId="287FAE57" w14:textId="7FAFF57A" w:rsidR="00B017B7" w:rsidRPr="0034375A" w:rsidRDefault="00FC750B" w:rsidP="004F34F6">
            <w:pPr>
              <w:jc w:val="center"/>
              <w:rPr>
                <w:sz w:val="18"/>
                <w:szCs w:val="18"/>
              </w:rPr>
            </w:pPr>
            <w:r>
              <w:rPr>
                <w:sz w:val="18"/>
                <w:szCs w:val="18"/>
              </w:rPr>
              <w:t>34</w:t>
            </w:r>
          </w:p>
        </w:tc>
        <w:tc>
          <w:tcPr>
            <w:tcW w:w="0" w:type="auto"/>
          </w:tcPr>
          <w:p w14:paraId="454FF75A" w14:textId="0D5BF542" w:rsidR="00B017B7" w:rsidRPr="0034375A" w:rsidRDefault="00FC750B" w:rsidP="004F34F6">
            <w:pPr>
              <w:jc w:val="center"/>
              <w:rPr>
                <w:sz w:val="18"/>
                <w:szCs w:val="18"/>
              </w:rPr>
            </w:pPr>
            <w:r>
              <w:rPr>
                <w:sz w:val="18"/>
                <w:szCs w:val="18"/>
              </w:rPr>
              <w:t>25</w:t>
            </w:r>
          </w:p>
        </w:tc>
        <w:tc>
          <w:tcPr>
            <w:tcW w:w="0" w:type="auto"/>
          </w:tcPr>
          <w:p w14:paraId="27D116EE" w14:textId="7ABCF5B2" w:rsidR="00B017B7" w:rsidRPr="0034375A" w:rsidRDefault="00FC750B" w:rsidP="004F34F6">
            <w:pPr>
              <w:jc w:val="center"/>
              <w:rPr>
                <w:sz w:val="18"/>
                <w:szCs w:val="18"/>
              </w:rPr>
            </w:pPr>
            <w:r>
              <w:rPr>
                <w:sz w:val="18"/>
                <w:szCs w:val="18"/>
              </w:rPr>
              <w:t>41</w:t>
            </w:r>
          </w:p>
        </w:tc>
        <w:tc>
          <w:tcPr>
            <w:tcW w:w="0" w:type="auto"/>
          </w:tcPr>
          <w:p w14:paraId="1B697D22" w14:textId="042C688B" w:rsidR="00B017B7" w:rsidRPr="0034375A" w:rsidRDefault="00FC750B" w:rsidP="004F34F6">
            <w:pPr>
              <w:jc w:val="center"/>
              <w:rPr>
                <w:sz w:val="18"/>
                <w:szCs w:val="18"/>
              </w:rPr>
            </w:pPr>
            <w:r>
              <w:rPr>
                <w:sz w:val="18"/>
                <w:szCs w:val="18"/>
              </w:rPr>
              <w:t>20</w:t>
            </w:r>
          </w:p>
        </w:tc>
        <w:tc>
          <w:tcPr>
            <w:tcW w:w="0" w:type="auto"/>
          </w:tcPr>
          <w:p w14:paraId="38F23E92" w14:textId="36B34D80" w:rsidR="00B017B7" w:rsidRPr="0034375A" w:rsidRDefault="00FC750B" w:rsidP="004F34F6">
            <w:pPr>
              <w:jc w:val="center"/>
              <w:rPr>
                <w:sz w:val="18"/>
                <w:szCs w:val="18"/>
              </w:rPr>
            </w:pPr>
            <w:r>
              <w:rPr>
                <w:sz w:val="18"/>
                <w:szCs w:val="18"/>
              </w:rPr>
              <w:t>1</w:t>
            </w:r>
          </w:p>
        </w:tc>
        <w:tc>
          <w:tcPr>
            <w:tcW w:w="0" w:type="auto"/>
          </w:tcPr>
          <w:p w14:paraId="405729E0" w14:textId="17B0F966" w:rsidR="00B017B7" w:rsidRPr="0034375A" w:rsidRDefault="00FC750B" w:rsidP="004F34F6">
            <w:pPr>
              <w:jc w:val="center"/>
              <w:rPr>
                <w:sz w:val="18"/>
                <w:szCs w:val="18"/>
              </w:rPr>
            </w:pPr>
            <w:r>
              <w:rPr>
                <w:sz w:val="18"/>
                <w:szCs w:val="18"/>
              </w:rPr>
              <w:t>3</w:t>
            </w:r>
          </w:p>
        </w:tc>
        <w:tc>
          <w:tcPr>
            <w:tcW w:w="0" w:type="auto"/>
          </w:tcPr>
          <w:p w14:paraId="6AEE511C" w14:textId="7B5C85FC" w:rsidR="00B017B7" w:rsidRPr="0034375A" w:rsidRDefault="00FC750B" w:rsidP="004F34F6">
            <w:pPr>
              <w:jc w:val="center"/>
              <w:rPr>
                <w:sz w:val="18"/>
                <w:szCs w:val="18"/>
              </w:rPr>
            </w:pPr>
            <w:r>
              <w:rPr>
                <w:sz w:val="18"/>
                <w:szCs w:val="18"/>
              </w:rPr>
              <w:t>4</w:t>
            </w:r>
          </w:p>
        </w:tc>
        <w:tc>
          <w:tcPr>
            <w:tcW w:w="0" w:type="auto"/>
          </w:tcPr>
          <w:p w14:paraId="53AA9E19" w14:textId="278CFCC6" w:rsidR="00B017B7" w:rsidRPr="0034375A" w:rsidRDefault="00FC750B" w:rsidP="004F34F6">
            <w:pPr>
              <w:jc w:val="center"/>
              <w:rPr>
                <w:sz w:val="18"/>
                <w:szCs w:val="18"/>
              </w:rPr>
            </w:pPr>
            <w:r>
              <w:rPr>
                <w:sz w:val="18"/>
                <w:szCs w:val="18"/>
              </w:rPr>
              <w:t>2</w:t>
            </w:r>
          </w:p>
        </w:tc>
      </w:tr>
      <w:tr w:rsidR="00803EEA" w:rsidRPr="0034375A" w14:paraId="716377EC" w14:textId="77777777" w:rsidTr="004F34F6">
        <w:tc>
          <w:tcPr>
            <w:tcW w:w="0" w:type="auto"/>
          </w:tcPr>
          <w:p w14:paraId="746E46D9" w14:textId="0392DC81" w:rsidR="00B017B7" w:rsidRPr="0034375A" w:rsidRDefault="00B017B7" w:rsidP="004F34F6">
            <w:pPr>
              <w:rPr>
                <w:sz w:val="18"/>
                <w:szCs w:val="18"/>
              </w:rPr>
            </w:pPr>
            <w:r w:rsidRPr="0034375A">
              <w:rPr>
                <w:sz w:val="18"/>
                <w:szCs w:val="18"/>
              </w:rPr>
              <w:t>Haas (2005)</w:t>
            </w:r>
            <w:r w:rsidR="00A75209" w:rsidRPr="0034375A">
              <w:rPr>
                <w:sz w:val="18"/>
                <w:szCs w:val="18"/>
              </w:rPr>
              <w:t xml:space="preserve"> </w:t>
            </w:r>
          </w:p>
        </w:tc>
        <w:tc>
          <w:tcPr>
            <w:tcW w:w="0" w:type="auto"/>
          </w:tcPr>
          <w:p w14:paraId="45A0D8CF" w14:textId="71B25315" w:rsidR="00B017B7" w:rsidRPr="0034375A" w:rsidRDefault="00FB0089" w:rsidP="004F34F6">
            <w:pPr>
              <w:jc w:val="center"/>
              <w:rPr>
                <w:sz w:val="18"/>
                <w:szCs w:val="18"/>
              </w:rPr>
            </w:pPr>
            <w:r>
              <w:rPr>
                <w:sz w:val="18"/>
                <w:szCs w:val="18"/>
              </w:rPr>
              <w:t>98</w:t>
            </w:r>
          </w:p>
        </w:tc>
        <w:tc>
          <w:tcPr>
            <w:tcW w:w="0" w:type="auto"/>
          </w:tcPr>
          <w:p w14:paraId="46AA5F48" w14:textId="612A33C4" w:rsidR="00B017B7" w:rsidRPr="0034375A" w:rsidRDefault="00FB0089" w:rsidP="004F34F6">
            <w:pPr>
              <w:jc w:val="center"/>
              <w:rPr>
                <w:sz w:val="18"/>
                <w:szCs w:val="18"/>
              </w:rPr>
            </w:pPr>
            <w:r>
              <w:rPr>
                <w:sz w:val="18"/>
                <w:szCs w:val="18"/>
              </w:rPr>
              <w:t>7</w:t>
            </w:r>
          </w:p>
        </w:tc>
        <w:tc>
          <w:tcPr>
            <w:tcW w:w="0" w:type="auto"/>
          </w:tcPr>
          <w:p w14:paraId="11161E15" w14:textId="3FB2147E" w:rsidR="00B017B7" w:rsidRPr="0034375A" w:rsidRDefault="00FB0089" w:rsidP="004F34F6">
            <w:pPr>
              <w:jc w:val="center"/>
              <w:rPr>
                <w:sz w:val="18"/>
                <w:szCs w:val="18"/>
              </w:rPr>
            </w:pPr>
            <w:r>
              <w:rPr>
                <w:sz w:val="18"/>
                <w:szCs w:val="18"/>
              </w:rPr>
              <w:t>98</w:t>
            </w:r>
          </w:p>
        </w:tc>
        <w:tc>
          <w:tcPr>
            <w:tcW w:w="0" w:type="auto"/>
          </w:tcPr>
          <w:p w14:paraId="188CC5B3" w14:textId="11AFCAF8" w:rsidR="00B017B7" w:rsidRPr="0034375A" w:rsidRDefault="00FB0089" w:rsidP="004F34F6">
            <w:pPr>
              <w:jc w:val="center"/>
              <w:rPr>
                <w:sz w:val="18"/>
                <w:szCs w:val="18"/>
              </w:rPr>
            </w:pPr>
            <w:r>
              <w:rPr>
                <w:sz w:val="18"/>
                <w:szCs w:val="18"/>
              </w:rPr>
              <w:t>13</w:t>
            </w:r>
          </w:p>
        </w:tc>
        <w:tc>
          <w:tcPr>
            <w:tcW w:w="0" w:type="auto"/>
          </w:tcPr>
          <w:p w14:paraId="6B893519" w14:textId="4806E9BD" w:rsidR="00B017B7" w:rsidRPr="0034375A" w:rsidRDefault="00FB0089" w:rsidP="004F34F6">
            <w:pPr>
              <w:jc w:val="center"/>
              <w:rPr>
                <w:sz w:val="18"/>
                <w:szCs w:val="18"/>
              </w:rPr>
            </w:pPr>
            <w:r>
              <w:rPr>
                <w:sz w:val="18"/>
                <w:szCs w:val="18"/>
              </w:rPr>
              <w:t>47</w:t>
            </w:r>
          </w:p>
        </w:tc>
        <w:tc>
          <w:tcPr>
            <w:tcW w:w="0" w:type="auto"/>
          </w:tcPr>
          <w:p w14:paraId="09C6EE74" w14:textId="4C41E355" w:rsidR="00B017B7" w:rsidRPr="0034375A" w:rsidRDefault="00FB0089" w:rsidP="004F34F6">
            <w:pPr>
              <w:jc w:val="center"/>
              <w:rPr>
                <w:sz w:val="18"/>
                <w:szCs w:val="18"/>
              </w:rPr>
            </w:pPr>
            <w:r>
              <w:rPr>
                <w:sz w:val="18"/>
                <w:szCs w:val="18"/>
              </w:rPr>
              <w:t>7</w:t>
            </w:r>
          </w:p>
        </w:tc>
        <w:tc>
          <w:tcPr>
            <w:tcW w:w="0" w:type="auto"/>
          </w:tcPr>
          <w:p w14:paraId="2FB6A10C" w14:textId="2123FC5B" w:rsidR="00B017B7" w:rsidRPr="0034375A" w:rsidRDefault="00FB0089" w:rsidP="004F34F6">
            <w:pPr>
              <w:jc w:val="center"/>
              <w:rPr>
                <w:sz w:val="18"/>
                <w:szCs w:val="18"/>
              </w:rPr>
            </w:pPr>
            <w:r>
              <w:rPr>
                <w:sz w:val="18"/>
                <w:szCs w:val="18"/>
              </w:rPr>
              <w:t>33</w:t>
            </w:r>
          </w:p>
        </w:tc>
        <w:tc>
          <w:tcPr>
            <w:tcW w:w="0" w:type="auto"/>
          </w:tcPr>
          <w:p w14:paraId="0C4D1916" w14:textId="7C94E35B" w:rsidR="00B017B7" w:rsidRPr="0034375A" w:rsidRDefault="00FB0089" w:rsidP="004F34F6">
            <w:pPr>
              <w:jc w:val="center"/>
              <w:rPr>
                <w:sz w:val="18"/>
                <w:szCs w:val="18"/>
              </w:rPr>
            </w:pPr>
            <w:r>
              <w:rPr>
                <w:sz w:val="18"/>
                <w:szCs w:val="18"/>
              </w:rPr>
              <w:t>3</w:t>
            </w:r>
          </w:p>
        </w:tc>
        <w:tc>
          <w:tcPr>
            <w:tcW w:w="0" w:type="auto"/>
          </w:tcPr>
          <w:p w14:paraId="04C81EAA" w14:textId="1492D03C" w:rsidR="00B017B7" w:rsidRPr="0034375A" w:rsidRDefault="00177916" w:rsidP="004F34F6">
            <w:pPr>
              <w:jc w:val="center"/>
              <w:rPr>
                <w:sz w:val="18"/>
                <w:szCs w:val="18"/>
              </w:rPr>
            </w:pPr>
            <w:r>
              <w:rPr>
                <w:sz w:val="18"/>
                <w:szCs w:val="18"/>
              </w:rPr>
              <w:t>5</w:t>
            </w:r>
          </w:p>
        </w:tc>
        <w:tc>
          <w:tcPr>
            <w:tcW w:w="0" w:type="auto"/>
          </w:tcPr>
          <w:p w14:paraId="0C4CFFAE" w14:textId="5F4B54C1" w:rsidR="00B017B7" w:rsidRPr="0034375A" w:rsidRDefault="00177916" w:rsidP="004F34F6">
            <w:pPr>
              <w:jc w:val="center"/>
              <w:rPr>
                <w:sz w:val="18"/>
                <w:szCs w:val="18"/>
              </w:rPr>
            </w:pPr>
            <w:r>
              <w:rPr>
                <w:sz w:val="18"/>
                <w:szCs w:val="18"/>
              </w:rPr>
              <w:t>0</w:t>
            </w:r>
          </w:p>
        </w:tc>
        <w:tc>
          <w:tcPr>
            <w:tcW w:w="0" w:type="auto"/>
          </w:tcPr>
          <w:p w14:paraId="00F9783A" w14:textId="67FF4A7A" w:rsidR="00B017B7" w:rsidRPr="0034375A" w:rsidRDefault="00177916" w:rsidP="004F34F6">
            <w:pPr>
              <w:jc w:val="center"/>
              <w:rPr>
                <w:sz w:val="18"/>
                <w:szCs w:val="18"/>
              </w:rPr>
            </w:pPr>
            <w:r>
              <w:rPr>
                <w:sz w:val="18"/>
                <w:szCs w:val="18"/>
              </w:rPr>
              <w:t>9</w:t>
            </w:r>
          </w:p>
        </w:tc>
        <w:tc>
          <w:tcPr>
            <w:tcW w:w="0" w:type="auto"/>
          </w:tcPr>
          <w:p w14:paraId="7D85FD84" w14:textId="47D90668" w:rsidR="00B017B7" w:rsidRPr="0034375A" w:rsidRDefault="00177916" w:rsidP="004F34F6">
            <w:pPr>
              <w:jc w:val="center"/>
              <w:rPr>
                <w:sz w:val="18"/>
                <w:szCs w:val="18"/>
              </w:rPr>
            </w:pPr>
            <w:r>
              <w:rPr>
                <w:sz w:val="18"/>
                <w:szCs w:val="18"/>
              </w:rPr>
              <w:t>4</w:t>
            </w:r>
          </w:p>
        </w:tc>
        <w:tc>
          <w:tcPr>
            <w:tcW w:w="0" w:type="auto"/>
          </w:tcPr>
          <w:p w14:paraId="185BB6DB" w14:textId="6BD7A6AF" w:rsidR="00B017B7" w:rsidRPr="0034375A" w:rsidRDefault="00177916" w:rsidP="004F34F6">
            <w:pPr>
              <w:jc w:val="center"/>
              <w:rPr>
                <w:sz w:val="18"/>
                <w:szCs w:val="18"/>
              </w:rPr>
            </w:pPr>
            <w:r>
              <w:rPr>
                <w:sz w:val="18"/>
                <w:szCs w:val="18"/>
              </w:rPr>
              <w:t>0</w:t>
            </w:r>
          </w:p>
        </w:tc>
        <w:tc>
          <w:tcPr>
            <w:tcW w:w="0" w:type="auto"/>
          </w:tcPr>
          <w:p w14:paraId="11829EFE" w14:textId="4B227EC9" w:rsidR="00B017B7" w:rsidRPr="0034375A" w:rsidRDefault="00177916" w:rsidP="004F34F6">
            <w:pPr>
              <w:jc w:val="center"/>
              <w:rPr>
                <w:sz w:val="18"/>
                <w:szCs w:val="18"/>
              </w:rPr>
            </w:pPr>
            <w:r>
              <w:rPr>
                <w:sz w:val="18"/>
                <w:szCs w:val="18"/>
              </w:rPr>
              <w:t>0</w:t>
            </w:r>
          </w:p>
        </w:tc>
        <w:tc>
          <w:tcPr>
            <w:tcW w:w="0" w:type="auto"/>
          </w:tcPr>
          <w:p w14:paraId="5B1A28EC" w14:textId="0566BE90" w:rsidR="00B017B7" w:rsidRPr="0034375A" w:rsidRDefault="00177916" w:rsidP="004F34F6">
            <w:pPr>
              <w:jc w:val="center"/>
              <w:rPr>
                <w:sz w:val="18"/>
                <w:szCs w:val="18"/>
              </w:rPr>
            </w:pPr>
            <w:r>
              <w:rPr>
                <w:sz w:val="18"/>
                <w:szCs w:val="18"/>
              </w:rPr>
              <w:t>1</w:t>
            </w:r>
          </w:p>
        </w:tc>
        <w:tc>
          <w:tcPr>
            <w:tcW w:w="0" w:type="auto"/>
          </w:tcPr>
          <w:p w14:paraId="15A0DDD9" w14:textId="51A9501C" w:rsidR="00B017B7" w:rsidRPr="0034375A" w:rsidRDefault="00177916" w:rsidP="004F34F6">
            <w:pPr>
              <w:jc w:val="center"/>
              <w:rPr>
                <w:sz w:val="18"/>
                <w:szCs w:val="18"/>
              </w:rPr>
            </w:pPr>
            <w:r>
              <w:rPr>
                <w:sz w:val="18"/>
                <w:szCs w:val="18"/>
              </w:rPr>
              <w:t>0</w:t>
            </w:r>
          </w:p>
        </w:tc>
        <w:tc>
          <w:tcPr>
            <w:tcW w:w="0" w:type="auto"/>
          </w:tcPr>
          <w:p w14:paraId="576B87D3" w14:textId="67732C0B" w:rsidR="00B017B7" w:rsidRPr="0034375A" w:rsidRDefault="00177916" w:rsidP="004F34F6">
            <w:pPr>
              <w:jc w:val="center"/>
              <w:rPr>
                <w:sz w:val="18"/>
                <w:szCs w:val="18"/>
              </w:rPr>
            </w:pPr>
            <w:r>
              <w:rPr>
                <w:sz w:val="18"/>
                <w:szCs w:val="18"/>
              </w:rPr>
              <w:t>0</w:t>
            </w:r>
          </w:p>
        </w:tc>
        <w:tc>
          <w:tcPr>
            <w:tcW w:w="0" w:type="auto"/>
          </w:tcPr>
          <w:p w14:paraId="53469A1E" w14:textId="486D9516" w:rsidR="00B017B7" w:rsidRPr="0034375A" w:rsidRDefault="00177916" w:rsidP="004F34F6">
            <w:pPr>
              <w:jc w:val="center"/>
              <w:rPr>
                <w:sz w:val="18"/>
                <w:szCs w:val="18"/>
              </w:rPr>
            </w:pPr>
            <w:r>
              <w:rPr>
                <w:sz w:val="18"/>
                <w:szCs w:val="18"/>
              </w:rPr>
              <w:t>0</w:t>
            </w:r>
          </w:p>
        </w:tc>
        <w:tc>
          <w:tcPr>
            <w:tcW w:w="0" w:type="auto"/>
          </w:tcPr>
          <w:p w14:paraId="56936363" w14:textId="2EFD46D5" w:rsidR="00B017B7" w:rsidRPr="0034375A" w:rsidRDefault="00177916" w:rsidP="004F34F6">
            <w:pPr>
              <w:jc w:val="center"/>
              <w:rPr>
                <w:sz w:val="18"/>
                <w:szCs w:val="18"/>
              </w:rPr>
            </w:pPr>
            <w:r>
              <w:rPr>
                <w:sz w:val="18"/>
                <w:szCs w:val="18"/>
              </w:rPr>
              <w:t>0</w:t>
            </w:r>
          </w:p>
        </w:tc>
        <w:tc>
          <w:tcPr>
            <w:tcW w:w="0" w:type="auto"/>
          </w:tcPr>
          <w:p w14:paraId="6F58BBC8" w14:textId="45932B0D" w:rsidR="00B017B7" w:rsidRPr="0034375A" w:rsidRDefault="00177916" w:rsidP="004F34F6">
            <w:pPr>
              <w:jc w:val="center"/>
              <w:rPr>
                <w:sz w:val="18"/>
                <w:szCs w:val="18"/>
              </w:rPr>
            </w:pPr>
            <w:r>
              <w:rPr>
                <w:sz w:val="18"/>
                <w:szCs w:val="18"/>
              </w:rPr>
              <w:t>0</w:t>
            </w:r>
          </w:p>
        </w:tc>
        <w:tc>
          <w:tcPr>
            <w:tcW w:w="0" w:type="auto"/>
          </w:tcPr>
          <w:p w14:paraId="3A28DA4C" w14:textId="39E76B1D" w:rsidR="00B017B7" w:rsidRPr="0034375A" w:rsidRDefault="00177916" w:rsidP="004F34F6">
            <w:pPr>
              <w:jc w:val="center"/>
              <w:rPr>
                <w:sz w:val="18"/>
                <w:szCs w:val="18"/>
              </w:rPr>
            </w:pPr>
            <w:r>
              <w:rPr>
                <w:sz w:val="18"/>
                <w:szCs w:val="18"/>
              </w:rPr>
              <w:t>0</w:t>
            </w:r>
          </w:p>
        </w:tc>
        <w:tc>
          <w:tcPr>
            <w:tcW w:w="0" w:type="auto"/>
          </w:tcPr>
          <w:p w14:paraId="4C4B6C27" w14:textId="7E0505C2" w:rsidR="00B017B7" w:rsidRPr="0034375A" w:rsidRDefault="00177916" w:rsidP="004F34F6">
            <w:pPr>
              <w:jc w:val="center"/>
              <w:rPr>
                <w:sz w:val="18"/>
                <w:szCs w:val="18"/>
              </w:rPr>
            </w:pPr>
            <w:r>
              <w:rPr>
                <w:sz w:val="18"/>
                <w:szCs w:val="18"/>
              </w:rPr>
              <w:t>0</w:t>
            </w:r>
          </w:p>
        </w:tc>
        <w:tc>
          <w:tcPr>
            <w:tcW w:w="0" w:type="auto"/>
          </w:tcPr>
          <w:p w14:paraId="0480E625" w14:textId="21BAD598" w:rsidR="00B017B7" w:rsidRPr="0034375A" w:rsidRDefault="00177916" w:rsidP="004F34F6">
            <w:pPr>
              <w:jc w:val="center"/>
              <w:rPr>
                <w:sz w:val="18"/>
                <w:szCs w:val="18"/>
              </w:rPr>
            </w:pPr>
            <w:r>
              <w:rPr>
                <w:sz w:val="18"/>
                <w:szCs w:val="18"/>
              </w:rPr>
              <w:t>0</w:t>
            </w:r>
          </w:p>
        </w:tc>
        <w:tc>
          <w:tcPr>
            <w:tcW w:w="0" w:type="auto"/>
          </w:tcPr>
          <w:p w14:paraId="6009C1FA" w14:textId="17A0F446" w:rsidR="00B017B7" w:rsidRPr="0034375A" w:rsidRDefault="00177916" w:rsidP="004F34F6">
            <w:pPr>
              <w:jc w:val="center"/>
              <w:rPr>
                <w:sz w:val="18"/>
                <w:szCs w:val="18"/>
              </w:rPr>
            </w:pPr>
            <w:r>
              <w:rPr>
                <w:sz w:val="18"/>
                <w:szCs w:val="18"/>
              </w:rPr>
              <w:t>0</w:t>
            </w:r>
          </w:p>
        </w:tc>
      </w:tr>
      <w:tr w:rsidR="00803EEA" w:rsidRPr="0034375A" w14:paraId="4DC34AA5" w14:textId="77777777" w:rsidTr="004F34F6">
        <w:tc>
          <w:tcPr>
            <w:tcW w:w="0" w:type="auto"/>
          </w:tcPr>
          <w:p w14:paraId="0FFC8C5A" w14:textId="14658DC4" w:rsidR="006B55B0" w:rsidRPr="0034375A" w:rsidRDefault="006B55B0" w:rsidP="006B55B0">
            <w:pPr>
              <w:rPr>
                <w:sz w:val="18"/>
                <w:szCs w:val="18"/>
              </w:rPr>
            </w:pPr>
            <w:r w:rsidRPr="0034375A">
              <w:rPr>
                <w:sz w:val="18"/>
                <w:szCs w:val="18"/>
              </w:rPr>
              <w:t>Haas (2012)</w:t>
            </w:r>
            <w:r w:rsidR="00A75209" w:rsidRPr="0034375A">
              <w:rPr>
                <w:sz w:val="18"/>
                <w:szCs w:val="18"/>
              </w:rPr>
              <w:t xml:space="preserve"> </w:t>
            </w:r>
          </w:p>
        </w:tc>
        <w:tc>
          <w:tcPr>
            <w:tcW w:w="0" w:type="auto"/>
          </w:tcPr>
          <w:p w14:paraId="66A116A9" w14:textId="7099E8C8" w:rsidR="006B55B0" w:rsidRPr="0034375A" w:rsidRDefault="006B55B0" w:rsidP="006B55B0">
            <w:pPr>
              <w:jc w:val="center"/>
              <w:rPr>
                <w:sz w:val="18"/>
                <w:szCs w:val="18"/>
              </w:rPr>
            </w:pPr>
            <w:r>
              <w:rPr>
                <w:sz w:val="18"/>
                <w:szCs w:val="18"/>
              </w:rPr>
              <w:t>0</w:t>
            </w:r>
          </w:p>
        </w:tc>
        <w:tc>
          <w:tcPr>
            <w:tcW w:w="0" w:type="auto"/>
          </w:tcPr>
          <w:p w14:paraId="4CEF338D" w14:textId="5B843F22" w:rsidR="006B55B0" w:rsidRPr="0034375A" w:rsidRDefault="006B55B0" w:rsidP="006B55B0">
            <w:pPr>
              <w:jc w:val="center"/>
              <w:rPr>
                <w:sz w:val="18"/>
                <w:szCs w:val="18"/>
              </w:rPr>
            </w:pPr>
            <w:r>
              <w:rPr>
                <w:sz w:val="18"/>
                <w:szCs w:val="18"/>
              </w:rPr>
              <w:t>0</w:t>
            </w:r>
          </w:p>
        </w:tc>
        <w:tc>
          <w:tcPr>
            <w:tcW w:w="0" w:type="auto"/>
          </w:tcPr>
          <w:p w14:paraId="0F99801E" w14:textId="7B76EC91" w:rsidR="006B55B0" w:rsidRPr="0034375A" w:rsidRDefault="006B55B0" w:rsidP="006B55B0">
            <w:pPr>
              <w:jc w:val="center"/>
              <w:rPr>
                <w:sz w:val="18"/>
                <w:szCs w:val="18"/>
              </w:rPr>
            </w:pPr>
            <w:r>
              <w:rPr>
                <w:sz w:val="18"/>
                <w:szCs w:val="18"/>
              </w:rPr>
              <w:t>0</w:t>
            </w:r>
          </w:p>
        </w:tc>
        <w:tc>
          <w:tcPr>
            <w:tcW w:w="0" w:type="auto"/>
          </w:tcPr>
          <w:p w14:paraId="0ED4B4DA" w14:textId="1C5E6220" w:rsidR="006B55B0" w:rsidRPr="0034375A" w:rsidRDefault="006B55B0" w:rsidP="006B55B0">
            <w:pPr>
              <w:jc w:val="center"/>
              <w:rPr>
                <w:sz w:val="18"/>
                <w:szCs w:val="18"/>
              </w:rPr>
            </w:pPr>
            <w:r>
              <w:rPr>
                <w:sz w:val="18"/>
                <w:szCs w:val="18"/>
              </w:rPr>
              <w:t>0</w:t>
            </w:r>
          </w:p>
        </w:tc>
        <w:tc>
          <w:tcPr>
            <w:tcW w:w="0" w:type="auto"/>
          </w:tcPr>
          <w:p w14:paraId="112ABA48" w14:textId="7E6DAB21" w:rsidR="006B55B0" w:rsidRPr="0034375A" w:rsidRDefault="006B55B0" w:rsidP="006B55B0">
            <w:pPr>
              <w:jc w:val="center"/>
              <w:rPr>
                <w:sz w:val="18"/>
                <w:szCs w:val="18"/>
              </w:rPr>
            </w:pPr>
            <w:r>
              <w:rPr>
                <w:sz w:val="18"/>
                <w:szCs w:val="18"/>
              </w:rPr>
              <w:t>90</w:t>
            </w:r>
          </w:p>
        </w:tc>
        <w:tc>
          <w:tcPr>
            <w:tcW w:w="0" w:type="auto"/>
          </w:tcPr>
          <w:p w14:paraId="2F3920A4" w14:textId="504B0FEB" w:rsidR="006B55B0" w:rsidRPr="0034375A" w:rsidRDefault="006B55B0" w:rsidP="006B55B0">
            <w:pPr>
              <w:jc w:val="center"/>
              <w:rPr>
                <w:sz w:val="18"/>
                <w:szCs w:val="18"/>
              </w:rPr>
            </w:pPr>
            <w:r>
              <w:rPr>
                <w:sz w:val="18"/>
                <w:szCs w:val="18"/>
              </w:rPr>
              <w:t>31</w:t>
            </w:r>
          </w:p>
        </w:tc>
        <w:tc>
          <w:tcPr>
            <w:tcW w:w="0" w:type="auto"/>
          </w:tcPr>
          <w:p w14:paraId="3DA60E2B" w14:textId="6AAE78D2" w:rsidR="006B55B0" w:rsidRPr="0034375A" w:rsidRDefault="006B55B0" w:rsidP="006B55B0">
            <w:pPr>
              <w:jc w:val="center"/>
              <w:rPr>
                <w:sz w:val="18"/>
                <w:szCs w:val="18"/>
              </w:rPr>
            </w:pPr>
            <w:r>
              <w:rPr>
                <w:sz w:val="18"/>
                <w:szCs w:val="18"/>
              </w:rPr>
              <w:t>92</w:t>
            </w:r>
          </w:p>
        </w:tc>
        <w:tc>
          <w:tcPr>
            <w:tcW w:w="0" w:type="auto"/>
          </w:tcPr>
          <w:p w14:paraId="267A5240" w14:textId="425DF0F2" w:rsidR="006B55B0" w:rsidRPr="0034375A" w:rsidRDefault="006B55B0" w:rsidP="006B55B0">
            <w:pPr>
              <w:jc w:val="center"/>
              <w:rPr>
                <w:sz w:val="18"/>
                <w:szCs w:val="18"/>
              </w:rPr>
            </w:pPr>
            <w:r>
              <w:rPr>
                <w:sz w:val="18"/>
                <w:szCs w:val="18"/>
              </w:rPr>
              <w:t>33</w:t>
            </w:r>
          </w:p>
        </w:tc>
        <w:tc>
          <w:tcPr>
            <w:tcW w:w="0" w:type="auto"/>
          </w:tcPr>
          <w:p w14:paraId="3DB237CB" w14:textId="28F159E5" w:rsidR="006B55B0" w:rsidRPr="0034375A" w:rsidRDefault="006B55B0" w:rsidP="006B55B0">
            <w:pPr>
              <w:jc w:val="center"/>
              <w:rPr>
                <w:sz w:val="18"/>
                <w:szCs w:val="18"/>
              </w:rPr>
            </w:pPr>
            <w:r>
              <w:rPr>
                <w:sz w:val="18"/>
                <w:szCs w:val="18"/>
              </w:rPr>
              <w:t>65</w:t>
            </w:r>
          </w:p>
        </w:tc>
        <w:tc>
          <w:tcPr>
            <w:tcW w:w="0" w:type="auto"/>
          </w:tcPr>
          <w:p w14:paraId="791338B7" w14:textId="4E1261D5" w:rsidR="006B55B0" w:rsidRPr="0034375A" w:rsidRDefault="006B55B0" w:rsidP="006B55B0">
            <w:pPr>
              <w:jc w:val="center"/>
              <w:rPr>
                <w:sz w:val="18"/>
                <w:szCs w:val="18"/>
              </w:rPr>
            </w:pPr>
            <w:r>
              <w:rPr>
                <w:sz w:val="18"/>
                <w:szCs w:val="18"/>
              </w:rPr>
              <w:t>22</w:t>
            </w:r>
          </w:p>
        </w:tc>
        <w:tc>
          <w:tcPr>
            <w:tcW w:w="0" w:type="auto"/>
          </w:tcPr>
          <w:p w14:paraId="7173B9BE" w14:textId="324018B3" w:rsidR="006B55B0" w:rsidRPr="0034375A" w:rsidRDefault="006B55B0" w:rsidP="006B55B0">
            <w:pPr>
              <w:jc w:val="center"/>
              <w:rPr>
                <w:sz w:val="18"/>
                <w:szCs w:val="18"/>
              </w:rPr>
            </w:pPr>
            <w:r>
              <w:rPr>
                <w:sz w:val="18"/>
                <w:szCs w:val="18"/>
              </w:rPr>
              <w:t>66</w:t>
            </w:r>
          </w:p>
        </w:tc>
        <w:tc>
          <w:tcPr>
            <w:tcW w:w="0" w:type="auto"/>
          </w:tcPr>
          <w:p w14:paraId="7FA99233" w14:textId="60004937" w:rsidR="006B55B0" w:rsidRPr="0034375A" w:rsidRDefault="006B55B0" w:rsidP="006B55B0">
            <w:pPr>
              <w:jc w:val="center"/>
              <w:rPr>
                <w:sz w:val="18"/>
                <w:szCs w:val="18"/>
              </w:rPr>
            </w:pPr>
            <w:r>
              <w:rPr>
                <w:sz w:val="18"/>
                <w:szCs w:val="18"/>
              </w:rPr>
              <w:t>31</w:t>
            </w:r>
          </w:p>
        </w:tc>
        <w:tc>
          <w:tcPr>
            <w:tcW w:w="0" w:type="auto"/>
          </w:tcPr>
          <w:p w14:paraId="275AA930" w14:textId="0605BA0C" w:rsidR="006B55B0" w:rsidRPr="0034375A" w:rsidRDefault="006B55B0" w:rsidP="006B55B0">
            <w:pPr>
              <w:jc w:val="center"/>
              <w:rPr>
                <w:sz w:val="18"/>
                <w:szCs w:val="18"/>
              </w:rPr>
            </w:pPr>
            <w:r>
              <w:rPr>
                <w:sz w:val="18"/>
                <w:szCs w:val="18"/>
              </w:rPr>
              <w:t>28</w:t>
            </w:r>
          </w:p>
        </w:tc>
        <w:tc>
          <w:tcPr>
            <w:tcW w:w="0" w:type="auto"/>
          </w:tcPr>
          <w:p w14:paraId="5C195740" w14:textId="24BF0387" w:rsidR="006B55B0" w:rsidRPr="0034375A" w:rsidRDefault="006B55B0" w:rsidP="006B55B0">
            <w:pPr>
              <w:jc w:val="center"/>
              <w:rPr>
                <w:sz w:val="18"/>
                <w:szCs w:val="18"/>
              </w:rPr>
            </w:pPr>
            <w:r>
              <w:rPr>
                <w:sz w:val="18"/>
                <w:szCs w:val="18"/>
              </w:rPr>
              <w:t>19</w:t>
            </w:r>
          </w:p>
        </w:tc>
        <w:tc>
          <w:tcPr>
            <w:tcW w:w="0" w:type="auto"/>
          </w:tcPr>
          <w:p w14:paraId="533510A9" w14:textId="4EF7091D" w:rsidR="006B55B0" w:rsidRPr="0034375A" w:rsidRDefault="006B55B0" w:rsidP="006B55B0">
            <w:pPr>
              <w:jc w:val="center"/>
              <w:rPr>
                <w:sz w:val="18"/>
                <w:szCs w:val="18"/>
              </w:rPr>
            </w:pPr>
            <w:r>
              <w:rPr>
                <w:sz w:val="18"/>
                <w:szCs w:val="18"/>
              </w:rPr>
              <w:t>25</w:t>
            </w:r>
          </w:p>
        </w:tc>
        <w:tc>
          <w:tcPr>
            <w:tcW w:w="0" w:type="auto"/>
          </w:tcPr>
          <w:p w14:paraId="35CCF824" w14:textId="76258AC7" w:rsidR="006B55B0" w:rsidRPr="0034375A" w:rsidRDefault="006B55B0" w:rsidP="006B55B0">
            <w:pPr>
              <w:jc w:val="center"/>
              <w:rPr>
                <w:sz w:val="18"/>
                <w:szCs w:val="18"/>
              </w:rPr>
            </w:pPr>
            <w:r>
              <w:rPr>
                <w:sz w:val="18"/>
                <w:szCs w:val="18"/>
              </w:rPr>
              <w:t>8</w:t>
            </w:r>
          </w:p>
        </w:tc>
        <w:tc>
          <w:tcPr>
            <w:tcW w:w="0" w:type="auto"/>
          </w:tcPr>
          <w:p w14:paraId="13584144" w14:textId="1949EE0E" w:rsidR="006B55B0" w:rsidRPr="0034375A" w:rsidRDefault="006B55B0" w:rsidP="006B55B0">
            <w:pPr>
              <w:jc w:val="center"/>
              <w:rPr>
                <w:sz w:val="18"/>
                <w:szCs w:val="18"/>
              </w:rPr>
            </w:pPr>
            <w:r>
              <w:rPr>
                <w:sz w:val="18"/>
                <w:szCs w:val="18"/>
              </w:rPr>
              <w:t>3</w:t>
            </w:r>
          </w:p>
        </w:tc>
        <w:tc>
          <w:tcPr>
            <w:tcW w:w="0" w:type="auto"/>
          </w:tcPr>
          <w:p w14:paraId="3BCC8C6B" w14:textId="443E4901" w:rsidR="006B55B0" w:rsidRPr="0034375A" w:rsidRDefault="006B55B0" w:rsidP="006B55B0">
            <w:pPr>
              <w:jc w:val="center"/>
              <w:rPr>
                <w:sz w:val="18"/>
                <w:szCs w:val="18"/>
              </w:rPr>
            </w:pPr>
            <w:r>
              <w:rPr>
                <w:sz w:val="18"/>
                <w:szCs w:val="18"/>
              </w:rPr>
              <w:t>4</w:t>
            </w:r>
          </w:p>
        </w:tc>
        <w:tc>
          <w:tcPr>
            <w:tcW w:w="0" w:type="auto"/>
          </w:tcPr>
          <w:p w14:paraId="3133BFFC" w14:textId="248394DD" w:rsidR="006B55B0" w:rsidRPr="0034375A" w:rsidRDefault="006B55B0" w:rsidP="006B55B0">
            <w:pPr>
              <w:jc w:val="center"/>
              <w:rPr>
                <w:sz w:val="18"/>
                <w:szCs w:val="18"/>
              </w:rPr>
            </w:pPr>
            <w:r>
              <w:rPr>
                <w:sz w:val="18"/>
                <w:szCs w:val="18"/>
              </w:rPr>
              <w:t>8</w:t>
            </w:r>
          </w:p>
        </w:tc>
        <w:tc>
          <w:tcPr>
            <w:tcW w:w="0" w:type="auto"/>
          </w:tcPr>
          <w:p w14:paraId="2958FB98" w14:textId="66F2B288" w:rsidR="006B55B0" w:rsidRPr="0034375A" w:rsidRDefault="006B55B0" w:rsidP="006B55B0">
            <w:pPr>
              <w:jc w:val="center"/>
              <w:rPr>
                <w:sz w:val="18"/>
                <w:szCs w:val="18"/>
              </w:rPr>
            </w:pPr>
            <w:r>
              <w:rPr>
                <w:sz w:val="18"/>
                <w:szCs w:val="18"/>
              </w:rPr>
              <w:t>3</w:t>
            </w:r>
          </w:p>
        </w:tc>
        <w:tc>
          <w:tcPr>
            <w:tcW w:w="0" w:type="auto"/>
          </w:tcPr>
          <w:p w14:paraId="55B8AFEA" w14:textId="6BE72B62" w:rsidR="006B55B0" w:rsidRPr="0034375A" w:rsidRDefault="006B55B0" w:rsidP="006B55B0">
            <w:pPr>
              <w:jc w:val="center"/>
              <w:rPr>
                <w:sz w:val="18"/>
                <w:szCs w:val="18"/>
              </w:rPr>
            </w:pPr>
            <w:r>
              <w:rPr>
                <w:sz w:val="18"/>
                <w:szCs w:val="18"/>
              </w:rPr>
              <w:t>0</w:t>
            </w:r>
          </w:p>
        </w:tc>
        <w:tc>
          <w:tcPr>
            <w:tcW w:w="0" w:type="auto"/>
          </w:tcPr>
          <w:p w14:paraId="2941789B" w14:textId="1E782C90" w:rsidR="006B55B0" w:rsidRPr="0034375A" w:rsidRDefault="006B55B0" w:rsidP="006B55B0">
            <w:pPr>
              <w:jc w:val="center"/>
              <w:rPr>
                <w:sz w:val="18"/>
                <w:szCs w:val="18"/>
              </w:rPr>
            </w:pPr>
            <w:r>
              <w:rPr>
                <w:sz w:val="18"/>
                <w:szCs w:val="18"/>
              </w:rPr>
              <w:t>0</w:t>
            </w:r>
          </w:p>
        </w:tc>
        <w:tc>
          <w:tcPr>
            <w:tcW w:w="0" w:type="auto"/>
          </w:tcPr>
          <w:p w14:paraId="4FBC888E" w14:textId="035261C3" w:rsidR="006B55B0" w:rsidRPr="0034375A" w:rsidRDefault="006B55B0" w:rsidP="006B55B0">
            <w:pPr>
              <w:jc w:val="center"/>
              <w:rPr>
                <w:sz w:val="18"/>
                <w:szCs w:val="18"/>
              </w:rPr>
            </w:pPr>
            <w:r>
              <w:rPr>
                <w:sz w:val="18"/>
                <w:szCs w:val="18"/>
              </w:rPr>
              <w:t>0</w:t>
            </w:r>
          </w:p>
        </w:tc>
        <w:tc>
          <w:tcPr>
            <w:tcW w:w="0" w:type="auto"/>
          </w:tcPr>
          <w:p w14:paraId="0ECF9CE9" w14:textId="0A7D3A54" w:rsidR="006B55B0" w:rsidRPr="0034375A" w:rsidRDefault="006B55B0" w:rsidP="006B55B0">
            <w:pPr>
              <w:jc w:val="center"/>
              <w:rPr>
                <w:sz w:val="18"/>
                <w:szCs w:val="18"/>
              </w:rPr>
            </w:pPr>
            <w:r>
              <w:rPr>
                <w:sz w:val="18"/>
                <w:szCs w:val="18"/>
              </w:rPr>
              <w:t>0</w:t>
            </w:r>
          </w:p>
        </w:tc>
      </w:tr>
      <w:tr w:rsidR="00803EEA" w:rsidRPr="0034375A" w14:paraId="66BA3727" w14:textId="77777777" w:rsidTr="004F34F6">
        <w:tc>
          <w:tcPr>
            <w:tcW w:w="0" w:type="auto"/>
          </w:tcPr>
          <w:p w14:paraId="58137807" w14:textId="680CE296" w:rsidR="006B55B0" w:rsidRPr="0034375A" w:rsidRDefault="006B55B0" w:rsidP="006B55B0">
            <w:pPr>
              <w:rPr>
                <w:sz w:val="18"/>
                <w:szCs w:val="18"/>
              </w:rPr>
            </w:pPr>
            <w:r w:rsidRPr="0034375A">
              <w:rPr>
                <w:sz w:val="18"/>
                <w:szCs w:val="18"/>
              </w:rPr>
              <w:t>Lecumberri (2013)</w:t>
            </w:r>
            <w:r w:rsidR="00A75209" w:rsidRPr="0034375A">
              <w:rPr>
                <w:sz w:val="18"/>
                <w:szCs w:val="18"/>
              </w:rPr>
              <w:t xml:space="preserve"> </w:t>
            </w:r>
          </w:p>
        </w:tc>
        <w:tc>
          <w:tcPr>
            <w:tcW w:w="0" w:type="auto"/>
          </w:tcPr>
          <w:p w14:paraId="7DF08772" w14:textId="2F67F5E0" w:rsidR="006B55B0" w:rsidRPr="0034375A" w:rsidRDefault="0078427B" w:rsidP="006B55B0">
            <w:pPr>
              <w:jc w:val="center"/>
              <w:rPr>
                <w:sz w:val="18"/>
                <w:szCs w:val="18"/>
              </w:rPr>
            </w:pPr>
            <w:r>
              <w:rPr>
                <w:sz w:val="18"/>
                <w:szCs w:val="18"/>
              </w:rPr>
              <w:t>0</w:t>
            </w:r>
          </w:p>
        </w:tc>
        <w:tc>
          <w:tcPr>
            <w:tcW w:w="0" w:type="auto"/>
          </w:tcPr>
          <w:p w14:paraId="0F8917A1" w14:textId="42504DB8" w:rsidR="006B55B0" w:rsidRPr="0034375A" w:rsidRDefault="0078427B" w:rsidP="006B55B0">
            <w:pPr>
              <w:jc w:val="center"/>
              <w:rPr>
                <w:sz w:val="18"/>
                <w:szCs w:val="18"/>
              </w:rPr>
            </w:pPr>
            <w:r>
              <w:rPr>
                <w:sz w:val="18"/>
                <w:szCs w:val="18"/>
              </w:rPr>
              <w:t>0</w:t>
            </w:r>
          </w:p>
        </w:tc>
        <w:tc>
          <w:tcPr>
            <w:tcW w:w="0" w:type="auto"/>
          </w:tcPr>
          <w:p w14:paraId="195C2EAB" w14:textId="1DC2604A" w:rsidR="006B55B0" w:rsidRPr="0034375A" w:rsidRDefault="0078427B" w:rsidP="006B55B0">
            <w:pPr>
              <w:jc w:val="center"/>
              <w:rPr>
                <w:sz w:val="18"/>
                <w:szCs w:val="18"/>
              </w:rPr>
            </w:pPr>
            <w:r>
              <w:rPr>
                <w:sz w:val="18"/>
                <w:szCs w:val="18"/>
              </w:rPr>
              <w:t>0</w:t>
            </w:r>
          </w:p>
        </w:tc>
        <w:tc>
          <w:tcPr>
            <w:tcW w:w="0" w:type="auto"/>
          </w:tcPr>
          <w:p w14:paraId="00770BEC" w14:textId="44F4C58F" w:rsidR="006B55B0" w:rsidRPr="0034375A" w:rsidRDefault="0078427B" w:rsidP="006B55B0">
            <w:pPr>
              <w:jc w:val="center"/>
              <w:rPr>
                <w:sz w:val="18"/>
                <w:szCs w:val="18"/>
              </w:rPr>
            </w:pPr>
            <w:r>
              <w:rPr>
                <w:sz w:val="18"/>
                <w:szCs w:val="18"/>
              </w:rPr>
              <w:t>0</w:t>
            </w:r>
          </w:p>
        </w:tc>
        <w:tc>
          <w:tcPr>
            <w:tcW w:w="0" w:type="auto"/>
          </w:tcPr>
          <w:p w14:paraId="7211203E" w14:textId="7D4BCE25" w:rsidR="006B55B0" w:rsidRPr="0034375A" w:rsidRDefault="0078427B" w:rsidP="006B55B0">
            <w:pPr>
              <w:jc w:val="center"/>
              <w:rPr>
                <w:sz w:val="18"/>
                <w:szCs w:val="18"/>
              </w:rPr>
            </w:pPr>
            <w:r>
              <w:rPr>
                <w:sz w:val="18"/>
                <w:szCs w:val="18"/>
              </w:rPr>
              <w:t>9</w:t>
            </w:r>
          </w:p>
        </w:tc>
        <w:tc>
          <w:tcPr>
            <w:tcW w:w="0" w:type="auto"/>
          </w:tcPr>
          <w:p w14:paraId="160EDD9E" w14:textId="6936E994" w:rsidR="006B55B0" w:rsidRPr="0034375A" w:rsidRDefault="00472CA8" w:rsidP="006B55B0">
            <w:pPr>
              <w:jc w:val="center"/>
              <w:rPr>
                <w:sz w:val="18"/>
                <w:szCs w:val="18"/>
              </w:rPr>
            </w:pPr>
            <w:r>
              <w:rPr>
                <w:sz w:val="18"/>
                <w:szCs w:val="18"/>
              </w:rPr>
              <w:t>1</w:t>
            </w:r>
          </w:p>
        </w:tc>
        <w:tc>
          <w:tcPr>
            <w:tcW w:w="0" w:type="auto"/>
          </w:tcPr>
          <w:p w14:paraId="5358B56A" w14:textId="1E896214" w:rsidR="006B55B0" w:rsidRPr="0034375A" w:rsidRDefault="00780F7B" w:rsidP="006B55B0">
            <w:pPr>
              <w:jc w:val="center"/>
              <w:rPr>
                <w:sz w:val="18"/>
                <w:szCs w:val="18"/>
              </w:rPr>
            </w:pPr>
            <w:r>
              <w:rPr>
                <w:sz w:val="18"/>
                <w:szCs w:val="18"/>
              </w:rPr>
              <w:t>9</w:t>
            </w:r>
          </w:p>
        </w:tc>
        <w:tc>
          <w:tcPr>
            <w:tcW w:w="0" w:type="auto"/>
          </w:tcPr>
          <w:p w14:paraId="0D347422" w14:textId="17844A0C" w:rsidR="006B55B0" w:rsidRPr="0034375A" w:rsidRDefault="00780F7B" w:rsidP="006B55B0">
            <w:pPr>
              <w:jc w:val="center"/>
              <w:rPr>
                <w:sz w:val="18"/>
                <w:szCs w:val="18"/>
              </w:rPr>
            </w:pPr>
            <w:r>
              <w:rPr>
                <w:sz w:val="18"/>
                <w:szCs w:val="18"/>
              </w:rPr>
              <w:t>0</w:t>
            </w:r>
          </w:p>
        </w:tc>
        <w:tc>
          <w:tcPr>
            <w:tcW w:w="0" w:type="auto"/>
          </w:tcPr>
          <w:p w14:paraId="305800EA" w14:textId="49196B5A" w:rsidR="006B55B0" w:rsidRPr="0034375A" w:rsidRDefault="00780F7B" w:rsidP="006B55B0">
            <w:pPr>
              <w:jc w:val="center"/>
              <w:rPr>
                <w:sz w:val="18"/>
                <w:szCs w:val="18"/>
              </w:rPr>
            </w:pPr>
            <w:r>
              <w:rPr>
                <w:sz w:val="18"/>
                <w:szCs w:val="18"/>
              </w:rPr>
              <w:t>5</w:t>
            </w:r>
          </w:p>
        </w:tc>
        <w:tc>
          <w:tcPr>
            <w:tcW w:w="0" w:type="auto"/>
          </w:tcPr>
          <w:p w14:paraId="3B27CC34" w14:textId="6F382FFD" w:rsidR="006B55B0" w:rsidRPr="0034375A" w:rsidRDefault="00780F7B" w:rsidP="006B55B0">
            <w:pPr>
              <w:jc w:val="center"/>
              <w:rPr>
                <w:sz w:val="18"/>
                <w:szCs w:val="18"/>
              </w:rPr>
            </w:pPr>
            <w:r>
              <w:rPr>
                <w:sz w:val="18"/>
                <w:szCs w:val="18"/>
              </w:rPr>
              <w:t>1</w:t>
            </w:r>
          </w:p>
        </w:tc>
        <w:tc>
          <w:tcPr>
            <w:tcW w:w="0" w:type="auto"/>
          </w:tcPr>
          <w:p w14:paraId="00D1AD67" w14:textId="5995E403" w:rsidR="006B55B0" w:rsidRPr="0034375A" w:rsidRDefault="00780F7B" w:rsidP="006B55B0">
            <w:pPr>
              <w:jc w:val="center"/>
              <w:rPr>
                <w:sz w:val="18"/>
                <w:szCs w:val="18"/>
              </w:rPr>
            </w:pPr>
            <w:r>
              <w:rPr>
                <w:sz w:val="18"/>
                <w:szCs w:val="18"/>
              </w:rPr>
              <w:t>8</w:t>
            </w:r>
          </w:p>
        </w:tc>
        <w:tc>
          <w:tcPr>
            <w:tcW w:w="0" w:type="auto"/>
          </w:tcPr>
          <w:p w14:paraId="06F5F8FA" w14:textId="66591E87" w:rsidR="006B55B0" w:rsidRPr="0034375A" w:rsidRDefault="00780F7B" w:rsidP="006B55B0">
            <w:pPr>
              <w:jc w:val="center"/>
              <w:rPr>
                <w:sz w:val="18"/>
                <w:szCs w:val="18"/>
              </w:rPr>
            </w:pPr>
            <w:r>
              <w:rPr>
                <w:sz w:val="18"/>
                <w:szCs w:val="18"/>
              </w:rPr>
              <w:t>1</w:t>
            </w:r>
          </w:p>
        </w:tc>
        <w:tc>
          <w:tcPr>
            <w:tcW w:w="0" w:type="auto"/>
          </w:tcPr>
          <w:p w14:paraId="255D36E9" w14:textId="03F52046" w:rsidR="006B55B0" w:rsidRPr="0034375A" w:rsidRDefault="00780F7B" w:rsidP="006B55B0">
            <w:pPr>
              <w:jc w:val="center"/>
              <w:rPr>
                <w:sz w:val="18"/>
                <w:szCs w:val="18"/>
              </w:rPr>
            </w:pPr>
            <w:r>
              <w:rPr>
                <w:sz w:val="18"/>
                <w:szCs w:val="18"/>
              </w:rPr>
              <w:t>1</w:t>
            </w:r>
          </w:p>
        </w:tc>
        <w:tc>
          <w:tcPr>
            <w:tcW w:w="0" w:type="auto"/>
          </w:tcPr>
          <w:p w14:paraId="04104E72" w14:textId="6DE3E13D" w:rsidR="006B55B0" w:rsidRPr="0034375A" w:rsidRDefault="00780F7B" w:rsidP="006B55B0">
            <w:pPr>
              <w:jc w:val="center"/>
              <w:rPr>
                <w:sz w:val="18"/>
                <w:szCs w:val="18"/>
              </w:rPr>
            </w:pPr>
            <w:r>
              <w:rPr>
                <w:sz w:val="18"/>
                <w:szCs w:val="18"/>
              </w:rPr>
              <w:t>1</w:t>
            </w:r>
          </w:p>
        </w:tc>
        <w:tc>
          <w:tcPr>
            <w:tcW w:w="0" w:type="auto"/>
          </w:tcPr>
          <w:p w14:paraId="009E1351" w14:textId="5A44C9C2" w:rsidR="006B55B0" w:rsidRPr="0034375A" w:rsidRDefault="00780F7B" w:rsidP="006B55B0">
            <w:pPr>
              <w:jc w:val="center"/>
              <w:rPr>
                <w:sz w:val="18"/>
                <w:szCs w:val="18"/>
              </w:rPr>
            </w:pPr>
            <w:r>
              <w:rPr>
                <w:sz w:val="18"/>
                <w:szCs w:val="18"/>
              </w:rPr>
              <w:t>2</w:t>
            </w:r>
          </w:p>
        </w:tc>
        <w:tc>
          <w:tcPr>
            <w:tcW w:w="0" w:type="auto"/>
          </w:tcPr>
          <w:p w14:paraId="4B57C67B" w14:textId="1BFD0732" w:rsidR="006B55B0" w:rsidRPr="0034375A" w:rsidRDefault="00780F7B" w:rsidP="006B55B0">
            <w:pPr>
              <w:jc w:val="center"/>
              <w:rPr>
                <w:sz w:val="18"/>
                <w:szCs w:val="18"/>
              </w:rPr>
            </w:pPr>
            <w:r>
              <w:rPr>
                <w:sz w:val="18"/>
                <w:szCs w:val="18"/>
              </w:rPr>
              <w:t>0</w:t>
            </w:r>
          </w:p>
        </w:tc>
        <w:tc>
          <w:tcPr>
            <w:tcW w:w="0" w:type="auto"/>
          </w:tcPr>
          <w:p w14:paraId="016639CA" w14:textId="5509DC55" w:rsidR="006B55B0" w:rsidRPr="0034375A" w:rsidRDefault="00780F7B" w:rsidP="006B55B0">
            <w:pPr>
              <w:jc w:val="center"/>
              <w:rPr>
                <w:sz w:val="18"/>
                <w:szCs w:val="18"/>
              </w:rPr>
            </w:pPr>
            <w:r>
              <w:rPr>
                <w:sz w:val="18"/>
                <w:szCs w:val="18"/>
              </w:rPr>
              <w:t>0</w:t>
            </w:r>
          </w:p>
        </w:tc>
        <w:tc>
          <w:tcPr>
            <w:tcW w:w="0" w:type="auto"/>
          </w:tcPr>
          <w:p w14:paraId="49C39A3A" w14:textId="76569A8B" w:rsidR="006B55B0" w:rsidRPr="0034375A" w:rsidRDefault="00780F7B" w:rsidP="006B55B0">
            <w:pPr>
              <w:jc w:val="center"/>
              <w:rPr>
                <w:sz w:val="18"/>
                <w:szCs w:val="18"/>
              </w:rPr>
            </w:pPr>
            <w:r>
              <w:rPr>
                <w:sz w:val="18"/>
                <w:szCs w:val="18"/>
              </w:rPr>
              <w:t>0</w:t>
            </w:r>
          </w:p>
        </w:tc>
        <w:tc>
          <w:tcPr>
            <w:tcW w:w="0" w:type="auto"/>
          </w:tcPr>
          <w:p w14:paraId="7000847A" w14:textId="7373B563" w:rsidR="006B55B0" w:rsidRPr="0034375A" w:rsidRDefault="00780F7B" w:rsidP="006B55B0">
            <w:pPr>
              <w:jc w:val="center"/>
              <w:rPr>
                <w:sz w:val="18"/>
                <w:szCs w:val="18"/>
              </w:rPr>
            </w:pPr>
            <w:r>
              <w:rPr>
                <w:sz w:val="18"/>
                <w:szCs w:val="18"/>
              </w:rPr>
              <w:t>0</w:t>
            </w:r>
          </w:p>
        </w:tc>
        <w:tc>
          <w:tcPr>
            <w:tcW w:w="0" w:type="auto"/>
          </w:tcPr>
          <w:p w14:paraId="5EE726B8" w14:textId="39029093" w:rsidR="006B55B0" w:rsidRPr="0034375A" w:rsidRDefault="00780F7B" w:rsidP="006B55B0">
            <w:pPr>
              <w:jc w:val="center"/>
              <w:rPr>
                <w:sz w:val="18"/>
                <w:szCs w:val="18"/>
              </w:rPr>
            </w:pPr>
            <w:r>
              <w:rPr>
                <w:sz w:val="18"/>
                <w:szCs w:val="18"/>
              </w:rPr>
              <w:t>0</w:t>
            </w:r>
          </w:p>
        </w:tc>
        <w:tc>
          <w:tcPr>
            <w:tcW w:w="0" w:type="auto"/>
          </w:tcPr>
          <w:p w14:paraId="64C537FC" w14:textId="327129C0" w:rsidR="006B55B0" w:rsidRPr="0034375A" w:rsidRDefault="00780F7B" w:rsidP="006B55B0">
            <w:pPr>
              <w:jc w:val="center"/>
              <w:rPr>
                <w:sz w:val="18"/>
                <w:szCs w:val="18"/>
              </w:rPr>
            </w:pPr>
            <w:r>
              <w:rPr>
                <w:sz w:val="18"/>
                <w:szCs w:val="18"/>
              </w:rPr>
              <w:t>0</w:t>
            </w:r>
          </w:p>
        </w:tc>
        <w:tc>
          <w:tcPr>
            <w:tcW w:w="0" w:type="auto"/>
          </w:tcPr>
          <w:p w14:paraId="7D01A1E6" w14:textId="3A5B7621" w:rsidR="006B55B0" w:rsidRPr="0034375A" w:rsidRDefault="00780F7B" w:rsidP="006B55B0">
            <w:pPr>
              <w:jc w:val="center"/>
              <w:rPr>
                <w:sz w:val="18"/>
                <w:szCs w:val="18"/>
              </w:rPr>
            </w:pPr>
            <w:r>
              <w:rPr>
                <w:sz w:val="18"/>
                <w:szCs w:val="18"/>
              </w:rPr>
              <w:t>0</w:t>
            </w:r>
          </w:p>
        </w:tc>
        <w:tc>
          <w:tcPr>
            <w:tcW w:w="0" w:type="auto"/>
          </w:tcPr>
          <w:p w14:paraId="42ACEF36" w14:textId="61CF9F7C" w:rsidR="006B55B0" w:rsidRPr="0034375A" w:rsidRDefault="00780F7B" w:rsidP="006B55B0">
            <w:pPr>
              <w:jc w:val="center"/>
              <w:rPr>
                <w:sz w:val="18"/>
                <w:szCs w:val="18"/>
              </w:rPr>
            </w:pPr>
            <w:r>
              <w:rPr>
                <w:sz w:val="18"/>
                <w:szCs w:val="18"/>
              </w:rPr>
              <w:t>0</w:t>
            </w:r>
          </w:p>
        </w:tc>
        <w:tc>
          <w:tcPr>
            <w:tcW w:w="0" w:type="auto"/>
          </w:tcPr>
          <w:p w14:paraId="7F61D1CA" w14:textId="75264D88" w:rsidR="006B55B0" w:rsidRPr="0034375A" w:rsidRDefault="00780F7B" w:rsidP="006B55B0">
            <w:pPr>
              <w:jc w:val="center"/>
              <w:rPr>
                <w:sz w:val="18"/>
                <w:szCs w:val="18"/>
              </w:rPr>
            </w:pPr>
            <w:r>
              <w:rPr>
                <w:sz w:val="18"/>
                <w:szCs w:val="18"/>
              </w:rPr>
              <w:t>0</w:t>
            </w:r>
          </w:p>
        </w:tc>
      </w:tr>
      <w:tr w:rsidR="00803EEA" w:rsidRPr="0034375A" w14:paraId="40590E7B" w14:textId="77777777" w:rsidTr="004F34F6">
        <w:tc>
          <w:tcPr>
            <w:tcW w:w="0" w:type="auto"/>
          </w:tcPr>
          <w:p w14:paraId="10E2CE47" w14:textId="0D9FC808" w:rsidR="006B55B0" w:rsidRPr="0034375A" w:rsidRDefault="006B55B0" w:rsidP="006B55B0">
            <w:pPr>
              <w:rPr>
                <w:sz w:val="18"/>
                <w:szCs w:val="18"/>
              </w:rPr>
            </w:pPr>
            <w:r w:rsidRPr="0034375A">
              <w:rPr>
                <w:sz w:val="18"/>
                <w:szCs w:val="18"/>
              </w:rPr>
              <w:t>Macbeth (2015)</w:t>
            </w:r>
            <w:r w:rsidR="00A75209" w:rsidRPr="0034375A">
              <w:rPr>
                <w:sz w:val="18"/>
                <w:szCs w:val="18"/>
              </w:rPr>
              <w:t xml:space="preserve"> </w:t>
            </w:r>
          </w:p>
        </w:tc>
        <w:tc>
          <w:tcPr>
            <w:tcW w:w="0" w:type="auto"/>
          </w:tcPr>
          <w:p w14:paraId="68103DFA" w14:textId="15D7680D" w:rsidR="006B55B0" w:rsidRPr="0034375A" w:rsidRDefault="00074170" w:rsidP="006B55B0">
            <w:pPr>
              <w:jc w:val="center"/>
              <w:rPr>
                <w:sz w:val="18"/>
                <w:szCs w:val="18"/>
              </w:rPr>
            </w:pPr>
            <w:r>
              <w:rPr>
                <w:sz w:val="18"/>
                <w:szCs w:val="18"/>
              </w:rPr>
              <w:t>0</w:t>
            </w:r>
          </w:p>
        </w:tc>
        <w:tc>
          <w:tcPr>
            <w:tcW w:w="0" w:type="auto"/>
          </w:tcPr>
          <w:p w14:paraId="522684E6" w14:textId="03BF75B2" w:rsidR="006B55B0" w:rsidRPr="0034375A" w:rsidRDefault="00074170" w:rsidP="006B55B0">
            <w:pPr>
              <w:jc w:val="center"/>
              <w:rPr>
                <w:sz w:val="18"/>
                <w:szCs w:val="18"/>
              </w:rPr>
            </w:pPr>
            <w:r>
              <w:rPr>
                <w:sz w:val="18"/>
                <w:szCs w:val="18"/>
              </w:rPr>
              <w:t>0</w:t>
            </w:r>
          </w:p>
        </w:tc>
        <w:tc>
          <w:tcPr>
            <w:tcW w:w="0" w:type="auto"/>
          </w:tcPr>
          <w:p w14:paraId="2AC546AB" w14:textId="6312DF44" w:rsidR="006B55B0" w:rsidRPr="0034375A" w:rsidRDefault="00074170" w:rsidP="006B55B0">
            <w:pPr>
              <w:jc w:val="center"/>
              <w:rPr>
                <w:sz w:val="18"/>
                <w:szCs w:val="18"/>
              </w:rPr>
            </w:pPr>
            <w:r>
              <w:rPr>
                <w:sz w:val="18"/>
                <w:szCs w:val="18"/>
              </w:rPr>
              <w:t>0</w:t>
            </w:r>
          </w:p>
        </w:tc>
        <w:tc>
          <w:tcPr>
            <w:tcW w:w="0" w:type="auto"/>
          </w:tcPr>
          <w:p w14:paraId="6D34E32A" w14:textId="660C16FB" w:rsidR="006B55B0" w:rsidRPr="0034375A" w:rsidRDefault="00074170" w:rsidP="006B55B0">
            <w:pPr>
              <w:jc w:val="center"/>
              <w:rPr>
                <w:sz w:val="18"/>
                <w:szCs w:val="18"/>
              </w:rPr>
            </w:pPr>
            <w:r>
              <w:rPr>
                <w:sz w:val="18"/>
                <w:szCs w:val="18"/>
              </w:rPr>
              <w:t>0</w:t>
            </w:r>
          </w:p>
        </w:tc>
        <w:tc>
          <w:tcPr>
            <w:tcW w:w="0" w:type="auto"/>
          </w:tcPr>
          <w:p w14:paraId="20FBA251" w14:textId="0C1E90F1" w:rsidR="006B55B0" w:rsidRPr="0034375A" w:rsidRDefault="00074170" w:rsidP="006B55B0">
            <w:pPr>
              <w:jc w:val="center"/>
              <w:rPr>
                <w:sz w:val="18"/>
                <w:szCs w:val="18"/>
              </w:rPr>
            </w:pPr>
            <w:r>
              <w:rPr>
                <w:sz w:val="18"/>
                <w:szCs w:val="18"/>
              </w:rPr>
              <w:t>315</w:t>
            </w:r>
          </w:p>
        </w:tc>
        <w:tc>
          <w:tcPr>
            <w:tcW w:w="0" w:type="auto"/>
          </w:tcPr>
          <w:p w14:paraId="708ED22B" w14:textId="408ECAA9" w:rsidR="006B55B0" w:rsidRPr="0034375A" w:rsidRDefault="00074170" w:rsidP="006B55B0">
            <w:pPr>
              <w:jc w:val="center"/>
              <w:rPr>
                <w:sz w:val="18"/>
                <w:szCs w:val="18"/>
              </w:rPr>
            </w:pPr>
            <w:r>
              <w:rPr>
                <w:sz w:val="18"/>
                <w:szCs w:val="18"/>
              </w:rPr>
              <w:t>64</w:t>
            </w:r>
          </w:p>
        </w:tc>
        <w:tc>
          <w:tcPr>
            <w:tcW w:w="0" w:type="auto"/>
          </w:tcPr>
          <w:p w14:paraId="3221A62C" w14:textId="1E1FC5A6" w:rsidR="006B55B0" w:rsidRPr="0034375A" w:rsidRDefault="00074170" w:rsidP="006B55B0">
            <w:pPr>
              <w:jc w:val="center"/>
              <w:rPr>
                <w:sz w:val="18"/>
                <w:szCs w:val="18"/>
              </w:rPr>
            </w:pPr>
            <w:r>
              <w:rPr>
                <w:sz w:val="18"/>
                <w:szCs w:val="18"/>
              </w:rPr>
              <w:t>345</w:t>
            </w:r>
          </w:p>
        </w:tc>
        <w:tc>
          <w:tcPr>
            <w:tcW w:w="0" w:type="auto"/>
          </w:tcPr>
          <w:p w14:paraId="4FF0A4D9" w14:textId="2164E593" w:rsidR="006B55B0" w:rsidRPr="0034375A" w:rsidRDefault="00074170" w:rsidP="006B55B0">
            <w:pPr>
              <w:jc w:val="center"/>
              <w:rPr>
                <w:sz w:val="18"/>
                <w:szCs w:val="18"/>
              </w:rPr>
            </w:pPr>
            <w:r>
              <w:rPr>
                <w:sz w:val="18"/>
                <w:szCs w:val="18"/>
              </w:rPr>
              <w:t>69</w:t>
            </w:r>
          </w:p>
        </w:tc>
        <w:tc>
          <w:tcPr>
            <w:tcW w:w="0" w:type="auto"/>
          </w:tcPr>
          <w:p w14:paraId="5DF101E1" w14:textId="73133847" w:rsidR="006B55B0" w:rsidRPr="0034375A" w:rsidRDefault="00B86B02" w:rsidP="006B55B0">
            <w:pPr>
              <w:jc w:val="center"/>
              <w:rPr>
                <w:sz w:val="18"/>
                <w:szCs w:val="18"/>
              </w:rPr>
            </w:pPr>
            <w:r>
              <w:rPr>
                <w:sz w:val="18"/>
                <w:szCs w:val="18"/>
              </w:rPr>
              <w:t>268</w:t>
            </w:r>
          </w:p>
        </w:tc>
        <w:tc>
          <w:tcPr>
            <w:tcW w:w="0" w:type="auto"/>
          </w:tcPr>
          <w:p w14:paraId="01E207E8" w14:textId="0FCBDBB2" w:rsidR="006B55B0" w:rsidRPr="0034375A" w:rsidRDefault="00B86B02" w:rsidP="006B55B0">
            <w:pPr>
              <w:jc w:val="center"/>
              <w:rPr>
                <w:sz w:val="18"/>
                <w:szCs w:val="18"/>
              </w:rPr>
            </w:pPr>
            <w:r>
              <w:rPr>
                <w:sz w:val="18"/>
                <w:szCs w:val="18"/>
              </w:rPr>
              <w:t>119</w:t>
            </w:r>
          </w:p>
        </w:tc>
        <w:tc>
          <w:tcPr>
            <w:tcW w:w="0" w:type="auto"/>
          </w:tcPr>
          <w:p w14:paraId="575609B9" w14:textId="4F687B6B" w:rsidR="006B55B0" w:rsidRPr="0034375A" w:rsidRDefault="00B86B02" w:rsidP="006B55B0">
            <w:pPr>
              <w:jc w:val="center"/>
              <w:rPr>
                <w:sz w:val="18"/>
                <w:szCs w:val="18"/>
              </w:rPr>
            </w:pPr>
            <w:r>
              <w:rPr>
                <w:sz w:val="18"/>
                <w:szCs w:val="18"/>
              </w:rPr>
              <w:t>278</w:t>
            </w:r>
          </w:p>
        </w:tc>
        <w:tc>
          <w:tcPr>
            <w:tcW w:w="0" w:type="auto"/>
          </w:tcPr>
          <w:p w14:paraId="1ABFF220" w14:textId="5FBEF236" w:rsidR="006B55B0" w:rsidRPr="0034375A" w:rsidRDefault="00B86B02" w:rsidP="006B55B0">
            <w:pPr>
              <w:jc w:val="center"/>
              <w:rPr>
                <w:sz w:val="18"/>
                <w:szCs w:val="18"/>
              </w:rPr>
            </w:pPr>
            <w:r>
              <w:rPr>
                <w:sz w:val="18"/>
                <w:szCs w:val="18"/>
              </w:rPr>
              <w:t>111</w:t>
            </w:r>
          </w:p>
        </w:tc>
        <w:tc>
          <w:tcPr>
            <w:tcW w:w="0" w:type="auto"/>
          </w:tcPr>
          <w:p w14:paraId="50B88007" w14:textId="1723B88C" w:rsidR="006B55B0" w:rsidRPr="0034375A" w:rsidRDefault="00B86B02" w:rsidP="006B55B0">
            <w:pPr>
              <w:jc w:val="center"/>
              <w:rPr>
                <w:sz w:val="18"/>
                <w:szCs w:val="18"/>
              </w:rPr>
            </w:pPr>
            <w:r>
              <w:rPr>
                <w:sz w:val="18"/>
                <w:szCs w:val="18"/>
              </w:rPr>
              <w:t>164</w:t>
            </w:r>
          </w:p>
        </w:tc>
        <w:tc>
          <w:tcPr>
            <w:tcW w:w="0" w:type="auto"/>
          </w:tcPr>
          <w:p w14:paraId="5114748B" w14:textId="32243FA6" w:rsidR="006B55B0" w:rsidRPr="0034375A" w:rsidRDefault="00B86B02" w:rsidP="006B55B0">
            <w:pPr>
              <w:jc w:val="center"/>
              <w:rPr>
                <w:sz w:val="18"/>
                <w:szCs w:val="18"/>
              </w:rPr>
            </w:pPr>
            <w:r>
              <w:rPr>
                <w:sz w:val="18"/>
                <w:szCs w:val="18"/>
              </w:rPr>
              <w:t>111</w:t>
            </w:r>
          </w:p>
        </w:tc>
        <w:tc>
          <w:tcPr>
            <w:tcW w:w="0" w:type="auto"/>
          </w:tcPr>
          <w:p w14:paraId="18C7D6D5" w14:textId="0032AB0B" w:rsidR="006B55B0" w:rsidRPr="0034375A" w:rsidRDefault="00B86B02" w:rsidP="006B55B0">
            <w:pPr>
              <w:jc w:val="center"/>
              <w:rPr>
                <w:sz w:val="18"/>
                <w:szCs w:val="18"/>
              </w:rPr>
            </w:pPr>
            <w:r>
              <w:rPr>
                <w:sz w:val="18"/>
                <w:szCs w:val="18"/>
              </w:rPr>
              <w:t>140</w:t>
            </w:r>
          </w:p>
        </w:tc>
        <w:tc>
          <w:tcPr>
            <w:tcW w:w="0" w:type="auto"/>
          </w:tcPr>
          <w:p w14:paraId="45897728" w14:textId="3727D965" w:rsidR="006B55B0" w:rsidRPr="0034375A" w:rsidRDefault="00B86B02" w:rsidP="006B55B0">
            <w:pPr>
              <w:jc w:val="center"/>
              <w:rPr>
                <w:sz w:val="18"/>
                <w:szCs w:val="18"/>
              </w:rPr>
            </w:pPr>
            <w:r>
              <w:rPr>
                <w:sz w:val="18"/>
                <w:szCs w:val="18"/>
              </w:rPr>
              <w:t>93</w:t>
            </w:r>
          </w:p>
        </w:tc>
        <w:tc>
          <w:tcPr>
            <w:tcW w:w="0" w:type="auto"/>
          </w:tcPr>
          <w:p w14:paraId="45AD01D6" w14:textId="0E36F49D" w:rsidR="006B55B0" w:rsidRPr="0034375A" w:rsidRDefault="00DC61AC" w:rsidP="006B55B0">
            <w:pPr>
              <w:jc w:val="center"/>
              <w:rPr>
                <w:sz w:val="18"/>
                <w:szCs w:val="18"/>
              </w:rPr>
            </w:pPr>
            <w:r>
              <w:rPr>
                <w:sz w:val="18"/>
                <w:szCs w:val="18"/>
              </w:rPr>
              <w:t>14</w:t>
            </w:r>
          </w:p>
        </w:tc>
        <w:tc>
          <w:tcPr>
            <w:tcW w:w="0" w:type="auto"/>
          </w:tcPr>
          <w:p w14:paraId="192C5373" w14:textId="1F03FB34" w:rsidR="006B55B0" w:rsidRPr="0034375A" w:rsidRDefault="00DC61AC" w:rsidP="006B55B0">
            <w:pPr>
              <w:jc w:val="center"/>
              <w:rPr>
                <w:sz w:val="18"/>
                <w:szCs w:val="18"/>
              </w:rPr>
            </w:pPr>
            <w:r>
              <w:rPr>
                <w:sz w:val="18"/>
                <w:szCs w:val="18"/>
              </w:rPr>
              <w:t>13</w:t>
            </w:r>
          </w:p>
        </w:tc>
        <w:tc>
          <w:tcPr>
            <w:tcW w:w="0" w:type="auto"/>
          </w:tcPr>
          <w:p w14:paraId="548A1B0C" w14:textId="0F2518FE" w:rsidR="006B55B0" w:rsidRPr="0034375A" w:rsidRDefault="00DC61AC" w:rsidP="006B55B0">
            <w:pPr>
              <w:jc w:val="center"/>
              <w:rPr>
                <w:sz w:val="18"/>
                <w:szCs w:val="18"/>
              </w:rPr>
            </w:pPr>
            <w:r>
              <w:rPr>
                <w:sz w:val="18"/>
                <w:szCs w:val="18"/>
              </w:rPr>
              <w:t>17</w:t>
            </w:r>
          </w:p>
        </w:tc>
        <w:tc>
          <w:tcPr>
            <w:tcW w:w="0" w:type="auto"/>
          </w:tcPr>
          <w:p w14:paraId="513C8502" w14:textId="33DA4CA1" w:rsidR="006B55B0" w:rsidRPr="0034375A" w:rsidRDefault="00DC61AC" w:rsidP="006B55B0">
            <w:pPr>
              <w:jc w:val="center"/>
              <w:rPr>
                <w:sz w:val="18"/>
                <w:szCs w:val="18"/>
              </w:rPr>
            </w:pPr>
            <w:r>
              <w:rPr>
                <w:sz w:val="18"/>
                <w:szCs w:val="18"/>
              </w:rPr>
              <w:t>15</w:t>
            </w:r>
          </w:p>
        </w:tc>
        <w:tc>
          <w:tcPr>
            <w:tcW w:w="0" w:type="auto"/>
          </w:tcPr>
          <w:p w14:paraId="19C77BEA" w14:textId="58BA9BDF" w:rsidR="006B55B0" w:rsidRPr="0034375A" w:rsidRDefault="00DC61AC" w:rsidP="006B55B0">
            <w:pPr>
              <w:jc w:val="center"/>
              <w:rPr>
                <w:sz w:val="18"/>
                <w:szCs w:val="18"/>
              </w:rPr>
            </w:pPr>
            <w:r>
              <w:rPr>
                <w:sz w:val="18"/>
                <w:szCs w:val="18"/>
              </w:rPr>
              <w:t>0</w:t>
            </w:r>
          </w:p>
        </w:tc>
        <w:tc>
          <w:tcPr>
            <w:tcW w:w="0" w:type="auto"/>
          </w:tcPr>
          <w:p w14:paraId="14E97FDA" w14:textId="09FA9C9F" w:rsidR="006B55B0" w:rsidRPr="0034375A" w:rsidRDefault="00DC61AC" w:rsidP="006B55B0">
            <w:pPr>
              <w:jc w:val="center"/>
              <w:rPr>
                <w:sz w:val="18"/>
                <w:szCs w:val="18"/>
              </w:rPr>
            </w:pPr>
            <w:r>
              <w:rPr>
                <w:sz w:val="18"/>
                <w:szCs w:val="18"/>
              </w:rPr>
              <w:t>0</w:t>
            </w:r>
          </w:p>
        </w:tc>
        <w:tc>
          <w:tcPr>
            <w:tcW w:w="0" w:type="auto"/>
          </w:tcPr>
          <w:p w14:paraId="5CDA7861" w14:textId="6E5734BC" w:rsidR="006B55B0" w:rsidRPr="0034375A" w:rsidRDefault="00DC61AC" w:rsidP="006B55B0">
            <w:pPr>
              <w:jc w:val="center"/>
              <w:rPr>
                <w:sz w:val="18"/>
                <w:szCs w:val="18"/>
              </w:rPr>
            </w:pPr>
            <w:r>
              <w:rPr>
                <w:sz w:val="18"/>
                <w:szCs w:val="18"/>
              </w:rPr>
              <w:t>0</w:t>
            </w:r>
          </w:p>
        </w:tc>
        <w:tc>
          <w:tcPr>
            <w:tcW w:w="0" w:type="auto"/>
          </w:tcPr>
          <w:p w14:paraId="44490531" w14:textId="228EFA3F" w:rsidR="006B55B0" w:rsidRPr="0034375A" w:rsidRDefault="00DC61AC" w:rsidP="006B55B0">
            <w:pPr>
              <w:jc w:val="center"/>
              <w:rPr>
                <w:sz w:val="18"/>
                <w:szCs w:val="18"/>
              </w:rPr>
            </w:pPr>
            <w:r>
              <w:rPr>
                <w:sz w:val="18"/>
                <w:szCs w:val="18"/>
              </w:rPr>
              <w:t>0</w:t>
            </w:r>
          </w:p>
        </w:tc>
      </w:tr>
      <w:tr w:rsidR="00803EEA" w:rsidRPr="0034375A" w14:paraId="522A8C66" w14:textId="77777777" w:rsidTr="004F34F6">
        <w:tc>
          <w:tcPr>
            <w:tcW w:w="0" w:type="auto"/>
          </w:tcPr>
          <w:p w14:paraId="338D4AD1" w14:textId="3B99D5E9" w:rsidR="006B55B0" w:rsidRPr="0034375A" w:rsidRDefault="006B55B0" w:rsidP="006B55B0">
            <w:pPr>
              <w:rPr>
                <w:sz w:val="18"/>
                <w:szCs w:val="18"/>
              </w:rPr>
            </w:pPr>
            <w:r w:rsidRPr="0034375A">
              <w:rPr>
                <w:sz w:val="18"/>
                <w:szCs w:val="18"/>
              </w:rPr>
              <w:t>Pelzer (2015)</w:t>
            </w:r>
            <w:r w:rsidR="00A75209" w:rsidRPr="0034375A">
              <w:rPr>
                <w:sz w:val="18"/>
                <w:szCs w:val="18"/>
              </w:rPr>
              <w:t xml:space="preserve"> </w:t>
            </w:r>
          </w:p>
        </w:tc>
        <w:tc>
          <w:tcPr>
            <w:tcW w:w="0" w:type="auto"/>
          </w:tcPr>
          <w:p w14:paraId="4E7C0E5D" w14:textId="3205A7C6" w:rsidR="006B55B0" w:rsidRPr="0034375A" w:rsidRDefault="004F3B14" w:rsidP="006B55B0">
            <w:pPr>
              <w:jc w:val="center"/>
              <w:rPr>
                <w:sz w:val="18"/>
                <w:szCs w:val="18"/>
              </w:rPr>
            </w:pPr>
            <w:r>
              <w:rPr>
                <w:sz w:val="18"/>
                <w:szCs w:val="18"/>
              </w:rPr>
              <w:t>0</w:t>
            </w:r>
          </w:p>
        </w:tc>
        <w:tc>
          <w:tcPr>
            <w:tcW w:w="0" w:type="auto"/>
          </w:tcPr>
          <w:p w14:paraId="083FE8D8" w14:textId="1E021C51" w:rsidR="006B55B0" w:rsidRPr="0034375A" w:rsidRDefault="004F3B14" w:rsidP="006B55B0">
            <w:pPr>
              <w:jc w:val="center"/>
              <w:rPr>
                <w:sz w:val="18"/>
                <w:szCs w:val="18"/>
              </w:rPr>
            </w:pPr>
            <w:r>
              <w:rPr>
                <w:sz w:val="18"/>
                <w:szCs w:val="18"/>
              </w:rPr>
              <w:t>0</w:t>
            </w:r>
          </w:p>
        </w:tc>
        <w:tc>
          <w:tcPr>
            <w:tcW w:w="0" w:type="auto"/>
          </w:tcPr>
          <w:p w14:paraId="16D45EE5" w14:textId="52050A8B" w:rsidR="006B55B0" w:rsidRPr="0034375A" w:rsidRDefault="004F3B14" w:rsidP="006B55B0">
            <w:pPr>
              <w:jc w:val="center"/>
              <w:rPr>
                <w:sz w:val="18"/>
                <w:szCs w:val="18"/>
              </w:rPr>
            </w:pPr>
            <w:r>
              <w:rPr>
                <w:sz w:val="18"/>
                <w:szCs w:val="18"/>
              </w:rPr>
              <w:t>0</w:t>
            </w:r>
          </w:p>
        </w:tc>
        <w:tc>
          <w:tcPr>
            <w:tcW w:w="0" w:type="auto"/>
          </w:tcPr>
          <w:p w14:paraId="6C49220C" w14:textId="26725C67" w:rsidR="006B55B0" w:rsidRPr="0034375A" w:rsidRDefault="004F3B14" w:rsidP="006B55B0">
            <w:pPr>
              <w:jc w:val="center"/>
              <w:rPr>
                <w:sz w:val="18"/>
                <w:szCs w:val="18"/>
              </w:rPr>
            </w:pPr>
            <w:r>
              <w:rPr>
                <w:sz w:val="18"/>
                <w:szCs w:val="18"/>
              </w:rPr>
              <w:t>0</w:t>
            </w:r>
          </w:p>
        </w:tc>
        <w:tc>
          <w:tcPr>
            <w:tcW w:w="0" w:type="auto"/>
          </w:tcPr>
          <w:p w14:paraId="4CAC22AA" w14:textId="0C4F9019" w:rsidR="006B55B0" w:rsidRPr="0034375A" w:rsidRDefault="004F3B14" w:rsidP="006B55B0">
            <w:pPr>
              <w:jc w:val="center"/>
              <w:rPr>
                <w:sz w:val="18"/>
                <w:szCs w:val="18"/>
              </w:rPr>
            </w:pPr>
            <w:r>
              <w:rPr>
                <w:sz w:val="18"/>
                <w:szCs w:val="18"/>
              </w:rPr>
              <w:t>0</w:t>
            </w:r>
          </w:p>
        </w:tc>
        <w:tc>
          <w:tcPr>
            <w:tcW w:w="0" w:type="auto"/>
          </w:tcPr>
          <w:p w14:paraId="02BABACA" w14:textId="6357B6CB" w:rsidR="006B55B0" w:rsidRPr="0034375A" w:rsidRDefault="004F3B14" w:rsidP="006B55B0">
            <w:pPr>
              <w:jc w:val="center"/>
              <w:rPr>
                <w:sz w:val="18"/>
                <w:szCs w:val="18"/>
              </w:rPr>
            </w:pPr>
            <w:r>
              <w:rPr>
                <w:sz w:val="18"/>
                <w:szCs w:val="18"/>
              </w:rPr>
              <w:t>0</w:t>
            </w:r>
          </w:p>
        </w:tc>
        <w:tc>
          <w:tcPr>
            <w:tcW w:w="0" w:type="auto"/>
          </w:tcPr>
          <w:p w14:paraId="509C817E" w14:textId="370C6DED" w:rsidR="006B55B0" w:rsidRPr="0034375A" w:rsidRDefault="004F3B14" w:rsidP="006B55B0">
            <w:pPr>
              <w:jc w:val="center"/>
              <w:rPr>
                <w:sz w:val="18"/>
                <w:szCs w:val="18"/>
              </w:rPr>
            </w:pPr>
            <w:r>
              <w:rPr>
                <w:sz w:val="18"/>
                <w:szCs w:val="18"/>
              </w:rPr>
              <w:t>0</w:t>
            </w:r>
          </w:p>
        </w:tc>
        <w:tc>
          <w:tcPr>
            <w:tcW w:w="0" w:type="auto"/>
          </w:tcPr>
          <w:p w14:paraId="1F209BC4" w14:textId="72E1F150" w:rsidR="006B55B0" w:rsidRPr="0034375A" w:rsidRDefault="004F3B14" w:rsidP="006B55B0">
            <w:pPr>
              <w:jc w:val="center"/>
              <w:rPr>
                <w:sz w:val="18"/>
                <w:szCs w:val="18"/>
              </w:rPr>
            </w:pPr>
            <w:r>
              <w:rPr>
                <w:sz w:val="18"/>
                <w:szCs w:val="18"/>
              </w:rPr>
              <w:t>0</w:t>
            </w:r>
          </w:p>
        </w:tc>
        <w:tc>
          <w:tcPr>
            <w:tcW w:w="0" w:type="auto"/>
          </w:tcPr>
          <w:p w14:paraId="41046247" w14:textId="0D596C0E" w:rsidR="006B55B0" w:rsidRPr="0034375A" w:rsidRDefault="004F07F1" w:rsidP="006B55B0">
            <w:pPr>
              <w:jc w:val="center"/>
              <w:rPr>
                <w:sz w:val="18"/>
                <w:szCs w:val="18"/>
              </w:rPr>
            </w:pPr>
            <w:r>
              <w:rPr>
                <w:sz w:val="18"/>
                <w:szCs w:val="18"/>
              </w:rPr>
              <w:t>31</w:t>
            </w:r>
          </w:p>
        </w:tc>
        <w:tc>
          <w:tcPr>
            <w:tcW w:w="0" w:type="auto"/>
          </w:tcPr>
          <w:p w14:paraId="603B20D9" w14:textId="3731FD2C" w:rsidR="006B55B0" w:rsidRPr="0034375A" w:rsidRDefault="004F07F1" w:rsidP="006B55B0">
            <w:pPr>
              <w:jc w:val="center"/>
              <w:rPr>
                <w:sz w:val="18"/>
                <w:szCs w:val="18"/>
              </w:rPr>
            </w:pPr>
            <w:r>
              <w:rPr>
                <w:sz w:val="18"/>
                <w:szCs w:val="18"/>
              </w:rPr>
              <w:t>24</w:t>
            </w:r>
          </w:p>
        </w:tc>
        <w:tc>
          <w:tcPr>
            <w:tcW w:w="0" w:type="auto"/>
          </w:tcPr>
          <w:p w14:paraId="5768039D" w14:textId="552DA0C5" w:rsidR="006B55B0" w:rsidRPr="0034375A" w:rsidRDefault="004F07F1" w:rsidP="006B55B0">
            <w:pPr>
              <w:jc w:val="center"/>
              <w:rPr>
                <w:sz w:val="18"/>
                <w:szCs w:val="18"/>
              </w:rPr>
            </w:pPr>
            <w:r>
              <w:rPr>
                <w:sz w:val="18"/>
                <w:szCs w:val="18"/>
              </w:rPr>
              <w:t>35</w:t>
            </w:r>
          </w:p>
        </w:tc>
        <w:tc>
          <w:tcPr>
            <w:tcW w:w="0" w:type="auto"/>
          </w:tcPr>
          <w:p w14:paraId="4C5F959F" w14:textId="37929C28" w:rsidR="006B55B0" w:rsidRPr="0034375A" w:rsidRDefault="004F07F1" w:rsidP="006B55B0">
            <w:pPr>
              <w:jc w:val="center"/>
              <w:rPr>
                <w:sz w:val="18"/>
                <w:szCs w:val="18"/>
              </w:rPr>
            </w:pPr>
            <w:r>
              <w:rPr>
                <w:sz w:val="18"/>
                <w:szCs w:val="18"/>
              </w:rPr>
              <w:t>14</w:t>
            </w:r>
          </w:p>
        </w:tc>
        <w:tc>
          <w:tcPr>
            <w:tcW w:w="0" w:type="auto"/>
          </w:tcPr>
          <w:p w14:paraId="09FBCAB5" w14:textId="7D9A2138" w:rsidR="006B55B0" w:rsidRPr="0034375A" w:rsidRDefault="004F07F1" w:rsidP="006B55B0">
            <w:pPr>
              <w:jc w:val="center"/>
              <w:rPr>
                <w:sz w:val="18"/>
                <w:szCs w:val="18"/>
              </w:rPr>
            </w:pPr>
            <w:r>
              <w:rPr>
                <w:sz w:val="18"/>
                <w:szCs w:val="18"/>
              </w:rPr>
              <w:t>48</w:t>
            </w:r>
          </w:p>
        </w:tc>
        <w:tc>
          <w:tcPr>
            <w:tcW w:w="0" w:type="auto"/>
          </w:tcPr>
          <w:p w14:paraId="1B9C4258" w14:textId="24CCD8DE" w:rsidR="006B55B0" w:rsidRPr="0034375A" w:rsidRDefault="004F07F1" w:rsidP="006B55B0">
            <w:pPr>
              <w:jc w:val="center"/>
              <w:rPr>
                <w:sz w:val="18"/>
                <w:szCs w:val="18"/>
              </w:rPr>
            </w:pPr>
            <w:r>
              <w:rPr>
                <w:sz w:val="18"/>
                <w:szCs w:val="18"/>
              </w:rPr>
              <w:t>20</w:t>
            </w:r>
          </w:p>
        </w:tc>
        <w:tc>
          <w:tcPr>
            <w:tcW w:w="0" w:type="auto"/>
          </w:tcPr>
          <w:p w14:paraId="54A9F379" w14:textId="1ABEF54D" w:rsidR="006B55B0" w:rsidRPr="0034375A" w:rsidRDefault="004F07F1" w:rsidP="006B55B0">
            <w:pPr>
              <w:jc w:val="center"/>
              <w:rPr>
                <w:sz w:val="18"/>
                <w:szCs w:val="18"/>
              </w:rPr>
            </w:pPr>
            <w:r>
              <w:rPr>
                <w:sz w:val="18"/>
                <w:szCs w:val="18"/>
              </w:rPr>
              <w:t>54</w:t>
            </w:r>
          </w:p>
        </w:tc>
        <w:tc>
          <w:tcPr>
            <w:tcW w:w="0" w:type="auto"/>
          </w:tcPr>
          <w:p w14:paraId="16EE4A11" w14:textId="54841406" w:rsidR="006B55B0" w:rsidRPr="0034375A" w:rsidRDefault="004F07F1" w:rsidP="006B55B0">
            <w:pPr>
              <w:jc w:val="center"/>
              <w:rPr>
                <w:sz w:val="18"/>
                <w:szCs w:val="18"/>
              </w:rPr>
            </w:pPr>
            <w:r>
              <w:rPr>
                <w:sz w:val="18"/>
                <w:szCs w:val="18"/>
              </w:rPr>
              <w:t>20</w:t>
            </w:r>
          </w:p>
        </w:tc>
        <w:tc>
          <w:tcPr>
            <w:tcW w:w="0" w:type="auto"/>
          </w:tcPr>
          <w:p w14:paraId="4E9C313C" w14:textId="435A6D1E" w:rsidR="006B55B0" w:rsidRPr="0034375A" w:rsidRDefault="004F07F1" w:rsidP="006B55B0">
            <w:pPr>
              <w:jc w:val="center"/>
              <w:rPr>
                <w:sz w:val="18"/>
                <w:szCs w:val="18"/>
              </w:rPr>
            </w:pPr>
            <w:r>
              <w:rPr>
                <w:sz w:val="18"/>
                <w:szCs w:val="18"/>
              </w:rPr>
              <w:t>15</w:t>
            </w:r>
          </w:p>
        </w:tc>
        <w:tc>
          <w:tcPr>
            <w:tcW w:w="0" w:type="auto"/>
          </w:tcPr>
          <w:p w14:paraId="5919BA70" w14:textId="7F18FE3F" w:rsidR="006B55B0" w:rsidRPr="0034375A" w:rsidRDefault="004F07F1" w:rsidP="006B55B0">
            <w:pPr>
              <w:jc w:val="center"/>
              <w:rPr>
                <w:sz w:val="18"/>
                <w:szCs w:val="18"/>
              </w:rPr>
            </w:pPr>
            <w:r>
              <w:rPr>
                <w:sz w:val="18"/>
                <w:szCs w:val="18"/>
              </w:rPr>
              <w:t>3</w:t>
            </w:r>
          </w:p>
        </w:tc>
        <w:tc>
          <w:tcPr>
            <w:tcW w:w="0" w:type="auto"/>
          </w:tcPr>
          <w:p w14:paraId="4B124D41" w14:textId="07D4F716" w:rsidR="006B55B0" w:rsidRPr="0034375A" w:rsidRDefault="004F07F1" w:rsidP="006B55B0">
            <w:pPr>
              <w:jc w:val="center"/>
              <w:rPr>
                <w:sz w:val="18"/>
                <w:szCs w:val="18"/>
              </w:rPr>
            </w:pPr>
            <w:r>
              <w:rPr>
                <w:sz w:val="18"/>
                <w:szCs w:val="18"/>
              </w:rPr>
              <w:t>15</w:t>
            </w:r>
          </w:p>
        </w:tc>
        <w:tc>
          <w:tcPr>
            <w:tcW w:w="0" w:type="auto"/>
          </w:tcPr>
          <w:p w14:paraId="182A860A" w14:textId="75CA066D" w:rsidR="006B55B0" w:rsidRPr="0034375A" w:rsidRDefault="004F07F1" w:rsidP="006B55B0">
            <w:pPr>
              <w:jc w:val="center"/>
              <w:rPr>
                <w:sz w:val="18"/>
                <w:szCs w:val="18"/>
              </w:rPr>
            </w:pPr>
            <w:r>
              <w:rPr>
                <w:sz w:val="18"/>
                <w:szCs w:val="18"/>
              </w:rPr>
              <w:t>1</w:t>
            </w:r>
            <w:r w:rsidR="000E5D10">
              <w:rPr>
                <w:sz w:val="18"/>
                <w:szCs w:val="18"/>
              </w:rPr>
              <w:t>0</w:t>
            </w:r>
          </w:p>
        </w:tc>
        <w:tc>
          <w:tcPr>
            <w:tcW w:w="0" w:type="auto"/>
          </w:tcPr>
          <w:p w14:paraId="3264F5CA" w14:textId="6B0286B4" w:rsidR="006B55B0" w:rsidRPr="0034375A" w:rsidRDefault="000E5D10" w:rsidP="006B55B0">
            <w:pPr>
              <w:jc w:val="center"/>
              <w:rPr>
                <w:sz w:val="18"/>
                <w:szCs w:val="18"/>
              </w:rPr>
            </w:pPr>
            <w:r>
              <w:rPr>
                <w:sz w:val="18"/>
                <w:szCs w:val="18"/>
              </w:rPr>
              <w:t>2</w:t>
            </w:r>
          </w:p>
        </w:tc>
        <w:tc>
          <w:tcPr>
            <w:tcW w:w="0" w:type="auto"/>
          </w:tcPr>
          <w:p w14:paraId="66361D26" w14:textId="5AF69888" w:rsidR="006B55B0" w:rsidRPr="0034375A" w:rsidRDefault="000E5D10" w:rsidP="006B55B0">
            <w:pPr>
              <w:jc w:val="center"/>
              <w:rPr>
                <w:sz w:val="18"/>
                <w:szCs w:val="18"/>
              </w:rPr>
            </w:pPr>
            <w:r>
              <w:rPr>
                <w:sz w:val="18"/>
                <w:szCs w:val="18"/>
              </w:rPr>
              <w:t>1</w:t>
            </w:r>
          </w:p>
        </w:tc>
        <w:tc>
          <w:tcPr>
            <w:tcW w:w="0" w:type="auto"/>
          </w:tcPr>
          <w:p w14:paraId="450921AE" w14:textId="41467E09" w:rsidR="006B55B0" w:rsidRPr="0034375A" w:rsidRDefault="000E5D10" w:rsidP="006B55B0">
            <w:pPr>
              <w:jc w:val="center"/>
              <w:rPr>
                <w:sz w:val="18"/>
                <w:szCs w:val="18"/>
              </w:rPr>
            </w:pPr>
            <w:r>
              <w:rPr>
                <w:sz w:val="18"/>
                <w:szCs w:val="18"/>
              </w:rPr>
              <w:t>2</w:t>
            </w:r>
          </w:p>
        </w:tc>
        <w:tc>
          <w:tcPr>
            <w:tcW w:w="0" w:type="auto"/>
          </w:tcPr>
          <w:p w14:paraId="0A5DF91D" w14:textId="485DF6EF" w:rsidR="006B55B0" w:rsidRPr="0034375A" w:rsidRDefault="000E5D10" w:rsidP="006B55B0">
            <w:pPr>
              <w:jc w:val="center"/>
              <w:rPr>
                <w:sz w:val="18"/>
                <w:szCs w:val="18"/>
              </w:rPr>
            </w:pPr>
            <w:r>
              <w:rPr>
                <w:sz w:val="18"/>
                <w:szCs w:val="18"/>
              </w:rPr>
              <w:t>4</w:t>
            </w:r>
          </w:p>
        </w:tc>
      </w:tr>
      <w:tr w:rsidR="00803EEA" w:rsidRPr="0034375A" w14:paraId="43ED22DE" w14:textId="77777777" w:rsidTr="004F34F6">
        <w:tc>
          <w:tcPr>
            <w:tcW w:w="0" w:type="auto"/>
          </w:tcPr>
          <w:p w14:paraId="45590E1B" w14:textId="5EC46A27" w:rsidR="006B55B0" w:rsidRPr="0034375A" w:rsidRDefault="006B55B0" w:rsidP="006B55B0">
            <w:pPr>
              <w:rPr>
                <w:sz w:val="18"/>
                <w:szCs w:val="18"/>
              </w:rPr>
            </w:pPr>
            <w:r w:rsidRPr="0034375A">
              <w:rPr>
                <w:sz w:val="18"/>
                <w:szCs w:val="18"/>
              </w:rPr>
              <w:t>Perry (2010)</w:t>
            </w:r>
            <w:r w:rsidR="00A75209" w:rsidRPr="0034375A">
              <w:rPr>
                <w:sz w:val="18"/>
                <w:szCs w:val="18"/>
              </w:rPr>
              <w:t xml:space="preserve"> </w:t>
            </w:r>
          </w:p>
        </w:tc>
        <w:tc>
          <w:tcPr>
            <w:tcW w:w="0" w:type="auto"/>
          </w:tcPr>
          <w:p w14:paraId="047EEE9D" w14:textId="2865720A" w:rsidR="006B55B0" w:rsidRPr="0034375A" w:rsidRDefault="00B94E07" w:rsidP="006B55B0">
            <w:pPr>
              <w:jc w:val="center"/>
              <w:rPr>
                <w:sz w:val="18"/>
                <w:szCs w:val="18"/>
              </w:rPr>
            </w:pPr>
            <w:r>
              <w:rPr>
                <w:sz w:val="18"/>
                <w:szCs w:val="18"/>
              </w:rPr>
              <w:t>0</w:t>
            </w:r>
          </w:p>
        </w:tc>
        <w:tc>
          <w:tcPr>
            <w:tcW w:w="0" w:type="auto"/>
          </w:tcPr>
          <w:p w14:paraId="1494B77B" w14:textId="56D4B502" w:rsidR="006B55B0" w:rsidRPr="0034375A" w:rsidRDefault="00B94E07" w:rsidP="006B55B0">
            <w:pPr>
              <w:jc w:val="center"/>
              <w:rPr>
                <w:sz w:val="18"/>
                <w:szCs w:val="18"/>
              </w:rPr>
            </w:pPr>
            <w:r>
              <w:rPr>
                <w:sz w:val="18"/>
                <w:szCs w:val="18"/>
              </w:rPr>
              <w:t>0</w:t>
            </w:r>
          </w:p>
        </w:tc>
        <w:tc>
          <w:tcPr>
            <w:tcW w:w="0" w:type="auto"/>
          </w:tcPr>
          <w:p w14:paraId="284FB73C" w14:textId="39310397" w:rsidR="006B55B0" w:rsidRPr="0034375A" w:rsidRDefault="00B94E07" w:rsidP="006B55B0">
            <w:pPr>
              <w:jc w:val="center"/>
              <w:rPr>
                <w:sz w:val="18"/>
                <w:szCs w:val="18"/>
              </w:rPr>
            </w:pPr>
            <w:r>
              <w:rPr>
                <w:sz w:val="18"/>
                <w:szCs w:val="18"/>
              </w:rPr>
              <w:t>0</w:t>
            </w:r>
          </w:p>
        </w:tc>
        <w:tc>
          <w:tcPr>
            <w:tcW w:w="0" w:type="auto"/>
          </w:tcPr>
          <w:p w14:paraId="15355290" w14:textId="286386FB" w:rsidR="006B55B0" w:rsidRPr="0034375A" w:rsidRDefault="00B94E07" w:rsidP="006B55B0">
            <w:pPr>
              <w:jc w:val="center"/>
              <w:rPr>
                <w:sz w:val="18"/>
                <w:szCs w:val="18"/>
              </w:rPr>
            </w:pPr>
            <w:r>
              <w:rPr>
                <w:sz w:val="18"/>
                <w:szCs w:val="18"/>
              </w:rPr>
              <w:t>0</w:t>
            </w:r>
          </w:p>
        </w:tc>
        <w:tc>
          <w:tcPr>
            <w:tcW w:w="0" w:type="auto"/>
          </w:tcPr>
          <w:p w14:paraId="39AD2904" w14:textId="0D3E1DD5" w:rsidR="006B55B0" w:rsidRPr="0034375A" w:rsidRDefault="00B94E07" w:rsidP="006B55B0">
            <w:pPr>
              <w:jc w:val="center"/>
              <w:rPr>
                <w:sz w:val="18"/>
                <w:szCs w:val="18"/>
              </w:rPr>
            </w:pPr>
            <w:r>
              <w:rPr>
                <w:sz w:val="18"/>
                <w:szCs w:val="18"/>
              </w:rPr>
              <w:t>0</w:t>
            </w:r>
          </w:p>
        </w:tc>
        <w:tc>
          <w:tcPr>
            <w:tcW w:w="0" w:type="auto"/>
          </w:tcPr>
          <w:p w14:paraId="430B5BF7" w14:textId="230B3545" w:rsidR="006B55B0" w:rsidRPr="0034375A" w:rsidRDefault="00B94E07" w:rsidP="006B55B0">
            <w:pPr>
              <w:jc w:val="center"/>
              <w:rPr>
                <w:sz w:val="18"/>
                <w:szCs w:val="18"/>
              </w:rPr>
            </w:pPr>
            <w:r>
              <w:rPr>
                <w:sz w:val="18"/>
                <w:szCs w:val="18"/>
              </w:rPr>
              <w:t>0</w:t>
            </w:r>
          </w:p>
        </w:tc>
        <w:tc>
          <w:tcPr>
            <w:tcW w:w="0" w:type="auto"/>
          </w:tcPr>
          <w:p w14:paraId="25D3E095" w14:textId="00075716" w:rsidR="006B55B0" w:rsidRPr="0034375A" w:rsidRDefault="00B94E07" w:rsidP="006B55B0">
            <w:pPr>
              <w:jc w:val="center"/>
              <w:rPr>
                <w:sz w:val="18"/>
                <w:szCs w:val="18"/>
              </w:rPr>
            </w:pPr>
            <w:r>
              <w:rPr>
                <w:sz w:val="18"/>
                <w:szCs w:val="18"/>
              </w:rPr>
              <w:t>0</w:t>
            </w:r>
          </w:p>
        </w:tc>
        <w:tc>
          <w:tcPr>
            <w:tcW w:w="0" w:type="auto"/>
          </w:tcPr>
          <w:p w14:paraId="4C5B8367" w14:textId="34A49141" w:rsidR="006B55B0" w:rsidRPr="0034375A" w:rsidRDefault="00B94E07" w:rsidP="006B55B0">
            <w:pPr>
              <w:jc w:val="center"/>
              <w:rPr>
                <w:sz w:val="18"/>
                <w:szCs w:val="18"/>
              </w:rPr>
            </w:pPr>
            <w:r>
              <w:rPr>
                <w:sz w:val="18"/>
                <w:szCs w:val="18"/>
              </w:rPr>
              <w:t>0</w:t>
            </w:r>
          </w:p>
        </w:tc>
        <w:tc>
          <w:tcPr>
            <w:tcW w:w="0" w:type="auto"/>
          </w:tcPr>
          <w:p w14:paraId="6DCCE700" w14:textId="4CCF9A2D" w:rsidR="006B55B0" w:rsidRPr="0034375A" w:rsidRDefault="00B94E07" w:rsidP="006B55B0">
            <w:pPr>
              <w:jc w:val="center"/>
              <w:rPr>
                <w:sz w:val="18"/>
                <w:szCs w:val="18"/>
              </w:rPr>
            </w:pPr>
            <w:r>
              <w:rPr>
                <w:sz w:val="18"/>
                <w:szCs w:val="18"/>
              </w:rPr>
              <w:t>37</w:t>
            </w:r>
          </w:p>
        </w:tc>
        <w:tc>
          <w:tcPr>
            <w:tcW w:w="0" w:type="auto"/>
          </w:tcPr>
          <w:p w14:paraId="68C6CA02" w14:textId="535A9F77" w:rsidR="006B55B0" w:rsidRPr="0034375A" w:rsidRDefault="00B94E07" w:rsidP="006B55B0">
            <w:pPr>
              <w:jc w:val="center"/>
              <w:rPr>
                <w:sz w:val="18"/>
                <w:szCs w:val="18"/>
              </w:rPr>
            </w:pPr>
            <w:r>
              <w:rPr>
                <w:sz w:val="18"/>
                <w:szCs w:val="18"/>
              </w:rPr>
              <w:t>5</w:t>
            </w:r>
          </w:p>
        </w:tc>
        <w:tc>
          <w:tcPr>
            <w:tcW w:w="0" w:type="auto"/>
          </w:tcPr>
          <w:p w14:paraId="2D4094DB" w14:textId="7FDDF582" w:rsidR="006B55B0" w:rsidRPr="0034375A" w:rsidRDefault="00B94E07" w:rsidP="006B55B0">
            <w:pPr>
              <w:jc w:val="center"/>
              <w:rPr>
                <w:sz w:val="18"/>
                <w:szCs w:val="18"/>
              </w:rPr>
            </w:pPr>
            <w:r>
              <w:rPr>
                <w:sz w:val="18"/>
                <w:szCs w:val="18"/>
              </w:rPr>
              <w:t>37</w:t>
            </w:r>
          </w:p>
        </w:tc>
        <w:tc>
          <w:tcPr>
            <w:tcW w:w="0" w:type="auto"/>
          </w:tcPr>
          <w:p w14:paraId="219B5F24" w14:textId="01206821" w:rsidR="006B55B0" w:rsidRPr="0034375A" w:rsidRDefault="00B94E07" w:rsidP="006B55B0">
            <w:pPr>
              <w:jc w:val="center"/>
              <w:rPr>
                <w:sz w:val="18"/>
                <w:szCs w:val="18"/>
              </w:rPr>
            </w:pPr>
            <w:r>
              <w:rPr>
                <w:sz w:val="18"/>
                <w:szCs w:val="18"/>
              </w:rPr>
              <w:t>8</w:t>
            </w:r>
          </w:p>
        </w:tc>
        <w:tc>
          <w:tcPr>
            <w:tcW w:w="0" w:type="auto"/>
          </w:tcPr>
          <w:p w14:paraId="609DA9CA" w14:textId="73BB5CDF" w:rsidR="006B55B0" w:rsidRPr="0034375A" w:rsidRDefault="00B94E07" w:rsidP="006B55B0">
            <w:pPr>
              <w:jc w:val="center"/>
              <w:rPr>
                <w:sz w:val="18"/>
                <w:szCs w:val="18"/>
              </w:rPr>
            </w:pPr>
            <w:r>
              <w:rPr>
                <w:sz w:val="18"/>
                <w:szCs w:val="18"/>
              </w:rPr>
              <w:t>31</w:t>
            </w:r>
          </w:p>
        </w:tc>
        <w:tc>
          <w:tcPr>
            <w:tcW w:w="0" w:type="auto"/>
          </w:tcPr>
          <w:p w14:paraId="1B878FB0" w14:textId="75E6BE43" w:rsidR="006B55B0" w:rsidRPr="0034375A" w:rsidRDefault="00B94E07" w:rsidP="006B55B0">
            <w:pPr>
              <w:jc w:val="center"/>
              <w:rPr>
                <w:sz w:val="18"/>
                <w:szCs w:val="18"/>
              </w:rPr>
            </w:pPr>
            <w:r>
              <w:rPr>
                <w:sz w:val="18"/>
                <w:szCs w:val="18"/>
              </w:rPr>
              <w:t>3</w:t>
            </w:r>
          </w:p>
        </w:tc>
        <w:tc>
          <w:tcPr>
            <w:tcW w:w="0" w:type="auto"/>
          </w:tcPr>
          <w:p w14:paraId="3AA01C98" w14:textId="086E2449" w:rsidR="006B55B0" w:rsidRPr="0034375A" w:rsidRDefault="00B94E07" w:rsidP="006B55B0">
            <w:pPr>
              <w:jc w:val="center"/>
              <w:rPr>
                <w:sz w:val="18"/>
                <w:szCs w:val="18"/>
              </w:rPr>
            </w:pPr>
            <w:r>
              <w:rPr>
                <w:sz w:val="18"/>
                <w:szCs w:val="18"/>
              </w:rPr>
              <w:t>32</w:t>
            </w:r>
          </w:p>
        </w:tc>
        <w:tc>
          <w:tcPr>
            <w:tcW w:w="0" w:type="auto"/>
          </w:tcPr>
          <w:p w14:paraId="2B75BBE7" w14:textId="0472C7CF" w:rsidR="006B55B0" w:rsidRPr="0034375A" w:rsidRDefault="00B94E07" w:rsidP="006B55B0">
            <w:pPr>
              <w:jc w:val="center"/>
              <w:rPr>
                <w:sz w:val="18"/>
                <w:szCs w:val="18"/>
              </w:rPr>
            </w:pPr>
            <w:r>
              <w:rPr>
                <w:sz w:val="18"/>
                <w:szCs w:val="18"/>
              </w:rPr>
              <w:t>7</w:t>
            </w:r>
          </w:p>
        </w:tc>
        <w:tc>
          <w:tcPr>
            <w:tcW w:w="0" w:type="auto"/>
          </w:tcPr>
          <w:p w14:paraId="5EB647BC" w14:textId="7160BA32" w:rsidR="006B55B0" w:rsidRPr="0034375A" w:rsidRDefault="003E3A18" w:rsidP="006B55B0">
            <w:pPr>
              <w:jc w:val="center"/>
              <w:rPr>
                <w:sz w:val="18"/>
                <w:szCs w:val="18"/>
              </w:rPr>
            </w:pPr>
            <w:r>
              <w:rPr>
                <w:sz w:val="18"/>
                <w:szCs w:val="18"/>
              </w:rPr>
              <w:t>5</w:t>
            </w:r>
          </w:p>
        </w:tc>
        <w:tc>
          <w:tcPr>
            <w:tcW w:w="0" w:type="auto"/>
          </w:tcPr>
          <w:p w14:paraId="11EAE7B1" w14:textId="26D41264" w:rsidR="006B55B0" w:rsidRPr="0034375A" w:rsidRDefault="003E3A18" w:rsidP="006B55B0">
            <w:pPr>
              <w:jc w:val="center"/>
              <w:rPr>
                <w:sz w:val="18"/>
                <w:szCs w:val="18"/>
              </w:rPr>
            </w:pPr>
            <w:r>
              <w:rPr>
                <w:sz w:val="18"/>
                <w:szCs w:val="18"/>
              </w:rPr>
              <w:t>2</w:t>
            </w:r>
          </w:p>
        </w:tc>
        <w:tc>
          <w:tcPr>
            <w:tcW w:w="0" w:type="auto"/>
          </w:tcPr>
          <w:p w14:paraId="7BC73675" w14:textId="30D2547B" w:rsidR="006B55B0" w:rsidRPr="0034375A" w:rsidRDefault="003E3A18" w:rsidP="006B55B0">
            <w:pPr>
              <w:jc w:val="center"/>
              <w:rPr>
                <w:sz w:val="18"/>
                <w:szCs w:val="18"/>
              </w:rPr>
            </w:pPr>
            <w:r>
              <w:rPr>
                <w:sz w:val="18"/>
                <w:szCs w:val="18"/>
              </w:rPr>
              <w:t>7</w:t>
            </w:r>
          </w:p>
        </w:tc>
        <w:tc>
          <w:tcPr>
            <w:tcW w:w="0" w:type="auto"/>
          </w:tcPr>
          <w:p w14:paraId="24811972" w14:textId="0FFFB779" w:rsidR="006B55B0" w:rsidRPr="0034375A" w:rsidRDefault="003E3A18" w:rsidP="006B55B0">
            <w:pPr>
              <w:jc w:val="center"/>
              <w:rPr>
                <w:sz w:val="18"/>
                <w:szCs w:val="18"/>
              </w:rPr>
            </w:pPr>
            <w:r>
              <w:rPr>
                <w:sz w:val="18"/>
                <w:szCs w:val="18"/>
              </w:rPr>
              <w:t>1</w:t>
            </w:r>
          </w:p>
        </w:tc>
        <w:tc>
          <w:tcPr>
            <w:tcW w:w="0" w:type="auto"/>
          </w:tcPr>
          <w:p w14:paraId="07B9F678" w14:textId="602E46B1" w:rsidR="006B55B0" w:rsidRPr="0034375A" w:rsidRDefault="003E3A18" w:rsidP="006B55B0">
            <w:pPr>
              <w:jc w:val="center"/>
              <w:rPr>
                <w:sz w:val="18"/>
                <w:szCs w:val="18"/>
              </w:rPr>
            </w:pPr>
            <w:r>
              <w:rPr>
                <w:sz w:val="18"/>
                <w:szCs w:val="18"/>
              </w:rPr>
              <w:t>0</w:t>
            </w:r>
          </w:p>
        </w:tc>
        <w:tc>
          <w:tcPr>
            <w:tcW w:w="0" w:type="auto"/>
          </w:tcPr>
          <w:p w14:paraId="04311B16" w14:textId="6A5AD4CE" w:rsidR="006B55B0" w:rsidRPr="0034375A" w:rsidRDefault="003E3A18" w:rsidP="006B55B0">
            <w:pPr>
              <w:jc w:val="center"/>
              <w:rPr>
                <w:sz w:val="18"/>
                <w:szCs w:val="18"/>
              </w:rPr>
            </w:pPr>
            <w:r>
              <w:rPr>
                <w:sz w:val="18"/>
                <w:szCs w:val="18"/>
              </w:rPr>
              <w:t>1</w:t>
            </w:r>
          </w:p>
        </w:tc>
        <w:tc>
          <w:tcPr>
            <w:tcW w:w="0" w:type="auto"/>
          </w:tcPr>
          <w:p w14:paraId="6AE8C506" w14:textId="39A2E13E" w:rsidR="006B55B0" w:rsidRPr="0034375A" w:rsidRDefault="003E3A18" w:rsidP="006B55B0">
            <w:pPr>
              <w:jc w:val="center"/>
              <w:rPr>
                <w:sz w:val="18"/>
                <w:szCs w:val="18"/>
              </w:rPr>
            </w:pPr>
            <w:r>
              <w:rPr>
                <w:sz w:val="18"/>
                <w:szCs w:val="18"/>
              </w:rPr>
              <w:t>0</w:t>
            </w:r>
          </w:p>
        </w:tc>
        <w:tc>
          <w:tcPr>
            <w:tcW w:w="0" w:type="auto"/>
          </w:tcPr>
          <w:p w14:paraId="7EDB738F" w14:textId="38A7CB69" w:rsidR="006B55B0" w:rsidRPr="0034375A" w:rsidRDefault="003E3A18" w:rsidP="006B55B0">
            <w:pPr>
              <w:jc w:val="center"/>
              <w:rPr>
                <w:sz w:val="18"/>
                <w:szCs w:val="18"/>
              </w:rPr>
            </w:pPr>
            <w:r>
              <w:rPr>
                <w:sz w:val="18"/>
                <w:szCs w:val="18"/>
              </w:rPr>
              <w:t>0</w:t>
            </w:r>
          </w:p>
        </w:tc>
      </w:tr>
    </w:tbl>
    <w:p w14:paraId="2412F52F" w14:textId="4FE4E88D" w:rsidR="00B017B7" w:rsidRDefault="00B017B7">
      <w:pPr>
        <w:rPr>
          <w:szCs w:val="22"/>
        </w:rPr>
        <w:sectPr w:rsidR="00B017B7" w:rsidSect="0034375A">
          <w:pgSz w:w="16838" w:h="11906" w:orient="landscape"/>
          <w:pgMar w:top="1417" w:right="678" w:bottom="1417" w:left="709" w:header="708" w:footer="708" w:gutter="0"/>
          <w:cols w:space="708"/>
          <w:docGrid w:linePitch="360"/>
        </w:sectPr>
      </w:pPr>
    </w:p>
    <w:p w14:paraId="30765CFA" w14:textId="2D0F4F93" w:rsidR="00900C0D" w:rsidRPr="00A75209" w:rsidRDefault="00F535A8">
      <w:pPr>
        <w:rPr>
          <w:b/>
          <w:bCs/>
          <w:szCs w:val="22"/>
        </w:rPr>
      </w:pPr>
      <w:r w:rsidRPr="00A75209">
        <w:rPr>
          <w:b/>
          <w:bCs/>
          <w:szCs w:val="22"/>
        </w:rPr>
        <w:lastRenderedPageBreak/>
        <w:t>References</w:t>
      </w:r>
    </w:p>
    <w:p w14:paraId="065F030F" w14:textId="09A9DB73" w:rsidR="009115A9" w:rsidRPr="009115A9" w:rsidRDefault="00A75209" w:rsidP="009115A9">
      <w:pPr>
        <w:widowControl w:val="0"/>
        <w:autoSpaceDE w:val="0"/>
        <w:autoSpaceDN w:val="0"/>
        <w:adjustRightInd w:val="0"/>
        <w:ind w:left="640" w:hanging="640"/>
        <w:rPr>
          <w:rFonts w:cs="Calibri"/>
          <w:noProof/>
          <w:sz w:val="18"/>
        </w:rPr>
      </w:pPr>
      <w:r>
        <w:rPr>
          <w:sz w:val="18"/>
          <w:szCs w:val="18"/>
        </w:rPr>
        <w:fldChar w:fldCharType="begin" w:fldLock="1"/>
      </w:r>
      <w:r>
        <w:rPr>
          <w:sz w:val="18"/>
          <w:szCs w:val="18"/>
        </w:rPr>
        <w:instrText xml:space="preserve">ADDIN Mendeley Bibliography CSL_BIBLIOGRAPHY </w:instrText>
      </w:r>
      <w:r>
        <w:rPr>
          <w:sz w:val="18"/>
          <w:szCs w:val="18"/>
        </w:rPr>
        <w:fldChar w:fldCharType="separate"/>
      </w:r>
      <w:r w:rsidR="009115A9" w:rsidRPr="009115A9">
        <w:rPr>
          <w:rFonts w:cs="Calibri"/>
          <w:noProof/>
          <w:sz w:val="18"/>
        </w:rPr>
        <w:t xml:space="preserve">1. </w:t>
      </w:r>
      <w:r w:rsidR="009115A9" w:rsidRPr="009115A9">
        <w:rPr>
          <w:rFonts w:cs="Calibri"/>
          <w:noProof/>
          <w:sz w:val="18"/>
        </w:rPr>
        <w:tab/>
        <w:t>Timp JF, Braekkan SK, Versteeg HH, Cannegieter SC. Epidemiology of cancer-associated venous thrombosis. Blood 2013;122(10):1712–23.</w:t>
      </w:r>
    </w:p>
    <w:p w14:paraId="060509B4"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 </w:t>
      </w:r>
      <w:r w:rsidRPr="009115A9">
        <w:rPr>
          <w:rFonts w:cs="Calibri"/>
          <w:noProof/>
          <w:sz w:val="18"/>
        </w:rPr>
        <w:tab/>
        <w:t>Petrelli F, Cabiddu M, Borgonovo K, Barni S. Risk of venous and arterial thromboembolic events associated with anti-EGFR agents: A meta-analysis of randomized clinical trials. Ann Oncol 2012;23(7):1672–1679.</w:t>
      </w:r>
    </w:p>
    <w:p w14:paraId="0A51FB29"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 </w:t>
      </w:r>
      <w:r w:rsidRPr="009115A9">
        <w:rPr>
          <w:rFonts w:cs="Calibri"/>
          <w:noProof/>
          <w:sz w:val="18"/>
        </w:rPr>
        <w:tab/>
        <w:t>Nalluri SR, Chu D, Keresztes R, Zhu X, Wu S. Risk of venous thromboembolism with the angiogenesis inhibitor bevacizumab in cancer patients: a meta-analysis. JAMA 2008;300(19):2277–85.</w:t>
      </w:r>
    </w:p>
    <w:p w14:paraId="061D134A"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 </w:t>
      </w:r>
      <w:r w:rsidRPr="009115A9">
        <w:rPr>
          <w:rFonts w:cs="Calibri"/>
          <w:noProof/>
          <w:sz w:val="18"/>
        </w:rPr>
        <w:tab/>
        <w:t>Mandala M, Falanga A, Roila F, Mandalà M, Falanga A, Roila F. Management of venous thromboembolism (VTE) in cancer patients: ESMO Clinical Practice Guidelines. Ann Oncol 2011;22 Suppl 6(Supplement 6):vi85-92.</w:t>
      </w:r>
    </w:p>
    <w:p w14:paraId="2479A49F"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5. </w:t>
      </w:r>
      <w:r w:rsidRPr="009115A9">
        <w:rPr>
          <w:rFonts w:cs="Calibri"/>
          <w:noProof/>
          <w:sz w:val="18"/>
        </w:rPr>
        <w:tab/>
        <w:t>Streiff MB, Holmstrom B, Angelini D, et al. NCCN Guidelines Insights: Cancer-Associated Venous Thromboembolic Disease, Version 2.2018. J Natl Compr Canc Netw 2018;16(11):1289–1303.</w:t>
      </w:r>
    </w:p>
    <w:p w14:paraId="69AD3E14"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6. </w:t>
      </w:r>
      <w:r w:rsidRPr="009115A9">
        <w:rPr>
          <w:rFonts w:cs="Calibri"/>
          <w:noProof/>
          <w:sz w:val="18"/>
        </w:rPr>
        <w:tab/>
        <w:t>Key NS, Khorana AA, Kuderer NM, et al. Venous Thromboembolism Prophylaxis and Treatment in Patients With Cancer: ASCO Clinical Practice Guideline Update. J Clin Oncol 2019;JCO.19.01461.</w:t>
      </w:r>
    </w:p>
    <w:p w14:paraId="363368B2"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7. </w:t>
      </w:r>
      <w:r w:rsidRPr="009115A9">
        <w:rPr>
          <w:rFonts w:cs="Calibri"/>
          <w:noProof/>
          <w:sz w:val="18"/>
        </w:rPr>
        <w:tab/>
        <w:t>Watson HG, Keeling DM, Laffan M, Tait RC, Makris M, British Committee for Standards in Haematology. Guideline on aspects of cancer-related venous thrombosis. Br J Haematol 2015;170(5):640–8.</w:t>
      </w:r>
    </w:p>
    <w:p w14:paraId="6D444FED"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8. </w:t>
      </w:r>
      <w:r w:rsidRPr="009115A9">
        <w:rPr>
          <w:rFonts w:cs="Calibri"/>
          <w:noProof/>
          <w:sz w:val="18"/>
        </w:rPr>
        <w:tab/>
        <w:t>Farge D, Frere C, Connors JM, et al. 2019 international clinical practice guidelines for the treatment and prophylaxis of venous thromboembolism in patients with cancer. Lancet Oncol 2019;20(10):e566–e581.</w:t>
      </w:r>
    </w:p>
    <w:p w14:paraId="70BB1A13"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9. </w:t>
      </w:r>
      <w:r w:rsidRPr="009115A9">
        <w:rPr>
          <w:rFonts w:cs="Calibri"/>
          <w:noProof/>
          <w:sz w:val="18"/>
        </w:rPr>
        <w:tab/>
        <w:t>Moore R a., Adel N, Riedel E, et al. High incidence of thromboembolic events in patients treated with cisplatin-based chemotherapy: A large retrospective analysis. J Clin Oncol 2011;29(25):3466–73.</w:t>
      </w:r>
    </w:p>
    <w:p w14:paraId="54E44928"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10. </w:t>
      </w:r>
      <w:r w:rsidRPr="009115A9">
        <w:rPr>
          <w:rFonts w:cs="Calibri"/>
          <w:noProof/>
          <w:sz w:val="18"/>
        </w:rPr>
        <w:tab/>
        <w:t>Ay C, Dunkler D, Marosi C, et al. Prediction of venous thromboembolism in cancer patients. Blood 2010;116(24):5377–82.</w:t>
      </w:r>
    </w:p>
    <w:p w14:paraId="54D75FEB"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11. </w:t>
      </w:r>
      <w:r w:rsidRPr="009115A9">
        <w:rPr>
          <w:rFonts w:cs="Calibri"/>
          <w:noProof/>
          <w:sz w:val="18"/>
        </w:rPr>
        <w:tab/>
        <w:t>van Es N, Franke VF, Middeldorp S, Wilmink JW, Büller HR. The Khorana score for the prediction of venous thromboembolism in patients with pancreatic cancer. Thromb Res 2017;15030–32.</w:t>
      </w:r>
    </w:p>
    <w:p w14:paraId="658792C9"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12. </w:t>
      </w:r>
      <w:r w:rsidRPr="009115A9">
        <w:rPr>
          <w:rFonts w:cs="Calibri"/>
          <w:noProof/>
          <w:sz w:val="18"/>
        </w:rPr>
        <w:tab/>
        <w:t>Tully CM, Apolo AB, Zabor EC, et al. The high incidence of vascular thromboembolic events in patients with metastatic or unresectable urothelial cancer treated with platinum chemotherapy agents. Cancer 2016;122(5):712–721.</w:t>
      </w:r>
    </w:p>
    <w:p w14:paraId="1D170FC0"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13. </w:t>
      </w:r>
      <w:r w:rsidRPr="009115A9">
        <w:rPr>
          <w:rFonts w:cs="Calibri"/>
          <w:noProof/>
          <w:sz w:val="18"/>
        </w:rPr>
        <w:tab/>
        <w:t>Noble S, Alikhan R, Robbins A, Macbeth F, Hood K. Predictors of active cancer thromboembolic outcomes: validation of the Khorana score among patients with lung cancer: comment. J Thromb Haemost 2017;15(3):590–591.</w:t>
      </w:r>
    </w:p>
    <w:p w14:paraId="18C3ED5A"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14. </w:t>
      </w:r>
      <w:r w:rsidRPr="009115A9">
        <w:rPr>
          <w:rFonts w:cs="Calibri"/>
          <w:noProof/>
          <w:sz w:val="18"/>
        </w:rPr>
        <w:tab/>
        <w:t>Schünemann HJ, Ventresca M, Crowther M, et al. Use of heparins in patients with cancer: individual participant data meta-analysis of randomised trials study protocol. BMJ Open 2016;6(4):e010569.</w:t>
      </w:r>
    </w:p>
    <w:p w14:paraId="2F755CCE"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15. </w:t>
      </w:r>
      <w:r w:rsidRPr="009115A9">
        <w:rPr>
          <w:rFonts w:cs="Calibri"/>
          <w:noProof/>
          <w:sz w:val="18"/>
        </w:rPr>
        <w:tab/>
        <w:t>Hayden JA, van der Windt DA, Cartwright JL, Côté P, Bombardier C. Assessing bias in studies of prognostic factors. Ann Intern Med 2013;158(4):280–6.</w:t>
      </w:r>
    </w:p>
    <w:p w14:paraId="44760CC6"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16. </w:t>
      </w:r>
      <w:r w:rsidRPr="009115A9">
        <w:rPr>
          <w:rFonts w:cs="Calibri"/>
          <w:noProof/>
          <w:sz w:val="18"/>
        </w:rPr>
        <w:tab/>
        <w:t>Spencer FA, Iorio A, You J, et al. Uncertainties in baseline risk estimates and confidence in treatment effects. BMJ 2012;345(November):e7401.</w:t>
      </w:r>
    </w:p>
    <w:p w14:paraId="7FD4DBC5"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17. </w:t>
      </w:r>
      <w:r w:rsidRPr="009115A9">
        <w:rPr>
          <w:rFonts w:cs="Calibri"/>
          <w:noProof/>
          <w:sz w:val="18"/>
        </w:rPr>
        <w:tab/>
        <w:t>Iorio A, Spencer FA, Falavigna M, et al. Use of GRADE for assessment of evidence about prognosis: rating confidence in estimates of event rates in broad categories of patients. BMJ 2015;350(mar16 7):h870.</w:t>
      </w:r>
    </w:p>
    <w:p w14:paraId="24001E96"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18. </w:t>
      </w:r>
      <w:r w:rsidRPr="009115A9">
        <w:rPr>
          <w:rFonts w:cs="Calibri"/>
          <w:noProof/>
          <w:sz w:val="18"/>
        </w:rPr>
        <w:tab/>
        <w:t>Guyatt G, Oxman AD, Akl EA, et al. GRADE guidelines: 1. Introduction - GRADE evidence profiles and summary of findings tables. J Clin Epidemiol 2011;64(4):383–394.</w:t>
      </w:r>
    </w:p>
    <w:p w14:paraId="33A22A73"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19. </w:t>
      </w:r>
      <w:r w:rsidRPr="009115A9">
        <w:rPr>
          <w:rFonts w:cs="Calibri"/>
          <w:noProof/>
          <w:sz w:val="18"/>
        </w:rPr>
        <w:tab/>
        <w:t>Khorana AA, Kuderer NM, Culakova E, Lyman GH, Francis CW. Development and validation of a predictive model for chemotherapy-associated thrombosis. Blood 2008;111(10):4902–7.</w:t>
      </w:r>
    </w:p>
    <w:p w14:paraId="6F433BF7"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20. </w:t>
      </w:r>
      <w:r w:rsidRPr="009115A9">
        <w:rPr>
          <w:rFonts w:cs="Calibri"/>
          <w:noProof/>
          <w:sz w:val="18"/>
        </w:rPr>
        <w:tab/>
        <w:t>Debray TPA, Damen JAAG, Snell KIE, et al. A guide to systematic review and meta-analysis of prediction model performance. BMJ 2017;356i6460.</w:t>
      </w:r>
    </w:p>
    <w:p w14:paraId="016069CC"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21. </w:t>
      </w:r>
      <w:r w:rsidRPr="009115A9">
        <w:rPr>
          <w:rFonts w:cs="Calibri"/>
          <w:noProof/>
          <w:sz w:val="18"/>
        </w:rPr>
        <w:tab/>
        <w:t xml:space="preserve">Kuderer NM, Poniewierski MS, Culakova E, et al. Predictors of Venous Thromboembolism and Early Mortality in </w:t>
      </w:r>
      <w:r w:rsidRPr="009115A9">
        <w:rPr>
          <w:rFonts w:cs="Calibri"/>
          <w:noProof/>
          <w:sz w:val="18"/>
        </w:rPr>
        <w:lastRenderedPageBreak/>
        <w:t>Lung Cancer: Results from a Global Prospective Study (CANTARISK). Oncologist 2018;23(2):247–255.</w:t>
      </w:r>
    </w:p>
    <w:p w14:paraId="6AC75C59"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22. </w:t>
      </w:r>
      <w:r w:rsidRPr="009115A9">
        <w:rPr>
          <w:rFonts w:cs="Calibri"/>
          <w:noProof/>
          <w:sz w:val="18"/>
        </w:rPr>
        <w:tab/>
        <w:t>Debray TPA, Moons KGM, Abo-Zaid GMA, Koffijberg H, Riley RD. Individual participant data meta-analysis for a binary outcome: one-stage or two-stage? PLoS One 2013;8(4):e60650.</w:t>
      </w:r>
    </w:p>
    <w:p w14:paraId="7D2EA6BC"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23. </w:t>
      </w:r>
      <w:r w:rsidRPr="009115A9">
        <w:rPr>
          <w:rFonts w:cs="Calibri"/>
          <w:noProof/>
          <w:sz w:val="18"/>
        </w:rPr>
        <w:tab/>
        <w:t>Carrier M, Abou-Nassar K, Mallick R, et al. Apixaban to Prevent Venous Thromboembolism in Patients with Cancer. N Engl J Med 2018;NEJMoa1814468.</w:t>
      </w:r>
    </w:p>
    <w:p w14:paraId="01BF6EF7"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24. </w:t>
      </w:r>
      <w:r w:rsidRPr="009115A9">
        <w:rPr>
          <w:rFonts w:cs="Calibri"/>
          <w:noProof/>
          <w:sz w:val="18"/>
        </w:rPr>
        <w:tab/>
        <w:t>Khorana AA, Soff GA, Kakkar AK, et al. Rivaroxaban for Thromboprophylaxis in High-Risk Ambulatory Patients with Cancer. N Engl J Med 2019;380(8):720–728.</w:t>
      </w:r>
    </w:p>
    <w:p w14:paraId="2810A62A"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25. </w:t>
      </w:r>
      <w:r w:rsidRPr="009115A9">
        <w:rPr>
          <w:rFonts w:cs="Calibri"/>
          <w:noProof/>
          <w:sz w:val="18"/>
        </w:rPr>
        <w:tab/>
        <w:t>Haas SK, Freund M, Heigener D, et al. Low-molecular-weight heparin versus placebo for the prevention of venous thromboembolism in metastatic breast cancer or stage III/IV lung cancer. Clin Appl Thromb Hemost 2012;18(2):159–65.</w:t>
      </w:r>
    </w:p>
    <w:p w14:paraId="21C36816"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26. </w:t>
      </w:r>
      <w:r w:rsidRPr="009115A9">
        <w:rPr>
          <w:rFonts w:cs="Calibri"/>
          <w:noProof/>
          <w:sz w:val="18"/>
        </w:rPr>
        <w:tab/>
        <w:t>Agnelli G, George DJ, Kakkar AK, et al. Semuloparin for thromboprophylaxis in patients receiving chemotherapy for cancer. N Engl J Med 2012;366(7):601–9.</w:t>
      </w:r>
    </w:p>
    <w:p w14:paraId="607CE1C4"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27. </w:t>
      </w:r>
      <w:r w:rsidRPr="009115A9">
        <w:rPr>
          <w:rFonts w:cs="Calibri"/>
          <w:noProof/>
          <w:sz w:val="18"/>
        </w:rPr>
        <w:tab/>
        <w:t>Macbeth F, Noble S, Evans J, et al. Randomized Phase III Trial of Standard Therapy Plus Low Molecular Weight Heparin in Patients With Lung Cancer: FRAGMATIC Trial. J Clin Oncol 2015;34(5):1–10.</w:t>
      </w:r>
    </w:p>
    <w:p w14:paraId="31EE0AE0"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28. </w:t>
      </w:r>
      <w:r w:rsidRPr="009115A9">
        <w:rPr>
          <w:rFonts w:cs="Calibri"/>
          <w:noProof/>
          <w:sz w:val="18"/>
        </w:rPr>
        <w:tab/>
        <w:t>Pelzer U, Opitz B, Deutschinoff G, et al. Efficacy of Prophylactic Low-Molecular Weight Heparin for Ambulatory Patients With Advanced Pancreatic Cancer: Outcomes From the CONKO-004 Trial. J Clin Oncol 2015;33(18):2028–2034.</w:t>
      </w:r>
    </w:p>
    <w:p w14:paraId="1423F1B8"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29. </w:t>
      </w:r>
      <w:r w:rsidRPr="009115A9">
        <w:rPr>
          <w:rFonts w:cs="Calibri"/>
          <w:noProof/>
          <w:sz w:val="18"/>
        </w:rPr>
        <w:tab/>
        <w:t>Perry JR, Julian JA, Laperriere NJ, et al. PRODIGE: A randomized placebo-controlled trial of dalteparin low-molecular-weight heparin thromboprophylaxis in patients with newly diagnosed malignant glioma. J Thromb Haemost 2010;8(9):1959–1965.</w:t>
      </w:r>
    </w:p>
    <w:p w14:paraId="41FCD81D"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30. </w:t>
      </w:r>
      <w:r w:rsidRPr="009115A9">
        <w:rPr>
          <w:rFonts w:cs="Calibri"/>
          <w:noProof/>
          <w:sz w:val="18"/>
        </w:rPr>
        <w:tab/>
        <w:t>Lecumberri R, López Vivanco G, Font A, et al. Adjuvant therapy with bemiparin in patients with limited-stage small cell lung cancer: Results from the ABEL study. Thromb Res 2013;132(6):666–670.</w:t>
      </w:r>
    </w:p>
    <w:p w14:paraId="1BFBBA30"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31. </w:t>
      </w:r>
      <w:r w:rsidRPr="009115A9">
        <w:rPr>
          <w:rFonts w:cs="Calibri"/>
          <w:noProof/>
          <w:sz w:val="18"/>
        </w:rPr>
        <w:tab/>
        <w:t>Klerk CPW, Smorenburg SM, Otten HM, et al. The effect of low molecular weight heparin on survival in patients with advanced malignancy. J Clin Oncol 2005;23(10):2130–5.</w:t>
      </w:r>
    </w:p>
    <w:p w14:paraId="23227B43"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32. </w:t>
      </w:r>
      <w:r w:rsidRPr="009115A9">
        <w:rPr>
          <w:rFonts w:cs="Calibri"/>
          <w:noProof/>
          <w:sz w:val="18"/>
        </w:rPr>
        <w:tab/>
        <w:t>van Doormaal FF, Di Nisio M, Otten HM, Richel DJ, Prins M, Buller HR. Randomized trial of the effect of the low molecular weight heparin nadroparin on survival in patients with cancer. J Clin Oncol 2011;29(15):2071–6.</w:t>
      </w:r>
    </w:p>
    <w:p w14:paraId="7CDF792D"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33. </w:t>
      </w:r>
      <w:r w:rsidRPr="009115A9">
        <w:rPr>
          <w:rFonts w:cs="Calibri"/>
          <w:noProof/>
          <w:sz w:val="18"/>
        </w:rPr>
        <w:tab/>
        <w:t>Altinbas M, Coskun HS, Er O, et al. A randomized clinical trial of combination chemotherapy with and without low-molecular-weight heparin in small cell lung cancer. J Thromb Haemost 2004;2(8):1266–71.</w:t>
      </w:r>
    </w:p>
    <w:p w14:paraId="2438AA43"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34. </w:t>
      </w:r>
      <w:r w:rsidRPr="009115A9">
        <w:rPr>
          <w:rFonts w:cs="Calibri"/>
          <w:noProof/>
          <w:sz w:val="18"/>
        </w:rPr>
        <w:tab/>
        <w:t>Lebeau B, Chastang C, Brechot JM, et al. Subcutaneous heparin treatment increases survival in small cell lung cancer. “Petites Cellules” Group. Cancer 1994;74(1):38–45.</w:t>
      </w:r>
    </w:p>
    <w:p w14:paraId="2CE88A02"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35. </w:t>
      </w:r>
      <w:r w:rsidRPr="009115A9">
        <w:rPr>
          <w:rFonts w:cs="Calibri"/>
          <w:noProof/>
          <w:sz w:val="18"/>
        </w:rPr>
        <w:tab/>
        <w:t>Weber C, Merminod T, Herrmann FR, Zulian GB. Prophylactic anti-coagulation in cancer palliative care: a prospective randomised study. Support Care Cancer 2008;16(7):847–52.</w:t>
      </w:r>
    </w:p>
    <w:p w14:paraId="70033502"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36. </w:t>
      </w:r>
      <w:r w:rsidRPr="009115A9">
        <w:rPr>
          <w:rFonts w:cs="Calibri"/>
          <w:noProof/>
          <w:sz w:val="18"/>
        </w:rPr>
        <w:tab/>
        <w:t>Maraveyas A, Waters J, Roy R, et al. Gemcitabine versus gemcitabine plus dalteparin thromboprophylaxis in pancreatic cancer. Eur J Cancer 2012;48(9):1283–1292.</w:t>
      </w:r>
    </w:p>
    <w:p w14:paraId="4615761A"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37. </w:t>
      </w:r>
      <w:r w:rsidRPr="009115A9">
        <w:rPr>
          <w:rFonts w:cs="Calibri"/>
          <w:noProof/>
          <w:sz w:val="18"/>
        </w:rPr>
        <w:tab/>
        <w:t>Schulman S, Kearon C. Definition of major bleeding in clinical investigations of antihemostatic medicinal products in non-surgical patients. J Thromb Haemost 2005;3(4):692–4.</w:t>
      </w:r>
    </w:p>
    <w:p w14:paraId="40609E55"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38. </w:t>
      </w:r>
      <w:r w:rsidRPr="009115A9">
        <w:rPr>
          <w:rFonts w:cs="Calibri"/>
          <w:noProof/>
          <w:sz w:val="18"/>
        </w:rPr>
        <w:tab/>
        <w:t>Khorana AA, O’Connell C, Agnelli G, Liebman HA, Lee AYY, Subcommittee on Hemostasis and Malignancy of the SSC of the ISTH. Incidental venous thromboembolism in oncology patients. J Thromb Haemost 2012;10(12):2602–4.</w:t>
      </w:r>
    </w:p>
    <w:p w14:paraId="55A70961"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39. </w:t>
      </w:r>
      <w:r w:rsidRPr="009115A9">
        <w:rPr>
          <w:rFonts w:cs="Calibri"/>
          <w:noProof/>
          <w:sz w:val="18"/>
        </w:rPr>
        <w:tab/>
        <w:t>Srikanthan A, Tran B, Beausoleil M, et al. Large retroperitoneal lymphadenopathy as a predictor of venous thromboembolism in patients with disseminated germ cell tumors treated with chemotherapy. J Clin Oncol 2015;33(6):582–587.</w:t>
      </w:r>
    </w:p>
    <w:p w14:paraId="041FBAAA"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40. </w:t>
      </w:r>
      <w:r w:rsidRPr="009115A9">
        <w:rPr>
          <w:rFonts w:cs="Calibri"/>
          <w:noProof/>
          <w:sz w:val="18"/>
        </w:rPr>
        <w:tab/>
        <w:t>Ades S, Kumar S, Alam M, et al. Tumor oncogene (KRAS) status and risk of venous thrombosis in patients with metastatic colorectal cancer. J Thromb Haemost 2015;13(6):998–1003.</w:t>
      </w:r>
    </w:p>
    <w:p w14:paraId="5048B8DD"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41. </w:t>
      </w:r>
      <w:r w:rsidRPr="009115A9">
        <w:rPr>
          <w:rFonts w:cs="Calibri"/>
          <w:noProof/>
          <w:sz w:val="18"/>
        </w:rPr>
        <w:tab/>
        <w:t xml:space="preserve">van Es N, Di Nisio M, Cesarman G, et al. Comparison of risk prediction scores for venous thromboembolism in </w:t>
      </w:r>
      <w:r w:rsidRPr="009115A9">
        <w:rPr>
          <w:rFonts w:cs="Calibri"/>
          <w:noProof/>
          <w:sz w:val="18"/>
        </w:rPr>
        <w:lastRenderedPageBreak/>
        <w:t>cancer patients: a prospective cohort study. Haematologica 2017;102(9):1494–1501.</w:t>
      </w:r>
    </w:p>
    <w:p w14:paraId="10E8DD77"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42. </w:t>
      </w:r>
      <w:r w:rsidRPr="009115A9">
        <w:rPr>
          <w:rFonts w:cs="Calibri"/>
          <w:noProof/>
          <w:sz w:val="18"/>
        </w:rPr>
        <w:tab/>
        <w:t>Muñoz Martín AJ, García Alfonso P, Rupérez Blanco AB, Pérez Ramírez S, Blanco Codesido M, Martín Jiménez M. Incidence of venous thromboembolism (VTE) in ambulatory pancreatic cancer patients receiving chemotherapy and analysis of Khorana’s predictive model. Clin Transl Oncol 2014;16(10):927–30.</w:t>
      </w:r>
    </w:p>
    <w:p w14:paraId="5084D647"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43. </w:t>
      </w:r>
      <w:r w:rsidRPr="009115A9">
        <w:rPr>
          <w:rFonts w:cs="Calibri"/>
          <w:noProof/>
          <w:sz w:val="18"/>
        </w:rPr>
        <w:tab/>
        <w:t>Wang Y, Attar BM, Fuentes HE, Yu J, Zhang H, Tafur AJ. Performance of Khorana Risk Score for Prediction of Venous Thromboembolism in Patients With Hepatocellular Carcinoma. Clin Appl Thromb 2017;107602961769908.</w:t>
      </w:r>
    </w:p>
    <w:p w14:paraId="131D368A"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44. </w:t>
      </w:r>
      <w:r w:rsidRPr="009115A9">
        <w:rPr>
          <w:rFonts w:cs="Calibri"/>
          <w:noProof/>
          <w:sz w:val="18"/>
        </w:rPr>
        <w:tab/>
        <w:t>Mansfield AS, Tafur AJ, Wang CE, Kourelis T V., Wysokinska EM, Yang P. Predictors of active cancer thromboembolic outcomes: validation of the Khorana score among patients with lung cancer. J Thromb Haemost 2016;14(9):1773–8.</w:t>
      </w:r>
    </w:p>
    <w:p w14:paraId="62C21051"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45. </w:t>
      </w:r>
      <w:r w:rsidRPr="009115A9">
        <w:rPr>
          <w:rFonts w:cs="Calibri"/>
          <w:noProof/>
          <w:sz w:val="18"/>
        </w:rPr>
        <w:tab/>
        <w:t>Mulder FI, Candeloro M, Kamphuisen PW, et al. The Khorana score for prediction of venous thromboembolism in cancer patients: a systematic review and meta-analysis. Haematologica 2019;104(6):1277–1287.</w:t>
      </w:r>
    </w:p>
    <w:p w14:paraId="49F8D881"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46. </w:t>
      </w:r>
      <w:r w:rsidRPr="009115A9">
        <w:rPr>
          <w:rFonts w:cs="Calibri"/>
          <w:noProof/>
          <w:sz w:val="18"/>
        </w:rPr>
        <w:tab/>
        <w:t>Bleker SM, van Es N, Kleinjan A, et al. Current management strategies and long-term clinical outcomes of upper extremity venous thrombosis. J Thromb Haemost [Epub ahead of print].</w:t>
      </w:r>
    </w:p>
    <w:p w14:paraId="6A96A7F9"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47. </w:t>
      </w:r>
      <w:r w:rsidRPr="009115A9">
        <w:rPr>
          <w:rFonts w:cs="Calibri"/>
          <w:noProof/>
          <w:sz w:val="18"/>
        </w:rPr>
        <w:tab/>
        <w:t>Ay C, Dunkler D, Simanek R, et al. Prediction of venous thromboembolism in patients with cancer by measuring thrombin generation: results from the Vienna Cancer and Thrombosis Study. J Clin Oncol 2011;29(15):2099–103.</w:t>
      </w:r>
    </w:p>
    <w:p w14:paraId="30B6F6DD"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48. </w:t>
      </w:r>
      <w:r w:rsidRPr="009115A9">
        <w:rPr>
          <w:rFonts w:cs="Calibri"/>
          <w:noProof/>
          <w:sz w:val="18"/>
        </w:rPr>
        <w:tab/>
        <w:t>Pelzer U, Sinn M, Stieler J, Riess H. [Primary pharmacological prevention of thromboembolic events in ambulatory patients with advanced pancreatic cancer treated with chemotherapy?]. Dtsch Med Wochenschr 2013;138(41):2084–8.</w:t>
      </w:r>
    </w:p>
    <w:p w14:paraId="76295C57"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49. </w:t>
      </w:r>
      <w:r w:rsidRPr="009115A9">
        <w:rPr>
          <w:rFonts w:cs="Calibri"/>
          <w:noProof/>
          <w:sz w:val="18"/>
        </w:rPr>
        <w:tab/>
        <w:t>Verso M, Agnelli G, Barni S, Gasparini G, LaBianca R. A modified Khorana risk assessment score for venous thromboembolism in cancer patients receiving chemotherapy: the Protecht score. Intern Emerg Med 2012;7(3):291–2.</w:t>
      </w:r>
    </w:p>
    <w:p w14:paraId="2BC87090" w14:textId="77777777" w:rsidR="009115A9" w:rsidRPr="009115A9" w:rsidRDefault="009115A9" w:rsidP="009115A9">
      <w:pPr>
        <w:widowControl w:val="0"/>
        <w:autoSpaceDE w:val="0"/>
        <w:autoSpaceDN w:val="0"/>
        <w:adjustRightInd w:val="0"/>
        <w:ind w:left="640" w:hanging="640"/>
        <w:rPr>
          <w:rFonts w:cs="Calibri"/>
          <w:noProof/>
          <w:sz w:val="18"/>
        </w:rPr>
      </w:pPr>
      <w:r w:rsidRPr="009115A9">
        <w:rPr>
          <w:rFonts w:cs="Calibri"/>
          <w:noProof/>
          <w:sz w:val="18"/>
        </w:rPr>
        <w:t xml:space="preserve">50. </w:t>
      </w:r>
      <w:r w:rsidRPr="009115A9">
        <w:rPr>
          <w:rFonts w:cs="Calibri"/>
          <w:noProof/>
          <w:sz w:val="18"/>
        </w:rPr>
        <w:tab/>
        <w:t>Gerotziafas GT, Taher A, Abdel-Razeq H, et al. A Predictive Score for Thrombosis Associated with Breast, Colorectal, Lung, or Ovarian Cancer: The Prospective COMPASS-Cancer-Associated Thrombosis Study. Oncologist 2017;theoncologist.2016-0414.</w:t>
      </w:r>
    </w:p>
    <w:p w14:paraId="1B20BD81" w14:textId="793DE755" w:rsidR="00645B92" w:rsidRPr="00645B92" w:rsidRDefault="00A75209">
      <w:pPr>
        <w:rPr>
          <w:sz w:val="18"/>
          <w:szCs w:val="18"/>
        </w:rPr>
      </w:pPr>
      <w:r>
        <w:rPr>
          <w:sz w:val="18"/>
          <w:szCs w:val="18"/>
        </w:rPr>
        <w:fldChar w:fldCharType="end"/>
      </w:r>
    </w:p>
    <w:sectPr w:rsidR="00645B92" w:rsidRPr="00645B92" w:rsidSect="00274A08">
      <w:pgSz w:w="11906" w:h="16838"/>
      <w:pgMar w:top="67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A753" w14:textId="77777777" w:rsidR="00E148C9" w:rsidRDefault="00E148C9" w:rsidP="000577F8">
      <w:pPr>
        <w:spacing w:line="240" w:lineRule="auto"/>
      </w:pPr>
      <w:r>
        <w:separator/>
      </w:r>
    </w:p>
  </w:endnote>
  <w:endnote w:type="continuationSeparator" w:id="0">
    <w:p w14:paraId="68549AB1" w14:textId="77777777" w:rsidR="00E148C9" w:rsidRDefault="00E148C9" w:rsidP="00057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758969"/>
      <w:docPartObj>
        <w:docPartGallery w:val="Page Numbers (Bottom of Page)"/>
        <w:docPartUnique/>
      </w:docPartObj>
    </w:sdtPr>
    <w:sdtEndPr>
      <w:rPr>
        <w:noProof/>
      </w:rPr>
    </w:sdtEndPr>
    <w:sdtContent>
      <w:p w14:paraId="7E2C8F23" w14:textId="77777777" w:rsidR="00E752C6" w:rsidRDefault="00E752C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E7C3777" w14:textId="77777777" w:rsidR="00E752C6" w:rsidRDefault="00E7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559C3" w14:textId="77777777" w:rsidR="00E148C9" w:rsidRDefault="00E148C9" w:rsidP="000577F8">
      <w:pPr>
        <w:spacing w:line="240" w:lineRule="auto"/>
      </w:pPr>
      <w:r>
        <w:separator/>
      </w:r>
    </w:p>
  </w:footnote>
  <w:footnote w:type="continuationSeparator" w:id="0">
    <w:p w14:paraId="1C183E21" w14:textId="77777777" w:rsidR="00E148C9" w:rsidRDefault="00E148C9" w:rsidP="000577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1031"/>
    <w:multiLevelType w:val="hybridMultilevel"/>
    <w:tmpl w:val="B5BC7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9A3E83"/>
    <w:multiLevelType w:val="multilevel"/>
    <w:tmpl w:val="F2F8996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035C4C"/>
    <w:multiLevelType w:val="hybridMultilevel"/>
    <w:tmpl w:val="E3908DBC"/>
    <w:lvl w:ilvl="0" w:tplc="04847BAE">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75350A"/>
    <w:multiLevelType w:val="hybridMultilevel"/>
    <w:tmpl w:val="E3908DBC"/>
    <w:lvl w:ilvl="0" w:tplc="04847BAE">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ED4190"/>
    <w:multiLevelType w:val="hybridMultilevel"/>
    <w:tmpl w:val="F3D6F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DF221E"/>
    <w:multiLevelType w:val="multilevel"/>
    <w:tmpl w:val="FAB4670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5"/>
  </w:num>
  <w:num w:numId="3">
    <w:abstractNumId w:val="5"/>
  </w:num>
  <w:num w:numId="4">
    <w:abstractNumId w:val="5"/>
  </w:num>
  <w:num w:numId="5">
    <w:abstractNumId w:val="1"/>
  </w:num>
  <w:num w:numId="6">
    <w:abstractNumId w:val="5"/>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px90rfmasz2re9vwpvwa0r0zefsxzssa0t&quot;&gt;Khorana score references&lt;record-ids&gt;&lt;item&gt;2&lt;/item&gt;&lt;item&gt;8&lt;/item&gt;&lt;item&gt;9&lt;/item&gt;&lt;item&gt;10&lt;/item&gt;&lt;item&gt;12&lt;/item&gt;&lt;item&gt;14&lt;/item&gt;&lt;item&gt;17&lt;/item&gt;&lt;item&gt;18&lt;/item&gt;&lt;item&gt;19&lt;/item&gt;&lt;item&gt;33&lt;/item&gt;&lt;item&gt;34&lt;/item&gt;&lt;item&gt;35&lt;/item&gt;&lt;item&gt;36&lt;/item&gt;&lt;item&gt;37&lt;/item&gt;&lt;item&gt;39&lt;/item&gt;&lt;item&gt;40&lt;/item&gt;&lt;item&gt;41&lt;/item&gt;&lt;item&gt;46&lt;/item&gt;&lt;item&gt;47&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4&lt;/item&gt;&lt;item&gt;75&lt;/item&gt;&lt;item&gt;76&lt;/item&gt;&lt;item&gt;77&lt;/item&gt;&lt;item&gt;78&lt;/item&gt;&lt;item&gt;79&lt;/item&gt;&lt;item&gt;80&lt;/item&gt;&lt;item&gt;81&lt;/item&gt;&lt;item&gt;82&lt;/item&gt;&lt;/record-ids&gt;&lt;/item&gt;&lt;/Libraries&gt;"/>
  </w:docVars>
  <w:rsids>
    <w:rsidRoot w:val="00DE56CB"/>
    <w:rsid w:val="00003082"/>
    <w:rsid w:val="000044D4"/>
    <w:rsid w:val="00005E06"/>
    <w:rsid w:val="000104DF"/>
    <w:rsid w:val="000134A7"/>
    <w:rsid w:val="000142DA"/>
    <w:rsid w:val="0001483D"/>
    <w:rsid w:val="00014F2F"/>
    <w:rsid w:val="00016BAC"/>
    <w:rsid w:val="00016E1F"/>
    <w:rsid w:val="00017503"/>
    <w:rsid w:val="00021765"/>
    <w:rsid w:val="00025EE2"/>
    <w:rsid w:val="00035C98"/>
    <w:rsid w:val="00040A59"/>
    <w:rsid w:val="0005359C"/>
    <w:rsid w:val="0005671F"/>
    <w:rsid w:val="000572CD"/>
    <w:rsid w:val="000577F8"/>
    <w:rsid w:val="00057C1B"/>
    <w:rsid w:val="0006167F"/>
    <w:rsid w:val="00062E6E"/>
    <w:rsid w:val="00064A31"/>
    <w:rsid w:val="00065DD2"/>
    <w:rsid w:val="000713FE"/>
    <w:rsid w:val="00074170"/>
    <w:rsid w:val="0007732F"/>
    <w:rsid w:val="00080493"/>
    <w:rsid w:val="00086015"/>
    <w:rsid w:val="00086791"/>
    <w:rsid w:val="00093ED2"/>
    <w:rsid w:val="00094CD6"/>
    <w:rsid w:val="000A226D"/>
    <w:rsid w:val="000B0A6C"/>
    <w:rsid w:val="000B2708"/>
    <w:rsid w:val="000B4BB3"/>
    <w:rsid w:val="000B4F7C"/>
    <w:rsid w:val="000B61D6"/>
    <w:rsid w:val="000B6C24"/>
    <w:rsid w:val="000B7AEE"/>
    <w:rsid w:val="000C12BE"/>
    <w:rsid w:val="000C1CD6"/>
    <w:rsid w:val="000C2558"/>
    <w:rsid w:val="000C43CF"/>
    <w:rsid w:val="000C5296"/>
    <w:rsid w:val="000C6D2F"/>
    <w:rsid w:val="000C6EC2"/>
    <w:rsid w:val="000C7847"/>
    <w:rsid w:val="000D1599"/>
    <w:rsid w:val="000D2A3D"/>
    <w:rsid w:val="000D4FA5"/>
    <w:rsid w:val="000D735A"/>
    <w:rsid w:val="000D7738"/>
    <w:rsid w:val="000E021A"/>
    <w:rsid w:val="000E12CD"/>
    <w:rsid w:val="000E1AAC"/>
    <w:rsid w:val="000E1EF8"/>
    <w:rsid w:val="000E25EE"/>
    <w:rsid w:val="000E2A21"/>
    <w:rsid w:val="000E2A3F"/>
    <w:rsid w:val="000E35B4"/>
    <w:rsid w:val="000E5D10"/>
    <w:rsid w:val="000E639C"/>
    <w:rsid w:val="000F507B"/>
    <w:rsid w:val="000F6D67"/>
    <w:rsid w:val="00103461"/>
    <w:rsid w:val="00103A18"/>
    <w:rsid w:val="00103A4D"/>
    <w:rsid w:val="001051AB"/>
    <w:rsid w:val="00106682"/>
    <w:rsid w:val="00106BA7"/>
    <w:rsid w:val="00107BC7"/>
    <w:rsid w:val="0011104F"/>
    <w:rsid w:val="00112972"/>
    <w:rsid w:val="00113CE8"/>
    <w:rsid w:val="001159B2"/>
    <w:rsid w:val="00115E23"/>
    <w:rsid w:val="001164E5"/>
    <w:rsid w:val="001174C2"/>
    <w:rsid w:val="00121925"/>
    <w:rsid w:val="00122680"/>
    <w:rsid w:val="001239E9"/>
    <w:rsid w:val="001256D3"/>
    <w:rsid w:val="00134455"/>
    <w:rsid w:val="00136189"/>
    <w:rsid w:val="00136328"/>
    <w:rsid w:val="00136A93"/>
    <w:rsid w:val="00136E3F"/>
    <w:rsid w:val="001446C2"/>
    <w:rsid w:val="001450F1"/>
    <w:rsid w:val="00151465"/>
    <w:rsid w:val="001515D0"/>
    <w:rsid w:val="001552DE"/>
    <w:rsid w:val="00155494"/>
    <w:rsid w:val="00156905"/>
    <w:rsid w:val="00160BD5"/>
    <w:rsid w:val="0016284E"/>
    <w:rsid w:val="00162A72"/>
    <w:rsid w:val="00164360"/>
    <w:rsid w:val="00164720"/>
    <w:rsid w:val="001676F1"/>
    <w:rsid w:val="001678E0"/>
    <w:rsid w:val="00170B79"/>
    <w:rsid w:val="00177916"/>
    <w:rsid w:val="0018238F"/>
    <w:rsid w:val="00182584"/>
    <w:rsid w:val="00182D9F"/>
    <w:rsid w:val="00184D4A"/>
    <w:rsid w:val="00187754"/>
    <w:rsid w:val="0019112B"/>
    <w:rsid w:val="00191446"/>
    <w:rsid w:val="00195FF4"/>
    <w:rsid w:val="00196A6F"/>
    <w:rsid w:val="00197CB6"/>
    <w:rsid w:val="001A046E"/>
    <w:rsid w:val="001A052D"/>
    <w:rsid w:val="001A19EB"/>
    <w:rsid w:val="001A20E2"/>
    <w:rsid w:val="001A6A97"/>
    <w:rsid w:val="001A6B29"/>
    <w:rsid w:val="001B32DC"/>
    <w:rsid w:val="001B45C6"/>
    <w:rsid w:val="001C3C4C"/>
    <w:rsid w:val="001C4DFD"/>
    <w:rsid w:val="001D5852"/>
    <w:rsid w:val="001E03CB"/>
    <w:rsid w:val="001E0DC9"/>
    <w:rsid w:val="001E0E81"/>
    <w:rsid w:val="001E1751"/>
    <w:rsid w:val="001E243D"/>
    <w:rsid w:val="001E45DB"/>
    <w:rsid w:val="001E4FE3"/>
    <w:rsid w:val="001E73B3"/>
    <w:rsid w:val="001F098C"/>
    <w:rsid w:val="001F1E59"/>
    <w:rsid w:val="001F57C8"/>
    <w:rsid w:val="001F628F"/>
    <w:rsid w:val="001F76CA"/>
    <w:rsid w:val="00202FDB"/>
    <w:rsid w:val="00204EC4"/>
    <w:rsid w:val="002063F5"/>
    <w:rsid w:val="0021105B"/>
    <w:rsid w:val="00211292"/>
    <w:rsid w:val="00211CBA"/>
    <w:rsid w:val="002123E0"/>
    <w:rsid w:val="0021394E"/>
    <w:rsid w:val="00214F50"/>
    <w:rsid w:val="002152B3"/>
    <w:rsid w:val="0021682A"/>
    <w:rsid w:val="00217481"/>
    <w:rsid w:val="002177AB"/>
    <w:rsid w:val="00222FB6"/>
    <w:rsid w:val="00224EEB"/>
    <w:rsid w:val="00233BCB"/>
    <w:rsid w:val="002361C7"/>
    <w:rsid w:val="00236687"/>
    <w:rsid w:val="00242AF5"/>
    <w:rsid w:val="002434FE"/>
    <w:rsid w:val="00246E4E"/>
    <w:rsid w:val="00251ECC"/>
    <w:rsid w:val="00251FEE"/>
    <w:rsid w:val="00252EBE"/>
    <w:rsid w:val="00254825"/>
    <w:rsid w:val="00257AA4"/>
    <w:rsid w:val="00261B28"/>
    <w:rsid w:val="00261F6D"/>
    <w:rsid w:val="00263424"/>
    <w:rsid w:val="00265DCD"/>
    <w:rsid w:val="00266B93"/>
    <w:rsid w:val="00266C44"/>
    <w:rsid w:val="002710BE"/>
    <w:rsid w:val="00271909"/>
    <w:rsid w:val="00274A08"/>
    <w:rsid w:val="00275B76"/>
    <w:rsid w:val="002771E4"/>
    <w:rsid w:val="0028122D"/>
    <w:rsid w:val="0028361A"/>
    <w:rsid w:val="0028401D"/>
    <w:rsid w:val="00284A43"/>
    <w:rsid w:val="00285B3A"/>
    <w:rsid w:val="00286055"/>
    <w:rsid w:val="00286770"/>
    <w:rsid w:val="0029062D"/>
    <w:rsid w:val="002931B8"/>
    <w:rsid w:val="00295597"/>
    <w:rsid w:val="0029603C"/>
    <w:rsid w:val="002963A4"/>
    <w:rsid w:val="002A088D"/>
    <w:rsid w:val="002A1EC5"/>
    <w:rsid w:val="002A4DBD"/>
    <w:rsid w:val="002B0950"/>
    <w:rsid w:val="002B1786"/>
    <w:rsid w:val="002B2074"/>
    <w:rsid w:val="002B2347"/>
    <w:rsid w:val="002B3F07"/>
    <w:rsid w:val="002B72A0"/>
    <w:rsid w:val="002B7B49"/>
    <w:rsid w:val="002C0D37"/>
    <w:rsid w:val="002C14F1"/>
    <w:rsid w:val="002C2108"/>
    <w:rsid w:val="002C2E1B"/>
    <w:rsid w:val="002C4431"/>
    <w:rsid w:val="002C4517"/>
    <w:rsid w:val="002C53BE"/>
    <w:rsid w:val="002C7B0F"/>
    <w:rsid w:val="002D0402"/>
    <w:rsid w:val="002D0E36"/>
    <w:rsid w:val="002D0EDF"/>
    <w:rsid w:val="002D39D9"/>
    <w:rsid w:val="002D3CFB"/>
    <w:rsid w:val="002D53DD"/>
    <w:rsid w:val="002E2CD4"/>
    <w:rsid w:val="002E519D"/>
    <w:rsid w:val="002E59CA"/>
    <w:rsid w:val="002F1743"/>
    <w:rsid w:val="002F239A"/>
    <w:rsid w:val="002F2847"/>
    <w:rsid w:val="002F2DF6"/>
    <w:rsid w:val="002F3CB2"/>
    <w:rsid w:val="002F79B0"/>
    <w:rsid w:val="00303066"/>
    <w:rsid w:val="0030447D"/>
    <w:rsid w:val="00305FAF"/>
    <w:rsid w:val="00307AEC"/>
    <w:rsid w:val="003105C7"/>
    <w:rsid w:val="00314082"/>
    <w:rsid w:val="00314A72"/>
    <w:rsid w:val="00314D5B"/>
    <w:rsid w:val="00315982"/>
    <w:rsid w:val="00322485"/>
    <w:rsid w:val="003234FF"/>
    <w:rsid w:val="00331443"/>
    <w:rsid w:val="003320F2"/>
    <w:rsid w:val="003335D7"/>
    <w:rsid w:val="003343C7"/>
    <w:rsid w:val="00337398"/>
    <w:rsid w:val="00337794"/>
    <w:rsid w:val="00342F7A"/>
    <w:rsid w:val="0034351F"/>
    <w:rsid w:val="0034375A"/>
    <w:rsid w:val="00343CC0"/>
    <w:rsid w:val="00345632"/>
    <w:rsid w:val="003528D5"/>
    <w:rsid w:val="00357AA7"/>
    <w:rsid w:val="003621C6"/>
    <w:rsid w:val="003630E0"/>
    <w:rsid w:val="00363190"/>
    <w:rsid w:val="00363471"/>
    <w:rsid w:val="003641B8"/>
    <w:rsid w:val="00377737"/>
    <w:rsid w:val="00390DB5"/>
    <w:rsid w:val="00393ADB"/>
    <w:rsid w:val="003A0A4D"/>
    <w:rsid w:val="003A4CC2"/>
    <w:rsid w:val="003A50C1"/>
    <w:rsid w:val="003A5E92"/>
    <w:rsid w:val="003B2376"/>
    <w:rsid w:val="003C02CD"/>
    <w:rsid w:val="003C29DE"/>
    <w:rsid w:val="003C36FA"/>
    <w:rsid w:val="003C39F9"/>
    <w:rsid w:val="003D763B"/>
    <w:rsid w:val="003E206A"/>
    <w:rsid w:val="003E2AAC"/>
    <w:rsid w:val="003E3080"/>
    <w:rsid w:val="003E3A18"/>
    <w:rsid w:val="003E4474"/>
    <w:rsid w:val="003E7A6B"/>
    <w:rsid w:val="003E7BE2"/>
    <w:rsid w:val="003F2B85"/>
    <w:rsid w:val="003F2E40"/>
    <w:rsid w:val="003F3F02"/>
    <w:rsid w:val="003F4682"/>
    <w:rsid w:val="003F4E6B"/>
    <w:rsid w:val="003F4EFA"/>
    <w:rsid w:val="003F5241"/>
    <w:rsid w:val="00404FF8"/>
    <w:rsid w:val="00406500"/>
    <w:rsid w:val="00406F13"/>
    <w:rsid w:val="00411167"/>
    <w:rsid w:val="00412CF2"/>
    <w:rsid w:val="004202E1"/>
    <w:rsid w:val="004214B5"/>
    <w:rsid w:val="004220EA"/>
    <w:rsid w:val="004274B6"/>
    <w:rsid w:val="00430CC8"/>
    <w:rsid w:val="00432503"/>
    <w:rsid w:val="00434D84"/>
    <w:rsid w:val="00440AED"/>
    <w:rsid w:val="004415B0"/>
    <w:rsid w:val="00441CA9"/>
    <w:rsid w:val="004452D2"/>
    <w:rsid w:val="004459B4"/>
    <w:rsid w:val="00446352"/>
    <w:rsid w:val="0044643E"/>
    <w:rsid w:val="004473E0"/>
    <w:rsid w:val="004505D0"/>
    <w:rsid w:val="00451639"/>
    <w:rsid w:val="004517A1"/>
    <w:rsid w:val="00454445"/>
    <w:rsid w:val="00454B24"/>
    <w:rsid w:val="00456A10"/>
    <w:rsid w:val="00457E74"/>
    <w:rsid w:val="00457ECD"/>
    <w:rsid w:val="00460589"/>
    <w:rsid w:val="004613BD"/>
    <w:rsid w:val="0046639A"/>
    <w:rsid w:val="004663BF"/>
    <w:rsid w:val="00467008"/>
    <w:rsid w:val="00471218"/>
    <w:rsid w:val="00472CA8"/>
    <w:rsid w:val="00473156"/>
    <w:rsid w:val="00474409"/>
    <w:rsid w:val="0047478F"/>
    <w:rsid w:val="00474F48"/>
    <w:rsid w:val="0047590F"/>
    <w:rsid w:val="004772EE"/>
    <w:rsid w:val="004821E6"/>
    <w:rsid w:val="004829E7"/>
    <w:rsid w:val="00484C64"/>
    <w:rsid w:val="004850E2"/>
    <w:rsid w:val="004905F7"/>
    <w:rsid w:val="00491B30"/>
    <w:rsid w:val="00492CA8"/>
    <w:rsid w:val="00495326"/>
    <w:rsid w:val="004956F8"/>
    <w:rsid w:val="004A03E6"/>
    <w:rsid w:val="004A2B30"/>
    <w:rsid w:val="004A571E"/>
    <w:rsid w:val="004A5BA1"/>
    <w:rsid w:val="004A62C7"/>
    <w:rsid w:val="004A6A68"/>
    <w:rsid w:val="004A7031"/>
    <w:rsid w:val="004B22B3"/>
    <w:rsid w:val="004C1571"/>
    <w:rsid w:val="004C1BA0"/>
    <w:rsid w:val="004C1E0B"/>
    <w:rsid w:val="004C6C46"/>
    <w:rsid w:val="004D10A2"/>
    <w:rsid w:val="004D2B56"/>
    <w:rsid w:val="004D3F01"/>
    <w:rsid w:val="004D45E3"/>
    <w:rsid w:val="004D6308"/>
    <w:rsid w:val="004E0312"/>
    <w:rsid w:val="004E39D7"/>
    <w:rsid w:val="004E42E9"/>
    <w:rsid w:val="004E48C4"/>
    <w:rsid w:val="004E6C6A"/>
    <w:rsid w:val="004F0678"/>
    <w:rsid w:val="004F07F1"/>
    <w:rsid w:val="004F2EE0"/>
    <w:rsid w:val="004F3B14"/>
    <w:rsid w:val="004F4DF8"/>
    <w:rsid w:val="005010E8"/>
    <w:rsid w:val="005013C1"/>
    <w:rsid w:val="0050175B"/>
    <w:rsid w:val="00503980"/>
    <w:rsid w:val="00512029"/>
    <w:rsid w:val="00517CB5"/>
    <w:rsid w:val="00520F25"/>
    <w:rsid w:val="00522655"/>
    <w:rsid w:val="00523D63"/>
    <w:rsid w:val="00524A1E"/>
    <w:rsid w:val="005254E1"/>
    <w:rsid w:val="005304EB"/>
    <w:rsid w:val="00533984"/>
    <w:rsid w:val="00533DCA"/>
    <w:rsid w:val="005364A0"/>
    <w:rsid w:val="00537DB3"/>
    <w:rsid w:val="00540DF3"/>
    <w:rsid w:val="005416FC"/>
    <w:rsid w:val="005419A0"/>
    <w:rsid w:val="00542F39"/>
    <w:rsid w:val="0054399D"/>
    <w:rsid w:val="00543EBA"/>
    <w:rsid w:val="0054621D"/>
    <w:rsid w:val="00546C21"/>
    <w:rsid w:val="00550459"/>
    <w:rsid w:val="005540AF"/>
    <w:rsid w:val="00556D80"/>
    <w:rsid w:val="005615F6"/>
    <w:rsid w:val="00563B7E"/>
    <w:rsid w:val="005732F8"/>
    <w:rsid w:val="00575BCC"/>
    <w:rsid w:val="00576091"/>
    <w:rsid w:val="005775AE"/>
    <w:rsid w:val="00580E2B"/>
    <w:rsid w:val="0058153F"/>
    <w:rsid w:val="00581A14"/>
    <w:rsid w:val="005939B6"/>
    <w:rsid w:val="005A38E8"/>
    <w:rsid w:val="005A7A83"/>
    <w:rsid w:val="005B01A1"/>
    <w:rsid w:val="005B461F"/>
    <w:rsid w:val="005B48D7"/>
    <w:rsid w:val="005B4B6B"/>
    <w:rsid w:val="005B5324"/>
    <w:rsid w:val="005B7859"/>
    <w:rsid w:val="005C121C"/>
    <w:rsid w:val="005C201E"/>
    <w:rsid w:val="005D0034"/>
    <w:rsid w:val="005D1203"/>
    <w:rsid w:val="005D5CA4"/>
    <w:rsid w:val="005D72E0"/>
    <w:rsid w:val="005E2737"/>
    <w:rsid w:val="005E4C9C"/>
    <w:rsid w:val="0060078B"/>
    <w:rsid w:val="00601B06"/>
    <w:rsid w:val="00602C15"/>
    <w:rsid w:val="006049D3"/>
    <w:rsid w:val="00605DE9"/>
    <w:rsid w:val="00607C23"/>
    <w:rsid w:val="00611CEF"/>
    <w:rsid w:val="00613EFB"/>
    <w:rsid w:val="0061421E"/>
    <w:rsid w:val="006168CA"/>
    <w:rsid w:val="00616CD9"/>
    <w:rsid w:val="006174FB"/>
    <w:rsid w:val="006177D7"/>
    <w:rsid w:val="00623688"/>
    <w:rsid w:val="00624CC2"/>
    <w:rsid w:val="00631C3D"/>
    <w:rsid w:val="006332C5"/>
    <w:rsid w:val="00637853"/>
    <w:rsid w:val="00641F6C"/>
    <w:rsid w:val="006431D3"/>
    <w:rsid w:val="00645B92"/>
    <w:rsid w:val="0064660B"/>
    <w:rsid w:val="00646BAE"/>
    <w:rsid w:val="00646E81"/>
    <w:rsid w:val="00653F4F"/>
    <w:rsid w:val="00667F88"/>
    <w:rsid w:val="0067073D"/>
    <w:rsid w:val="00671A94"/>
    <w:rsid w:val="00672600"/>
    <w:rsid w:val="006761B8"/>
    <w:rsid w:val="00676421"/>
    <w:rsid w:val="006803D9"/>
    <w:rsid w:val="00683027"/>
    <w:rsid w:val="00687200"/>
    <w:rsid w:val="00696D59"/>
    <w:rsid w:val="006972CC"/>
    <w:rsid w:val="006A16D3"/>
    <w:rsid w:val="006A58BB"/>
    <w:rsid w:val="006A6459"/>
    <w:rsid w:val="006B55B0"/>
    <w:rsid w:val="006C0264"/>
    <w:rsid w:val="006C12D9"/>
    <w:rsid w:val="006C1994"/>
    <w:rsid w:val="006D6A5C"/>
    <w:rsid w:val="006D7E87"/>
    <w:rsid w:val="006E3FC3"/>
    <w:rsid w:val="006E62EF"/>
    <w:rsid w:val="006E7AC6"/>
    <w:rsid w:val="006F1968"/>
    <w:rsid w:val="006F4FAD"/>
    <w:rsid w:val="006F66A3"/>
    <w:rsid w:val="006F6A75"/>
    <w:rsid w:val="0070422F"/>
    <w:rsid w:val="007049CF"/>
    <w:rsid w:val="00704B50"/>
    <w:rsid w:val="0070738E"/>
    <w:rsid w:val="00712524"/>
    <w:rsid w:val="00712692"/>
    <w:rsid w:val="00712EE2"/>
    <w:rsid w:val="00713BF0"/>
    <w:rsid w:val="00714B8D"/>
    <w:rsid w:val="00714CF0"/>
    <w:rsid w:val="00716C76"/>
    <w:rsid w:val="007179E9"/>
    <w:rsid w:val="007210A2"/>
    <w:rsid w:val="007252AD"/>
    <w:rsid w:val="0073008E"/>
    <w:rsid w:val="00730C78"/>
    <w:rsid w:val="00731327"/>
    <w:rsid w:val="007375FA"/>
    <w:rsid w:val="0074006D"/>
    <w:rsid w:val="007424AF"/>
    <w:rsid w:val="007436DF"/>
    <w:rsid w:val="007443CB"/>
    <w:rsid w:val="00746F1B"/>
    <w:rsid w:val="0074753C"/>
    <w:rsid w:val="007502B6"/>
    <w:rsid w:val="00750AD8"/>
    <w:rsid w:val="00754022"/>
    <w:rsid w:val="007635F8"/>
    <w:rsid w:val="00765BFB"/>
    <w:rsid w:val="007676BE"/>
    <w:rsid w:val="007704FD"/>
    <w:rsid w:val="007764BA"/>
    <w:rsid w:val="007770B2"/>
    <w:rsid w:val="00780086"/>
    <w:rsid w:val="0078077C"/>
    <w:rsid w:val="00780F7B"/>
    <w:rsid w:val="00781D0B"/>
    <w:rsid w:val="00783B77"/>
    <w:rsid w:val="0078427B"/>
    <w:rsid w:val="007854BD"/>
    <w:rsid w:val="00785D7D"/>
    <w:rsid w:val="00790642"/>
    <w:rsid w:val="00791A02"/>
    <w:rsid w:val="0079505F"/>
    <w:rsid w:val="00797807"/>
    <w:rsid w:val="007A02D2"/>
    <w:rsid w:val="007A2D80"/>
    <w:rsid w:val="007A3846"/>
    <w:rsid w:val="007A7033"/>
    <w:rsid w:val="007B1F47"/>
    <w:rsid w:val="007B2424"/>
    <w:rsid w:val="007B42D1"/>
    <w:rsid w:val="007B5333"/>
    <w:rsid w:val="007B5B43"/>
    <w:rsid w:val="007C5D9B"/>
    <w:rsid w:val="007C6FFC"/>
    <w:rsid w:val="007D6AE3"/>
    <w:rsid w:val="007D6E88"/>
    <w:rsid w:val="007D71E0"/>
    <w:rsid w:val="007E27DE"/>
    <w:rsid w:val="007E5235"/>
    <w:rsid w:val="007E5F29"/>
    <w:rsid w:val="007F1745"/>
    <w:rsid w:val="007F2118"/>
    <w:rsid w:val="007F2C6D"/>
    <w:rsid w:val="007F5A87"/>
    <w:rsid w:val="007F72C2"/>
    <w:rsid w:val="00801BC6"/>
    <w:rsid w:val="00803EEA"/>
    <w:rsid w:val="00806106"/>
    <w:rsid w:val="00806F73"/>
    <w:rsid w:val="0081473B"/>
    <w:rsid w:val="00820591"/>
    <w:rsid w:val="00821282"/>
    <w:rsid w:val="00821552"/>
    <w:rsid w:val="00822674"/>
    <w:rsid w:val="00822917"/>
    <w:rsid w:val="00825822"/>
    <w:rsid w:val="00833F33"/>
    <w:rsid w:val="00837400"/>
    <w:rsid w:val="00843846"/>
    <w:rsid w:val="00852D56"/>
    <w:rsid w:val="00855A38"/>
    <w:rsid w:val="00857E0B"/>
    <w:rsid w:val="00860029"/>
    <w:rsid w:val="00860C8F"/>
    <w:rsid w:val="00861A04"/>
    <w:rsid w:val="00864639"/>
    <w:rsid w:val="008704C5"/>
    <w:rsid w:val="008710EF"/>
    <w:rsid w:val="0087156F"/>
    <w:rsid w:val="008732F7"/>
    <w:rsid w:val="008734F7"/>
    <w:rsid w:val="00874772"/>
    <w:rsid w:val="00874A11"/>
    <w:rsid w:val="00874FFB"/>
    <w:rsid w:val="00876AD1"/>
    <w:rsid w:val="00877D61"/>
    <w:rsid w:val="0088031D"/>
    <w:rsid w:val="0088185D"/>
    <w:rsid w:val="00886830"/>
    <w:rsid w:val="008926C0"/>
    <w:rsid w:val="00892B26"/>
    <w:rsid w:val="008A3152"/>
    <w:rsid w:val="008A3397"/>
    <w:rsid w:val="008A4D70"/>
    <w:rsid w:val="008A5722"/>
    <w:rsid w:val="008B01E6"/>
    <w:rsid w:val="008B0392"/>
    <w:rsid w:val="008B1B97"/>
    <w:rsid w:val="008B47AA"/>
    <w:rsid w:val="008B6675"/>
    <w:rsid w:val="008C56D2"/>
    <w:rsid w:val="008D04AC"/>
    <w:rsid w:val="008D0DC9"/>
    <w:rsid w:val="008D27FE"/>
    <w:rsid w:val="008D7EE4"/>
    <w:rsid w:val="008E03E1"/>
    <w:rsid w:val="008E12F8"/>
    <w:rsid w:val="008E1D7D"/>
    <w:rsid w:val="008E50B0"/>
    <w:rsid w:val="008E6198"/>
    <w:rsid w:val="008E73A3"/>
    <w:rsid w:val="008F11CA"/>
    <w:rsid w:val="008F4EB2"/>
    <w:rsid w:val="008F582D"/>
    <w:rsid w:val="00900008"/>
    <w:rsid w:val="00900C0D"/>
    <w:rsid w:val="009054E8"/>
    <w:rsid w:val="00906072"/>
    <w:rsid w:val="00906FC1"/>
    <w:rsid w:val="009077B6"/>
    <w:rsid w:val="009115A9"/>
    <w:rsid w:val="009127CB"/>
    <w:rsid w:val="00913757"/>
    <w:rsid w:val="00913A8A"/>
    <w:rsid w:val="009162CE"/>
    <w:rsid w:val="00920EE9"/>
    <w:rsid w:val="009217B1"/>
    <w:rsid w:val="00923001"/>
    <w:rsid w:val="00925C59"/>
    <w:rsid w:val="009267F7"/>
    <w:rsid w:val="00926F0A"/>
    <w:rsid w:val="0092742B"/>
    <w:rsid w:val="0093275F"/>
    <w:rsid w:val="009378BC"/>
    <w:rsid w:val="009409F8"/>
    <w:rsid w:val="009410F9"/>
    <w:rsid w:val="00941148"/>
    <w:rsid w:val="009427B9"/>
    <w:rsid w:val="00953105"/>
    <w:rsid w:val="009542E8"/>
    <w:rsid w:val="00955A47"/>
    <w:rsid w:val="00956211"/>
    <w:rsid w:val="009656A1"/>
    <w:rsid w:val="009659F0"/>
    <w:rsid w:val="00966A2E"/>
    <w:rsid w:val="00970D73"/>
    <w:rsid w:val="009719CD"/>
    <w:rsid w:val="00971C3A"/>
    <w:rsid w:val="00973EB3"/>
    <w:rsid w:val="00974579"/>
    <w:rsid w:val="00980B2B"/>
    <w:rsid w:val="00983267"/>
    <w:rsid w:val="0098576F"/>
    <w:rsid w:val="00985879"/>
    <w:rsid w:val="00986FB9"/>
    <w:rsid w:val="00987088"/>
    <w:rsid w:val="0099021B"/>
    <w:rsid w:val="009916EF"/>
    <w:rsid w:val="0099433A"/>
    <w:rsid w:val="00994702"/>
    <w:rsid w:val="009A2444"/>
    <w:rsid w:val="009A2DAB"/>
    <w:rsid w:val="009A4527"/>
    <w:rsid w:val="009B0852"/>
    <w:rsid w:val="009B6BEA"/>
    <w:rsid w:val="009C00C9"/>
    <w:rsid w:val="009C0232"/>
    <w:rsid w:val="009C59C0"/>
    <w:rsid w:val="009D2C85"/>
    <w:rsid w:val="009D45ED"/>
    <w:rsid w:val="009D5372"/>
    <w:rsid w:val="009D6FFB"/>
    <w:rsid w:val="009E0B97"/>
    <w:rsid w:val="009E1327"/>
    <w:rsid w:val="009E2CA7"/>
    <w:rsid w:val="009E32BE"/>
    <w:rsid w:val="009E4D56"/>
    <w:rsid w:val="009E7AFA"/>
    <w:rsid w:val="009E7B7D"/>
    <w:rsid w:val="009F69D6"/>
    <w:rsid w:val="009F760C"/>
    <w:rsid w:val="009F7868"/>
    <w:rsid w:val="00A00215"/>
    <w:rsid w:val="00A003A1"/>
    <w:rsid w:val="00A033BB"/>
    <w:rsid w:val="00A042B0"/>
    <w:rsid w:val="00A10E25"/>
    <w:rsid w:val="00A11632"/>
    <w:rsid w:val="00A12D18"/>
    <w:rsid w:val="00A13D7F"/>
    <w:rsid w:val="00A13FEE"/>
    <w:rsid w:val="00A15F7D"/>
    <w:rsid w:val="00A24139"/>
    <w:rsid w:val="00A269E3"/>
    <w:rsid w:val="00A32890"/>
    <w:rsid w:val="00A33A92"/>
    <w:rsid w:val="00A36892"/>
    <w:rsid w:val="00A436E6"/>
    <w:rsid w:val="00A439BB"/>
    <w:rsid w:val="00A467A5"/>
    <w:rsid w:val="00A51E99"/>
    <w:rsid w:val="00A5537F"/>
    <w:rsid w:val="00A60134"/>
    <w:rsid w:val="00A60D65"/>
    <w:rsid w:val="00A611BB"/>
    <w:rsid w:val="00A621B4"/>
    <w:rsid w:val="00A64E30"/>
    <w:rsid w:val="00A67818"/>
    <w:rsid w:val="00A72A32"/>
    <w:rsid w:val="00A75209"/>
    <w:rsid w:val="00A75864"/>
    <w:rsid w:val="00A7730F"/>
    <w:rsid w:val="00A77C8E"/>
    <w:rsid w:val="00A810F9"/>
    <w:rsid w:val="00A82AFA"/>
    <w:rsid w:val="00A86D62"/>
    <w:rsid w:val="00A932D3"/>
    <w:rsid w:val="00A93D99"/>
    <w:rsid w:val="00A93F2B"/>
    <w:rsid w:val="00A94DD9"/>
    <w:rsid w:val="00AA1777"/>
    <w:rsid w:val="00AA24AB"/>
    <w:rsid w:val="00AB5EB6"/>
    <w:rsid w:val="00AB6679"/>
    <w:rsid w:val="00AC5A96"/>
    <w:rsid w:val="00AC6071"/>
    <w:rsid w:val="00AC6329"/>
    <w:rsid w:val="00AC741D"/>
    <w:rsid w:val="00AC7740"/>
    <w:rsid w:val="00AD1133"/>
    <w:rsid w:val="00AD3F8E"/>
    <w:rsid w:val="00AD5BDB"/>
    <w:rsid w:val="00AD6901"/>
    <w:rsid w:val="00AD6DFC"/>
    <w:rsid w:val="00AD79F0"/>
    <w:rsid w:val="00AE1E6B"/>
    <w:rsid w:val="00AE2F56"/>
    <w:rsid w:val="00AE45D9"/>
    <w:rsid w:val="00AE55D9"/>
    <w:rsid w:val="00AF0CE1"/>
    <w:rsid w:val="00AF2B9D"/>
    <w:rsid w:val="00AF4E64"/>
    <w:rsid w:val="00AF55E0"/>
    <w:rsid w:val="00B00CA9"/>
    <w:rsid w:val="00B01683"/>
    <w:rsid w:val="00B017B7"/>
    <w:rsid w:val="00B033FC"/>
    <w:rsid w:val="00B0791B"/>
    <w:rsid w:val="00B10DE7"/>
    <w:rsid w:val="00B11598"/>
    <w:rsid w:val="00B12052"/>
    <w:rsid w:val="00B12357"/>
    <w:rsid w:val="00B124C6"/>
    <w:rsid w:val="00B15261"/>
    <w:rsid w:val="00B22FA0"/>
    <w:rsid w:val="00B24001"/>
    <w:rsid w:val="00B24935"/>
    <w:rsid w:val="00B254F9"/>
    <w:rsid w:val="00B27418"/>
    <w:rsid w:val="00B27F12"/>
    <w:rsid w:val="00B31EBC"/>
    <w:rsid w:val="00B32F18"/>
    <w:rsid w:val="00B338EB"/>
    <w:rsid w:val="00B359E1"/>
    <w:rsid w:val="00B417AF"/>
    <w:rsid w:val="00B43690"/>
    <w:rsid w:val="00B437A0"/>
    <w:rsid w:val="00B43CB3"/>
    <w:rsid w:val="00B46093"/>
    <w:rsid w:val="00B5295F"/>
    <w:rsid w:val="00B54BD9"/>
    <w:rsid w:val="00B54CB5"/>
    <w:rsid w:val="00B55F5F"/>
    <w:rsid w:val="00B56B71"/>
    <w:rsid w:val="00B602AD"/>
    <w:rsid w:val="00B6142D"/>
    <w:rsid w:val="00B61DAC"/>
    <w:rsid w:val="00B643B2"/>
    <w:rsid w:val="00B67238"/>
    <w:rsid w:val="00B7028E"/>
    <w:rsid w:val="00B7140D"/>
    <w:rsid w:val="00B813D2"/>
    <w:rsid w:val="00B81AEB"/>
    <w:rsid w:val="00B84AF5"/>
    <w:rsid w:val="00B86B02"/>
    <w:rsid w:val="00B87100"/>
    <w:rsid w:val="00B914F1"/>
    <w:rsid w:val="00B94E07"/>
    <w:rsid w:val="00B96B6A"/>
    <w:rsid w:val="00B9700F"/>
    <w:rsid w:val="00BA066F"/>
    <w:rsid w:val="00BA19EB"/>
    <w:rsid w:val="00BA308A"/>
    <w:rsid w:val="00BA3481"/>
    <w:rsid w:val="00BA3CE6"/>
    <w:rsid w:val="00BA66AC"/>
    <w:rsid w:val="00BB1873"/>
    <w:rsid w:val="00BB1AE3"/>
    <w:rsid w:val="00BB49EE"/>
    <w:rsid w:val="00BB665B"/>
    <w:rsid w:val="00BB6BB2"/>
    <w:rsid w:val="00BB7A85"/>
    <w:rsid w:val="00BC0C5C"/>
    <w:rsid w:val="00BC22F2"/>
    <w:rsid w:val="00BC28CF"/>
    <w:rsid w:val="00BC366D"/>
    <w:rsid w:val="00BC503C"/>
    <w:rsid w:val="00BC6884"/>
    <w:rsid w:val="00BC7C31"/>
    <w:rsid w:val="00BD387D"/>
    <w:rsid w:val="00BE054A"/>
    <w:rsid w:val="00BE28E3"/>
    <w:rsid w:val="00BE2BF4"/>
    <w:rsid w:val="00BE3610"/>
    <w:rsid w:val="00BE4370"/>
    <w:rsid w:val="00BF036C"/>
    <w:rsid w:val="00BF06E4"/>
    <w:rsid w:val="00BF622F"/>
    <w:rsid w:val="00BF7963"/>
    <w:rsid w:val="00C00891"/>
    <w:rsid w:val="00C101EF"/>
    <w:rsid w:val="00C104F3"/>
    <w:rsid w:val="00C16013"/>
    <w:rsid w:val="00C203AE"/>
    <w:rsid w:val="00C232C0"/>
    <w:rsid w:val="00C2381E"/>
    <w:rsid w:val="00C24E09"/>
    <w:rsid w:val="00C254A7"/>
    <w:rsid w:val="00C26664"/>
    <w:rsid w:val="00C31B35"/>
    <w:rsid w:val="00C31D65"/>
    <w:rsid w:val="00C32D29"/>
    <w:rsid w:val="00C35F17"/>
    <w:rsid w:val="00C37807"/>
    <w:rsid w:val="00C40824"/>
    <w:rsid w:val="00C41974"/>
    <w:rsid w:val="00C425D0"/>
    <w:rsid w:val="00C525AC"/>
    <w:rsid w:val="00C53204"/>
    <w:rsid w:val="00C539D3"/>
    <w:rsid w:val="00C54DDB"/>
    <w:rsid w:val="00C5503D"/>
    <w:rsid w:val="00C62EFE"/>
    <w:rsid w:val="00C64F21"/>
    <w:rsid w:val="00C65B86"/>
    <w:rsid w:val="00C6694B"/>
    <w:rsid w:val="00C72E97"/>
    <w:rsid w:val="00C73B01"/>
    <w:rsid w:val="00C74CAA"/>
    <w:rsid w:val="00C814EC"/>
    <w:rsid w:val="00C8167C"/>
    <w:rsid w:val="00C81E21"/>
    <w:rsid w:val="00C82EDF"/>
    <w:rsid w:val="00C8421E"/>
    <w:rsid w:val="00C8600B"/>
    <w:rsid w:val="00C90984"/>
    <w:rsid w:val="00C90E4A"/>
    <w:rsid w:val="00C90F88"/>
    <w:rsid w:val="00C9560B"/>
    <w:rsid w:val="00C960B1"/>
    <w:rsid w:val="00C976BA"/>
    <w:rsid w:val="00CA035B"/>
    <w:rsid w:val="00CA053F"/>
    <w:rsid w:val="00CA0FF6"/>
    <w:rsid w:val="00CA256D"/>
    <w:rsid w:val="00CA5080"/>
    <w:rsid w:val="00CA6B2B"/>
    <w:rsid w:val="00CA7C69"/>
    <w:rsid w:val="00CB1856"/>
    <w:rsid w:val="00CB5AC1"/>
    <w:rsid w:val="00CB60B7"/>
    <w:rsid w:val="00CB6D9C"/>
    <w:rsid w:val="00CC32D2"/>
    <w:rsid w:val="00CC54E1"/>
    <w:rsid w:val="00CC6390"/>
    <w:rsid w:val="00CD194F"/>
    <w:rsid w:val="00CD3145"/>
    <w:rsid w:val="00CD4D68"/>
    <w:rsid w:val="00CE408C"/>
    <w:rsid w:val="00CE5138"/>
    <w:rsid w:val="00CE6F8C"/>
    <w:rsid w:val="00CE72DA"/>
    <w:rsid w:val="00CF0644"/>
    <w:rsid w:val="00CF1F90"/>
    <w:rsid w:val="00CF6691"/>
    <w:rsid w:val="00D02C31"/>
    <w:rsid w:val="00D02D9A"/>
    <w:rsid w:val="00D037BB"/>
    <w:rsid w:val="00D04684"/>
    <w:rsid w:val="00D07415"/>
    <w:rsid w:val="00D10906"/>
    <w:rsid w:val="00D10BD1"/>
    <w:rsid w:val="00D14142"/>
    <w:rsid w:val="00D3278D"/>
    <w:rsid w:val="00D33C0E"/>
    <w:rsid w:val="00D36918"/>
    <w:rsid w:val="00D37A12"/>
    <w:rsid w:val="00D4095F"/>
    <w:rsid w:val="00D40D1D"/>
    <w:rsid w:val="00D423B1"/>
    <w:rsid w:val="00D43C4B"/>
    <w:rsid w:val="00D461BB"/>
    <w:rsid w:val="00D467F1"/>
    <w:rsid w:val="00D536C3"/>
    <w:rsid w:val="00D53902"/>
    <w:rsid w:val="00D5439F"/>
    <w:rsid w:val="00D56266"/>
    <w:rsid w:val="00D57281"/>
    <w:rsid w:val="00D578E9"/>
    <w:rsid w:val="00D60A17"/>
    <w:rsid w:val="00D6247C"/>
    <w:rsid w:val="00D62762"/>
    <w:rsid w:val="00D6738F"/>
    <w:rsid w:val="00D70545"/>
    <w:rsid w:val="00D70F8D"/>
    <w:rsid w:val="00D73AF6"/>
    <w:rsid w:val="00D74098"/>
    <w:rsid w:val="00D75B8D"/>
    <w:rsid w:val="00D77844"/>
    <w:rsid w:val="00D77856"/>
    <w:rsid w:val="00D824A0"/>
    <w:rsid w:val="00D902A3"/>
    <w:rsid w:val="00D92A64"/>
    <w:rsid w:val="00D941EA"/>
    <w:rsid w:val="00D95647"/>
    <w:rsid w:val="00D96E76"/>
    <w:rsid w:val="00D97848"/>
    <w:rsid w:val="00DA6CB7"/>
    <w:rsid w:val="00DB14CD"/>
    <w:rsid w:val="00DB1C7E"/>
    <w:rsid w:val="00DB4317"/>
    <w:rsid w:val="00DB7232"/>
    <w:rsid w:val="00DB7E18"/>
    <w:rsid w:val="00DC0D19"/>
    <w:rsid w:val="00DC3340"/>
    <w:rsid w:val="00DC48AC"/>
    <w:rsid w:val="00DC61AC"/>
    <w:rsid w:val="00DC7F52"/>
    <w:rsid w:val="00DD4B7E"/>
    <w:rsid w:val="00DD5B97"/>
    <w:rsid w:val="00DD7E24"/>
    <w:rsid w:val="00DE37D1"/>
    <w:rsid w:val="00DE5384"/>
    <w:rsid w:val="00DE538D"/>
    <w:rsid w:val="00DE56CB"/>
    <w:rsid w:val="00DE7F68"/>
    <w:rsid w:val="00DF093D"/>
    <w:rsid w:val="00DF1B31"/>
    <w:rsid w:val="00DF2CC8"/>
    <w:rsid w:val="00DF47F8"/>
    <w:rsid w:val="00DF56E9"/>
    <w:rsid w:val="00DF60E6"/>
    <w:rsid w:val="00E00FF3"/>
    <w:rsid w:val="00E0192C"/>
    <w:rsid w:val="00E03EB3"/>
    <w:rsid w:val="00E063EF"/>
    <w:rsid w:val="00E06404"/>
    <w:rsid w:val="00E10C9B"/>
    <w:rsid w:val="00E10E43"/>
    <w:rsid w:val="00E10E84"/>
    <w:rsid w:val="00E13240"/>
    <w:rsid w:val="00E138BD"/>
    <w:rsid w:val="00E148C9"/>
    <w:rsid w:val="00E22E8B"/>
    <w:rsid w:val="00E23171"/>
    <w:rsid w:val="00E2626A"/>
    <w:rsid w:val="00E2779D"/>
    <w:rsid w:val="00E33B35"/>
    <w:rsid w:val="00E341D1"/>
    <w:rsid w:val="00E342DF"/>
    <w:rsid w:val="00E34BD7"/>
    <w:rsid w:val="00E35A1C"/>
    <w:rsid w:val="00E35E29"/>
    <w:rsid w:val="00E400F7"/>
    <w:rsid w:val="00E4474E"/>
    <w:rsid w:val="00E454B8"/>
    <w:rsid w:val="00E45CD4"/>
    <w:rsid w:val="00E51FA1"/>
    <w:rsid w:val="00E52641"/>
    <w:rsid w:val="00E6297F"/>
    <w:rsid w:val="00E634D2"/>
    <w:rsid w:val="00E64E37"/>
    <w:rsid w:val="00E6509A"/>
    <w:rsid w:val="00E661EE"/>
    <w:rsid w:val="00E7024E"/>
    <w:rsid w:val="00E706DD"/>
    <w:rsid w:val="00E75042"/>
    <w:rsid w:val="00E7528D"/>
    <w:rsid w:val="00E752C6"/>
    <w:rsid w:val="00E753D0"/>
    <w:rsid w:val="00E76E58"/>
    <w:rsid w:val="00E77F5A"/>
    <w:rsid w:val="00E80180"/>
    <w:rsid w:val="00E853F5"/>
    <w:rsid w:val="00E86E1F"/>
    <w:rsid w:val="00E91A50"/>
    <w:rsid w:val="00E94A8E"/>
    <w:rsid w:val="00E95A1F"/>
    <w:rsid w:val="00EA0C18"/>
    <w:rsid w:val="00EA38DC"/>
    <w:rsid w:val="00EA60D8"/>
    <w:rsid w:val="00EB4596"/>
    <w:rsid w:val="00EB50E0"/>
    <w:rsid w:val="00EC0A3F"/>
    <w:rsid w:val="00EC17D4"/>
    <w:rsid w:val="00EC19D2"/>
    <w:rsid w:val="00EC292E"/>
    <w:rsid w:val="00EC47E8"/>
    <w:rsid w:val="00EC68A1"/>
    <w:rsid w:val="00EC73DB"/>
    <w:rsid w:val="00ED4740"/>
    <w:rsid w:val="00ED6E18"/>
    <w:rsid w:val="00ED7FEB"/>
    <w:rsid w:val="00EE3115"/>
    <w:rsid w:val="00EE7CD4"/>
    <w:rsid w:val="00EF05F2"/>
    <w:rsid w:val="00EF2572"/>
    <w:rsid w:val="00EF48E1"/>
    <w:rsid w:val="00EF77C9"/>
    <w:rsid w:val="00F017A8"/>
    <w:rsid w:val="00F01E8A"/>
    <w:rsid w:val="00F05AC4"/>
    <w:rsid w:val="00F06BEE"/>
    <w:rsid w:val="00F06EF0"/>
    <w:rsid w:val="00F079B1"/>
    <w:rsid w:val="00F07C52"/>
    <w:rsid w:val="00F104EB"/>
    <w:rsid w:val="00F14618"/>
    <w:rsid w:val="00F16A38"/>
    <w:rsid w:val="00F2188F"/>
    <w:rsid w:val="00F26C95"/>
    <w:rsid w:val="00F32C8C"/>
    <w:rsid w:val="00F340B1"/>
    <w:rsid w:val="00F37106"/>
    <w:rsid w:val="00F40294"/>
    <w:rsid w:val="00F425C8"/>
    <w:rsid w:val="00F460F1"/>
    <w:rsid w:val="00F46591"/>
    <w:rsid w:val="00F46B19"/>
    <w:rsid w:val="00F4785E"/>
    <w:rsid w:val="00F50029"/>
    <w:rsid w:val="00F535A8"/>
    <w:rsid w:val="00F5480C"/>
    <w:rsid w:val="00F55A05"/>
    <w:rsid w:val="00F56AF8"/>
    <w:rsid w:val="00F57566"/>
    <w:rsid w:val="00F57682"/>
    <w:rsid w:val="00F57A21"/>
    <w:rsid w:val="00F60B9E"/>
    <w:rsid w:val="00F63111"/>
    <w:rsid w:val="00F635B5"/>
    <w:rsid w:val="00F672F6"/>
    <w:rsid w:val="00F733F2"/>
    <w:rsid w:val="00F7628F"/>
    <w:rsid w:val="00F77BD0"/>
    <w:rsid w:val="00F856D9"/>
    <w:rsid w:val="00F8697D"/>
    <w:rsid w:val="00F93036"/>
    <w:rsid w:val="00F94A42"/>
    <w:rsid w:val="00F95857"/>
    <w:rsid w:val="00FA1663"/>
    <w:rsid w:val="00FA21DE"/>
    <w:rsid w:val="00FB0058"/>
    <w:rsid w:val="00FB0089"/>
    <w:rsid w:val="00FB3258"/>
    <w:rsid w:val="00FC1065"/>
    <w:rsid w:val="00FC37EA"/>
    <w:rsid w:val="00FC5BF5"/>
    <w:rsid w:val="00FC750B"/>
    <w:rsid w:val="00FD0EEF"/>
    <w:rsid w:val="00FD2CCB"/>
    <w:rsid w:val="00FD7092"/>
    <w:rsid w:val="00FE11C7"/>
    <w:rsid w:val="00FE31DC"/>
    <w:rsid w:val="00FE38BB"/>
    <w:rsid w:val="00FE4344"/>
    <w:rsid w:val="00FE5691"/>
    <w:rsid w:val="00FE659C"/>
    <w:rsid w:val="00FE6617"/>
    <w:rsid w:val="00FF200C"/>
    <w:rsid w:val="00FF2778"/>
    <w:rsid w:val="00FF51C8"/>
    <w:rsid w:val="00FF7B6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7EF711"/>
  <w15:docId w15:val="{B58037FC-3ACE-4514-9C33-8CDF6BF6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35B5"/>
    <w:pPr>
      <w:spacing w:line="360" w:lineRule="auto"/>
    </w:pPr>
    <w:rPr>
      <w:rFonts w:ascii="Calibri" w:hAnsi="Calibri"/>
      <w:sz w:val="22"/>
      <w:szCs w:val="24"/>
      <w:lang w:val="en-US" w:eastAsia="nl-NL"/>
    </w:rPr>
  </w:style>
  <w:style w:type="paragraph" w:styleId="Heading1">
    <w:name w:val="heading 1"/>
    <w:basedOn w:val="Normal"/>
    <w:next w:val="Normal"/>
    <w:link w:val="Heading1Char"/>
    <w:uiPriority w:val="9"/>
    <w:qFormat/>
    <w:rsid w:val="00781D0B"/>
    <w:pPr>
      <w:keepNext/>
      <w:keepLines/>
      <w:numPr>
        <w:numId w:val="5"/>
      </w:numPr>
      <w:spacing w:before="320"/>
      <w:ind w:left="431" w:hanging="431"/>
      <w:outlineLvl w:val="0"/>
    </w:pPr>
    <w:rPr>
      <w:rFonts w:ascii="Calibri Light" w:hAnsi="Calibri Light"/>
      <w:caps/>
      <w:color w:val="2E74B5"/>
      <w:sz w:val="32"/>
      <w:szCs w:val="32"/>
      <w:lang w:eastAsia="en-US"/>
    </w:rPr>
  </w:style>
  <w:style w:type="paragraph" w:styleId="Heading2">
    <w:name w:val="heading 2"/>
    <w:basedOn w:val="Normal"/>
    <w:next w:val="Normal"/>
    <w:link w:val="Heading2Char"/>
    <w:uiPriority w:val="9"/>
    <w:unhideWhenUsed/>
    <w:qFormat/>
    <w:rsid w:val="00F50029"/>
    <w:pPr>
      <w:keepNext/>
      <w:keepLines/>
      <w:numPr>
        <w:ilvl w:val="1"/>
        <w:numId w:val="6"/>
      </w:numPr>
      <w:spacing w:before="80" w:line="480" w:lineRule="auto"/>
      <w:outlineLvl w:val="1"/>
    </w:pPr>
    <w:rPr>
      <w:rFonts w:ascii="Calibri Light" w:hAnsi="Calibri Light"/>
      <w:caps/>
      <w:color w:val="404040"/>
      <w:sz w:val="28"/>
      <w:szCs w:val="28"/>
      <w:lang w:eastAsia="en-US"/>
    </w:rPr>
  </w:style>
  <w:style w:type="paragraph" w:styleId="Heading3">
    <w:name w:val="heading 3"/>
    <w:basedOn w:val="Normal"/>
    <w:next w:val="Normal"/>
    <w:link w:val="Heading3Char"/>
    <w:qFormat/>
    <w:rsid w:val="00F50029"/>
    <w:pPr>
      <w:keepNext/>
      <w:keepLines/>
      <w:numPr>
        <w:ilvl w:val="2"/>
        <w:numId w:val="4"/>
      </w:numPr>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alinea1">
    <w:name w:val="Lijstalinea1"/>
    <w:basedOn w:val="Normal"/>
    <w:rsid w:val="003A50C1"/>
    <w:pPr>
      <w:spacing w:after="200" w:line="276" w:lineRule="auto"/>
      <w:ind w:left="720"/>
      <w:contextualSpacing/>
    </w:pPr>
    <w:rPr>
      <w:rFonts w:eastAsia="Times New Roman"/>
      <w:szCs w:val="22"/>
      <w:lang w:eastAsia="en-US"/>
    </w:rPr>
  </w:style>
  <w:style w:type="paragraph" w:customStyle="1" w:styleId="Nick">
    <w:name w:val="Nick"/>
    <w:basedOn w:val="Normal"/>
    <w:link w:val="NickChar"/>
    <w:qFormat/>
    <w:rsid w:val="003A50C1"/>
    <w:pPr>
      <w:spacing w:line="480" w:lineRule="auto"/>
      <w:ind w:firstLine="708"/>
    </w:pPr>
    <w:rPr>
      <w:rFonts w:eastAsia="Times New Roman" w:cs="Arial"/>
      <w:szCs w:val="22"/>
    </w:rPr>
  </w:style>
  <w:style w:type="character" w:customStyle="1" w:styleId="NickChar">
    <w:name w:val="Nick Char"/>
    <w:link w:val="Nick"/>
    <w:rsid w:val="003A50C1"/>
    <w:rPr>
      <w:rFonts w:ascii="Arial" w:eastAsia="Times New Roman" w:hAnsi="Arial" w:cs="Arial"/>
      <w:sz w:val="22"/>
      <w:szCs w:val="22"/>
      <w:lang w:val="en-US" w:eastAsia="nl-NL"/>
    </w:rPr>
  </w:style>
  <w:style w:type="character" w:customStyle="1" w:styleId="Heading1Char">
    <w:name w:val="Heading 1 Char"/>
    <w:link w:val="Heading1"/>
    <w:uiPriority w:val="9"/>
    <w:rsid w:val="00781D0B"/>
    <w:rPr>
      <w:rFonts w:ascii="Calibri Light" w:eastAsia="SimSun" w:hAnsi="Calibri Light"/>
      <w:caps/>
      <w:color w:val="2E74B5"/>
      <w:sz w:val="32"/>
      <w:szCs w:val="32"/>
    </w:rPr>
  </w:style>
  <w:style w:type="paragraph" w:styleId="CommentText">
    <w:name w:val="annotation text"/>
    <w:basedOn w:val="Normal"/>
    <w:link w:val="CommentTextChar"/>
    <w:rsid w:val="003A50C1"/>
    <w:rPr>
      <w:rFonts w:eastAsia="Times New Roman"/>
      <w:sz w:val="20"/>
      <w:szCs w:val="20"/>
    </w:rPr>
  </w:style>
  <w:style w:type="character" w:customStyle="1" w:styleId="CommentTextChar">
    <w:name w:val="Comment Text Char"/>
    <w:basedOn w:val="DefaultParagraphFont"/>
    <w:link w:val="CommentText"/>
    <w:rsid w:val="003A50C1"/>
    <w:rPr>
      <w:rFonts w:eastAsia="Times New Roman"/>
      <w:lang w:eastAsia="nl-NL"/>
    </w:rPr>
  </w:style>
  <w:style w:type="paragraph" w:styleId="Header">
    <w:name w:val="header"/>
    <w:basedOn w:val="Normal"/>
    <w:link w:val="HeaderChar"/>
    <w:rsid w:val="003A50C1"/>
    <w:pPr>
      <w:tabs>
        <w:tab w:val="center" w:pos="4536"/>
        <w:tab w:val="right" w:pos="9072"/>
      </w:tabs>
    </w:pPr>
    <w:rPr>
      <w:rFonts w:eastAsia="Times New Roman"/>
    </w:rPr>
  </w:style>
  <w:style w:type="character" w:customStyle="1" w:styleId="HeaderChar">
    <w:name w:val="Header Char"/>
    <w:link w:val="Header"/>
    <w:rsid w:val="003A50C1"/>
    <w:rPr>
      <w:rFonts w:eastAsia="Times New Roman"/>
      <w:sz w:val="24"/>
      <w:szCs w:val="24"/>
      <w:lang w:eastAsia="nl-NL"/>
    </w:rPr>
  </w:style>
  <w:style w:type="paragraph" w:styleId="Footer">
    <w:name w:val="footer"/>
    <w:basedOn w:val="Normal"/>
    <w:link w:val="FooterChar"/>
    <w:uiPriority w:val="99"/>
    <w:rsid w:val="003A50C1"/>
    <w:pPr>
      <w:tabs>
        <w:tab w:val="center" w:pos="4536"/>
        <w:tab w:val="right" w:pos="9072"/>
      </w:tabs>
    </w:pPr>
    <w:rPr>
      <w:rFonts w:eastAsia="Times New Roman"/>
    </w:rPr>
  </w:style>
  <w:style w:type="character" w:customStyle="1" w:styleId="FooterChar">
    <w:name w:val="Footer Char"/>
    <w:basedOn w:val="DefaultParagraphFont"/>
    <w:link w:val="Footer"/>
    <w:uiPriority w:val="99"/>
    <w:rsid w:val="003A50C1"/>
    <w:rPr>
      <w:rFonts w:eastAsia="Times New Roman"/>
      <w:sz w:val="24"/>
      <w:szCs w:val="24"/>
      <w:lang w:eastAsia="nl-NL"/>
    </w:rPr>
  </w:style>
  <w:style w:type="character" w:styleId="CommentReference">
    <w:name w:val="annotation reference"/>
    <w:rsid w:val="003A50C1"/>
    <w:rPr>
      <w:sz w:val="16"/>
      <w:szCs w:val="16"/>
    </w:rPr>
  </w:style>
  <w:style w:type="character" w:styleId="PageNumber">
    <w:name w:val="page number"/>
    <w:basedOn w:val="DefaultParagraphFont"/>
    <w:rsid w:val="003A50C1"/>
  </w:style>
  <w:style w:type="character" w:styleId="Hyperlink">
    <w:name w:val="Hyperlink"/>
    <w:basedOn w:val="DefaultParagraphFont"/>
    <w:rsid w:val="003A50C1"/>
    <w:rPr>
      <w:color w:val="0563C1" w:themeColor="hyperlink"/>
      <w:u w:val="single"/>
    </w:rPr>
  </w:style>
  <w:style w:type="paragraph" w:styleId="NormalWeb">
    <w:name w:val="Normal (Web)"/>
    <w:basedOn w:val="Normal"/>
    <w:uiPriority w:val="99"/>
    <w:unhideWhenUsed/>
    <w:rsid w:val="003A50C1"/>
    <w:pPr>
      <w:spacing w:before="100" w:beforeAutospacing="1" w:after="100" w:afterAutospacing="1"/>
    </w:pPr>
    <w:rPr>
      <w:rFonts w:eastAsia="Times New Roman"/>
    </w:rPr>
  </w:style>
  <w:style w:type="paragraph" w:styleId="CommentSubject">
    <w:name w:val="annotation subject"/>
    <w:basedOn w:val="CommentText"/>
    <w:next w:val="CommentText"/>
    <w:link w:val="CommentSubjectChar"/>
    <w:rsid w:val="003A50C1"/>
    <w:rPr>
      <w:b/>
      <w:bCs/>
    </w:rPr>
  </w:style>
  <w:style w:type="character" w:customStyle="1" w:styleId="CommentSubjectChar">
    <w:name w:val="Comment Subject Char"/>
    <w:link w:val="CommentSubject"/>
    <w:rsid w:val="003A50C1"/>
    <w:rPr>
      <w:rFonts w:eastAsia="Times New Roman"/>
      <w:b/>
      <w:bCs/>
      <w:lang w:eastAsia="nl-NL"/>
    </w:rPr>
  </w:style>
  <w:style w:type="paragraph" w:styleId="BalloonText">
    <w:name w:val="Balloon Text"/>
    <w:basedOn w:val="Normal"/>
    <w:link w:val="BalloonTextChar"/>
    <w:rsid w:val="003A50C1"/>
    <w:rPr>
      <w:rFonts w:ascii="Tahoma" w:eastAsia="Times New Roman" w:hAnsi="Tahoma" w:cs="Tahoma"/>
      <w:sz w:val="16"/>
      <w:szCs w:val="16"/>
    </w:rPr>
  </w:style>
  <w:style w:type="character" w:customStyle="1" w:styleId="BalloonTextChar">
    <w:name w:val="Balloon Text Char"/>
    <w:link w:val="BalloonText"/>
    <w:rsid w:val="003A50C1"/>
    <w:rPr>
      <w:rFonts w:ascii="Tahoma" w:eastAsia="Times New Roman" w:hAnsi="Tahoma" w:cs="Tahoma"/>
      <w:sz w:val="16"/>
      <w:szCs w:val="16"/>
      <w:lang w:eastAsia="nl-NL"/>
    </w:rPr>
  </w:style>
  <w:style w:type="table" w:styleId="TableGrid">
    <w:name w:val="Table Grid"/>
    <w:basedOn w:val="TableNormal"/>
    <w:uiPriority w:val="39"/>
    <w:rsid w:val="003A50C1"/>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81D0B"/>
    <w:rPr>
      <w:rFonts w:ascii="Calibri Light" w:eastAsia="SimSun" w:hAnsi="Calibri Light"/>
      <w:caps/>
      <w:color w:val="404040"/>
      <w:sz w:val="28"/>
      <w:szCs w:val="28"/>
    </w:rPr>
  </w:style>
  <w:style w:type="character" w:customStyle="1" w:styleId="Heading3Char">
    <w:name w:val="Heading 3 Char"/>
    <w:basedOn w:val="DefaultParagraphFont"/>
    <w:link w:val="Heading3"/>
    <w:rsid w:val="00F50029"/>
    <w:rPr>
      <w:rFonts w:asciiTheme="majorHAnsi" w:eastAsiaTheme="majorEastAsia" w:hAnsiTheme="majorHAnsi" w:cstheme="majorBidi"/>
      <w:color w:val="1F4D78" w:themeColor="accent1" w:themeShade="7F"/>
      <w:sz w:val="24"/>
      <w:szCs w:val="24"/>
      <w:lang w:eastAsia="nl-NL"/>
    </w:rPr>
  </w:style>
  <w:style w:type="paragraph" w:styleId="ListParagraph">
    <w:name w:val="List Paragraph"/>
    <w:basedOn w:val="Normal"/>
    <w:uiPriority w:val="34"/>
    <w:qFormat/>
    <w:rsid w:val="00122680"/>
    <w:pPr>
      <w:ind w:left="720"/>
      <w:contextualSpacing/>
    </w:pPr>
  </w:style>
  <w:style w:type="character" w:customStyle="1" w:styleId="name">
    <w:name w:val="name"/>
    <w:basedOn w:val="DefaultParagraphFont"/>
    <w:rsid w:val="007770B2"/>
  </w:style>
  <w:style w:type="character" w:customStyle="1" w:styleId="xref-sep">
    <w:name w:val="xref-sep"/>
    <w:basedOn w:val="DefaultParagraphFont"/>
    <w:rsid w:val="007770B2"/>
  </w:style>
  <w:style w:type="character" w:customStyle="1" w:styleId="addr-line">
    <w:name w:val="addr-line"/>
    <w:basedOn w:val="DefaultParagraphFont"/>
    <w:rsid w:val="007770B2"/>
  </w:style>
  <w:style w:type="character" w:customStyle="1" w:styleId="institution">
    <w:name w:val="institution"/>
    <w:basedOn w:val="DefaultParagraphFont"/>
    <w:rsid w:val="007770B2"/>
  </w:style>
  <w:style w:type="paragraph" w:styleId="HTMLAddress">
    <w:name w:val="HTML Address"/>
    <w:basedOn w:val="Normal"/>
    <w:link w:val="HTMLAddressChar"/>
    <w:uiPriority w:val="99"/>
    <w:unhideWhenUsed/>
    <w:rsid w:val="007770B2"/>
    <w:pPr>
      <w:spacing w:line="240" w:lineRule="auto"/>
    </w:pPr>
    <w:rPr>
      <w:rFonts w:ascii="Times New Roman" w:eastAsia="Times New Roman" w:hAnsi="Times New Roman"/>
      <w:i/>
      <w:iCs/>
      <w:sz w:val="24"/>
      <w:lang w:val="en-CA" w:eastAsia="en-CA"/>
    </w:rPr>
  </w:style>
  <w:style w:type="character" w:customStyle="1" w:styleId="HTMLAddressChar">
    <w:name w:val="HTML Address Char"/>
    <w:basedOn w:val="DefaultParagraphFont"/>
    <w:link w:val="HTMLAddress"/>
    <w:uiPriority w:val="99"/>
    <w:rsid w:val="007770B2"/>
    <w:rPr>
      <w:rFonts w:eastAsia="Times New Roman"/>
      <w:i/>
      <w:iCs/>
      <w:sz w:val="24"/>
      <w:szCs w:val="24"/>
      <w:lang w:val="en-CA" w:eastAsia="en-CA"/>
    </w:rPr>
  </w:style>
  <w:style w:type="paragraph" w:customStyle="1" w:styleId="EndNoteBibliographyTitle">
    <w:name w:val="EndNote Bibliography Title"/>
    <w:basedOn w:val="Normal"/>
    <w:rsid w:val="004C6C46"/>
    <w:pPr>
      <w:jc w:val="center"/>
    </w:pPr>
    <w:rPr>
      <w:rFonts w:cs="Calibri"/>
      <w:lang w:val="nl-NL"/>
    </w:rPr>
  </w:style>
  <w:style w:type="paragraph" w:customStyle="1" w:styleId="EndNoteBibliography">
    <w:name w:val="EndNote Bibliography"/>
    <w:basedOn w:val="Normal"/>
    <w:rsid w:val="004C6C46"/>
    <w:pPr>
      <w:spacing w:line="240" w:lineRule="auto"/>
    </w:pPr>
    <w:rPr>
      <w:rFonts w:cs="Calibri"/>
      <w:lang w:val="nl-NL"/>
    </w:rPr>
  </w:style>
  <w:style w:type="character" w:styleId="Strong">
    <w:name w:val="Strong"/>
    <w:basedOn w:val="DefaultParagraphFont"/>
    <w:uiPriority w:val="22"/>
    <w:qFormat/>
    <w:rsid w:val="00B00CA9"/>
    <w:rPr>
      <w:b/>
      <w:bCs/>
    </w:rPr>
  </w:style>
  <w:style w:type="character" w:styleId="Emphasis">
    <w:name w:val="Emphasis"/>
    <w:basedOn w:val="DefaultParagraphFont"/>
    <w:uiPriority w:val="20"/>
    <w:qFormat/>
    <w:rsid w:val="00B00CA9"/>
    <w:rPr>
      <w:i/>
      <w:iCs/>
    </w:rPr>
  </w:style>
  <w:style w:type="paragraph" w:styleId="FootnoteText">
    <w:name w:val="footnote text"/>
    <w:basedOn w:val="Normal"/>
    <w:link w:val="FootnoteTextChar"/>
    <w:semiHidden/>
    <w:unhideWhenUsed/>
    <w:rsid w:val="0028122D"/>
    <w:pPr>
      <w:spacing w:line="240" w:lineRule="auto"/>
    </w:pPr>
    <w:rPr>
      <w:sz w:val="20"/>
      <w:szCs w:val="20"/>
    </w:rPr>
  </w:style>
  <w:style w:type="character" w:customStyle="1" w:styleId="FootnoteTextChar">
    <w:name w:val="Footnote Text Char"/>
    <w:basedOn w:val="DefaultParagraphFont"/>
    <w:link w:val="FootnoteText"/>
    <w:semiHidden/>
    <w:rsid w:val="0028122D"/>
    <w:rPr>
      <w:rFonts w:ascii="Calibri" w:hAnsi="Calibri"/>
      <w:lang w:val="en-US" w:eastAsia="nl-NL"/>
    </w:rPr>
  </w:style>
  <w:style w:type="character" w:styleId="FootnoteReference">
    <w:name w:val="footnote reference"/>
    <w:basedOn w:val="DefaultParagraphFont"/>
    <w:semiHidden/>
    <w:unhideWhenUsed/>
    <w:rsid w:val="00281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2220">
      <w:bodyDiv w:val="1"/>
      <w:marLeft w:val="0"/>
      <w:marRight w:val="0"/>
      <w:marTop w:val="0"/>
      <w:marBottom w:val="0"/>
      <w:divBdr>
        <w:top w:val="none" w:sz="0" w:space="0" w:color="auto"/>
        <w:left w:val="none" w:sz="0" w:space="0" w:color="auto"/>
        <w:bottom w:val="none" w:sz="0" w:space="0" w:color="auto"/>
        <w:right w:val="none" w:sz="0" w:space="0" w:color="auto"/>
      </w:divBdr>
    </w:div>
    <w:div w:id="432869199">
      <w:bodyDiv w:val="1"/>
      <w:marLeft w:val="0"/>
      <w:marRight w:val="0"/>
      <w:marTop w:val="0"/>
      <w:marBottom w:val="0"/>
      <w:divBdr>
        <w:top w:val="none" w:sz="0" w:space="0" w:color="auto"/>
        <w:left w:val="none" w:sz="0" w:space="0" w:color="auto"/>
        <w:bottom w:val="none" w:sz="0" w:space="0" w:color="auto"/>
        <w:right w:val="none" w:sz="0" w:space="0" w:color="auto"/>
      </w:divBdr>
      <w:divsChild>
        <w:div w:id="1711101328">
          <w:marLeft w:val="0"/>
          <w:marRight w:val="0"/>
          <w:marTop w:val="0"/>
          <w:marBottom w:val="0"/>
          <w:divBdr>
            <w:top w:val="none" w:sz="0" w:space="0" w:color="auto"/>
            <w:left w:val="none" w:sz="0" w:space="0" w:color="auto"/>
            <w:bottom w:val="none" w:sz="0" w:space="0" w:color="auto"/>
            <w:right w:val="none" w:sz="0" w:space="0" w:color="auto"/>
          </w:divBdr>
          <w:divsChild>
            <w:div w:id="2099322538">
              <w:marLeft w:val="0"/>
              <w:marRight w:val="0"/>
              <w:marTop w:val="0"/>
              <w:marBottom w:val="0"/>
              <w:divBdr>
                <w:top w:val="none" w:sz="0" w:space="0" w:color="auto"/>
                <w:left w:val="none" w:sz="0" w:space="0" w:color="auto"/>
                <w:bottom w:val="none" w:sz="0" w:space="0" w:color="auto"/>
                <w:right w:val="none" w:sz="0" w:space="0" w:color="auto"/>
              </w:divBdr>
              <w:divsChild>
                <w:div w:id="17913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9488">
      <w:bodyDiv w:val="1"/>
      <w:marLeft w:val="0"/>
      <w:marRight w:val="0"/>
      <w:marTop w:val="0"/>
      <w:marBottom w:val="0"/>
      <w:divBdr>
        <w:top w:val="none" w:sz="0" w:space="0" w:color="auto"/>
        <w:left w:val="none" w:sz="0" w:space="0" w:color="auto"/>
        <w:bottom w:val="none" w:sz="0" w:space="0" w:color="auto"/>
        <w:right w:val="none" w:sz="0" w:space="0" w:color="auto"/>
      </w:divBdr>
      <w:divsChild>
        <w:div w:id="1947885308">
          <w:marLeft w:val="0"/>
          <w:marRight w:val="0"/>
          <w:marTop w:val="0"/>
          <w:marBottom w:val="0"/>
          <w:divBdr>
            <w:top w:val="none" w:sz="0" w:space="0" w:color="auto"/>
            <w:left w:val="none" w:sz="0" w:space="0" w:color="auto"/>
            <w:bottom w:val="none" w:sz="0" w:space="0" w:color="auto"/>
            <w:right w:val="none" w:sz="0" w:space="0" w:color="auto"/>
          </w:divBdr>
          <w:divsChild>
            <w:div w:id="14161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3746">
      <w:bodyDiv w:val="1"/>
      <w:marLeft w:val="0"/>
      <w:marRight w:val="0"/>
      <w:marTop w:val="0"/>
      <w:marBottom w:val="0"/>
      <w:divBdr>
        <w:top w:val="none" w:sz="0" w:space="0" w:color="auto"/>
        <w:left w:val="none" w:sz="0" w:space="0" w:color="auto"/>
        <w:bottom w:val="none" w:sz="0" w:space="0" w:color="auto"/>
        <w:right w:val="none" w:sz="0" w:space="0" w:color="auto"/>
      </w:divBdr>
    </w:div>
    <w:div w:id="1217426232">
      <w:bodyDiv w:val="1"/>
      <w:marLeft w:val="0"/>
      <w:marRight w:val="0"/>
      <w:marTop w:val="0"/>
      <w:marBottom w:val="0"/>
      <w:divBdr>
        <w:top w:val="none" w:sz="0" w:space="0" w:color="auto"/>
        <w:left w:val="none" w:sz="0" w:space="0" w:color="auto"/>
        <w:bottom w:val="none" w:sz="0" w:space="0" w:color="auto"/>
        <w:right w:val="none" w:sz="0" w:space="0" w:color="auto"/>
      </w:divBdr>
    </w:div>
    <w:div w:id="18417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jopen.bmj.com/content/6/4/e010569" TargetMode="External"/><Relationship Id="rId13" Type="http://schemas.openxmlformats.org/officeDocument/2006/relationships/hyperlink" Target="http://bmjopen.bmj.com/content/6/4/e01056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mjopen.bmj.com/content/6/4/e010569"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mjopen.bmj.com/content/6/4/e0105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mjopen.bmj.com/content/6/4/e0105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mjopen.bmj.com/content/6/4/e010569" TargetMode="External"/><Relationship Id="rId14" Type="http://schemas.openxmlformats.org/officeDocument/2006/relationships/hyperlink" Target="http://bmjopen.bmj.com/content/6/4/e01056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8FEF-43D2-4D7D-A5FE-5F99359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56690</Words>
  <Characters>323138</Characters>
  <Application>Microsoft Office Word</Application>
  <DocSecurity>0</DocSecurity>
  <Lines>2692</Lines>
  <Paragraphs>758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379070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van Es</dc:creator>
  <cp:keywords/>
  <dc:description/>
  <cp:lastModifiedBy>de Montfalcon S.P.</cp:lastModifiedBy>
  <cp:revision>2</cp:revision>
  <dcterms:created xsi:type="dcterms:W3CDTF">2020-07-24T13:08:00Z</dcterms:created>
  <dcterms:modified xsi:type="dcterms:W3CDTF">2020-07-24T13:08:00Z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http://www.zotero.org/styles/haematologica</vt:lpwstr>
  </property>
  <property fmtid="{D5CDD505-2E9C-101B-9397-08002B2CF9AE}" pid="11" name="Mendeley Recent Style Name 4_1">
    <vt:lpwstr>Haematologica</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http://www.zotero.org/styles/the-lancet-oncology</vt:lpwstr>
  </property>
  <property fmtid="{D5CDD505-2E9C-101B-9397-08002B2CF9AE}" pid="21" name="Mendeley Recent Style Name 9_1">
    <vt:lpwstr>The Lancet Oncology</vt:lpwstr>
  </property>
  <property fmtid="{D5CDD505-2E9C-101B-9397-08002B2CF9AE}" pid="22" name="Mendeley Document_1">
    <vt:lpwstr>True</vt:lpwstr>
  </property>
  <property fmtid="{D5CDD505-2E9C-101B-9397-08002B2CF9AE}" pid="23" name="Mendeley Unique User Id_1">
    <vt:lpwstr>5b24a802-622f-3b51-b068-1d6c526749ca</vt:lpwstr>
  </property>
  <property fmtid="{D5CDD505-2E9C-101B-9397-08002B2CF9AE}" pid="24" name="Mendeley Citation Style_1">
    <vt:lpwstr>http://www.zotero.org/styles/haematologica</vt:lpwstr>
  </property>
</Properties>
</file>