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FFE29" w14:textId="77777777" w:rsidR="00EB3981" w:rsidRPr="00EB3981" w:rsidRDefault="00EB3981" w:rsidP="00EB3981">
      <w:pPr>
        <w:ind w:left="720" w:hanging="720"/>
        <w:rPr>
          <w:color w:val="FF0000"/>
          <w:sz w:val="24"/>
          <w:szCs w:val="24"/>
        </w:rPr>
      </w:pPr>
      <w:r w:rsidRPr="00EB3981">
        <w:rPr>
          <w:color w:val="FF0000"/>
          <w:sz w:val="24"/>
          <w:szCs w:val="24"/>
          <w:lang w:val="pl-PL"/>
        </w:rPr>
        <w:t xml:space="preserve">Nowak, B., Brzóska, P., Piotrowski, J., Sedikides, C., Żemojtel-Piotrowska, M., &amp; </w:t>
      </w:r>
      <w:r w:rsidRPr="00EB3981">
        <w:rPr>
          <w:color w:val="FF0000"/>
          <w:sz w:val="24"/>
          <w:szCs w:val="24"/>
        </w:rPr>
        <w:t xml:space="preserve">Jonason, P. K. (2020). Adaptive and maladaptive behaviour during the COVID-19 pandemic: The roles of dark triad traits, collective narcissism, and health beliefs. </w:t>
      </w:r>
      <w:r w:rsidRPr="00EB3981">
        <w:rPr>
          <w:i/>
          <w:iCs/>
          <w:color w:val="FF0000"/>
          <w:sz w:val="24"/>
          <w:szCs w:val="24"/>
        </w:rPr>
        <w:t>Personality and Individual Differences, 167</w:t>
      </w:r>
      <w:r w:rsidRPr="00EB3981">
        <w:rPr>
          <w:color w:val="FF0000"/>
          <w:sz w:val="24"/>
          <w:szCs w:val="24"/>
        </w:rPr>
        <w:t>, 110232.</w:t>
      </w:r>
      <w:bookmarkStart w:id="0" w:name="_heading=h.gjdgxs"/>
      <w:bookmarkEnd w:id="0"/>
      <w:r w:rsidRPr="00EB3981">
        <w:rPr>
          <w:color w:val="FF0000"/>
          <w:sz w:val="24"/>
          <w:szCs w:val="24"/>
        </w:rPr>
        <w:t xml:space="preserve"> </w:t>
      </w:r>
      <w:r w:rsidRPr="00EB3981">
        <w:rPr>
          <w:rFonts w:eastAsia="CharisSIL"/>
          <w:color w:val="FF0000"/>
          <w:sz w:val="24"/>
          <w:szCs w:val="24"/>
          <w:lang w:eastAsia="zh-CN"/>
        </w:rPr>
        <w:t>https://doi.org/10.1016/j.paid.2020.110232</w:t>
      </w:r>
    </w:p>
    <w:p w14:paraId="299F7A71" w14:textId="77777777" w:rsidR="00CF5270" w:rsidRDefault="00CF5270" w:rsidP="00CF5270">
      <w:pPr>
        <w:spacing w:line="480" w:lineRule="exact"/>
        <w:ind w:hanging="2"/>
        <w:jc w:val="center"/>
        <w:rPr>
          <w:rFonts w:asciiTheme="majorBidi" w:hAnsiTheme="majorBidi" w:cstheme="majorBidi"/>
          <w:b/>
          <w:bCs/>
          <w:color w:val="0E101A"/>
          <w:sz w:val="24"/>
          <w:szCs w:val="24"/>
        </w:rPr>
      </w:pPr>
    </w:p>
    <w:p w14:paraId="662910FF" w14:textId="75CB4CE1" w:rsidR="00CF5270" w:rsidRDefault="00CF5270" w:rsidP="00CF5270">
      <w:pPr>
        <w:spacing w:line="480" w:lineRule="exact"/>
        <w:ind w:hanging="2"/>
        <w:jc w:val="center"/>
        <w:rPr>
          <w:rFonts w:asciiTheme="majorBidi" w:hAnsiTheme="majorBidi" w:cstheme="majorBidi"/>
          <w:b/>
          <w:bCs/>
          <w:color w:val="0E101A"/>
          <w:sz w:val="24"/>
          <w:szCs w:val="24"/>
        </w:rPr>
      </w:pPr>
      <w:bookmarkStart w:id="1" w:name="_GoBack"/>
      <w:r>
        <w:rPr>
          <w:rFonts w:asciiTheme="majorBidi" w:hAnsiTheme="majorBidi" w:cstheme="majorBidi"/>
          <w:b/>
          <w:bCs/>
          <w:color w:val="0E101A"/>
          <w:sz w:val="24"/>
          <w:szCs w:val="24"/>
        </w:rPr>
        <w:t xml:space="preserve">Adaptive and Maladaptive Behaviour During the COVID-19 Pandemic: </w:t>
      </w:r>
    </w:p>
    <w:bookmarkEnd w:id="1"/>
    <w:p w14:paraId="507DFF92" w14:textId="77777777" w:rsidR="00CF5270" w:rsidRDefault="00CF5270" w:rsidP="00CF5270">
      <w:pPr>
        <w:spacing w:line="480" w:lineRule="exact"/>
        <w:ind w:hanging="2"/>
        <w:jc w:val="center"/>
        <w:rPr>
          <w:rFonts w:asciiTheme="majorBidi" w:hAnsiTheme="majorBidi" w:cstheme="majorBidi"/>
          <w:b/>
          <w:bCs/>
          <w:color w:val="0E101A"/>
          <w:sz w:val="24"/>
          <w:szCs w:val="24"/>
        </w:rPr>
      </w:pPr>
      <w:r>
        <w:rPr>
          <w:rFonts w:asciiTheme="majorBidi" w:hAnsiTheme="majorBidi" w:cstheme="majorBidi"/>
          <w:b/>
          <w:bCs/>
          <w:color w:val="0E101A"/>
          <w:sz w:val="24"/>
          <w:szCs w:val="24"/>
        </w:rPr>
        <w:t xml:space="preserve">The Roles of Dark Triad Traits, Collective Narcissism, and Health Beliefs </w:t>
      </w:r>
    </w:p>
    <w:p w14:paraId="7E966D63" w14:textId="77777777" w:rsidR="00CF5270" w:rsidRDefault="00CF5270" w:rsidP="00CF5270">
      <w:pPr>
        <w:spacing w:line="480" w:lineRule="exact"/>
        <w:jc w:val="center"/>
        <w:rPr>
          <w:rFonts w:asciiTheme="majorBidi" w:hAnsiTheme="majorBidi" w:cstheme="majorBidi"/>
          <w:color w:val="0E101A"/>
          <w:sz w:val="24"/>
          <w:szCs w:val="24"/>
        </w:rPr>
      </w:pPr>
    </w:p>
    <w:p w14:paraId="5545F221" w14:textId="77777777" w:rsidR="00CF5270" w:rsidRDefault="00CF5270" w:rsidP="00CF5270">
      <w:pPr>
        <w:spacing w:line="480" w:lineRule="exact"/>
        <w:jc w:val="center"/>
        <w:rPr>
          <w:rFonts w:asciiTheme="majorBidi" w:hAnsiTheme="majorBidi" w:cstheme="majorBidi"/>
          <w:sz w:val="24"/>
          <w:szCs w:val="24"/>
        </w:rPr>
      </w:pPr>
      <w:r>
        <w:rPr>
          <w:rFonts w:asciiTheme="majorBidi" w:hAnsiTheme="majorBidi" w:cstheme="majorBidi"/>
          <w:color w:val="0E101A"/>
          <w:sz w:val="24"/>
          <w:szCs w:val="24"/>
        </w:rPr>
        <w:t>Bartłomiej Nowak and Paweł Brzóska</w:t>
      </w:r>
      <w:r>
        <w:rPr>
          <w:rFonts w:asciiTheme="majorBidi" w:hAnsiTheme="majorBidi" w:cstheme="majorBidi"/>
          <w:sz w:val="24"/>
          <w:szCs w:val="24"/>
        </w:rPr>
        <w:t xml:space="preserve">   </w:t>
      </w:r>
    </w:p>
    <w:p w14:paraId="7766CA6E" w14:textId="77777777" w:rsidR="00CF5270" w:rsidRDefault="00CF5270" w:rsidP="00CF5270">
      <w:pPr>
        <w:spacing w:line="480" w:lineRule="exact"/>
        <w:jc w:val="center"/>
        <w:rPr>
          <w:rFonts w:asciiTheme="majorBidi" w:hAnsiTheme="majorBidi" w:cstheme="majorBidi"/>
          <w:color w:val="0E101A"/>
          <w:sz w:val="24"/>
          <w:szCs w:val="24"/>
        </w:rPr>
      </w:pPr>
      <w:r>
        <w:rPr>
          <w:rFonts w:asciiTheme="majorBidi" w:hAnsiTheme="majorBidi" w:cstheme="majorBidi"/>
          <w:color w:val="0E101A"/>
          <w:sz w:val="24"/>
          <w:szCs w:val="24"/>
        </w:rPr>
        <w:t>SWPS University of Social Sciences and Humanities, Poznań Campus, Poland</w:t>
      </w:r>
    </w:p>
    <w:p w14:paraId="3D70D420" w14:textId="77777777" w:rsidR="00CF5270" w:rsidRDefault="00CF5270" w:rsidP="00CF5270">
      <w:pPr>
        <w:spacing w:line="480" w:lineRule="exact"/>
        <w:jc w:val="center"/>
        <w:rPr>
          <w:rFonts w:asciiTheme="majorBidi" w:hAnsiTheme="majorBidi" w:cstheme="majorBidi"/>
          <w:color w:val="0E101A"/>
          <w:sz w:val="24"/>
          <w:szCs w:val="24"/>
        </w:rPr>
      </w:pPr>
      <w:r>
        <w:rPr>
          <w:rFonts w:asciiTheme="majorBidi" w:hAnsiTheme="majorBidi" w:cstheme="majorBidi"/>
          <w:color w:val="0E101A"/>
          <w:sz w:val="24"/>
          <w:szCs w:val="24"/>
        </w:rPr>
        <w:t>Jarosław Piotrowski University of Cardinal Stefan Wyszynski in Warsaw, Poland</w:t>
      </w:r>
    </w:p>
    <w:p w14:paraId="2C869456" w14:textId="77777777" w:rsidR="00CF5270" w:rsidRDefault="00CF5270" w:rsidP="00CF5270">
      <w:pPr>
        <w:spacing w:line="480" w:lineRule="exact"/>
        <w:jc w:val="center"/>
        <w:rPr>
          <w:rFonts w:asciiTheme="majorBidi" w:hAnsiTheme="majorBidi" w:cstheme="majorBidi"/>
          <w:color w:val="0E101A"/>
          <w:sz w:val="24"/>
          <w:szCs w:val="24"/>
        </w:rPr>
      </w:pPr>
      <w:r>
        <w:rPr>
          <w:rFonts w:asciiTheme="majorBidi" w:hAnsiTheme="majorBidi" w:cstheme="majorBidi"/>
          <w:color w:val="0E101A"/>
          <w:sz w:val="24"/>
          <w:szCs w:val="24"/>
        </w:rPr>
        <w:t>Constantine Sedikides</w:t>
      </w:r>
    </w:p>
    <w:p w14:paraId="41F5705F" w14:textId="77777777" w:rsidR="00CF5270" w:rsidRDefault="00CF5270" w:rsidP="00CF5270">
      <w:pPr>
        <w:spacing w:line="480" w:lineRule="exact"/>
        <w:jc w:val="center"/>
        <w:rPr>
          <w:rFonts w:asciiTheme="majorBidi" w:hAnsiTheme="majorBidi" w:cstheme="majorBidi"/>
          <w:color w:val="0E101A"/>
          <w:sz w:val="24"/>
          <w:szCs w:val="24"/>
        </w:rPr>
      </w:pPr>
      <w:r>
        <w:rPr>
          <w:rFonts w:asciiTheme="majorBidi" w:hAnsiTheme="majorBidi" w:cstheme="majorBidi"/>
          <w:color w:val="0E101A"/>
          <w:sz w:val="24"/>
          <w:szCs w:val="24"/>
        </w:rPr>
        <w:t>University of Southampton, the U.K.</w:t>
      </w:r>
    </w:p>
    <w:p w14:paraId="7FE4D123" w14:textId="77777777" w:rsidR="00CF5270" w:rsidRDefault="00CF5270" w:rsidP="00CF5270">
      <w:pPr>
        <w:spacing w:line="480" w:lineRule="exact"/>
        <w:jc w:val="center"/>
        <w:rPr>
          <w:rFonts w:asciiTheme="majorBidi" w:hAnsiTheme="majorBidi" w:cstheme="majorBidi"/>
          <w:color w:val="0E101A"/>
          <w:sz w:val="24"/>
          <w:szCs w:val="24"/>
        </w:rPr>
      </w:pPr>
      <w:r>
        <w:rPr>
          <w:rFonts w:asciiTheme="majorBidi" w:hAnsiTheme="majorBidi" w:cstheme="majorBidi"/>
          <w:color w:val="0E101A"/>
          <w:sz w:val="24"/>
          <w:szCs w:val="24"/>
        </w:rPr>
        <w:t>Magdalena Żemojtel-Piotrowska</w:t>
      </w:r>
    </w:p>
    <w:p w14:paraId="083829BF" w14:textId="77777777" w:rsidR="00CF5270" w:rsidRDefault="00CF5270" w:rsidP="00CF5270">
      <w:pPr>
        <w:spacing w:line="480" w:lineRule="exact"/>
        <w:jc w:val="center"/>
        <w:rPr>
          <w:rFonts w:asciiTheme="majorBidi" w:hAnsiTheme="majorBidi" w:cstheme="majorBidi"/>
          <w:color w:val="0E101A"/>
          <w:sz w:val="24"/>
          <w:szCs w:val="24"/>
        </w:rPr>
      </w:pPr>
      <w:r>
        <w:rPr>
          <w:rFonts w:asciiTheme="majorBidi" w:hAnsiTheme="majorBidi" w:cstheme="majorBidi"/>
          <w:color w:val="0E101A"/>
          <w:sz w:val="24"/>
          <w:szCs w:val="24"/>
        </w:rPr>
        <w:t>University of Cardinal Stefan Wyszynski in Warsaw, Poland</w:t>
      </w:r>
    </w:p>
    <w:p w14:paraId="6DA64BF1" w14:textId="77777777" w:rsidR="00CF5270" w:rsidRDefault="00CF5270" w:rsidP="00CF5270">
      <w:pPr>
        <w:spacing w:line="480" w:lineRule="exact"/>
        <w:jc w:val="center"/>
        <w:rPr>
          <w:rFonts w:asciiTheme="majorBidi" w:hAnsiTheme="majorBidi" w:cstheme="majorBidi"/>
          <w:color w:val="000000"/>
          <w:sz w:val="24"/>
          <w:szCs w:val="24"/>
        </w:rPr>
      </w:pPr>
      <w:r>
        <w:rPr>
          <w:rFonts w:asciiTheme="majorBidi" w:hAnsiTheme="majorBidi" w:cstheme="majorBidi"/>
          <w:sz w:val="24"/>
          <w:szCs w:val="24"/>
        </w:rPr>
        <w:t xml:space="preserve">     </w:t>
      </w:r>
      <w:r>
        <w:rPr>
          <w:rFonts w:asciiTheme="majorBidi" w:hAnsiTheme="majorBidi" w:cstheme="majorBidi"/>
          <w:color w:val="000000"/>
          <w:sz w:val="24"/>
          <w:szCs w:val="24"/>
        </w:rPr>
        <w:t>Peter K. Jonason</w:t>
      </w:r>
    </w:p>
    <w:p w14:paraId="1FBC484D" w14:textId="77777777" w:rsidR="00CF5270" w:rsidRDefault="00CF5270" w:rsidP="00CF5270">
      <w:pPr>
        <w:spacing w:line="480" w:lineRule="exact"/>
        <w:jc w:val="center"/>
        <w:rPr>
          <w:rFonts w:asciiTheme="majorBidi" w:hAnsiTheme="majorBidi" w:cstheme="majorBidi"/>
          <w:color w:val="000000"/>
          <w:sz w:val="24"/>
          <w:szCs w:val="24"/>
        </w:rPr>
      </w:pPr>
      <w:r>
        <w:rPr>
          <w:rFonts w:asciiTheme="majorBidi" w:hAnsiTheme="majorBidi" w:cstheme="majorBidi"/>
          <w:color w:val="000000"/>
          <w:sz w:val="24"/>
          <w:szCs w:val="24"/>
        </w:rPr>
        <w:t>University of Padova, Italy and University of Cardinal Stefan Wyszynski in Warsaw, Poland </w:t>
      </w:r>
    </w:p>
    <w:p w14:paraId="152E6D3E" w14:textId="77777777" w:rsidR="00CF5270" w:rsidRDefault="00CF5270" w:rsidP="00CF5270">
      <w:pPr>
        <w:spacing w:line="480" w:lineRule="auto"/>
        <w:jc w:val="center"/>
        <w:rPr>
          <w:rFonts w:asciiTheme="majorBidi" w:hAnsiTheme="majorBidi" w:cstheme="majorBidi"/>
          <w:color w:val="000000"/>
          <w:sz w:val="24"/>
          <w:szCs w:val="24"/>
        </w:rPr>
      </w:pPr>
    </w:p>
    <w:p w14:paraId="3121B100" w14:textId="77777777" w:rsidR="00CF5270" w:rsidRDefault="00CF5270" w:rsidP="00CF5270">
      <w:pPr>
        <w:spacing w:line="480" w:lineRule="auto"/>
        <w:jc w:val="center"/>
        <w:rPr>
          <w:rFonts w:asciiTheme="majorBidi" w:hAnsiTheme="majorBidi" w:cstheme="majorBidi"/>
          <w:color w:val="000000"/>
          <w:sz w:val="24"/>
          <w:szCs w:val="24"/>
        </w:rPr>
      </w:pPr>
    </w:p>
    <w:p w14:paraId="74901FCB" w14:textId="3116FE5D" w:rsidR="00CF5270" w:rsidRPr="00CF5270" w:rsidRDefault="00CF5270" w:rsidP="00CF5270">
      <w:pPr>
        <w:spacing w:line="480" w:lineRule="exact"/>
        <w:rPr>
          <w:rFonts w:asciiTheme="majorBidi" w:hAnsiTheme="majorBidi" w:cstheme="majorBidi"/>
          <w:color w:val="000000"/>
          <w:sz w:val="24"/>
          <w:szCs w:val="24"/>
        </w:rPr>
      </w:pPr>
      <w:r>
        <w:rPr>
          <w:rFonts w:asciiTheme="majorBidi" w:hAnsiTheme="majorBidi" w:cstheme="majorBidi"/>
          <w:sz w:val="24"/>
          <w:szCs w:val="24"/>
        </w:rPr>
        <w:t xml:space="preserve">The work of the third and fifth authors was supported by </w:t>
      </w:r>
      <w:r>
        <w:rPr>
          <w:rFonts w:asciiTheme="majorBidi" w:eastAsia="Times" w:hAnsiTheme="majorBidi" w:cstheme="majorBidi"/>
          <w:sz w:val="24"/>
          <w:szCs w:val="24"/>
        </w:rPr>
        <w:t>grant number 2016/21/B/HS6/01069 financed by Polish National Science Centre.</w:t>
      </w:r>
      <w:r>
        <w:rPr>
          <w:rFonts w:asciiTheme="majorBidi" w:hAnsiTheme="majorBidi" w:cstheme="majorBidi"/>
          <w:sz w:val="24"/>
          <w:szCs w:val="24"/>
        </w:rPr>
        <w:t xml:space="preserve"> The last author was partially funded by the Polish National Agency for Academic Exchange (PPN/ULM/2019/1/00019/U/00001). Corresponding author: Magdalena Żemojtel-Piotrowska, Institute of Psychology, Cardinal Stefan Wyszynski University in Warsaw, Woycickiego 1/3 Street, 01-938 Warsaw, Poland, Tel.: + 48 22 569 96 02; </w:t>
      </w:r>
      <w:hyperlink r:id="rId6" w:history="1">
        <w:r w:rsidRPr="00CF5270">
          <w:rPr>
            <w:rStyle w:val="Hyperlink"/>
            <w:rFonts w:asciiTheme="majorBidi" w:hAnsiTheme="majorBidi" w:cstheme="majorBidi"/>
            <w:color w:val="000000"/>
            <w:sz w:val="24"/>
            <w:szCs w:val="24"/>
            <w:u w:val="none"/>
          </w:rPr>
          <w:t>m.zemojtel-piotrowska@uksw.edu.pl</w:t>
        </w:r>
      </w:hyperlink>
    </w:p>
    <w:p w14:paraId="5820A3EF" w14:textId="77777777" w:rsidR="00CF5270" w:rsidRDefault="00CF5270" w:rsidP="00CF5270">
      <w:pPr>
        <w:spacing w:line="480" w:lineRule="exact"/>
        <w:rPr>
          <w:rFonts w:asciiTheme="majorBidi" w:hAnsiTheme="majorBidi" w:cstheme="majorBidi"/>
          <w:b/>
          <w:color w:val="0E101A"/>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color w:val="000000"/>
          <w:sz w:val="24"/>
          <w:szCs w:val="24"/>
        </w:rPr>
        <w:t xml:space="preserve">Data availability statement: </w:t>
      </w:r>
      <w:r>
        <w:rPr>
          <w:rFonts w:asciiTheme="majorBidi" w:hAnsiTheme="majorBidi" w:cstheme="majorBidi"/>
          <w:sz w:val="24"/>
          <w:szCs w:val="24"/>
        </w:rPr>
        <w:t xml:space="preserve">The data that support the findings of this study are openly available in Open Science Framework repository at </w:t>
      </w:r>
      <w:hyperlink r:id="rId7" w:history="1">
        <w:r>
          <w:rPr>
            <w:rStyle w:val="Hyperlink"/>
            <w:rFonts w:asciiTheme="majorBidi" w:hAnsiTheme="majorBidi" w:cstheme="majorBidi"/>
            <w:color w:val="000000"/>
            <w:sz w:val="24"/>
            <w:szCs w:val="24"/>
          </w:rPr>
          <w:t>h</w:t>
        </w:r>
        <w:r w:rsidRPr="00CF5270">
          <w:rPr>
            <w:rStyle w:val="Hyperlink"/>
            <w:rFonts w:asciiTheme="majorBidi" w:hAnsiTheme="majorBidi" w:cstheme="majorBidi"/>
            <w:color w:val="000000"/>
            <w:sz w:val="24"/>
            <w:szCs w:val="24"/>
            <w:u w:val="none"/>
          </w:rPr>
          <w:t>ttps://osf.io/x54st/?view_only=175478ad465643288973d54d6f4c4004&amp;fbclid=IwAR1gc-KQ4A_nWzjX9ZyzwPympi4m8_9AVhDIUcvxY57MSax_kC2Pdn7ZTCQ</w:t>
        </w:r>
      </w:hyperlink>
      <w:r>
        <w:rPr>
          <w:rFonts w:asciiTheme="majorBidi" w:hAnsiTheme="majorBidi" w:cstheme="majorBidi"/>
          <w:sz w:val="24"/>
          <w:szCs w:val="24"/>
        </w:rPr>
        <w:t xml:space="preserve">. </w:t>
      </w:r>
      <w:r>
        <w:rPr>
          <w:rFonts w:asciiTheme="majorBidi" w:hAnsiTheme="majorBidi" w:cstheme="majorBidi"/>
          <w:color w:val="000000"/>
          <w:sz w:val="24"/>
          <w:szCs w:val="24"/>
        </w:rPr>
        <w:t>The author identifying data will be added once the manuscript is accepted for publication.</w:t>
      </w:r>
    </w:p>
    <w:p w14:paraId="773DE4F5" w14:textId="77777777" w:rsidR="00CF5270" w:rsidRDefault="00CF5270" w:rsidP="00CF5270"/>
    <w:p w14:paraId="055E62AE" w14:textId="524683BD" w:rsidR="00F173EA" w:rsidRPr="00D7209D" w:rsidRDefault="004250A8">
      <w:pPr>
        <w:spacing w:line="480" w:lineRule="auto"/>
        <w:jc w:val="center"/>
        <w:rPr>
          <w:b/>
          <w:bCs/>
          <w:color w:val="0E101A"/>
          <w:sz w:val="24"/>
          <w:szCs w:val="24"/>
        </w:rPr>
      </w:pPr>
      <w:r w:rsidRPr="00D7209D">
        <w:rPr>
          <w:b/>
          <w:bCs/>
          <w:color w:val="0E101A"/>
          <w:sz w:val="24"/>
          <w:szCs w:val="24"/>
        </w:rPr>
        <w:lastRenderedPageBreak/>
        <w:t>Abstract</w:t>
      </w:r>
    </w:p>
    <w:p w14:paraId="54D6D6F1" w14:textId="61577F8A" w:rsidR="00ED4B4D" w:rsidRDefault="004250A8">
      <w:pPr>
        <w:pBdr>
          <w:top w:val="nil"/>
          <w:left w:val="nil"/>
          <w:bottom w:val="nil"/>
          <w:right w:val="nil"/>
          <w:between w:val="nil"/>
        </w:pBdr>
        <w:spacing w:line="480" w:lineRule="auto"/>
        <w:rPr>
          <w:i/>
          <w:color w:val="0E101A"/>
          <w:sz w:val="24"/>
          <w:szCs w:val="24"/>
        </w:rPr>
      </w:pPr>
      <w:bookmarkStart w:id="2" w:name="_30j0zll" w:colFirst="0" w:colLast="0"/>
      <w:bookmarkEnd w:id="2"/>
      <w:r>
        <w:rPr>
          <w:color w:val="0E101A"/>
          <w:sz w:val="24"/>
          <w:szCs w:val="24"/>
        </w:rPr>
        <w:t>In a nationally representative sample from Poland (</w:t>
      </w:r>
      <w:r>
        <w:rPr>
          <w:i/>
          <w:color w:val="0E101A"/>
          <w:sz w:val="24"/>
          <w:szCs w:val="24"/>
        </w:rPr>
        <w:t>N</w:t>
      </w:r>
      <w:r>
        <w:rPr>
          <w:color w:val="0E101A"/>
          <w:sz w:val="24"/>
          <w:szCs w:val="24"/>
        </w:rPr>
        <w:t xml:space="preserve"> = 755), we examined the relationships between the Dark Triad traits (i.e., psychopathy, Machiavellianism, and narcissism) and collective narcissism (i.e., agentic and communal)</w:t>
      </w:r>
      <w:r w:rsidR="0091490C">
        <w:rPr>
          <w:color w:val="0E101A"/>
          <w:sz w:val="24"/>
          <w:szCs w:val="24"/>
        </w:rPr>
        <w:t xml:space="preserve"> on the one hand,</w:t>
      </w:r>
      <w:r>
        <w:rPr>
          <w:color w:val="0E101A"/>
          <w:sz w:val="24"/>
          <w:szCs w:val="24"/>
        </w:rPr>
        <w:t xml:space="preserve"> and behaviors related to the COVID-19 pandemic at (1) the zero-order level, at (2) the latent variance level, and (3) indirectly through health beliefs about the virus (i.e., the health belief model)</w:t>
      </w:r>
      <w:r w:rsidR="0091490C">
        <w:rPr>
          <w:color w:val="0E101A"/>
          <w:sz w:val="24"/>
          <w:szCs w:val="24"/>
        </w:rPr>
        <w:t xml:space="preserve"> on the other</w:t>
      </w:r>
      <w:r>
        <w:rPr>
          <w:color w:val="0E101A"/>
          <w:sz w:val="24"/>
          <w:szCs w:val="24"/>
        </w:rPr>
        <w:t xml:space="preserve">. We focused on preventive and hoarding behaviors as common reactions toward </w:t>
      </w:r>
      <w:r>
        <w:rPr>
          <w:color w:val="000000"/>
          <w:sz w:val="24"/>
          <w:szCs w:val="24"/>
        </w:rPr>
        <w:t xml:space="preserve">the pandemic. Participants </w:t>
      </w:r>
      <w:r>
        <w:rPr>
          <w:color w:val="000000"/>
          <w:sz w:val="24"/>
          <w:szCs w:val="24"/>
          <w:highlight w:val="white"/>
        </w:rPr>
        <w:t>characterized by the Dark Triad traits engaged less in prevention and more in hoarding,</w:t>
      </w:r>
      <w:r>
        <w:rPr>
          <w:color w:val="000000"/>
          <w:sz w:val="24"/>
          <w:szCs w:val="24"/>
        </w:rPr>
        <w:t xml:space="preserve"> whereas those characterized by collective narcissism engaged in more hoarding only. Coronavirus-related health beliefs mediated patterns of prevention (fully) </w:t>
      </w:r>
      <w:r>
        <w:rPr>
          <w:color w:val="0E101A"/>
          <w:sz w:val="24"/>
          <w:szCs w:val="24"/>
        </w:rPr>
        <w:t>and hoarding (partially) in the latent Dark Triad (Dark Core) and collective narcissism. However, specific beliefs worked in opposite directions, resulting in a weak indirect effect for prevention and a null indirect effect for hoarding. The results point to the utility of health beliefs in predicting behaviors during the pandemic, explaining (at least in part) problematic behaviors associated with the dark personalities (i.e., Dark Triad, collective narcissism).</w:t>
      </w:r>
    </w:p>
    <w:p w14:paraId="3A8AECF1" w14:textId="6542F5A6" w:rsidR="00F173EA" w:rsidRDefault="004250A8" w:rsidP="00D7209D">
      <w:pPr>
        <w:pBdr>
          <w:top w:val="nil"/>
          <w:left w:val="nil"/>
          <w:bottom w:val="nil"/>
          <w:right w:val="nil"/>
          <w:between w:val="nil"/>
        </w:pBdr>
        <w:spacing w:line="480" w:lineRule="auto"/>
        <w:ind w:firstLine="720"/>
        <w:rPr>
          <w:color w:val="0E101A"/>
          <w:sz w:val="24"/>
          <w:szCs w:val="24"/>
        </w:rPr>
      </w:pPr>
      <w:r>
        <w:rPr>
          <w:i/>
          <w:color w:val="0E101A"/>
          <w:sz w:val="24"/>
          <w:szCs w:val="24"/>
        </w:rPr>
        <w:t>Keywords</w:t>
      </w:r>
      <w:r>
        <w:rPr>
          <w:color w:val="0E101A"/>
          <w:sz w:val="24"/>
          <w:szCs w:val="24"/>
        </w:rPr>
        <w:t xml:space="preserve">: </w:t>
      </w:r>
      <w:r>
        <w:rPr>
          <w:color w:val="000000"/>
          <w:sz w:val="24"/>
          <w:szCs w:val="24"/>
        </w:rPr>
        <w:t>Dark Triad; collective narcissism; prevention; hoarding; COVID-19</w:t>
      </w:r>
    </w:p>
    <w:p w14:paraId="7EB0BB54" w14:textId="77777777" w:rsidR="00F173EA" w:rsidRDefault="00F173EA">
      <w:pPr>
        <w:pBdr>
          <w:top w:val="nil"/>
          <w:left w:val="nil"/>
          <w:bottom w:val="nil"/>
          <w:right w:val="nil"/>
          <w:between w:val="nil"/>
        </w:pBdr>
        <w:spacing w:line="480" w:lineRule="auto"/>
        <w:ind w:hanging="2"/>
        <w:jc w:val="center"/>
        <w:rPr>
          <w:color w:val="0E101A"/>
          <w:sz w:val="24"/>
          <w:szCs w:val="24"/>
        </w:rPr>
      </w:pPr>
    </w:p>
    <w:p w14:paraId="5D0F874A" w14:textId="77777777" w:rsidR="00F173EA" w:rsidRDefault="00F173EA">
      <w:pPr>
        <w:pBdr>
          <w:top w:val="nil"/>
          <w:left w:val="nil"/>
          <w:bottom w:val="nil"/>
          <w:right w:val="nil"/>
          <w:between w:val="nil"/>
        </w:pBdr>
        <w:spacing w:line="480" w:lineRule="auto"/>
        <w:ind w:hanging="2"/>
        <w:rPr>
          <w:color w:val="0E101A"/>
          <w:sz w:val="24"/>
          <w:szCs w:val="24"/>
        </w:rPr>
      </w:pPr>
    </w:p>
    <w:p w14:paraId="37C612CD" w14:textId="77777777" w:rsidR="00F173EA" w:rsidRPr="00D7209D" w:rsidRDefault="004250A8">
      <w:pPr>
        <w:spacing w:line="480" w:lineRule="auto"/>
        <w:ind w:hanging="2"/>
        <w:jc w:val="center"/>
        <w:rPr>
          <w:b/>
          <w:bCs/>
          <w:color w:val="0E101A"/>
          <w:sz w:val="24"/>
          <w:szCs w:val="24"/>
        </w:rPr>
      </w:pPr>
      <w:r>
        <w:br w:type="page"/>
      </w:r>
      <w:r w:rsidRPr="00D7209D">
        <w:rPr>
          <w:b/>
          <w:bCs/>
          <w:color w:val="0E101A"/>
          <w:sz w:val="24"/>
          <w:szCs w:val="24"/>
        </w:rPr>
        <w:lastRenderedPageBreak/>
        <w:t xml:space="preserve">Adaptive and Maladaptive Behavior During the COVID-19 Pandemic: </w:t>
      </w:r>
    </w:p>
    <w:p w14:paraId="44CC120C" w14:textId="77777777" w:rsidR="00F173EA" w:rsidRPr="00D7209D" w:rsidRDefault="004250A8">
      <w:pPr>
        <w:spacing w:line="480" w:lineRule="auto"/>
        <w:ind w:hanging="2"/>
        <w:jc w:val="center"/>
        <w:rPr>
          <w:b/>
          <w:bCs/>
          <w:color w:val="0E101A"/>
          <w:sz w:val="24"/>
          <w:szCs w:val="24"/>
        </w:rPr>
      </w:pPr>
      <w:r w:rsidRPr="00D7209D">
        <w:rPr>
          <w:b/>
          <w:bCs/>
          <w:color w:val="0E101A"/>
          <w:sz w:val="24"/>
          <w:szCs w:val="24"/>
        </w:rPr>
        <w:t xml:space="preserve">The Role of Dark Personality Traits and Health Beliefs </w:t>
      </w:r>
    </w:p>
    <w:p w14:paraId="63DD2C73" w14:textId="333955DE" w:rsidR="00F173EA" w:rsidRDefault="004250A8">
      <w:pPr>
        <w:pBdr>
          <w:top w:val="nil"/>
          <w:left w:val="nil"/>
          <w:bottom w:val="nil"/>
          <w:right w:val="nil"/>
          <w:between w:val="nil"/>
        </w:pBdr>
        <w:spacing w:line="480" w:lineRule="auto"/>
        <w:ind w:firstLine="720"/>
        <w:rPr>
          <w:color w:val="0E101A"/>
          <w:sz w:val="24"/>
          <w:szCs w:val="24"/>
        </w:rPr>
      </w:pPr>
      <w:r>
        <w:rPr>
          <w:color w:val="0E101A"/>
          <w:sz w:val="24"/>
          <w:szCs w:val="24"/>
        </w:rPr>
        <w:t>The COVID-19 pandemic presented researchers with an unprecedented opportunity to understand how a physical threat (i.e., the virus) affects people and how people cope with it. One way of coping is by enacting health behaviors (i.e., prevention). Various factors influence the enactment of prevention (Friedman &amp; Kern 2014), and many such factors undoubtedly apply in the context of COVID-19. However, the pandemic afforded researchers a unique opportunity to re-examine how personality traits relate to adaptive (e.g., washing one’s hands) and maladaptive (e.g., overstocking on toilet paper) behaviors</w:t>
      </w:r>
      <w:r w:rsidR="00ED4B4D">
        <w:rPr>
          <w:color w:val="0E101A"/>
          <w:sz w:val="24"/>
          <w:szCs w:val="24"/>
        </w:rPr>
        <w:t>,</w:t>
      </w:r>
      <w:r>
        <w:rPr>
          <w:color w:val="0E101A"/>
          <w:sz w:val="24"/>
          <w:szCs w:val="24"/>
        </w:rPr>
        <w:t xml:space="preserve"> and how these patterns may depend on one’s beliefs about the virus. This opportunity was unique, not only because of the novelty and severity of COVID-19, but also because researchers could rely on more direct (or at least less retrospective) verbal reports of behavior.</w:t>
      </w:r>
    </w:p>
    <w:p w14:paraId="36FF2CAB" w14:textId="3CF7D37F" w:rsidR="00F173EA" w:rsidRDefault="004250A8">
      <w:pPr>
        <w:pBdr>
          <w:top w:val="nil"/>
          <w:left w:val="nil"/>
          <w:bottom w:val="nil"/>
          <w:right w:val="nil"/>
          <w:between w:val="nil"/>
        </w:pBdr>
        <w:spacing w:line="480" w:lineRule="auto"/>
        <w:ind w:firstLine="720"/>
        <w:rPr>
          <w:color w:val="0E101A"/>
          <w:sz w:val="24"/>
          <w:szCs w:val="24"/>
        </w:rPr>
      </w:pPr>
      <w:r>
        <w:rPr>
          <w:color w:val="0E101A"/>
          <w:sz w:val="24"/>
          <w:szCs w:val="24"/>
        </w:rPr>
        <w:t>Most prior research on the relationship between personality and prevention has focused on socially desirable aspects of personality</w:t>
      </w:r>
      <w:r w:rsidR="0091490C">
        <w:rPr>
          <w:color w:val="0E101A"/>
          <w:sz w:val="24"/>
          <w:szCs w:val="24"/>
        </w:rPr>
        <w:t>, such as</w:t>
      </w:r>
      <w:r>
        <w:rPr>
          <w:color w:val="0E101A"/>
          <w:sz w:val="24"/>
          <w:szCs w:val="24"/>
        </w:rPr>
        <w:t xml:space="preserve"> the Big Five</w:t>
      </w:r>
      <w:r w:rsidR="0091490C">
        <w:rPr>
          <w:color w:val="0E101A"/>
          <w:sz w:val="24"/>
          <w:szCs w:val="24"/>
        </w:rPr>
        <w:t xml:space="preserve"> traits</w:t>
      </w:r>
      <w:r>
        <w:rPr>
          <w:color w:val="0E101A"/>
          <w:sz w:val="24"/>
          <w:szCs w:val="24"/>
        </w:rPr>
        <w:t xml:space="preserve"> (i.e., extraversion, openness, emotional stability, agreeableness, conscientiousness</w:t>
      </w:r>
      <w:r w:rsidR="0091490C">
        <w:rPr>
          <w:color w:val="0E101A"/>
          <w:sz w:val="24"/>
          <w:szCs w:val="24"/>
        </w:rPr>
        <w:t xml:space="preserve">; </w:t>
      </w:r>
      <w:r>
        <w:rPr>
          <w:color w:val="0E101A"/>
          <w:sz w:val="24"/>
          <w:szCs w:val="24"/>
        </w:rPr>
        <w:t xml:space="preserve">Friedman &amp; Kern 2014; Yoshitake et al., 2019). </w:t>
      </w:r>
      <w:r w:rsidR="0091490C">
        <w:rPr>
          <w:color w:val="0E101A"/>
          <w:sz w:val="24"/>
          <w:szCs w:val="24"/>
        </w:rPr>
        <w:t xml:space="preserve">Although </w:t>
      </w:r>
      <w:r>
        <w:rPr>
          <w:color w:val="0E101A"/>
          <w:sz w:val="24"/>
          <w:szCs w:val="24"/>
        </w:rPr>
        <w:t>interesting</w:t>
      </w:r>
      <w:r w:rsidR="00ED4B4D">
        <w:rPr>
          <w:color w:val="0E101A"/>
          <w:sz w:val="24"/>
          <w:szCs w:val="24"/>
        </w:rPr>
        <w:t xml:space="preserve"> and important</w:t>
      </w:r>
      <w:r>
        <w:rPr>
          <w:color w:val="0E101A"/>
          <w:sz w:val="24"/>
          <w:szCs w:val="24"/>
        </w:rPr>
        <w:t>, th</w:t>
      </w:r>
      <w:r w:rsidR="0091490C">
        <w:rPr>
          <w:color w:val="0E101A"/>
          <w:sz w:val="24"/>
          <w:szCs w:val="24"/>
        </w:rPr>
        <w:t>is</w:t>
      </w:r>
      <w:r>
        <w:rPr>
          <w:color w:val="0E101A"/>
          <w:sz w:val="24"/>
          <w:szCs w:val="24"/>
        </w:rPr>
        <w:t xml:space="preserve"> focus may have provided an incomplete picture of the role of personality traits in accounting for individual differences in committing health behaviors. </w:t>
      </w:r>
      <w:r w:rsidR="00ED4B4D">
        <w:rPr>
          <w:color w:val="0E101A"/>
          <w:sz w:val="24"/>
          <w:szCs w:val="24"/>
        </w:rPr>
        <w:t>Additional t</w:t>
      </w:r>
      <w:r>
        <w:rPr>
          <w:color w:val="0E101A"/>
          <w:sz w:val="24"/>
          <w:szCs w:val="24"/>
        </w:rPr>
        <w:t>raits</w:t>
      </w:r>
      <w:r w:rsidR="00ED4B4D">
        <w:rPr>
          <w:color w:val="0E101A"/>
          <w:sz w:val="24"/>
          <w:szCs w:val="24"/>
        </w:rPr>
        <w:t>, such as</w:t>
      </w:r>
      <w:r>
        <w:rPr>
          <w:color w:val="0E101A"/>
          <w:sz w:val="24"/>
          <w:szCs w:val="24"/>
        </w:rPr>
        <w:t xml:space="preserve"> the Dark Triad (i.e., narcissism, Machiavellianism, psychopathy) and collective narcissism</w:t>
      </w:r>
      <w:r w:rsidR="00ED4B4D">
        <w:rPr>
          <w:color w:val="0E101A"/>
          <w:sz w:val="24"/>
          <w:szCs w:val="24"/>
        </w:rPr>
        <w:t>,</w:t>
      </w:r>
      <w:r>
        <w:rPr>
          <w:color w:val="0E101A"/>
          <w:sz w:val="24"/>
          <w:szCs w:val="24"/>
        </w:rPr>
        <w:t xml:space="preserve"> have attracted less empirical attention, </w:t>
      </w:r>
      <w:r w:rsidR="0091490C">
        <w:rPr>
          <w:color w:val="0E101A"/>
          <w:sz w:val="24"/>
          <w:szCs w:val="24"/>
        </w:rPr>
        <w:t xml:space="preserve">due to </w:t>
      </w:r>
      <w:r>
        <w:rPr>
          <w:color w:val="0E101A"/>
          <w:sz w:val="24"/>
          <w:szCs w:val="24"/>
        </w:rPr>
        <w:t xml:space="preserve">their self-oriented character along with their narrowband coverage of the personality space. These traits, however, may have implications for how </w:t>
      </w:r>
      <w:r w:rsidR="0091490C">
        <w:rPr>
          <w:color w:val="0E101A"/>
          <w:sz w:val="24"/>
          <w:szCs w:val="24"/>
        </w:rPr>
        <w:t xml:space="preserve">one </w:t>
      </w:r>
      <w:r>
        <w:rPr>
          <w:color w:val="0E101A"/>
          <w:sz w:val="24"/>
          <w:szCs w:val="24"/>
        </w:rPr>
        <w:t>cope</w:t>
      </w:r>
      <w:r w:rsidR="0091490C">
        <w:rPr>
          <w:color w:val="0E101A"/>
          <w:sz w:val="24"/>
          <w:szCs w:val="24"/>
        </w:rPr>
        <w:t>s</w:t>
      </w:r>
      <w:r>
        <w:rPr>
          <w:color w:val="0E101A"/>
          <w:sz w:val="24"/>
          <w:szCs w:val="24"/>
        </w:rPr>
        <w:t xml:space="preserve"> with the virus (e.g., via adaptive or preventive behavior such as washing hands) and how </w:t>
      </w:r>
      <w:r w:rsidR="0091490C">
        <w:rPr>
          <w:color w:val="0E101A"/>
          <w:sz w:val="24"/>
          <w:szCs w:val="24"/>
        </w:rPr>
        <w:t xml:space="preserve">one’s </w:t>
      </w:r>
      <w:r>
        <w:rPr>
          <w:color w:val="0E101A"/>
          <w:sz w:val="24"/>
          <w:szCs w:val="24"/>
        </w:rPr>
        <w:t xml:space="preserve">actions entail consequences for others (e.g., via maladaptive behavior such as hoarding supplies). For example, </w:t>
      </w:r>
      <w:r w:rsidR="00ED4B4D">
        <w:rPr>
          <w:color w:val="0E101A"/>
          <w:sz w:val="24"/>
          <w:szCs w:val="24"/>
        </w:rPr>
        <w:t xml:space="preserve">individuals </w:t>
      </w:r>
      <w:r>
        <w:rPr>
          <w:color w:val="0E101A"/>
          <w:sz w:val="24"/>
          <w:szCs w:val="24"/>
        </w:rPr>
        <w:t xml:space="preserve">characterized by the Dark Triad traits may be less likely to follow governmentally-enforced restrictions related to COVID-19 (Zajenkowski et al., 2020). Therefore, we examined </w:t>
      </w:r>
      <w:r>
        <w:rPr>
          <w:color w:val="0E101A"/>
          <w:sz w:val="24"/>
          <w:szCs w:val="24"/>
        </w:rPr>
        <w:lastRenderedPageBreak/>
        <w:t xml:space="preserve">how dark personality traits and collective narcissism predict health behaviors directly and indirectly through beliefs about the virus. </w:t>
      </w:r>
    </w:p>
    <w:p w14:paraId="76615D61" w14:textId="3F019A55" w:rsidR="00F173EA" w:rsidRDefault="00ED4B4D">
      <w:pPr>
        <w:pBdr>
          <w:top w:val="nil"/>
          <w:left w:val="nil"/>
          <w:bottom w:val="nil"/>
          <w:right w:val="nil"/>
          <w:between w:val="nil"/>
        </w:pBdr>
        <w:spacing w:line="480" w:lineRule="auto"/>
        <w:ind w:firstLine="720"/>
        <w:rPr>
          <w:color w:val="0E101A"/>
          <w:sz w:val="24"/>
          <w:szCs w:val="24"/>
          <w:u w:val="single"/>
        </w:rPr>
      </w:pPr>
      <w:r>
        <w:rPr>
          <w:color w:val="201F1E"/>
          <w:sz w:val="24"/>
          <w:szCs w:val="24"/>
          <w:highlight w:val="white"/>
        </w:rPr>
        <w:t xml:space="preserve">Given that </w:t>
      </w:r>
      <w:r w:rsidR="004250A8">
        <w:rPr>
          <w:color w:val="201F1E"/>
          <w:sz w:val="24"/>
          <w:szCs w:val="24"/>
          <w:highlight w:val="white"/>
        </w:rPr>
        <w:t>COVID-19 evoke</w:t>
      </w:r>
      <w:r>
        <w:rPr>
          <w:color w:val="201F1E"/>
          <w:sz w:val="24"/>
          <w:szCs w:val="24"/>
          <w:highlight w:val="white"/>
        </w:rPr>
        <w:t>s</w:t>
      </w:r>
      <w:r w:rsidR="004250A8">
        <w:rPr>
          <w:color w:val="201F1E"/>
          <w:sz w:val="24"/>
          <w:szCs w:val="24"/>
          <w:highlight w:val="white"/>
        </w:rPr>
        <w:t xml:space="preserve"> threats to the self and the group, we </w:t>
      </w:r>
      <w:r>
        <w:rPr>
          <w:color w:val="201F1E"/>
          <w:sz w:val="24"/>
          <w:szCs w:val="24"/>
          <w:highlight w:val="white"/>
        </w:rPr>
        <w:t xml:space="preserve">were concerned with </w:t>
      </w:r>
      <w:r w:rsidR="004250A8">
        <w:rPr>
          <w:color w:val="201F1E"/>
          <w:sz w:val="24"/>
          <w:szCs w:val="24"/>
          <w:highlight w:val="white"/>
        </w:rPr>
        <w:t>the role of p</w:t>
      </w:r>
      <w:r w:rsidR="004250A8">
        <w:rPr>
          <w:color w:val="0E101A"/>
          <w:sz w:val="24"/>
          <w:szCs w:val="24"/>
        </w:rPr>
        <w:t xml:space="preserve">erson-focused and group-focused traits </w:t>
      </w:r>
      <w:r>
        <w:rPr>
          <w:color w:val="0E101A"/>
          <w:sz w:val="24"/>
          <w:szCs w:val="24"/>
        </w:rPr>
        <w:t xml:space="preserve">in </w:t>
      </w:r>
      <w:r w:rsidR="004250A8">
        <w:rPr>
          <w:color w:val="0E101A"/>
          <w:sz w:val="24"/>
          <w:szCs w:val="24"/>
        </w:rPr>
        <w:t xml:space="preserve">prevention and health beliefs. </w:t>
      </w:r>
      <w:r w:rsidR="004250A8">
        <w:rPr>
          <w:color w:val="201F1E"/>
          <w:sz w:val="24"/>
          <w:szCs w:val="24"/>
          <w:highlight w:val="white"/>
        </w:rPr>
        <w:t xml:space="preserve">Person-focused traits are relevant to the self, </w:t>
      </w:r>
      <w:r>
        <w:rPr>
          <w:color w:val="201F1E"/>
          <w:sz w:val="24"/>
          <w:szCs w:val="24"/>
          <w:highlight w:val="white"/>
        </w:rPr>
        <w:t xml:space="preserve">whereas </w:t>
      </w:r>
      <w:r w:rsidR="004250A8">
        <w:rPr>
          <w:color w:val="201F1E"/>
          <w:sz w:val="24"/>
          <w:szCs w:val="24"/>
          <w:highlight w:val="white"/>
        </w:rPr>
        <w:t>group-focused traits are relevant to one’s identity as a</w:t>
      </w:r>
      <w:r>
        <w:rPr>
          <w:color w:val="201F1E"/>
          <w:sz w:val="24"/>
          <w:szCs w:val="24"/>
          <w:highlight w:val="white"/>
        </w:rPr>
        <w:t xml:space="preserve"> group</w:t>
      </w:r>
      <w:r w:rsidR="004250A8">
        <w:rPr>
          <w:color w:val="201F1E"/>
          <w:sz w:val="24"/>
          <w:szCs w:val="24"/>
          <w:highlight w:val="white"/>
        </w:rPr>
        <w:t xml:space="preserve"> member</w:t>
      </w:r>
      <w:r w:rsidR="00602778">
        <w:rPr>
          <w:color w:val="201F1E"/>
          <w:sz w:val="24"/>
          <w:szCs w:val="24"/>
          <w:highlight w:val="white"/>
        </w:rPr>
        <w:t xml:space="preserve"> (Sedikides et al., 2013)</w:t>
      </w:r>
      <w:r w:rsidR="004250A8">
        <w:rPr>
          <w:color w:val="201F1E"/>
          <w:sz w:val="24"/>
          <w:szCs w:val="24"/>
          <w:highlight w:val="white"/>
        </w:rPr>
        <w:t xml:space="preserve">. </w:t>
      </w:r>
      <w:r>
        <w:rPr>
          <w:color w:val="201F1E"/>
          <w:sz w:val="24"/>
          <w:szCs w:val="24"/>
        </w:rPr>
        <w:t>Also, m</w:t>
      </w:r>
      <w:r w:rsidR="004250A8">
        <w:rPr>
          <w:color w:val="0E101A"/>
          <w:sz w:val="24"/>
          <w:szCs w:val="24"/>
        </w:rPr>
        <w:t>easures of person-focused traits invite participants to report their opinions of themselves, whereas measures of group-focused traits invite participants to report their opinions of their group (</w:t>
      </w:r>
      <w:r w:rsidR="004250A8">
        <w:rPr>
          <w:color w:val="201F1E"/>
          <w:sz w:val="24"/>
          <w:szCs w:val="24"/>
          <w:highlight w:val="white"/>
        </w:rPr>
        <w:t xml:space="preserve">Żemojtel-Piotrowska et al., 2020a). </w:t>
      </w:r>
      <w:r w:rsidR="004250A8">
        <w:rPr>
          <w:color w:val="0E101A"/>
          <w:sz w:val="24"/>
          <w:szCs w:val="24"/>
        </w:rPr>
        <w:t>Although there is a wide range of so-called dark traits to consider (</w:t>
      </w:r>
      <w:r w:rsidR="004250A8">
        <w:rPr>
          <w:color w:val="222222"/>
          <w:sz w:val="24"/>
          <w:szCs w:val="24"/>
          <w:highlight w:val="white"/>
        </w:rPr>
        <w:t>Zeigler-Hill &amp; Marcus 2016)</w:t>
      </w:r>
      <w:r w:rsidR="004250A8">
        <w:rPr>
          <w:color w:val="222222"/>
          <w:sz w:val="24"/>
          <w:szCs w:val="24"/>
        </w:rPr>
        <w:t xml:space="preserve">, </w:t>
      </w:r>
      <w:r w:rsidR="004250A8">
        <w:rPr>
          <w:color w:val="201F1E"/>
          <w:sz w:val="24"/>
          <w:szCs w:val="24"/>
          <w:highlight w:val="white"/>
        </w:rPr>
        <w:t>as a rule</w:t>
      </w:r>
      <w:r w:rsidR="00C16722">
        <w:rPr>
          <w:color w:val="201F1E"/>
          <w:sz w:val="24"/>
          <w:szCs w:val="24"/>
          <w:highlight w:val="white"/>
        </w:rPr>
        <w:t>,</w:t>
      </w:r>
      <w:r w:rsidR="004250A8">
        <w:rPr>
          <w:color w:val="201F1E"/>
          <w:sz w:val="24"/>
          <w:szCs w:val="24"/>
          <w:highlight w:val="white"/>
        </w:rPr>
        <w:t xml:space="preserve"> the</w:t>
      </w:r>
      <w:r>
        <w:rPr>
          <w:color w:val="201F1E"/>
          <w:sz w:val="24"/>
          <w:szCs w:val="24"/>
          <w:highlight w:val="white"/>
        </w:rPr>
        <w:t>se traits</w:t>
      </w:r>
      <w:r w:rsidR="004250A8">
        <w:rPr>
          <w:color w:val="201F1E"/>
          <w:sz w:val="24"/>
          <w:szCs w:val="24"/>
          <w:highlight w:val="white"/>
        </w:rPr>
        <w:t xml:space="preserve"> are manifestations </w:t>
      </w:r>
      <w:r w:rsidR="00C16722">
        <w:rPr>
          <w:color w:val="201F1E"/>
          <w:sz w:val="24"/>
          <w:szCs w:val="24"/>
          <w:highlight w:val="white"/>
        </w:rPr>
        <w:t xml:space="preserve">of </w:t>
      </w:r>
      <w:r w:rsidR="004250A8">
        <w:rPr>
          <w:color w:val="201F1E"/>
          <w:sz w:val="24"/>
          <w:szCs w:val="24"/>
          <w:highlight w:val="white"/>
        </w:rPr>
        <w:t>self-interest</w:t>
      </w:r>
      <w:r w:rsidR="00C16722">
        <w:rPr>
          <w:color w:val="201F1E"/>
          <w:sz w:val="24"/>
          <w:szCs w:val="24"/>
          <w:highlight w:val="white"/>
        </w:rPr>
        <w:t>s</w:t>
      </w:r>
      <w:r w:rsidR="004250A8">
        <w:rPr>
          <w:color w:val="201F1E"/>
          <w:sz w:val="24"/>
          <w:szCs w:val="24"/>
          <w:highlight w:val="white"/>
        </w:rPr>
        <w:t>—individual or group</w:t>
      </w:r>
      <w:r>
        <w:rPr>
          <w:color w:val="201F1E"/>
          <w:sz w:val="24"/>
          <w:szCs w:val="24"/>
          <w:highlight w:val="white"/>
        </w:rPr>
        <w:t xml:space="preserve">; that is, the traits refer </w:t>
      </w:r>
      <w:r w:rsidR="004250A8">
        <w:rPr>
          <w:color w:val="201F1E"/>
          <w:sz w:val="24"/>
          <w:szCs w:val="24"/>
          <w:highlight w:val="white"/>
        </w:rPr>
        <w:t>to maximiz</w:t>
      </w:r>
      <w:r>
        <w:rPr>
          <w:color w:val="201F1E"/>
          <w:sz w:val="24"/>
          <w:szCs w:val="24"/>
          <w:highlight w:val="white"/>
        </w:rPr>
        <w:t>ing one’s</w:t>
      </w:r>
      <w:r w:rsidR="004250A8">
        <w:rPr>
          <w:color w:val="201F1E"/>
          <w:sz w:val="24"/>
          <w:szCs w:val="24"/>
          <w:highlight w:val="white"/>
        </w:rPr>
        <w:t xml:space="preserve"> own benefit</w:t>
      </w:r>
      <w:r>
        <w:rPr>
          <w:color w:val="201F1E"/>
          <w:sz w:val="24"/>
          <w:szCs w:val="24"/>
          <w:highlight w:val="white"/>
        </w:rPr>
        <w:t xml:space="preserve"> or one’s group benefit</w:t>
      </w:r>
      <w:r w:rsidR="004250A8">
        <w:rPr>
          <w:color w:val="201F1E"/>
          <w:sz w:val="24"/>
          <w:szCs w:val="24"/>
          <w:highlight w:val="white"/>
        </w:rPr>
        <w:t>, even at the expense of others</w:t>
      </w:r>
      <w:r>
        <w:rPr>
          <w:color w:val="201F1E"/>
          <w:sz w:val="24"/>
          <w:szCs w:val="24"/>
          <w:highlight w:val="white"/>
        </w:rPr>
        <w:t xml:space="preserve"> persons or groups</w:t>
      </w:r>
      <w:r w:rsidR="004250A8">
        <w:rPr>
          <w:color w:val="201F1E"/>
          <w:sz w:val="24"/>
          <w:szCs w:val="24"/>
          <w:highlight w:val="white"/>
        </w:rPr>
        <w:t>.</w:t>
      </w:r>
    </w:p>
    <w:p w14:paraId="10485A76" w14:textId="77777777" w:rsidR="00F173EA" w:rsidRDefault="004250A8">
      <w:pPr>
        <w:pBdr>
          <w:top w:val="nil"/>
          <w:left w:val="nil"/>
          <w:bottom w:val="nil"/>
          <w:right w:val="nil"/>
          <w:between w:val="nil"/>
        </w:pBdr>
        <w:spacing w:line="480" w:lineRule="auto"/>
        <w:ind w:firstLine="720"/>
        <w:rPr>
          <w:color w:val="0E101A"/>
          <w:sz w:val="24"/>
          <w:szCs w:val="24"/>
        </w:rPr>
      </w:pPr>
      <w:r>
        <w:rPr>
          <w:color w:val="0E101A"/>
          <w:sz w:val="24"/>
          <w:szCs w:val="24"/>
        </w:rPr>
        <w:t>For person-focused traits, we considered the Dark Triad (Paulhus &amp; Williams, 2002) of Machiavellianism (i.e., manipulativeness and cynicism), narcissism (i.e., grandiose self-view and sense of entitlement), and psychopathy (i.e., impulsivity and emotional callousness). For group-focused traits, we considered collective narcissism—in its agentic (</w:t>
      </w:r>
      <w:r>
        <w:rPr>
          <w:color w:val="000000"/>
          <w:sz w:val="24"/>
          <w:szCs w:val="24"/>
        </w:rPr>
        <w:t>Golec de Zavala et al., 2009</w:t>
      </w:r>
      <w:r>
        <w:rPr>
          <w:color w:val="0E101A"/>
          <w:sz w:val="24"/>
          <w:szCs w:val="24"/>
        </w:rPr>
        <w:t>) and communal (</w:t>
      </w:r>
      <w:r>
        <w:rPr>
          <w:sz w:val="24"/>
          <w:szCs w:val="24"/>
        </w:rPr>
        <w:t>Żemojtel-Piotrowska et al., 2020c) forms</w:t>
      </w:r>
      <w:r>
        <w:rPr>
          <w:color w:val="0E101A"/>
          <w:sz w:val="24"/>
          <w:szCs w:val="24"/>
        </w:rPr>
        <w:t>. Agentic collective narcissism</w:t>
      </w:r>
      <w:r>
        <w:rPr>
          <w:color w:val="000000"/>
          <w:sz w:val="24"/>
          <w:szCs w:val="24"/>
        </w:rPr>
        <w:t xml:space="preserve"> refers to strong identification with one’s group, unrealistically positive beliefs about the group’s potency in the agentic domain (e.g., achievement, competence, dominance), entitlement about the group, and grievance for lack of external recognition. Communal collective narcissism refers to a strong identification with one’s ingroup, unrealistically positive beliefs about the ingroup’s communality (e.g., friendliness, helpfulness, sacrifice), entitlement about the group’s communal value, and grievances for lack of external recognition in the communal domain (Żemojtel-Piotrowska et al., 2020c).</w:t>
      </w:r>
      <w:r>
        <w:rPr>
          <w:color w:val="0E101A"/>
          <w:sz w:val="24"/>
          <w:szCs w:val="24"/>
        </w:rPr>
        <w:t xml:space="preserve"> Both collective and grandiose narcissism may be compensatory mechanisms for fragile self-esteem accompanied by a (hyper)sensitivity to threat (Golec de Zavala, 2018; Mollon, 1993). </w:t>
      </w:r>
      <w:r>
        <w:rPr>
          <w:color w:val="0E101A"/>
          <w:sz w:val="24"/>
          <w:szCs w:val="24"/>
        </w:rPr>
        <w:lastRenderedPageBreak/>
        <w:t>Given that the COVID-19 virus is a threat to people’s physical health (Ahorsu et al., 2020), we expected person- and group-focused aspects of dark personality to be related to reactions towards the virus, leading to preventive and hoarding behaviors as manifestations of minimizing perceived danger and maximizing self-interest.</w:t>
      </w:r>
    </w:p>
    <w:p w14:paraId="42C31D09" w14:textId="221D85A2" w:rsidR="00F173EA" w:rsidRDefault="004250A8">
      <w:pPr>
        <w:pBdr>
          <w:top w:val="nil"/>
          <w:left w:val="nil"/>
          <w:bottom w:val="nil"/>
          <w:right w:val="nil"/>
          <w:between w:val="nil"/>
        </w:pBdr>
        <w:spacing w:line="480" w:lineRule="auto"/>
        <w:ind w:firstLine="720"/>
        <w:rPr>
          <w:color w:val="0E101A"/>
          <w:sz w:val="24"/>
          <w:szCs w:val="24"/>
        </w:rPr>
      </w:pPr>
      <w:r>
        <w:rPr>
          <w:color w:val="0E101A"/>
          <w:sz w:val="24"/>
          <w:szCs w:val="24"/>
        </w:rPr>
        <w:t>The Dark Triad traits are correlated with various behaviors that affect people’s health, suggesting the traits may play a role in responses to the COVID-19 virus. Individuals characterized by the Dark Triad traits are likely to be impulsive (Jones &amp; Paulhus, 2011) and competitive (Jones &amp; Figueredo, 2013), as well as to engage in risky behaviors (Gott &amp; Hetzel-Riggin, 2018)—proclivities that may adversely affect one’s health. Indeed, the Dark Triad traits are linked to adverse health outcomes</w:t>
      </w:r>
      <w:r w:rsidR="007D20A1">
        <w:rPr>
          <w:color w:val="0E101A"/>
          <w:sz w:val="24"/>
          <w:szCs w:val="24"/>
        </w:rPr>
        <w:t>, such as</w:t>
      </w:r>
      <w:r>
        <w:rPr>
          <w:color w:val="0E101A"/>
          <w:sz w:val="24"/>
          <w:szCs w:val="24"/>
        </w:rPr>
        <w:t xml:space="preserve"> self-reported headaches (Malesza &amp; Kaczmarek, 2019) and a shorter life expectancy (Jonason et al., 2015). In relation to the virus, those higher, for example, in rivalrous narcissism, Machiavellianism, and psychopathy (Factor 1), were less likely to comply with governmental restrictions geared towards reducing the spread of the virus in Poland (Zajenkowski et al., 2020). Therefore, because of the agentic (Jonason &amp; Fletcher, 2018), impulsive (Jones &amp; Paulhus, 2011), nonconformist (Jonason et al. 2020), short-sighted (Jonason et al., 2017), and risk-taking (Crysel et al., 2013) tendencies of those characterized by the Dark Triad traits, we </w:t>
      </w:r>
      <w:r w:rsidR="007D20A1">
        <w:rPr>
          <w:color w:val="0E101A"/>
          <w:sz w:val="24"/>
          <w:szCs w:val="24"/>
        </w:rPr>
        <w:t xml:space="preserve">hypothesized that they would </w:t>
      </w:r>
      <w:r>
        <w:rPr>
          <w:color w:val="0E101A"/>
          <w:sz w:val="24"/>
          <w:szCs w:val="24"/>
        </w:rPr>
        <w:t>(1) engage in limited prevention but (2) be likely to hoard supplies.</w:t>
      </w:r>
    </w:p>
    <w:p w14:paraId="523DB6A3" w14:textId="7C5A65CB" w:rsidR="00F173EA" w:rsidRDefault="004250A8">
      <w:pPr>
        <w:pBdr>
          <w:top w:val="nil"/>
          <w:left w:val="nil"/>
          <w:bottom w:val="nil"/>
          <w:right w:val="nil"/>
          <w:between w:val="nil"/>
        </w:pBdr>
        <w:spacing w:line="480" w:lineRule="auto"/>
        <w:ind w:firstLine="720"/>
        <w:rPr>
          <w:color w:val="0E101A"/>
          <w:sz w:val="24"/>
          <w:szCs w:val="24"/>
        </w:rPr>
      </w:pPr>
      <w:r>
        <w:rPr>
          <w:color w:val="0E101A"/>
          <w:sz w:val="24"/>
          <w:szCs w:val="24"/>
        </w:rPr>
        <w:t xml:space="preserve">Unlike the Dark Triad traits, which are about the person, collective narcissism is about how exceptional someone feels their group is (in the agentic or communal </w:t>
      </w:r>
      <w:r w:rsidR="007D20A1">
        <w:rPr>
          <w:color w:val="0E101A"/>
          <w:sz w:val="24"/>
          <w:szCs w:val="24"/>
        </w:rPr>
        <w:t>domain</w:t>
      </w:r>
      <w:r>
        <w:rPr>
          <w:color w:val="0E101A"/>
          <w:sz w:val="24"/>
          <w:szCs w:val="24"/>
        </w:rPr>
        <w:t xml:space="preserve">) and how </w:t>
      </w:r>
      <w:r w:rsidR="007D20A1">
        <w:rPr>
          <w:color w:val="0E101A"/>
          <w:sz w:val="24"/>
          <w:szCs w:val="24"/>
        </w:rPr>
        <w:t xml:space="preserve">inferior </w:t>
      </w:r>
      <w:r>
        <w:rPr>
          <w:color w:val="0E101A"/>
          <w:sz w:val="24"/>
          <w:szCs w:val="24"/>
        </w:rPr>
        <w:t>they feel that other groups are (Golec de Zavala, 2018). This disposition translates to hypersensitivity to threats and proclivity for negative emotionality (Golec de Zavala et al., 2013, 2019). We contend</w:t>
      </w:r>
      <w:r w:rsidR="007D20A1">
        <w:rPr>
          <w:color w:val="0E101A"/>
          <w:sz w:val="24"/>
          <w:szCs w:val="24"/>
        </w:rPr>
        <w:t xml:space="preserve"> that</w:t>
      </w:r>
      <w:r>
        <w:rPr>
          <w:color w:val="0E101A"/>
          <w:sz w:val="24"/>
          <w:szCs w:val="24"/>
        </w:rPr>
        <w:t xml:space="preserve"> these traits are group-focused (</w:t>
      </w:r>
      <w:r>
        <w:rPr>
          <w:color w:val="201F1E"/>
          <w:sz w:val="24"/>
          <w:szCs w:val="24"/>
          <w:highlight w:val="white"/>
        </w:rPr>
        <w:t xml:space="preserve">Żemojtel-Piotrowska et al., 2020a). </w:t>
      </w:r>
      <w:r>
        <w:rPr>
          <w:color w:val="0E101A"/>
          <w:sz w:val="24"/>
          <w:szCs w:val="24"/>
        </w:rPr>
        <w:t xml:space="preserve">To date, there is no research (we know of) on how collective narcissists protect their health, and there is only limited research on how they react during the pandemic, specifically, by more </w:t>
      </w:r>
      <w:r>
        <w:rPr>
          <w:color w:val="0E101A"/>
          <w:sz w:val="24"/>
          <w:szCs w:val="24"/>
        </w:rPr>
        <w:lastRenderedPageBreak/>
        <w:t xml:space="preserve">frequent </w:t>
      </w:r>
      <w:r w:rsidR="006F6819">
        <w:rPr>
          <w:color w:val="0E101A"/>
          <w:sz w:val="24"/>
          <w:szCs w:val="24"/>
        </w:rPr>
        <w:t>hand washing</w:t>
      </w:r>
      <w:r>
        <w:rPr>
          <w:color w:val="0E101A"/>
          <w:sz w:val="24"/>
          <w:szCs w:val="24"/>
        </w:rPr>
        <w:t xml:space="preserve"> (Sternisko et al., 2020). </w:t>
      </w:r>
      <w:r w:rsidR="006F6819">
        <w:rPr>
          <w:color w:val="0E101A"/>
          <w:sz w:val="24"/>
          <w:szCs w:val="24"/>
        </w:rPr>
        <w:t>A</w:t>
      </w:r>
      <w:r>
        <w:rPr>
          <w:color w:val="0E101A"/>
          <w:sz w:val="24"/>
          <w:szCs w:val="24"/>
        </w:rPr>
        <w:t>ssuming</w:t>
      </w:r>
      <w:r w:rsidR="007D20A1">
        <w:rPr>
          <w:color w:val="0E101A"/>
          <w:sz w:val="24"/>
          <w:szCs w:val="24"/>
        </w:rPr>
        <w:t xml:space="preserve"> that</w:t>
      </w:r>
      <w:r>
        <w:rPr>
          <w:color w:val="0E101A"/>
          <w:sz w:val="24"/>
          <w:szCs w:val="24"/>
        </w:rPr>
        <w:t xml:space="preserve"> COVID-19 would act as a threat to one’s sense of group superiority (Sternisko et al., 2020; Żemojtel-Piotrowska et al., 2020b), </w:t>
      </w:r>
      <w:r w:rsidR="006F6819">
        <w:rPr>
          <w:color w:val="0E101A"/>
          <w:sz w:val="24"/>
          <w:szCs w:val="24"/>
        </w:rPr>
        <w:t>we hypothesized</w:t>
      </w:r>
      <w:r w:rsidR="007D20A1">
        <w:rPr>
          <w:color w:val="0E101A"/>
          <w:sz w:val="24"/>
          <w:szCs w:val="24"/>
        </w:rPr>
        <w:t xml:space="preserve"> that</w:t>
      </w:r>
      <w:r w:rsidR="006F6819">
        <w:rPr>
          <w:color w:val="0E101A"/>
          <w:sz w:val="24"/>
          <w:szCs w:val="24"/>
        </w:rPr>
        <w:t xml:space="preserve"> </w:t>
      </w:r>
      <w:r>
        <w:rPr>
          <w:color w:val="0E101A"/>
          <w:sz w:val="24"/>
          <w:szCs w:val="24"/>
        </w:rPr>
        <w:t>it would spur positive associations between collective narcissism and hoarding, but not necessarily between collective narcissism and preventive behaviors. On the other hand, collective narcissists might adopt preventive measures</w:t>
      </w:r>
      <w:r w:rsidR="007D20A1">
        <w:rPr>
          <w:color w:val="0E101A"/>
          <w:sz w:val="24"/>
          <w:szCs w:val="24"/>
        </w:rPr>
        <w:t>,</w:t>
      </w:r>
      <w:r>
        <w:rPr>
          <w:color w:val="0E101A"/>
          <w:sz w:val="24"/>
          <w:szCs w:val="24"/>
        </w:rPr>
        <w:t xml:space="preserve"> because they were encouraged to do so by their own government. Support for government could be a reaction to an external threat </w:t>
      </w:r>
      <w:r w:rsidR="007D20A1">
        <w:rPr>
          <w:color w:val="0E101A"/>
          <w:sz w:val="24"/>
          <w:szCs w:val="24"/>
        </w:rPr>
        <w:t xml:space="preserve">of </w:t>
      </w:r>
      <w:r w:rsidR="006F6819">
        <w:rPr>
          <w:color w:val="0E101A"/>
          <w:sz w:val="24"/>
          <w:szCs w:val="24"/>
        </w:rPr>
        <w:t xml:space="preserve">the </w:t>
      </w:r>
      <w:r>
        <w:rPr>
          <w:color w:val="0E101A"/>
          <w:sz w:val="24"/>
          <w:szCs w:val="24"/>
        </w:rPr>
        <w:t>ingroup status quo (Henderson-King et al., 2009).</w:t>
      </w:r>
      <w:r>
        <w:rPr>
          <w:sz w:val="16"/>
          <w:szCs w:val="16"/>
        </w:rPr>
        <w:t xml:space="preserve"> </w:t>
      </w:r>
    </w:p>
    <w:p w14:paraId="24947949" w14:textId="5E197F02" w:rsidR="00F173EA" w:rsidRDefault="007D20A1">
      <w:pPr>
        <w:pBdr>
          <w:top w:val="nil"/>
          <w:left w:val="nil"/>
          <w:bottom w:val="nil"/>
          <w:right w:val="nil"/>
          <w:between w:val="nil"/>
        </w:pBdr>
        <w:spacing w:line="480" w:lineRule="auto"/>
        <w:ind w:firstLine="720"/>
        <w:rPr>
          <w:color w:val="0E101A"/>
          <w:sz w:val="24"/>
          <w:szCs w:val="24"/>
        </w:rPr>
      </w:pPr>
      <w:bookmarkStart w:id="3" w:name="_1fob9te" w:colFirst="0" w:colLast="0"/>
      <w:bookmarkEnd w:id="3"/>
      <w:r>
        <w:rPr>
          <w:color w:val="0E101A"/>
          <w:sz w:val="24"/>
          <w:szCs w:val="24"/>
        </w:rPr>
        <w:t>In general, personality t</w:t>
      </w:r>
      <w:r w:rsidR="004250A8">
        <w:rPr>
          <w:color w:val="0E101A"/>
          <w:sz w:val="24"/>
          <w:szCs w:val="24"/>
        </w:rPr>
        <w:t xml:space="preserve">raits are likely to be associated with mechanisms that facilitate adopting certain behaviors in relation to </w:t>
      </w:r>
      <w:r>
        <w:rPr>
          <w:color w:val="0E101A"/>
          <w:sz w:val="24"/>
          <w:szCs w:val="24"/>
        </w:rPr>
        <w:t xml:space="preserve">one’s </w:t>
      </w:r>
      <w:r w:rsidR="004250A8">
        <w:rPr>
          <w:color w:val="0E101A"/>
          <w:sz w:val="24"/>
          <w:szCs w:val="24"/>
        </w:rPr>
        <w:t>health. One of those mechanism may be the beliefs</w:t>
      </w:r>
      <w:r>
        <w:rPr>
          <w:color w:val="0E101A"/>
          <w:sz w:val="24"/>
          <w:szCs w:val="24"/>
        </w:rPr>
        <w:t xml:space="preserve"> that</w:t>
      </w:r>
      <w:r w:rsidR="004250A8">
        <w:rPr>
          <w:color w:val="0E101A"/>
          <w:sz w:val="24"/>
          <w:szCs w:val="24"/>
        </w:rPr>
        <w:t xml:space="preserve"> someone holds about</w:t>
      </w:r>
      <w:r>
        <w:rPr>
          <w:color w:val="0E101A"/>
          <w:sz w:val="24"/>
          <w:szCs w:val="24"/>
        </w:rPr>
        <w:t xml:space="preserve"> their</w:t>
      </w:r>
      <w:r w:rsidR="004250A8">
        <w:rPr>
          <w:color w:val="0E101A"/>
          <w:sz w:val="24"/>
          <w:szCs w:val="24"/>
        </w:rPr>
        <w:t xml:space="preserve"> health (Yoshitake et al., 2019). </w:t>
      </w:r>
      <w:r>
        <w:rPr>
          <w:color w:val="0E101A"/>
          <w:sz w:val="24"/>
          <w:szCs w:val="24"/>
        </w:rPr>
        <w:t xml:space="preserve">Put otherwise, </w:t>
      </w:r>
      <w:r w:rsidR="004250A8">
        <w:rPr>
          <w:color w:val="0E101A"/>
          <w:sz w:val="24"/>
          <w:szCs w:val="24"/>
        </w:rPr>
        <w:t>traits may be indirectly linked to health behaviors through beliefs. One pertinent theoretical model</w:t>
      </w:r>
      <w:r>
        <w:rPr>
          <w:color w:val="0E101A"/>
          <w:sz w:val="24"/>
          <w:szCs w:val="24"/>
        </w:rPr>
        <w:t xml:space="preserve">, </w:t>
      </w:r>
      <w:r w:rsidR="004250A8">
        <w:rPr>
          <w:color w:val="0E101A"/>
          <w:sz w:val="24"/>
          <w:szCs w:val="24"/>
        </w:rPr>
        <w:t>the h</w:t>
      </w:r>
      <w:r w:rsidR="00DF0427">
        <w:rPr>
          <w:color w:val="0E101A"/>
          <w:sz w:val="24"/>
          <w:szCs w:val="24"/>
        </w:rPr>
        <w:t>ealth belief model</w:t>
      </w:r>
      <w:r>
        <w:rPr>
          <w:color w:val="0E101A"/>
          <w:sz w:val="24"/>
          <w:szCs w:val="24"/>
        </w:rPr>
        <w:t>,</w:t>
      </w:r>
      <w:r w:rsidR="00DF0427">
        <w:rPr>
          <w:color w:val="0E101A"/>
          <w:sz w:val="24"/>
          <w:szCs w:val="24"/>
        </w:rPr>
        <w:t xml:space="preserve"> proposes five</w:t>
      </w:r>
      <w:r w:rsidR="004250A8">
        <w:rPr>
          <w:color w:val="0E101A"/>
          <w:sz w:val="24"/>
          <w:szCs w:val="24"/>
        </w:rPr>
        <w:t xml:space="preserve"> classes of such beliefs: perceived susceptibility, perceived severity, perceived benefits, perceived barriers, self-efficacy, and </w:t>
      </w:r>
      <w:r w:rsidR="00DF0427">
        <w:rPr>
          <w:color w:val="0E101A"/>
          <w:sz w:val="24"/>
          <w:szCs w:val="24"/>
        </w:rPr>
        <w:t xml:space="preserve">additionally </w:t>
      </w:r>
      <w:r w:rsidR="004250A8">
        <w:rPr>
          <w:color w:val="0E101A"/>
          <w:sz w:val="24"/>
          <w:szCs w:val="24"/>
        </w:rPr>
        <w:t>cues to action (Rosenstock, 1974; Rosenstock et al., 1988). This model has been applied to the MERS-Cov coronavirus infection (Alsulaiman &amp; Rentner, 2018) to understand compliance with measures recommended by the Saudi Arabian government</w:t>
      </w:r>
      <w:r>
        <w:rPr>
          <w:color w:val="0E101A"/>
          <w:sz w:val="24"/>
          <w:szCs w:val="24"/>
        </w:rPr>
        <w:t>,</w:t>
      </w:r>
      <w:r w:rsidR="004250A8">
        <w:rPr>
          <w:color w:val="0E101A"/>
          <w:sz w:val="24"/>
          <w:szCs w:val="24"/>
        </w:rPr>
        <w:t xml:space="preserve"> a situation resembling the current pandemic. We regarded individual differences in these beliefs as putative mediators between personality traits and health-related behaviors in relation to COVID-19. </w:t>
      </w:r>
    </w:p>
    <w:p w14:paraId="6EFDB8D6" w14:textId="74EDCAEE" w:rsidR="00F173EA" w:rsidRDefault="004250A8">
      <w:pPr>
        <w:pBdr>
          <w:top w:val="nil"/>
          <w:left w:val="nil"/>
          <w:bottom w:val="nil"/>
          <w:right w:val="nil"/>
          <w:between w:val="nil"/>
        </w:pBdr>
        <w:spacing w:line="480" w:lineRule="auto"/>
        <w:ind w:firstLine="720"/>
        <w:rPr>
          <w:color w:val="0E101A"/>
          <w:sz w:val="24"/>
          <w:szCs w:val="24"/>
        </w:rPr>
      </w:pPr>
      <w:r>
        <w:rPr>
          <w:color w:val="0E101A"/>
          <w:sz w:val="24"/>
          <w:szCs w:val="24"/>
        </w:rPr>
        <w:t>In the first half of 2020, people from around the world found themselves in a</w:t>
      </w:r>
      <w:r w:rsidR="007D20A1">
        <w:rPr>
          <w:color w:val="0E101A"/>
          <w:sz w:val="24"/>
          <w:szCs w:val="24"/>
        </w:rPr>
        <w:t>n</w:t>
      </w:r>
      <w:r>
        <w:rPr>
          <w:color w:val="0E101A"/>
          <w:sz w:val="24"/>
          <w:szCs w:val="24"/>
        </w:rPr>
        <w:t xml:space="preserve"> unprecedented </w:t>
      </w:r>
      <w:r w:rsidR="007D20A1">
        <w:rPr>
          <w:color w:val="0E101A"/>
          <w:sz w:val="24"/>
          <w:szCs w:val="24"/>
        </w:rPr>
        <w:t>situation</w:t>
      </w:r>
      <w:r>
        <w:rPr>
          <w:color w:val="0E101A"/>
          <w:sz w:val="24"/>
          <w:szCs w:val="24"/>
        </w:rPr>
        <w:t>. The spread of the COVID-19 virus and the ensuing policies and efforts to restrict its spread placed people in states of existential threat and limited freedom. How people react to these may be related to their personality and belie</w:t>
      </w:r>
      <w:r w:rsidR="007D20A1">
        <w:rPr>
          <w:color w:val="0E101A"/>
          <w:sz w:val="24"/>
          <w:szCs w:val="24"/>
        </w:rPr>
        <w:t>fs</w:t>
      </w:r>
      <w:r>
        <w:rPr>
          <w:color w:val="0E101A"/>
          <w:sz w:val="24"/>
          <w:szCs w:val="24"/>
        </w:rPr>
        <w:t xml:space="preserve"> about the virus. In the present study, we </w:t>
      </w:r>
      <w:r w:rsidR="00685D46">
        <w:rPr>
          <w:color w:val="0E101A"/>
          <w:sz w:val="24"/>
          <w:szCs w:val="24"/>
        </w:rPr>
        <w:t xml:space="preserve">focused on </w:t>
      </w:r>
      <w:r>
        <w:rPr>
          <w:color w:val="0E101A"/>
          <w:sz w:val="24"/>
          <w:szCs w:val="24"/>
        </w:rPr>
        <w:t xml:space="preserve">the associations between dark personality traits (i.e., the Dark Triad traits and collective narcissism), and health behaviors in relation to COVID-19. </w:t>
      </w:r>
      <w:r w:rsidR="00685D46">
        <w:rPr>
          <w:color w:val="0E101A"/>
          <w:sz w:val="24"/>
          <w:szCs w:val="24"/>
        </w:rPr>
        <w:t>In particular, w</w:t>
      </w:r>
      <w:r>
        <w:rPr>
          <w:color w:val="0E101A"/>
          <w:sz w:val="24"/>
          <w:szCs w:val="24"/>
        </w:rPr>
        <w:t>e examine</w:t>
      </w:r>
      <w:r w:rsidR="00685D46">
        <w:rPr>
          <w:color w:val="0E101A"/>
          <w:sz w:val="24"/>
          <w:szCs w:val="24"/>
        </w:rPr>
        <w:t>d</w:t>
      </w:r>
      <w:r>
        <w:rPr>
          <w:color w:val="0E101A"/>
          <w:sz w:val="24"/>
          <w:szCs w:val="24"/>
        </w:rPr>
        <w:t xml:space="preserve"> the zero-order correlations, the manner by which shared variance in the Dark Triad traits (i.e., the </w:t>
      </w:r>
      <w:r>
        <w:rPr>
          <w:color w:val="0E101A"/>
          <w:sz w:val="24"/>
          <w:szCs w:val="24"/>
        </w:rPr>
        <w:lastRenderedPageBreak/>
        <w:t>Dark Core) and collective narcissism may relate to prevention or hoarding, and how these relationships may be mediated by beliefs about the virus.</w:t>
      </w:r>
    </w:p>
    <w:p w14:paraId="16A8E959" w14:textId="77777777" w:rsidR="00F173EA" w:rsidRDefault="004250A8">
      <w:pPr>
        <w:pBdr>
          <w:top w:val="nil"/>
          <w:left w:val="nil"/>
          <w:bottom w:val="nil"/>
          <w:right w:val="nil"/>
          <w:between w:val="nil"/>
        </w:pBdr>
        <w:spacing w:line="480" w:lineRule="auto"/>
        <w:ind w:hanging="2"/>
        <w:jc w:val="center"/>
        <w:rPr>
          <w:color w:val="0E101A"/>
          <w:sz w:val="24"/>
          <w:szCs w:val="24"/>
        </w:rPr>
      </w:pPr>
      <w:r>
        <w:rPr>
          <w:color w:val="0E101A"/>
          <w:sz w:val="24"/>
          <w:szCs w:val="24"/>
        </w:rPr>
        <w:t xml:space="preserve"> </w:t>
      </w:r>
      <w:r>
        <w:rPr>
          <w:b/>
          <w:color w:val="0E101A"/>
          <w:sz w:val="24"/>
          <w:szCs w:val="24"/>
        </w:rPr>
        <w:t>Method</w:t>
      </w:r>
    </w:p>
    <w:p w14:paraId="690CBBB1" w14:textId="77777777" w:rsidR="00F173EA" w:rsidRDefault="004250A8">
      <w:pPr>
        <w:pBdr>
          <w:top w:val="nil"/>
          <w:left w:val="nil"/>
          <w:bottom w:val="nil"/>
          <w:right w:val="nil"/>
          <w:between w:val="nil"/>
        </w:pBdr>
        <w:spacing w:line="480" w:lineRule="auto"/>
        <w:ind w:hanging="2"/>
        <w:jc w:val="both"/>
        <w:rPr>
          <w:color w:val="000000"/>
          <w:sz w:val="24"/>
          <w:szCs w:val="24"/>
        </w:rPr>
      </w:pPr>
      <w:r>
        <w:rPr>
          <w:b/>
          <w:color w:val="0E101A"/>
          <w:sz w:val="24"/>
          <w:szCs w:val="24"/>
        </w:rPr>
        <w:t xml:space="preserve">Participants and Procedure </w:t>
      </w:r>
    </w:p>
    <w:p w14:paraId="288976A1" w14:textId="4E6B8DFE" w:rsidR="00F173EA" w:rsidRDefault="004250A8">
      <w:pPr>
        <w:pBdr>
          <w:top w:val="nil"/>
          <w:left w:val="nil"/>
          <w:bottom w:val="nil"/>
          <w:right w:val="nil"/>
          <w:between w:val="nil"/>
        </w:pBdr>
        <w:spacing w:line="480" w:lineRule="auto"/>
        <w:ind w:firstLine="708"/>
        <w:rPr>
          <w:sz w:val="24"/>
          <w:szCs w:val="24"/>
        </w:rPr>
      </w:pPr>
      <w:r>
        <w:rPr>
          <w:color w:val="000000"/>
          <w:sz w:val="24"/>
          <w:szCs w:val="24"/>
        </w:rPr>
        <w:tab/>
      </w:r>
      <w:r>
        <w:rPr>
          <w:color w:val="0E101A"/>
          <w:sz w:val="24"/>
          <w:szCs w:val="24"/>
        </w:rPr>
        <w:t>In a two-wave study (</w:t>
      </w:r>
      <w:r>
        <w:rPr>
          <w:i/>
          <w:color w:val="0E101A"/>
          <w:sz w:val="24"/>
          <w:szCs w:val="24"/>
        </w:rPr>
        <w:t>Wave</w:t>
      </w:r>
      <w:r>
        <w:rPr>
          <w:color w:val="0E101A"/>
          <w:sz w:val="24"/>
          <w:szCs w:val="24"/>
          <w:vertAlign w:val="subscript"/>
        </w:rPr>
        <w:t>1</w:t>
      </w:r>
      <w:r>
        <w:rPr>
          <w:color w:val="0E101A"/>
          <w:sz w:val="24"/>
          <w:szCs w:val="24"/>
        </w:rPr>
        <w:t xml:space="preserve"> </w:t>
      </w:r>
      <w:r>
        <w:rPr>
          <w:i/>
          <w:color w:val="0E101A"/>
          <w:sz w:val="24"/>
          <w:szCs w:val="24"/>
        </w:rPr>
        <w:t xml:space="preserve">N </w:t>
      </w:r>
      <w:r>
        <w:rPr>
          <w:color w:val="0E101A"/>
          <w:sz w:val="24"/>
          <w:szCs w:val="24"/>
        </w:rPr>
        <w:t xml:space="preserve">= 835; </w:t>
      </w:r>
      <w:r>
        <w:rPr>
          <w:i/>
          <w:color w:val="0E101A"/>
          <w:sz w:val="24"/>
          <w:szCs w:val="24"/>
        </w:rPr>
        <w:t>Wave</w:t>
      </w:r>
      <w:r>
        <w:rPr>
          <w:color w:val="0E101A"/>
          <w:sz w:val="24"/>
          <w:szCs w:val="24"/>
          <w:vertAlign w:val="subscript"/>
        </w:rPr>
        <w:t>2</w:t>
      </w:r>
      <w:r>
        <w:rPr>
          <w:color w:val="0E101A"/>
          <w:sz w:val="24"/>
          <w:szCs w:val="24"/>
        </w:rPr>
        <w:t xml:space="preserve"> </w:t>
      </w:r>
      <w:r>
        <w:rPr>
          <w:i/>
          <w:color w:val="0E101A"/>
          <w:sz w:val="24"/>
          <w:szCs w:val="24"/>
        </w:rPr>
        <w:t>N</w:t>
      </w:r>
      <w:r>
        <w:rPr>
          <w:color w:val="0E101A"/>
          <w:sz w:val="24"/>
          <w:szCs w:val="24"/>
        </w:rPr>
        <w:t xml:space="preserve"> = 755), drawing on a Polish community sample, and as part of a larger </w:t>
      </w:r>
      <w:r w:rsidR="00685D46">
        <w:rPr>
          <w:color w:val="0E101A"/>
          <w:sz w:val="24"/>
          <w:szCs w:val="24"/>
        </w:rPr>
        <w:t xml:space="preserve">investigation </w:t>
      </w:r>
      <w:r>
        <w:rPr>
          <w:color w:val="0E101A"/>
          <w:sz w:val="24"/>
          <w:szCs w:val="24"/>
        </w:rPr>
        <w:t>on attitudes and behaviors during the pandemic, we recruited participants online through the Ariadna research panel (</w:t>
      </w:r>
      <w:hyperlink r:id="rId8">
        <w:r>
          <w:rPr>
            <w:color w:val="000000"/>
            <w:sz w:val="24"/>
            <w:szCs w:val="24"/>
          </w:rPr>
          <w:t>http://www.panelariadna.com</w:t>
        </w:r>
      </w:hyperlink>
      <w:r>
        <w:rPr>
          <w:color w:val="535C5E"/>
          <w:sz w:val="24"/>
          <w:szCs w:val="24"/>
          <w:highlight w:val="white"/>
        </w:rPr>
        <w:t>)</w:t>
      </w:r>
      <w:r>
        <w:rPr>
          <w:color w:val="535C5E"/>
          <w:sz w:val="24"/>
          <w:szCs w:val="24"/>
        </w:rPr>
        <w:t>.</w:t>
      </w:r>
      <w:r>
        <w:rPr>
          <w:color w:val="0E101A"/>
          <w:sz w:val="24"/>
          <w:szCs w:val="24"/>
        </w:rPr>
        <w:t xml:space="preserve"> Data collection occurred between March 15</w:t>
      </w:r>
      <w:r>
        <w:rPr>
          <w:color w:val="0E101A"/>
          <w:sz w:val="24"/>
          <w:szCs w:val="24"/>
          <w:vertAlign w:val="superscript"/>
        </w:rPr>
        <w:t>th</w:t>
      </w:r>
      <w:r>
        <w:rPr>
          <w:color w:val="0E101A"/>
          <w:sz w:val="24"/>
          <w:szCs w:val="24"/>
        </w:rPr>
        <w:t xml:space="preserve"> and 29</w:t>
      </w:r>
      <w:r>
        <w:rPr>
          <w:color w:val="0E101A"/>
          <w:sz w:val="24"/>
          <w:szCs w:val="24"/>
          <w:vertAlign w:val="superscript"/>
        </w:rPr>
        <w:t>th</w:t>
      </w:r>
      <w:r>
        <w:rPr>
          <w:color w:val="0E101A"/>
          <w:sz w:val="24"/>
          <w:szCs w:val="24"/>
        </w:rPr>
        <w:t xml:space="preserve"> of 2020 (the 3</w:t>
      </w:r>
      <w:r>
        <w:rPr>
          <w:color w:val="0E101A"/>
          <w:sz w:val="24"/>
          <w:szCs w:val="24"/>
          <w:vertAlign w:val="superscript"/>
        </w:rPr>
        <w:t>rd</w:t>
      </w:r>
      <w:r>
        <w:rPr>
          <w:color w:val="0E101A"/>
          <w:sz w:val="24"/>
          <w:szCs w:val="24"/>
        </w:rPr>
        <w:t xml:space="preserve"> and 4</w:t>
      </w:r>
      <w:r>
        <w:rPr>
          <w:color w:val="0E101A"/>
          <w:sz w:val="24"/>
          <w:szCs w:val="24"/>
          <w:vertAlign w:val="superscript"/>
        </w:rPr>
        <w:t>th</w:t>
      </w:r>
      <w:r>
        <w:rPr>
          <w:color w:val="0E101A"/>
          <w:sz w:val="24"/>
          <w:szCs w:val="24"/>
        </w:rPr>
        <w:t xml:space="preserve"> week of governmental restrictions in Poland). Here, we only report data from participants who completed both waves, separated by a week (</w:t>
      </w:r>
      <w:r>
        <w:rPr>
          <w:i/>
          <w:color w:val="0E101A"/>
          <w:sz w:val="24"/>
          <w:szCs w:val="24"/>
        </w:rPr>
        <w:t>N</w:t>
      </w:r>
      <w:r>
        <w:rPr>
          <w:color w:val="0E101A"/>
          <w:sz w:val="24"/>
          <w:szCs w:val="24"/>
        </w:rPr>
        <w:t xml:space="preserve"> = 755; </w:t>
      </w:r>
      <w:r w:rsidR="00685D46">
        <w:rPr>
          <w:color w:val="0E101A"/>
          <w:sz w:val="24"/>
          <w:szCs w:val="24"/>
        </w:rPr>
        <w:t xml:space="preserve">423 women, </w:t>
      </w:r>
      <w:r>
        <w:rPr>
          <w:color w:val="0E101A"/>
          <w:sz w:val="24"/>
          <w:szCs w:val="24"/>
        </w:rPr>
        <w:t xml:space="preserve">332 men) as </w:t>
      </w:r>
      <w:r w:rsidR="00685D46">
        <w:rPr>
          <w:color w:val="0E101A"/>
          <w:sz w:val="24"/>
          <w:szCs w:val="24"/>
        </w:rPr>
        <w:t>per</w:t>
      </w:r>
      <w:r>
        <w:rPr>
          <w:color w:val="0E101A"/>
          <w:sz w:val="24"/>
          <w:szCs w:val="24"/>
        </w:rPr>
        <w:t xml:space="preserve"> guidelines for reducing method bias and participant fatigue (Podsakoff et al., 2012). These participants were between 18 and 78 years of age (</w:t>
      </w:r>
      <w:r>
        <w:rPr>
          <w:i/>
          <w:color w:val="0E101A"/>
          <w:sz w:val="24"/>
          <w:szCs w:val="24"/>
        </w:rPr>
        <w:t>M</w:t>
      </w:r>
      <w:r>
        <w:rPr>
          <w:color w:val="0E101A"/>
          <w:sz w:val="24"/>
          <w:szCs w:val="24"/>
        </w:rPr>
        <w:t xml:space="preserve"> = 45.83, </w:t>
      </w:r>
      <w:r>
        <w:rPr>
          <w:i/>
          <w:color w:val="0E101A"/>
          <w:sz w:val="24"/>
          <w:szCs w:val="24"/>
        </w:rPr>
        <w:t xml:space="preserve">SD </w:t>
      </w:r>
      <w:r>
        <w:rPr>
          <w:color w:val="0E101A"/>
          <w:sz w:val="24"/>
          <w:szCs w:val="24"/>
        </w:rPr>
        <w:t xml:space="preserve">= 14.98), had a high school (46%) or university (43%) education, and rated their socioeconomic (1 = </w:t>
      </w:r>
      <w:r>
        <w:rPr>
          <w:i/>
          <w:color w:val="0E101A"/>
          <w:sz w:val="24"/>
          <w:szCs w:val="24"/>
        </w:rPr>
        <w:t>significantly below average</w:t>
      </w:r>
      <w:r>
        <w:rPr>
          <w:color w:val="0E101A"/>
          <w:sz w:val="24"/>
          <w:szCs w:val="24"/>
        </w:rPr>
        <w:t xml:space="preserve">; 7 = </w:t>
      </w:r>
      <w:r>
        <w:rPr>
          <w:i/>
          <w:color w:val="0E101A"/>
          <w:sz w:val="24"/>
          <w:szCs w:val="24"/>
        </w:rPr>
        <w:t>significantly above average</w:t>
      </w:r>
      <w:r>
        <w:rPr>
          <w:color w:val="0E101A"/>
          <w:sz w:val="24"/>
          <w:szCs w:val="24"/>
        </w:rPr>
        <w:t>) status slightly above middle class (</w:t>
      </w:r>
      <w:r>
        <w:rPr>
          <w:i/>
          <w:color w:val="0E101A"/>
          <w:sz w:val="24"/>
          <w:szCs w:val="24"/>
        </w:rPr>
        <w:t>M</w:t>
      </w:r>
      <w:r>
        <w:rPr>
          <w:color w:val="0E101A"/>
          <w:sz w:val="24"/>
          <w:szCs w:val="24"/>
        </w:rPr>
        <w:t xml:space="preserve"> = 4.16, </w:t>
      </w:r>
      <w:r>
        <w:rPr>
          <w:i/>
          <w:color w:val="0E101A"/>
          <w:sz w:val="24"/>
          <w:szCs w:val="24"/>
        </w:rPr>
        <w:t xml:space="preserve">SD </w:t>
      </w:r>
      <w:r>
        <w:rPr>
          <w:color w:val="0E101A"/>
          <w:sz w:val="24"/>
          <w:szCs w:val="24"/>
        </w:rPr>
        <w:t>= 1.18). Our sample had adequate power (</w:t>
      </w:r>
      <w:r>
        <w:rPr>
          <w:color w:val="222222"/>
          <w:sz w:val="24"/>
          <w:szCs w:val="24"/>
        </w:rPr>
        <w:t>β</w:t>
      </w:r>
      <w:r>
        <w:rPr>
          <w:color w:val="0E101A"/>
          <w:sz w:val="24"/>
          <w:szCs w:val="24"/>
        </w:rPr>
        <w:t xml:space="preserve"> = .80) to detect regression coefficients </w:t>
      </w:r>
      <w:r>
        <w:rPr>
          <w:color w:val="222222"/>
          <w:sz w:val="24"/>
          <w:szCs w:val="24"/>
        </w:rPr>
        <w:t>greater than .10 (</w:t>
      </w:r>
      <w:r>
        <w:rPr>
          <w:i/>
          <w:color w:val="0E101A"/>
          <w:sz w:val="24"/>
          <w:szCs w:val="24"/>
        </w:rPr>
        <w:t>G</w:t>
      </w:r>
      <w:r>
        <w:rPr>
          <w:color w:val="0E101A"/>
          <w:sz w:val="24"/>
          <w:szCs w:val="24"/>
        </w:rPr>
        <w:t>*Power 3.1.9.4; Faul et al., 2007)</w:t>
      </w:r>
      <w:r>
        <w:rPr>
          <w:color w:val="222222"/>
          <w:sz w:val="24"/>
          <w:szCs w:val="24"/>
        </w:rPr>
        <w:t>.</w:t>
      </w:r>
      <w:r>
        <w:rPr>
          <w:color w:val="0E101A"/>
          <w:sz w:val="24"/>
          <w:szCs w:val="24"/>
        </w:rPr>
        <w:t xml:space="preserve"> </w:t>
      </w:r>
      <w:r>
        <w:rPr>
          <w:color w:val="000000"/>
          <w:sz w:val="24"/>
          <w:szCs w:val="24"/>
        </w:rPr>
        <w:t>The study was approved by the Ethics Committee of the institution of the third and fourth authors (KEiB32/2020). Participants were informed of the nature of the study in each wave, provided implied consent, completed self-report measures that were randomized within wave and within measure, and were thanked and debriefed upon complet</w:t>
      </w:r>
      <w:r w:rsidR="00685D46">
        <w:rPr>
          <w:color w:val="000000"/>
          <w:sz w:val="24"/>
          <w:szCs w:val="24"/>
        </w:rPr>
        <w:t>ion</w:t>
      </w:r>
      <w:r>
        <w:rPr>
          <w:color w:val="000000"/>
          <w:sz w:val="24"/>
          <w:szCs w:val="24"/>
        </w:rPr>
        <w:t xml:space="preserve"> before </w:t>
      </w:r>
      <w:r w:rsidR="00685D46">
        <w:rPr>
          <w:color w:val="000000"/>
          <w:sz w:val="24"/>
          <w:szCs w:val="24"/>
        </w:rPr>
        <w:t>being</w:t>
      </w:r>
      <w:r>
        <w:rPr>
          <w:color w:val="000000"/>
          <w:sz w:val="24"/>
          <w:szCs w:val="24"/>
        </w:rPr>
        <w:t xml:space="preserve"> remunerated. </w:t>
      </w:r>
    </w:p>
    <w:p w14:paraId="3C98C599" w14:textId="77777777" w:rsidR="00F173EA" w:rsidRDefault="004250A8">
      <w:pPr>
        <w:pBdr>
          <w:top w:val="nil"/>
          <w:left w:val="nil"/>
          <w:bottom w:val="nil"/>
          <w:right w:val="nil"/>
          <w:between w:val="nil"/>
        </w:pBdr>
        <w:spacing w:line="480" w:lineRule="auto"/>
        <w:ind w:hanging="2"/>
        <w:rPr>
          <w:color w:val="000000"/>
          <w:sz w:val="24"/>
          <w:szCs w:val="24"/>
        </w:rPr>
      </w:pPr>
      <w:r>
        <w:rPr>
          <w:b/>
          <w:color w:val="000000"/>
          <w:sz w:val="24"/>
          <w:szCs w:val="24"/>
        </w:rPr>
        <w:t>Measures</w:t>
      </w:r>
    </w:p>
    <w:p w14:paraId="4BE14085" w14:textId="6AB7A2FA" w:rsidR="00F173EA" w:rsidRDefault="004250A8">
      <w:pPr>
        <w:pBdr>
          <w:top w:val="nil"/>
          <w:left w:val="nil"/>
          <w:bottom w:val="nil"/>
          <w:right w:val="nil"/>
          <w:between w:val="nil"/>
        </w:pBdr>
        <w:spacing w:line="480" w:lineRule="auto"/>
        <w:ind w:firstLine="720"/>
        <w:rPr>
          <w:color w:val="000000"/>
          <w:sz w:val="24"/>
          <w:szCs w:val="24"/>
        </w:rPr>
      </w:pPr>
      <w:r>
        <w:rPr>
          <w:color w:val="000000"/>
          <w:sz w:val="24"/>
          <w:szCs w:val="24"/>
        </w:rPr>
        <w:t>We measured the Dark Triad traits (Wave 2)</w:t>
      </w:r>
      <w:r>
        <w:rPr>
          <w:b/>
          <w:color w:val="000000"/>
          <w:sz w:val="24"/>
          <w:szCs w:val="24"/>
        </w:rPr>
        <w:t xml:space="preserve"> </w:t>
      </w:r>
      <w:r>
        <w:rPr>
          <w:color w:val="000000"/>
          <w:sz w:val="24"/>
          <w:szCs w:val="24"/>
        </w:rPr>
        <w:t>with the Polish translation (Czarna et al., 2016) of the Dark Triad Dirty Dozen scale (Jonason &amp; Webster, 2010). The scale consists of four items assessing individual differences in psychopathy (e.g., “</w:t>
      </w:r>
      <w:r>
        <w:rPr>
          <w:i/>
          <w:color w:val="000000"/>
          <w:sz w:val="24"/>
          <w:szCs w:val="24"/>
        </w:rPr>
        <w:t>I tend to lack remorse</w:t>
      </w:r>
      <w:r>
        <w:rPr>
          <w:color w:val="000000"/>
          <w:sz w:val="24"/>
          <w:szCs w:val="24"/>
        </w:rPr>
        <w:t>”), narcissism (e.g., “</w:t>
      </w:r>
      <w:r>
        <w:rPr>
          <w:i/>
          <w:color w:val="000000"/>
          <w:sz w:val="24"/>
          <w:szCs w:val="24"/>
        </w:rPr>
        <w:t>I tend to seek prestige or status</w:t>
      </w:r>
      <w:r>
        <w:rPr>
          <w:color w:val="000000"/>
          <w:sz w:val="24"/>
          <w:szCs w:val="24"/>
        </w:rPr>
        <w:t>”), and Machiavellianism (e.g., “</w:t>
      </w:r>
      <w:r>
        <w:rPr>
          <w:i/>
          <w:color w:val="000000"/>
          <w:sz w:val="24"/>
          <w:szCs w:val="24"/>
        </w:rPr>
        <w:t xml:space="preserve">I tend to manipulate others </w:t>
      </w:r>
      <w:r>
        <w:rPr>
          <w:i/>
          <w:color w:val="000000"/>
          <w:sz w:val="24"/>
          <w:szCs w:val="24"/>
        </w:rPr>
        <w:lastRenderedPageBreak/>
        <w:t>to get my way</w:t>
      </w:r>
      <w:r>
        <w:rPr>
          <w:color w:val="000000"/>
          <w:sz w:val="24"/>
          <w:szCs w:val="24"/>
        </w:rPr>
        <w:t xml:space="preserve">”). Participants indicated their agreement with each item (1 = </w:t>
      </w:r>
      <w:r>
        <w:rPr>
          <w:i/>
          <w:color w:val="000000"/>
          <w:sz w:val="24"/>
          <w:szCs w:val="24"/>
        </w:rPr>
        <w:t>strongly disagree</w:t>
      </w:r>
      <w:r w:rsidR="00685D46">
        <w:rPr>
          <w:color w:val="000000"/>
          <w:sz w:val="24"/>
          <w:szCs w:val="24"/>
        </w:rPr>
        <w:t>,</w:t>
      </w:r>
      <w:r>
        <w:rPr>
          <w:color w:val="000000"/>
          <w:sz w:val="24"/>
          <w:szCs w:val="24"/>
        </w:rPr>
        <w:t xml:space="preserve"> 5 = </w:t>
      </w:r>
      <w:r>
        <w:rPr>
          <w:i/>
          <w:color w:val="000000"/>
          <w:sz w:val="24"/>
          <w:szCs w:val="24"/>
        </w:rPr>
        <w:t>strongly agree</w:t>
      </w:r>
      <w:r>
        <w:rPr>
          <w:color w:val="000000"/>
          <w:sz w:val="24"/>
          <w:szCs w:val="24"/>
        </w:rPr>
        <w:t>). We averaged responses to create indices of each trait.</w:t>
      </w:r>
    </w:p>
    <w:p w14:paraId="1B75022A" w14:textId="7E0A6B10" w:rsidR="00F173EA" w:rsidRDefault="004250A8">
      <w:pPr>
        <w:pBdr>
          <w:top w:val="nil"/>
          <w:left w:val="nil"/>
          <w:bottom w:val="nil"/>
          <w:right w:val="nil"/>
          <w:between w:val="nil"/>
        </w:pBdr>
        <w:spacing w:line="480" w:lineRule="auto"/>
        <w:ind w:firstLine="720"/>
        <w:rPr>
          <w:color w:val="000000"/>
          <w:sz w:val="24"/>
          <w:szCs w:val="24"/>
        </w:rPr>
      </w:pPr>
      <w:r>
        <w:rPr>
          <w:color w:val="000000"/>
          <w:sz w:val="24"/>
          <w:szCs w:val="24"/>
        </w:rPr>
        <w:t>We measured agentic and communal collective narcissism</w:t>
      </w:r>
      <w:r>
        <w:rPr>
          <w:b/>
          <w:color w:val="000000"/>
          <w:sz w:val="24"/>
          <w:szCs w:val="24"/>
        </w:rPr>
        <w:t xml:space="preserve"> </w:t>
      </w:r>
      <w:r>
        <w:rPr>
          <w:color w:val="000000"/>
          <w:sz w:val="24"/>
          <w:szCs w:val="24"/>
        </w:rPr>
        <w:t>(Wave 2)</w:t>
      </w:r>
      <w:r>
        <w:rPr>
          <w:b/>
          <w:color w:val="000000"/>
          <w:sz w:val="24"/>
          <w:szCs w:val="24"/>
        </w:rPr>
        <w:t xml:space="preserve"> </w:t>
      </w:r>
      <w:r>
        <w:rPr>
          <w:color w:val="000000"/>
          <w:sz w:val="24"/>
          <w:szCs w:val="24"/>
        </w:rPr>
        <w:t>with the 9-item Agentic Collective Narcissism Scale (Golec de Zavala et al., 2009) and the 7-item Collective Communal Narcissism Inventory (</w:t>
      </w:r>
      <w:r>
        <w:rPr>
          <w:sz w:val="24"/>
          <w:szCs w:val="24"/>
        </w:rPr>
        <w:t>Żemojtel-Piotrowska et al., 2020c)</w:t>
      </w:r>
      <w:r>
        <w:rPr>
          <w:color w:val="000000"/>
          <w:sz w:val="24"/>
          <w:szCs w:val="24"/>
        </w:rPr>
        <w:t xml:space="preserve">. Participants indicated their agreement (1 = </w:t>
      </w:r>
      <w:r>
        <w:rPr>
          <w:i/>
          <w:color w:val="000000"/>
          <w:sz w:val="24"/>
          <w:szCs w:val="24"/>
        </w:rPr>
        <w:t>definitely disagree</w:t>
      </w:r>
      <w:r w:rsidR="00685D46">
        <w:rPr>
          <w:color w:val="000000"/>
          <w:sz w:val="24"/>
          <w:szCs w:val="24"/>
        </w:rPr>
        <w:t>,</w:t>
      </w:r>
      <w:r>
        <w:rPr>
          <w:color w:val="000000"/>
          <w:sz w:val="24"/>
          <w:szCs w:val="24"/>
        </w:rPr>
        <w:t xml:space="preserve"> 7 = </w:t>
      </w:r>
      <w:r>
        <w:rPr>
          <w:i/>
          <w:color w:val="000000"/>
          <w:sz w:val="24"/>
          <w:szCs w:val="24"/>
        </w:rPr>
        <w:t>definitely agree</w:t>
      </w:r>
      <w:r>
        <w:rPr>
          <w:color w:val="000000"/>
          <w:sz w:val="24"/>
          <w:szCs w:val="24"/>
        </w:rPr>
        <w:t>) with statements for the former (e.g., “</w:t>
      </w:r>
      <w:r>
        <w:rPr>
          <w:i/>
          <w:color w:val="000000"/>
          <w:sz w:val="24"/>
          <w:szCs w:val="24"/>
        </w:rPr>
        <w:t>I wish other groups would more quickly recognize authority of my group</w:t>
      </w:r>
      <w:r>
        <w:rPr>
          <w:color w:val="000000"/>
          <w:sz w:val="24"/>
          <w:szCs w:val="24"/>
        </w:rPr>
        <w:t>”) and the latter (e.g., “</w:t>
      </w:r>
      <w:r>
        <w:rPr>
          <w:i/>
          <w:color w:val="000000"/>
          <w:sz w:val="24"/>
          <w:szCs w:val="24"/>
        </w:rPr>
        <w:t>My group is extraordinarily friendly toward other groups</w:t>
      </w:r>
      <w:r>
        <w:rPr>
          <w:color w:val="000000"/>
          <w:sz w:val="24"/>
          <w:szCs w:val="24"/>
        </w:rPr>
        <w:t>”). We removed one item (i.e., “</w:t>
      </w:r>
      <w:r>
        <w:rPr>
          <w:i/>
          <w:color w:val="000000"/>
          <w:sz w:val="24"/>
          <w:szCs w:val="24"/>
        </w:rPr>
        <w:t>If my group had more to say, the world would be a better place</w:t>
      </w:r>
      <w:r>
        <w:rPr>
          <w:color w:val="000000"/>
          <w:sz w:val="24"/>
          <w:szCs w:val="24"/>
        </w:rPr>
        <w:t>”) from the former to reduce redundancy and potential multicollinearity with an item from the latter (i.e., “</w:t>
      </w:r>
      <w:r>
        <w:rPr>
          <w:i/>
          <w:color w:val="000000"/>
          <w:sz w:val="24"/>
          <w:szCs w:val="24"/>
        </w:rPr>
        <w:t>My group will make the world a better place</w:t>
      </w:r>
      <w:r>
        <w:rPr>
          <w:color w:val="000000"/>
          <w:sz w:val="24"/>
          <w:szCs w:val="24"/>
        </w:rPr>
        <w:t xml:space="preserve">”). We averaged responses to create indices of each form of collective narcissism. </w:t>
      </w:r>
    </w:p>
    <w:p w14:paraId="72E0C28C" w14:textId="51E9F523" w:rsidR="00F173EA" w:rsidRDefault="004250A8">
      <w:pPr>
        <w:pBdr>
          <w:top w:val="nil"/>
          <w:left w:val="nil"/>
          <w:bottom w:val="nil"/>
          <w:right w:val="nil"/>
          <w:between w:val="nil"/>
        </w:pBdr>
        <w:spacing w:line="480" w:lineRule="auto"/>
        <w:ind w:firstLine="720"/>
        <w:rPr>
          <w:color w:val="000000"/>
          <w:sz w:val="24"/>
          <w:szCs w:val="24"/>
        </w:rPr>
      </w:pPr>
      <w:bookmarkStart w:id="4" w:name="_3znysh7" w:colFirst="0" w:colLast="0"/>
      <w:bookmarkEnd w:id="4"/>
      <w:r>
        <w:rPr>
          <w:color w:val="000000"/>
          <w:sz w:val="24"/>
          <w:szCs w:val="24"/>
        </w:rPr>
        <w:t>To measure health beliefs about the COVID-19 virus (Wave 1),</w:t>
      </w:r>
      <w:r>
        <w:rPr>
          <w:b/>
          <w:color w:val="000000"/>
          <w:sz w:val="24"/>
          <w:szCs w:val="24"/>
        </w:rPr>
        <w:t xml:space="preserve"> </w:t>
      </w:r>
      <w:r>
        <w:rPr>
          <w:color w:val="000000"/>
          <w:sz w:val="24"/>
          <w:szCs w:val="24"/>
        </w:rPr>
        <w:t xml:space="preserve">we modified </w:t>
      </w:r>
      <w:r w:rsidR="006F6819">
        <w:rPr>
          <w:color w:val="000000"/>
          <w:sz w:val="24"/>
          <w:szCs w:val="24"/>
        </w:rPr>
        <w:t xml:space="preserve">(20 items only) </w:t>
      </w:r>
      <w:r>
        <w:rPr>
          <w:color w:val="000000"/>
          <w:sz w:val="24"/>
          <w:szCs w:val="24"/>
        </w:rPr>
        <w:t>the Health Belief scale (Champion, 1984) by substituting the name of the virus (e.g., “</w:t>
      </w:r>
      <w:r>
        <w:rPr>
          <w:i/>
          <w:sz w:val="24"/>
          <w:szCs w:val="24"/>
        </w:rPr>
        <w:t xml:space="preserve">The chance that I will get the </w:t>
      </w:r>
      <w:r>
        <w:rPr>
          <w:i/>
          <w:sz w:val="24"/>
          <w:szCs w:val="24"/>
          <w:u w:val="single"/>
        </w:rPr>
        <w:t>coronavirus</w:t>
      </w:r>
      <w:r>
        <w:rPr>
          <w:i/>
          <w:sz w:val="24"/>
          <w:szCs w:val="24"/>
        </w:rPr>
        <w:t xml:space="preserve"> during my lifetime is very high</w:t>
      </w:r>
      <w:r>
        <w:rPr>
          <w:color w:val="000000"/>
          <w:sz w:val="24"/>
          <w:szCs w:val="24"/>
        </w:rPr>
        <w:t>”) in place of other health conditions (e.g., “</w:t>
      </w:r>
      <w:r>
        <w:rPr>
          <w:i/>
          <w:sz w:val="24"/>
          <w:szCs w:val="24"/>
        </w:rPr>
        <w:t xml:space="preserve">The chance that I will get the </w:t>
      </w:r>
      <w:r>
        <w:rPr>
          <w:i/>
          <w:sz w:val="24"/>
          <w:szCs w:val="24"/>
          <w:u w:val="single"/>
        </w:rPr>
        <w:t>breast cancer</w:t>
      </w:r>
      <w:r>
        <w:rPr>
          <w:i/>
          <w:sz w:val="24"/>
          <w:szCs w:val="24"/>
        </w:rPr>
        <w:t xml:space="preserve"> during my lifetime is very high</w:t>
      </w:r>
      <w:r>
        <w:rPr>
          <w:color w:val="000000"/>
          <w:sz w:val="24"/>
          <w:szCs w:val="24"/>
        </w:rPr>
        <w:t>”)</w:t>
      </w:r>
      <w:r>
        <w:rPr>
          <w:sz w:val="24"/>
          <w:szCs w:val="24"/>
        </w:rPr>
        <w:t xml:space="preserve"> </w:t>
      </w:r>
      <w:r>
        <w:rPr>
          <w:color w:val="000000"/>
          <w:sz w:val="24"/>
          <w:szCs w:val="24"/>
        </w:rPr>
        <w:t>and created 20-item COVID-19 Health Beliefs scale. The scale captures individual differences in perceived barriers, perceived susceptibility, perceived severity, perceived benefits, and self-efficacy (four items each). Participants indicated how true they believed each item was (</w:t>
      </w:r>
      <w:r>
        <w:rPr>
          <w:color w:val="000000"/>
          <w:sz w:val="24"/>
          <w:szCs w:val="24"/>
          <w:highlight w:val="white"/>
        </w:rPr>
        <w:t xml:space="preserve">1 = </w:t>
      </w:r>
      <w:r>
        <w:rPr>
          <w:i/>
          <w:color w:val="000000"/>
          <w:sz w:val="24"/>
          <w:szCs w:val="24"/>
        </w:rPr>
        <w:t>definitely</w:t>
      </w:r>
      <w:r>
        <w:rPr>
          <w:i/>
          <w:color w:val="000000"/>
          <w:sz w:val="24"/>
          <w:szCs w:val="24"/>
          <w:highlight w:val="white"/>
        </w:rPr>
        <w:t xml:space="preserve"> not</w:t>
      </w:r>
      <w:r w:rsidR="00685D46">
        <w:rPr>
          <w:color w:val="000000"/>
          <w:sz w:val="24"/>
          <w:szCs w:val="24"/>
          <w:highlight w:val="white"/>
        </w:rPr>
        <w:t>,</w:t>
      </w:r>
      <w:r>
        <w:rPr>
          <w:color w:val="000000"/>
          <w:sz w:val="24"/>
          <w:szCs w:val="24"/>
          <w:highlight w:val="white"/>
        </w:rPr>
        <w:t xml:space="preserve"> 4 = </w:t>
      </w:r>
      <w:r>
        <w:rPr>
          <w:i/>
          <w:color w:val="000000"/>
          <w:sz w:val="24"/>
          <w:szCs w:val="24"/>
        </w:rPr>
        <w:t>definitely</w:t>
      </w:r>
      <w:r>
        <w:rPr>
          <w:i/>
          <w:color w:val="000000"/>
          <w:sz w:val="24"/>
          <w:szCs w:val="24"/>
          <w:highlight w:val="white"/>
        </w:rPr>
        <w:t xml:space="preserve"> yes</w:t>
      </w:r>
      <w:r>
        <w:rPr>
          <w:color w:val="000000"/>
          <w:sz w:val="24"/>
          <w:szCs w:val="24"/>
          <w:highlight w:val="white"/>
        </w:rPr>
        <w:t>).</w:t>
      </w:r>
      <w:r>
        <w:rPr>
          <w:color w:val="000000"/>
          <w:sz w:val="24"/>
          <w:szCs w:val="24"/>
          <w:highlight w:val="white"/>
          <w:vertAlign w:val="superscript"/>
        </w:rPr>
        <w:footnoteReference w:id="1"/>
      </w:r>
      <w:r>
        <w:rPr>
          <w:color w:val="000000"/>
          <w:sz w:val="24"/>
          <w:szCs w:val="24"/>
        </w:rPr>
        <w:t xml:space="preserve"> We averaged responses to form the five indices of health beliefs.</w:t>
      </w:r>
    </w:p>
    <w:p w14:paraId="33946507" w14:textId="56A36D7A" w:rsidR="00F173EA" w:rsidRDefault="004250A8">
      <w:pPr>
        <w:pBdr>
          <w:top w:val="nil"/>
          <w:left w:val="nil"/>
          <w:bottom w:val="nil"/>
          <w:right w:val="nil"/>
          <w:between w:val="nil"/>
        </w:pBdr>
        <w:spacing w:line="480" w:lineRule="auto"/>
        <w:ind w:firstLine="720"/>
        <w:rPr>
          <w:sz w:val="24"/>
          <w:szCs w:val="24"/>
        </w:rPr>
      </w:pPr>
      <w:r>
        <w:rPr>
          <w:color w:val="000000"/>
          <w:sz w:val="24"/>
          <w:szCs w:val="24"/>
        </w:rPr>
        <w:t xml:space="preserve">We created two </w:t>
      </w:r>
      <w:r>
        <w:rPr>
          <w:i/>
          <w:color w:val="000000"/>
          <w:sz w:val="24"/>
          <w:szCs w:val="24"/>
        </w:rPr>
        <w:t xml:space="preserve">ad hoc </w:t>
      </w:r>
      <w:r>
        <w:rPr>
          <w:color w:val="000000"/>
          <w:sz w:val="24"/>
          <w:szCs w:val="24"/>
        </w:rPr>
        <w:t xml:space="preserve">measures of individual differences in preventive behaviors and hoarding behaviors (Wave 1) regarding the virus (three items each). </w:t>
      </w:r>
      <w:r>
        <w:rPr>
          <w:color w:val="000000"/>
          <w:sz w:val="24"/>
          <w:szCs w:val="24"/>
          <w:highlight w:val="white"/>
        </w:rPr>
        <w:t xml:space="preserve">Participants indicated how </w:t>
      </w:r>
      <w:r>
        <w:rPr>
          <w:color w:val="000000"/>
          <w:sz w:val="24"/>
          <w:szCs w:val="24"/>
          <w:highlight w:val="white"/>
        </w:rPr>
        <w:lastRenderedPageBreak/>
        <w:t xml:space="preserve">likely they were </w:t>
      </w:r>
      <w:r>
        <w:rPr>
          <w:color w:val="000000"/>
          <w:sz w:val="24"/>
          <w:szCs w:val="24"/>
        </w:rPr>
        <w:t>(</w:t>
      </w:r>
      <w:r>
        <w:rPr>
          <w:color w:val="000000"/>
          <w:sz w:val="24"/>
          <w:szCs w:val="24"/>
          <w:highlight w:val="white"/>
        </w:rPr>
        <w:t xml:space="preserve">1 = </w:t>
      </w:r>
      <w:r>
        <w:rPr>
          <w:i/>
          <w:color w:val="000000"/>
          <w:sz w:val="24"/>
          <w:szCs w:val="24"/>
        </w:rPr>
        <w:t>definitely</w:t>
      </w:r>
      <w:r>
        <w:rPr>
          <w:i/>
          <w:color w:val="000000"/>
          <w:sz w:val="24"/>
          <w:szCs w:val="24"/>
          <w:highlight w:val="white"/>
        </w:rPr>
        <w:t xml:space="preserve"> not</w:t>
      </w:r>
      <w:r w:rsidR="00685D46">
        <w:rPr>
          <w:color w:val="000000"/>
          <w:sz w:val="24"/>
          <w:szCs w:val="24"/>
          <w:highlight w:val="white"/>
        </w:rPr>
        <w:t>,</w:t>
      </w:r>
      <w:r>
        <w:rPr>
          <w:color w:val="000000"/>
          <w:sz w:val="24"/>
          <w:szCs w:val="24"/>
          <w:highlight w:val="white"/>
        </w:rPr>
        <w:t xml:space="preserve"> 4 = </w:t>
      </w:r>
      <w:r>
        <w:rPr>
          <w:i/>
          <w:color w:val="000000"/>
          <w:sz w:val="24"/>
          <w:szCs w:val="24"/>
        </w:rPr>
        <w:t>definitely</w:t>
      </w:r>
      <w:r>
        <w:rPr>
          <w:i/>
          <w:color w:val="000000"/>
          <w:sz w:val="24"/>
          <w:szCs w:val="24"/>
          <w:highlight w:val="white"/>
        </w:rPr>
        <w:t xml:space="preserve"> yes</w:t>
      </w:r>
      <w:r>
        <w:rPr>
          <w:color w:val="000000"/>
          <w:sz w:val="24"/>
          <w:szCs w:val="24"/>
          <w:highlight w:val="white"/>
        </w:rPr>
        <w:t xml:space="preserve">) to have enacted </w:t>
      </w:r>
      <w:r>
        <w:rPr>
          <w:color w:val="000000"/>
          <w:sz w:val="24"/>
          <w:szCs w:val="24"/>
        </w:rPr>
        <w:t>preventive</w:t>
      </w:r>
      <w:r>
        <w:rPr>
          <w:color w:val="000000"/>
          <w:sz w:val="24"/>
          <w:szCs w:val="24"/>
          <w:highlight w:val="white"/>
        </w:rPr>
        <w:t xml:space="preserve"> </w:t>
      </w:r>
      <w:r>
        <w:rPr>
          <w:color w:val="000000"/>
          <w:sz w:val="24"/>
          <w:szCs w:val="24"/>
        </w:rPr>
        <w:t>(i.e., “</w:t>
      </w:r>
      <w:r>
        <w:rPr>
          <w:i/>
          <w:color w:val="000000"/>
          <w:sz w:val="24"/>
          <w:szCs w:val="24"/>
          <w:highlight w:val="white"/>
        </w:rPr>
        <w:t>Decontaminating often touched places [e.g., phone, keys, and door-knobs]</w:t>
      </w:r>
      <w:r w:rsidRPr="00D7209D">
        <w:rPr>
          <w:iCs/>
          <w:color w:val="000000"/>
          <w:sz w:val="24"/>
          <w:szCs w:val="24"/>
          <w:highlight w:val="white"/>
        </w:rPr>
        <w:t>;</w:t>
      </w:r>
      <w:r>
        <w:rPr>
          <w:i/>
          <w:color w:val="000000"/>
          <w:sz w:val="24"/>
          <w:szCs w:val="24"/>
          <w:highlight w:val="white"/>
        </w:rPr>
        <w:t xml:space="preserve"> Washing hands more often [e.g., after each return home]</w:t>
      </w:r>
      <w:r w:rsidRPr="00D7209D">
        <w:rPr>
          <w:iCs/>
          <w:color w:val="000000"/>
          <w:sz w:val="24"/>
          <w:szCs w:val="24"/>
          <w:highlight w:val="white"/>
        </w:rPr>
        <w:t>;</w:t>
      </w:r>
      <w:r>
        <w:rPr>
          <w:i/>
          <w:color w:val="000000"/>
          <w:sz w:val="24"/>
          <w:szCs w:val="24"/>
          <w:highlight w:val="white"/>
        </w:rPr>
        <w:t xml:space="preserve"> Limiting leaving home without explicit necessity [e.g., to spend time with friends]</w:t>
      </w:r>
      <w:r>
        <w:rPr>
          <w:color w:val="000000"/>
          <w:sz w:val="24"/>
          <w:szCs w:val="24"/>
          <w:highlight w:val="white"/>
        </w:rPr>
        <w:t>”) and hoarding (i.e., “</w:t>
      </w:r>
      <w:r>
        <w:rPr>
          <w:i/>
          <w:color w:val="000000"/>
          <w:sz w:val="24"/>
          <w:szCs w:val="24"/>
          <w:highlight w:val="white"/>
        </w:rPr>
        <w:t>Stockpile bigger amounts of food [e.g., flour, milk, eggs, canned goods]</w:t>
      </w:r>
      <w:r w:rsidRPr="00D7209D">
        <w:rPr>
          <w:iCs/>
          <w:color w:val="000000"/>
          <w:sz w:val="24"/>
          <w:szCs w:val="24"/>
          <w:highlight w:val="white"/>
        </w:rPr>
        <w:t>;</w:t>
      </w:r>
      <w:r>
        <w:rPr>
          <w:i/>
          <w:color w:val="000000"/>
          <w:sz w:val="24"/>
          <w:szCs w:val="24"/>
          <w:highlight w:val="white"/>
        </w:rPr>
        <w:t xml:space="preserve"> Stockpile more cleaning and disinfecting supplies [e.g., wipes, toilet paper, soap, spirit, etc.]</w:t>
      </w:r>
      <w:r w:rsidRPr="00D7209D">
        <w:rPr>
          <w:iCs/>
          <w:color w:val="000000"/>
          <w:sz w:val="24"/>
          <w:szCs w:val="24"/>
          <w:highlight w:val="white"/>
        </w:rPr>
        <w:t>;</w:t>
      </w:r>
      <w:r>
        <w:rPr>
          <w:i/>
          <w:color w:val="000000"/>
          <w:sz w:val="24"/>
          <w:szCs w:val="24"/>
          <w:highlight w:val="white"/>
        </w:rPr>
        <w:t xml:space="preserve"> Stockpile of protective measures [e.g., gloves, masks</w:t>
      </w:r>
      <w:r>
        <w:rPr>
          <w:i/>
          <w:color w:val="000000"/>
          <w:sz w:val="24"/>
          <w:szCs w:val="24"/>
        </w:rPr>
        <w:t>]</w:t>
      </w:r>
      <w:r>
        <w:rPr>
          <w:color w:val="000000"/>
          <w:sz w:val="24"/>
          <w:szCs w:val="24"/>
        </w:rPr>
        <w:t xml:space="preserve">”) </w:t>
      </w:r>
      <w:r w:rsidR="006F6819">
        <w:rPr>
          <w:color w:val="000000"/>
          <w:sz w:val="24"/>
          <w:szCs w:val="24"/>
          <w:highlight w:val="white"/>
        </w:rPr>
        <w:t xml:space="preserve">behaviors </w:t>
      </w:r>
      <w:r>
        <w:rPr>
          <w:color w:val="000000"/>
          <w:sz w:val="24"/>
          <w:szCs w:val="24"/>
          <w:highlight w:val="white"/>
        </w:rPr>
        <w:t xml:space="preserve">during the last week in relation to the coronavirus. </w:t>
      </w:r>
      <w:r>
        <w:rPr>
          <w:color w:val="000000"/>
          <w:sz w:val="24"/>
          <w:szCs w:val="24"/>
        </w:rPr>
        <w:t>We averaged responses to form indices of each type of behavior.</w:t>
      </w:r>
    </w:p>
    <w:p w14:paraId="5EF4943C" w14:textId="77777777" w:rsidR="00F173EA" w:rsidRDefault="004250A8">
      <w:pPr>
        <w:pBdr>
          <w:top w:val="nil"/>
          <w:left w:val="nil"/>
          <w:bottom w:val="nil"/>
          <w:right w:val="nil"/>
          <w:between w:val="nil"/>
        </w:pBdr>
        <w:spacing w:line="480" w:lineRule="auto"/>
        <w:ind w:hanging="2"/>
        <w:jc w:val="center"/>
        <w:rPr>
          <w:sz w:val="24"/>
          <w:szCs w:val="24"/>
        </w:rPr>
      </w:pPr>
      <w:r>
        <w:rPr>
          <w:b/>
          <w:color w:val="000000"/>
          <w:sz w:val="24"/>
          <w:szCs w:val="24"/>
        </w:rPr>
        <w:t>Results</w:t>
      </w:r>
    </w:p>
    <w:p w14:paraId="67E7A1B4" w14:textId="525469FB" w:rsidR="00F173EA" w:rsidRDefault="004250A8">
      <w:pPr>
        <w:pBdr>
          <w:top w:val="nil"/>
          <w:left w:val="nil"/>
          <w:bottom w:val="nil"/>
          <w:right w:val="nil"/>
          <w:between w:val="nil"/>
        </w:pBdr>
        <w:spacing w:line="480" w:lineRule="auto"/>
        <w:ind w:firstLine="720"/>
        <w:rPr>
          <w:color w:val="0E101A"/>
          <w:sz w:val="24"/>
          <w:szCs w:val="24"/>
        </w:rPr>
      </w:pPr>
      <w:bookmarkStart w:id="5" w:name="_2et92p0" w:colFirst="0" w:colLast="0"/>
      <w:bookmarkEnd w:id="5"/>
      <w:r>
        <w:rPr>
          <w:color w:val="000000"/>
          <w:sz w:val="24"/>
          <w:szCs w:val="24"/>
        </w:rPr>
        <w:t xml:space="preserve">We present descriptive statistics, Cronbach’s αs, and correlations in Table 1. </w:t>
      </w:r>
      <w:r>
        <w:rPr>
          <w:color w:val="0E101A"/>
          <w:sz w:val="24"/>
          <w:szCs w:val="24"/>
        </w:rPr>
        <w:t>The skewness and kurtosis for all variables were acceptable (</w:t>
      </w:r>
      <w:r w:rsidR="006F6819">
        <w:rPr>
          <w:color w:val="0E101A"/>
          <w:sz w:val="24"/>
          <w:szCs w:val="24"/>
        </w:rPr>
        <w:t>&lt;</w:t>
      </w:r>
      <w:r>
        <w:rPr>
          <w:color w:val="0E101A"/>
          <w:sz w:val="24"/>
          <w:szCs w:val="24"/>
        </w:rPr>
        <w:t xml:space="preserve"> 1 for skewness</w:t>
      </w:r>
      <w:r w:rsidR="00685D46">
        <w:rPr>
          <w:color w:val="0E101A"/>
          <w:sz w:val="24"/>
          <w:szCs w:val="24"/>
        </w:rPr>
        <w:t>,</w:t>
      </w:r>
      <w:r w:rsidR="006F6819">
        <w:rPr>
          <w:color w:val="0E101A"/>
          <w:sz w:val="24"/>
          <w:szCs w:val="24"/>
        </w:rPr>
        <w:t xml:space="preserve"> &lt;</w:t>
      </w:r>
      <w:r>
        <w:rPr>
          <w:color w:val="0E101A"/>
          <w:sz w:val="24"/>
          <w:szCs w:val="24"/>
        </w:rPr>
        <w:t xml:space="preserve"> 2 for kurtosis; George &amp; Mallery, 2010) </w:t>
      </w:r>
      <w:r w:rsidR="006F6819">
        <w:rPr>
          <w:color w:val="0E101A"/>
          <w:sz w:val="24"/>
          <w:szCs w:val="24"/>
        </w:rPr>
        <w:t xml:space="preserve">allowing the use of </w:t>
      </w:r>
      <w:r>
        <w:rPr>
          <w:color w:val="0E101A"/>
          <w:sz w:val="24"/>
          <w:szCs w:val="24"/>
        </w:rPr>
        <w:t xml:space="preserve">parametric tests. </w:t>
      </w:r>
      <w:r>
        <w:rPr>
          <w:color w:val="000000"/>
          <w:sz w:val="24"/>
          <w:szCs w:val="24"/>
        </w:rPr>
        <w:t xml:space="preserve">The Dark Triad traits were associated with more perceived susceptibility and barriers as well as more hoarding, but less preventive behavior. Narcissism was associated with more perceived severity and benefits, psychopathy was associated with more perceived benefits, and psychopathy and Machiavellianism were associated with less self-efficacy. Agentic and communal collective narcissism were positively associated with all five belief types and with hoarding, but not with preventive behavior. We obtained mixed correlations for health beliefs and preventive as well hoarding behaviors. </w:t>
      </w:r>
    </w:p>
    <w:p w14:paraId="3C336369" w14:textId="77777777" w:rsidR="00F173EA" w:rsidRDefault="004250A8">
      <w:pPr>
        <w:pBdr>
          <w:top w:val="nil"/>
          <w:left w:val="nil"/>
          <w:bottom w:val="nil"/>
          <w:right w:val="nil"/>
          <w:between w:val="nil"/>
        </w:pBdr>
        <w:spacing w:line="480" w:lineRule="auto"/>
        <w:ind w:firstLine="720"/>
        <w:rPr>
          <w:color w:val="0E101A"/>
          <w:sz w:val="24"/>
          <w:szCs w:val="24"/>
        </w:rPr>
      </w:pPr>
      <w:r>
        <w:rPr>
          <w:color w:val="0E101A"/>
          <w:sz w:val="24"/>
          <w:szCs w:val="24"/>
        </w:rPr>
        <w:t xml:space="preserve">Given the pattern of correlations and the known mediation effects of health beliefs in the link between personality and health behaviors (Yoshitake et al., 2019), we tested a Structural Equation Model. In this model, we used (1) a Dark Core (indicated by psychopathy, narcissism, and Machiavellianism), collective narcissism (indicated by agentic and communal forms), hoarding behavior (indicated by stockpiling food, hygiene products, and protective products), and preventive behavior (indicated by washing hands, decontaminating frequently used objects, and </w:t>
      </w:r>
      <w:r>
        <w:rPr>
          <w:color w:val="0E101A"/>
          <w:sz w:val="24"/>
          <w:szCs w:val="24"/>
        </w:rPr>
        <w:lastRenderedPageBreak/>
        <w:t xml:space="preserve">staying at home) as observed variables, and (2) health beliefs as a putative mediator. We used </w:t>
      </w:r>
      <w:r w:rsidR="00226471">
        <w:rPr>
          <w:color w:val="0E101A"/>
          <w:sz w:val="24"/>
          <w:szCs w:val="24"/>
        </w:rPr>
        <w:t>mPlus with Robust</w:t>
      </w:r>
      <w:r>
        <w:rPr>
          <w:color w:val="0E101A"/>
          <w:sz w:val="24"/>
          <w:szCs w:val="24"/>
        </w:rPr>
        <w:t xml:space="preserve"> Maximum Likelihood estimation, and relied on common cut-off recommendations for good fit (Byrne, 1994): Comparative Fit Index (CFI) &gt; .90, Root Mean Square Error of Approximation (RMSEA) &lt; .08, and Standardized Root Mean Square Residual (SRMR) &lt; .10. </w:t>
      </w:r>
    </w:p>
    <w:p w14:paraId="1A799800" w14:textId="77777777" w:rsidR="00F173EA" w:rsidRDefault="004250A8">
      <w:pPr>
        <w:pBdr>
          <w:top w:val="nil"/>
          <w:left w:val="nil"/>
          <w:bottom w:val="nil"/>
          <w:right w:val="nil"/>
          <w:between w:val="nil"/>
        </w:pBdr>
        <w:spacing w:line="480" w:lineRule="auto"/>
        <w:ind w:firstLine="720"/>
        <w:rPr>
          <w:color w:val="000000"/>
          <w:sz w:val="24"/>
          <w:szCs w:val="24"/>
        </w:rPr>
      </w:pPr>
      <w:r>
        <w:rPr>
          <w:color w:val="0E101A"/>
          <w:sz w:val="24"/>
          <w:szCs w:val="24"/>
        </w:rPr>
        <w:t>The model (Figure 1) fit the data well (χ</w:t>
      </w:r>
      <w:r>
        <w:rPr>
          <w:color w:val="0E101A"/>
          <w:sz w:val="24"/>
          <w:szCs w:val="24"/>
          <w:vertAlign w:val="superscript"/>
        </w:rPr>
        <w:t>2</w:t>
      </w:r>
      <w:r>
        <w:rPr>
          <w:color w:val="0E101A"/>
          <w:sz w:val="24"/>
          <w:szCs w:val="24"/>
        </w:rPr>
        <w:t xml:space="preserve">[25] = 80.47, </w:t>
      </w:r>
      <w:r>
        <w:rPr>
          <w:i/>
          <w:color w:val="0E101A"/>
          <w:sz w:val="24"/>
          <w:szCs w:val="24"/>
        </w:rPr>
        <w:t>p</w:t>
      </w:r>
      <w:r>
        <w:rPr>
          <w:color w:val="0E101A"/>
          <w:sz w:val="24"/>
          <w:szCs w:val="24"/>
        </w:rPr>
        <w:t xml:space="preserve"> &lt; .001, CFI = .98, RMSEA = .05, SRMR = .03), explaining of 30% of the variance in preventive behavior and 17% of the variance in hoarding. </w:t>
      </w:r>
      <w:r>
        <w:rPr>
          <w:sz w:val="24"/>
          <w:szCs w:val="24"/>
        </w:rPr>
        <w:t>Participants high in the Dark Triad traits</w:t>
      </w:r>
      <w:r>
        <w:rPr>
          <w:color w:val="0E101A"/>
          <w:sz w:val="24"/>
          <w:szCs w:val="24"/>
        </w:rPr>
        <w:t xml:space="preserve"> were less likely to engage in preventive behavior and more likely to engage in hoarding, whereas </w:t>
      </w:r>
      <w:r>
        <w:rPr>
          <w:sz w:val="24"/>
          <w:szCs w:val="24"/>
        </w:rPr>
        <w:t xml:space="preserve">participants </w:t>
      </w:r>
      <w:r>
        <w:rPr>
          <w:color w:val="0E101A"/>
          <w:sz w:val="24"/>
          <w:szCs w:val="24"/>
        </w:rPr>
        <w:t>high in collective narcissism were more likely to engage in hoarding. Reluctance to engage in preventive behavior among those characterized by the Dark Triad traits was partially explained by their health beliefs about COVID-19, especially</w:t>
      </w:r>
      <w:r>
        <w:rPr>
          <w:color w:val="000000"/>
          <w:sz w:val="24"/>
          <w:szCs w:val="24"/>
        </w:rPr>
        <w:t xml:space="preserve"> higher perceived susceptibility, higher perceived barriers, and lower sense of self-efficacy. </w:t>
      </w:r>
      <w:r>
        <w:rPr>
          <w:sz w:val="24"/>
          <w:szCs w:val="24"/>
        </w:rPr>
        <w:t xml:space="preserve">Participants who </w:t>
      </w:r>
      <w:r>
        <w:rPr>
          <w:color w:val="000000"/>
          <w:sz w:val="24"/>
          <w:szCs w:val="24"/>
        </w:rPr>
        <w:t xml:space="preserve">perceived barriers as high </w:t>
      </w:r>
      <w:r>
        <w:rPr>
          <w:sz w:val="24"/>
          <w:szCs w:val="24"/>
        </w:rPr>
        <w:t>were less likely to engage in</w:t>
      </w:r>
      <w:r>
        <w:rPr>
          <w:color w:val="000000"/>
          <w:sz w:val="24"/>
          <w:szCs w:val="24"/>
        </w:rPr>
        <w:t xml:space="preserve"> preventive behavior, whereas participants who endorsed all other types of health beliefs were </w:t>
      </w:r>
      <w:r>
        <w:rPr>
          <w:sz w:val="24"/>
          <w:szCs w:val="24"/>
        </w:rPr>
        <w:t>more likely to engage in preventive behavior</w:t>
      </w:r>
      <w:r>
        <w:rPr>
          <w:color w:val="000000"/>
          <w:sz w:val="24"/>
          <w:szCs w:val="24"/>
        </w:rPr>
        <w:t>. However, the apparently protective effect of health beliefs was insufficient to counterbalance the small and negative (albeit not significant) effect of collective narcissism on preventive behavior: Collective narcissism was unrelated to such behavior.</w:t>
      </w:r>
      <w:r>
        <w:rPr>
          <w:sz w:val="24"/>
          <w:szCs w:val="24"/>
        </w:rPr>
        <w:t xml:space="preserve"> Finally, participants who were likely to engage in hoarding were characterized by lower perceived barriers against preventive behavior, and by perceived </w:t>
      </w:r>
      <w:r>
        <w:rPr>
          <w:color w:val="000000"/>
          <w:sz w:val="24"/>
          <w:szCs w:val="24"/>
        </w:rPr>
        <w:t>susceptibility</w:t>
      </w:r>
      <w:r>
        <w:rPr>
          <w:sz w:val="24"/>
          <w:szCs w:val="24"/>
        </w:rPr>
        <w:t xml:space="preserve"> and </w:t>
      </w:r>
      <w:r>
        <w:rPr>
          <w:color w:val="000000"/>
          <w:sz w:val="24"/>
          <w:szCs w:val="24"/>
        </w:rPr>
        <w:t>perceived severity</w:t>
      </w:r>
      <w:r>
        <w:rPr>
          <w:sz w:val="24"/>
          <w:szCs w:val="24"/>
        </w:rPr>
        <w:t>.</w:t>
      </w:r>
    </w:p>
    <w:p w14:paraId="45C8FE35" w14:textId="77777777" w:rsidR="00F173EA" w:rsidRDefault="004250A8">
      <w:pPr>
        <w:pBdr>
          <w:top w:val="nil"/>
          <w:left w:val="nil"/>
          <w:bottom w:val="nil"/>
          <w:right w:val="nil"/>
          <w:between w:val="nil"/>
        </w:pBdr>
        <w:spacing w:line="480" w:lineRule="auto"/>
        <w:ind w:hanging="2"/>
        <w:jc w:val="center"/>
        <w:rPr>
          <w:color w:val="000000"/>
          <w:sz w:val="24"/>
          <w:szCs w:val="24"/>
        </w:rPr>
      </w:pPr>
      <w:r>
        <w:rPr>
          <w:b/>
          <w:color w:val="000000"/>
          <w:sz w:val="24"/>
          <w:szCs w:val="24"/>
        </w:rPr>
        <w:t>Discussion</w:t>
      </w:r>
    </w:p>
    <w:p w14:paraId="4ACD18A9" w14:textId="77777777" w:rsidR="00F173EA" w:rsidRDefault="004250A8">
      <w:pPr>
        <w:pBdr>
          <w:top w:val="nil"/>
          <w:left w:val="nil"/>
          <w:bottom w:val="nil"/>
          <w:right w:val="nil"/>
          <w:between w:val="nil"/>
        </w:pBdr>
        <w:spacing w:line="480" w:lineRule="auto"/>
        <w:ind w:firstLine="720"/>
        <w:rPr>
          <w:color w:val="000000"/>
          <w:sz w:val="24"/>
          <w:szCs w:val="24"/>
        </w:rPr>
      </w:pPr>
      <w:r>
        <w:rPr>
          <w:color w:val="000000"/>
          <w:sz w:val="24"/>
          <w:szCs w:val="24"/>
        </w:rPr>
        <w:t xml:space="preserve">We extended work on the relationship between dark personality and health, examining preventive and hoarding behaviors during the COVID-19 pandemic (Sternisko et al., 2020; Zajenkowski et al., 2020). Our study pointed to the utility of the health belief model (Alsulaiman &amp; Rentner, 2018; </w:t>
      </w:r>
      <w:r>
        <w:rPr>
          <w:color w:val="0E101A"/>
          <w:sz w:val="24"/>
          <w:szCs w:val="24"/>
        </w:rPr>
        <w:t>Rosenstock, 1974; Rosenstock et al., 1988</w:t>
      </w:r>
      <w:r>
        <w:rPr>
          <w:color w:val="000000"/>
          <w:sz w:val="24"/>
          <w:szCs w:val="24"/>
        </w:rPr>
        <w:t xml:space="preserve">) in predicting such behaviors, with </w:t>
      </w:r>
      <w:r>
        <w:rPr>
          <w:color w:val="000000"/>
          <w:sz w:val="24"/>
          <w:szCs w:val="24"/>
        </w:rPr>
        <w:lastRenderedPageBreak/>
        <w:t>beliefs serving as mechanisms linking personality to engaging in adaptive (i.e., preventive) and maladaptive (e.g., hoarding) preventative measures. We advanced the scope of the model by illustrating the relevance of dark personality traits in predicting both adaptive and maladaptive behaviors in response to the pandemic by person-focused (i.e., the Dark Triad traits) and group-focused (i.e., collective narcissism) personality traits.</w:t>
      </w:r>
    </w:p>
    <w:p w14:paraId="3937EA54" w14:textId="729FAC58" w:rsidR="00F173EA" w:rsidRDefault="004250A8">
      <w:pPr>
        <w:pBdr>
          <w:top w:val="nil"/>
          <w:left w:val="nil"/>
          <w:bottom w:val="nil"/>
          <w:right w:val="nil"/>
          <w:between w:val="nil"/>
        </w:pBdr>
        <w:spacing w:line="480" w:lineRule="auto"/>
        <w:ind w:firstLine="720"/>
        <w:rPr>
          <w:color w:val="000000"/>
          <w:sz w:val="24"/>
          <w:szCs w:val="24"/>
        </w:rPr>
      </w:pPr>
      <w:bookmarkStart w:id="6" w:name="_tyjcwt" w:colFirst="0" w:colLast="0"/>
      <w:bookmarkEnd w:id="6"/>
      <w:r>
        <w:rPr>
          <w:color w:val="000000"/>
          <w:sz w:val="24"/>
          <w:szCs w:val="24"/>
        </w:rPr>
        <w:t xml:space="preserve">As hypothesized, participants characterized by the Dark Triad traits were less likely to engage in preventive behavior and more likely to hoard. Such findings are congruent with details about the fact that people who are high on these traits are </w:t>
      </w:r>
      <w:r w:rsidR="00AC1B6D">
        <w:rPr>
          <w:color w:val="000000"/>
          <w:sz w:val="24"/>
          <w:szCs w:val="24"/>
        </w:rPr>
        <w:t xml:space="preserve">more </w:t>
      </w:r>
      <w:r>
        <w:rPr>
          <w:color w:val="000000"/>
          <w:sz w:val="24"/>
          <w:szCs w:val="24"/>
        </w:rPr>
        <w:t>impulsiv</w:t>
      </w:r>
      <w:r w:rsidR="00AC1B6D">
        <w:rPr>
          <w:color w:val="000000"/>
          <w:sz w:val="24"/>
          <w:szCs w:val="24"/>
        </w:rPr>
        <w:t>e</w:t>
      </w:r>
      <w:r>
        <w:rPr>
          <w:color w:val="000000"/>
          <w:sz w:val="24"/>
          <w:szCs w:val="24"/>
        </w:rPr>
        <w:t xml:space="preserve"> (Jones &amp; Paulhus, 2011), focus on self-interest (Jonason &amp; Fletcher, 2018), and tend</w:t>
      </w:r>
      <w:r w:rsidR="00AC1B6D">
        <w:rPr>
          <w:color w:val="000000"/>
          <w:sz w:val="24"/>
          <w:szCs w:val="24"/>
        </w:rPr>
        <w:t xml:space="preserve"> </w:t>
      </w:r>
      <w:r>
        <w:rPr>
          <w:color w:val="000000"/>
          <w:sz w:val="24"/>
          <w:szCs w:val="24"/>
        </w:rPr>
        <w:t xml:space="preserve">toward risk-taking (Crysel et al., 2013). Participants characterized by collective narcissism were also more likely to engage in hoarding, but collective narcissism was unrelated to prevention. Weaker preventive behavior among those characterized by the Dark Triad traits was partially explained by their health beliefs about the coronavirus, and in particular higher levels of perceived barriers against prevention and lower self-efficacy. The Dark Triad traits were also linked to higher perceived susceptibility, yet without endorsing higher levels of perceived severity. Participants higher on the Dark Triad traits seemed to be concerned with negative aspects of prevention and not consider the benefits of it. Such a concern with perceived barriers was accompanied by lower prevention, which indirectly contributed to lower hoarding. The relationship between health beliefs and behaviors raises the question of motives underlying hoarding and prevention. Participants characterized by the Dark Triad traits may have engaged in hoarding partially for self-protection (Sedikides, 2012), as higher levels of perceived susceptibility were associated with more hoarding. Yet, given that we also found direct effects on hoarding, hoarding may have been driven by different beliefs than those related to the COVID-19. Collective narcissists engaged in prevention exclusively via their beliefs about the coronavirus. They perceived more barriers against engaging in prevention, but also saw more benefits, and indicated higher self-efficacy, perceived severity, as well as </w:t>
      </w:r>
      <w:r>
        <w:rPr>
          <w:color w:val="000000"/>
          <w:sz w:val="24"/>
          <w:szCs w:val="24"/>
        </w:rPr>
        <w:lastRenderedPageBreak/>
        <w:t>perceived susceptibility, which, in total, were only weakly (albeit significantly) related to higher levels of prevention.</w:t>
      </w:r>
    </w:p>
    <w:p w14:paraId="312577AD" w14:textId="77777777" w:rsidR="00F173EA" w:rsidRDefault="004250A8">
      <w:pPr>
        <w:pBdr>
          <w:top w:val="nil"/>
          <w:left w:val="nil"/>
          <w:bottom w:val="nil"/>
          <w:right w:val="nil"/>
          <w:between w:val="nil"/>
        </w:pBdr>
        <w:spacing w:line="480" w:lineRule="auto"/>
        <w:ind w:firstLine="720"/>
        <w:rPr>
          <w:color w:val="000000"/>
          <w:sz w:val="24"/>
          <w:szCs w:val="24"/>
        </w:rPr>
      </w:pPr>
      <w:r>
        <w:rPr>
          <w:color w:val="000000"/>
          <w:sz w:val="24"/>
          <w:szCs w:val="24"/>
        </w:rPr>
        <w:t>Individuals characterized by higher levels of dark personality traits engaged more in hoarding, yet their beliefs about coronavirus did not play a substantial role in this relationship; that is, in total these beliefs worked in opposite directions. In contrast, individuals characterized by person-focused dark personality traits indicated fewer preventive behaviors both directly and via their</w:t>
      </w:r>
      <w:r>
        <w:rPr>
          <w:sz w:val="24"/>
          <w:szCs w:val="24"/>
        </w:rPr>
        <w:t xml:space="preserve"> higher levels of perceived barriers against prevention and lower perceived self-efficacy in such actions</w:t>
      </w:r>
      <w:r>
        <w:rPr>
          <w:color w:val="000000"/>
          <w:sz w:val="24"/>
          <w:szCs w:val="24"/>
        </w:rPr>
        <w:t>.</w:t>
      </w:r>
      <w:r>
        <w:rPr>
          <w:sz w:val="24"/>
          <w:szCs w:val="24"/>
        </w:rPr>
        <w:t xml:space="preserve"> Further, </w:t>
      </w:r>
      <w:r>
        <w:rPr>
          <w:color w:val="000000"/>
          <w:sz w:val="24"/>
          <w:szCs w:val="24"/>
        </w:rPr>
        <w:t>individuals characterized by group-focused dark personality</w:t>
      </w:r>
      <w:r>
        <w:rPr>
          <w:sz w:val="24"/>
          <w:szCs w:val="24"/>
        </w:rPr>
        <w:t xml:space="preserve"> traits did not differ from others in</w:t>
      </w:r>
      <w:r>
        <w:rPr>
          <w:color w:val="000000"/>
          <w:sz w:val="24"/>
          <w:szCs w:val="24"/>
        </w:rPr>
        <w:t xml:space="preserve"> </w:t>
      </w:r>
      <w:r>
        <w:rPr>
          <w:sz w:val="24"/>
          <w:szCs w:val="24"/>
        </w:rPr>
        <w:t>engaging</w:t>
      </w:r>
      <w:r>
        <w:rPr>
          <w:color w:val="000000"/>
          <w:sz w:val="24"/>
          <w:szCs w:val="24"/>
        </w:rPr>
        <w:t xml:space="preserve"> in preventive </w:t>
      </w:r>
      <w:r>
        <w:rPr>
          <w:sz w:val="24"/>
          <w:szCs w:val="24"/>
        </w:rPr>
        <w:t>behavior.</w:t>
      </w:r>
      <w:r>
        <w:rPr>
          <w:color w:val="000000"/>
          <w:sz w:val="24"/>
          <w:szCs w:val="24"/>
        </w:rPr>
        <w:t xml:space="preserve"> Despite having</w:t>
      </w:r>
      <w:r>
        <w:rPr>
          <w:sz w:val="24"/>
          <w:szCs w:val="24"/>
        </w:rPr>
        <w:t xml:space="preserve"> </w:t>
      </w:r>
      <w:r>
        <w:rPr>
          <w:color w:val="000000"/>
          <w:sz w:val="24"/>
          <w:szCs w:val="24"/>
        </w:rPr>
        <w:t>indicated some adaptive beliefs (i.e., perceived benefits and self-efficacy, but not perceived barriers) about the coronavirus</w:t>
      </w:r>
      <w:r>
        <w:rPr>
          <w:sz w:val="24"/>
          <w:szCs w:val="24"/>
        </w:rPr>
        <w:t>, they did not adopt preventive</w:t>
      </w:r>
      <w:r>
        <w:rPr>
          <w:color w:val="000000"/>
          <w:sz w:val="24"/>
          <w:szCs w:val="24"/>
        </w:rPr>
        <w:t xml:space="preserve"> </w:t>
      </w:r>
      <w:r>
        <w:rPr>
          <w:sz w:val="24"/>
          <w:szCs w:val="24"/>
        </w:rPr>
        <w:t>behaviors</w:t>
      </w:r>
      <w:r>
        <w:rPr>
          <w:color w:val="000000"/>
          <w:sz w:val="24"/>
          <w:szCs w:val="24"/>
        </w:rPr>
        <w:t xml:space="preserve">. </w:t>
      </w:r>
    </w:p>
    <w:p w14:paraId="056CF58D" w14:textId="38CDB431" w:rsidR="00F173EA" w:rsidRDefault="004250A8">
      <w:pPr>
        <w:pBdr>
          <w:top w:val="nil"/>
          <w:left w:val="nil"/>
          <w:bottom w:val="nil"/>
          <w:right w:val="nil"/>
          <w:between w:val="nil"/>
        </w:pBdr>
        <w:spacing w:line="480" w:lineRule="auto"/>
        <w:rPr>
          <w:b/>
          <w:color w:val="000000"/>
          <w:sz w:val="24"/>
          <w:szCs w:val="24"/>
        </w:rPr>
      </w:pPr>
      <w:r>
        <w:rPr>
          <w:b/>
          <w:color w:val="000000"/>
          <w:sz w:val="24"/>
          <w:szCs w:val="24"/>
        </w:rPr>
        <w:t>Limitations</w:t>
      </w:r>
    </w:p>
    <w:p w14:paraId="4014E38F" w14:textId="0077C96A" w:rsidR="00F173EA" w:rsidRDefault="004250A8">
      <w:pPr>
        <w:pBdr>
          <w:top w:val="nil"/>
          <w:left w:val="nil"/>
          <w:bottom w:val="nil"/>
          <w:right w:val="nil"/>
          <w:between w:val="nil"/>
        </w:pBdr>
        <w:spacing w:line="480" w:lineRule="auto"/>
        <w:ind w:firstLine="720"/>
        <w:rPr>
          <w:sz w:val="24"/>
          <w:szCs w:val="24"/>
        </w:rPr>
      </w:pPr>
      <w:r>
        <w:rPr>
          <w:color w:val="000000"/>
          <w:sz w:val="24"/>
          <w:szCs w:val="24"/>
        </w:rPr>
        <w:t>Our study showcased the relevance of dark personality in coping with the threat imposed by the COVID-19 pandemic</w:t>
      </w:r>
      <w:r w:rsidR="00AC1B6D">
        <w:rPr>
          <w:color w:val="000000"/>
          <w:sz w:val="24"/>
          <w:szCs w:val="24"/>
        </w:rPr>
        <w:t>,</w:t>
      </w:r>
      <w:r>
        <w:rPr>
          <w:color w:val="000000"/>
          <w:sz w:val="24"/>
          <w:szCs w:val="24"/>
        </w:rPr>
        <w:t xml:space="preserve"> and contributed to the literature on the health belief model. The study, though, was limited by its reliance on cross-sectional data, a monocultural sample, and behavioroid </w:t>
      </w:r>
      <w:r w:rsidR="00AC1B6D">
        <w:rPr>
          <w:color w:val="000000"/>
          <w:sz w:val="24"/>
          <w:szCs w:val="24"/>
        </w:rPr>
        <w:t xml:space="preserve">(i.e., intentions) </w:t>
      </w:r>
      <w:r>
        <w:rPr>
          <w:color w:val="000000"/>
          <w:sz w:val="24"/>
          <w:szCs w:val="24"/>
        </w:rPr>
        <w:t xml:space="preserve">measures of health-related behaviors. In addition, most </w:t>
      </w:r>
      <w:r w:rsidR="00AC1B6D">
        <w:rPr>
          <w:color w:val="000000"/>
          <w:sz w:val="24"/>
          <w:szCs w:val="24"/>
        </w:rPr>
        <w:t xml:space="preserve">participants </w:t>
      </w:r>
      <w:r>
        <w:rPr>
          <w:color w:val="000000"/>
          <w:sz w:val="24"/>
          <w:szCs w:val="24"/>
        </w:rPr>
        <w:t>declared adopting preventive measures and hoarding behaviors (i.e., negative skew)</w:t>
      </w:r>
      <w:r w:rsidR="00AC1B6D">
        <w:rPr>
          <w:color w:val="000000"/>
          <w:sz w:val="24"/>
          <w:szCs w:val="24"/>
        </w:rPr>
        <w:t>,</w:t>
      </w:r>
      <w:r w:rsidR="00EF5615">
        <w:rPr>
          <w:color w:val="000000"/>
          <w:sz w:val="24"/>
          <w:szCs w:val="24"/>
        </w:rPr>
        <w:t xml:space="preserve"> but this did not violate accepted thresholds for statistical concerns</w:t>
      </w:r>
      <w:r>
        <w:rPr>
          <w:color w:val="000000"/>
          <w:sz w:val="24"/>
          <w:szCs w:val="24"/>
        </w:rPr>
        <w:t>.</w:t>
      </w:r>
      <w:r w:rsidR="00EF5615">
        <w:rPr>
          <w:color w:val="000000"/>
          <w:sz w:val="24"/>
          <w:szCs w:val="24"/>
        </w:rPr>
        <w:t xml:space="preserve"> </w:t>
      </w:r>
      <w:r w:rsidR="00AC1B6D">
        <w:rPr>
          <w:color w:val="000000"/>
          <w:sz w:val="24"/>
          <w:szCs w:val="24"/>
        </w:rPr>
        <w:t>Also</w:t>
      </w:r>
      <w:r w:rsidR="00EF5615">
        <w:rPr>
          <w:color w:val="000000"/>
          <w:sz w:val="24"/>
          <w:szCs w:val="24"/>
        </w:rPr>
        <w:t xml:space="preserve">, </w:t>
      </w:r>
      <w:r w:rsidR="00AC1B6D">
        <w:rPr>
          <w:color w:val="000000"/>
          <w:sz w:val="24"/>
          <w:szCs w:val="24"/>
        </w:rPr>
        <w:t xml:space="preserve">given that </w:t>
      </w:r>
      <w:r>
        <w:rPr>
          <w:color w:val="000000"/>
          <w:sz w:val="24"/>
          <w:szCs w:val="24"/>
        </w:rPr>
        <w:t xml:space="preserve">we collected our data at the beginning of the pandemic, such a </w:t>
      </w:r>
      <w:r w:rsidR="00AC1B6D">
        <w:rPr>
          <w:color w:val="000000"/>
          <w:sz w:val="24"/>
          <w:szCs w:val="24"/>
        </w:rPr>
        <w:t xml:space="preserve">behavioral pattern </w:t>
      </w:r>
      <w:r>
        <w:rPr>
          <w:color w:val="000000"/>
          <w:sz w:val="24"/>
          <w:szCs w:val="24"/>
        </w:rPr>
        <w:t xml:space="preserve">seems </w:t>
      </w:r>
      <w:r w:rsidR="00AC1B6D">
        <w:rPr>
          <w:color w:val="000000"/>
          <w:sz w:val="24"/>
          <w:szCs w:val="24"/>
        </w:rPr>
        <w:t>plausible</w:t>
      </w:r>
      <w:r>
        <w:rPr>
          <w:color w:val="000000"/>
          <w:sz w:val="24"/>
          <w:szCs w:val="24"/>
        </w:rPr>
        <w:t xml:space="preserve">. </w:t>
      </w:r>
      <w:r w:rsidR="00AC1B6D">
        <w:rPr>
          <w:color w:val="000000"/>
          <w:sz w:val="24"/>
          <w:szCs w:val="24"/>
        </w:rPr>
        <w:t xml:space="preserve">Specifically, </w:t>
      </w:r>
      <w:r w:rsidR="00EF5615">
        <w:rPr>
          <w:color w:val="000000"/>
          <w:sz w:val="24"/>
          <w:szCs w:val="24"/>
        </w:rPr>
        <w:t xml:space="preserve">people may be more likely to engage in prevention and adhere to restrictions </w:t>
      </w:r>
      <w:r w:rsidR="00AC1B6D">
        <w:rPr>
          <w:color w:val="000000"/>
          <w:sz w:val="24"/>
          <w:szCs w:val="24"/>
        </w:rPr>
        <w:t xml:space="preserve">in the beginning of the pandemic </w:t>
      </w:r>
      <w:r w:rsidR="00EF5615">
        <w:rPr>
          <w:color w:val="000000"/>
          <w:sz w:val="24"/>
          <w:szCs w:val="24"/>
        </w:rPr>
        <w:t>than two months into the “lockdown”. Indeed, fatigue curves for adhering to the restrictions and engaging in prevention may be a function of dark personality traits.</w:t>
      </w:r>
    </w:p>
    <w:p w14:paraId="508F868C" w14:textId="3C910B07" w:rsidR="00AC1B6D" w:rsidRDefault="00AC1B6D" w:rsidP="00D7209D">
      <w:pPr>
        <w:pBdr>
          <w:top w:val="nil"/>
          <w:left w:val="nil"/>
          <w:bottom w:val="nil"/>
          <w:right w:val="nil"/>
          <w:between w:val="nil"/>
        </w:pBdr>
        <w:spacing w:line="480" w:lineRule="auto"/>
        <w:rPr>
          <w:sz w:val="24"/>
          <w:szCs w:val="24"/>
        </w:rPr>
      </w:pPr>
      <w:r>
        <w:rPr>
          <w:b/>
          <w:color w:val="000000"/>
          <w:sz w:val="24"/>
          <w:szCs w:val="24"/>
        </w:rPr>
        <w:t>Conclusion</w:t>
      </w:r>
    </w:p>
    <w:p w14:paraId="7C6ACDC5" w14:textId="1316A6AF" w:rsidR="00F173EA" w:rsidRDefault="004250A8">
      <w:pPr>
        <w:pBdr>
          <w:top w:val="nil"/>
          <w:left w:val="nil"/>
          <w:bottom w:val="nil"/>
          <w:right w:val="nil"/>
          <w:between w:val="nil"/>
        </w:pBdr>
        <w:spacing w:line="480" w:lineRule="auto"/>
        <w:ind w:firstLine="720"/>
        <w:rPr>
          <w:sz w:val="24"/>
          <w:szCs w:val="24"/>
        </w:rPr>
      </w:pPr>
      <w:r>
        <w:rPr>
          <w:sz w:val="24"/>
          <w:szCs w:val="24"/>
        </w:rPr>
        <w:t>The management of problematic behaviors may be affected by health beliefs</w:t>
      </w:r>
      <w:r w:rsidR="00EF5615">
        <w:rPr>
          <w:sz w:val="24"/>
          <w:szCs w:val="24"/>
        </w:rPr>
        <w:t xml:space="preserve"> and dispositions</w:t>
      </w:r>
      <w:r>
        <w:rPr>
          <w:sz w:val="24"/>
          <w:szCs w:val="24"/>
        </w:rPr>
        <w:t>. Health beliefs are likely to strengthen the self-protection motive (</w:t>
      </w:r>
      <w:r>
        <w:rPr>
          <w:color w:val="000000"/>
          <w:sz w:val="24"/>
          <w:szCs w:val="24"/>
          <w:highlight w:val="white"/>
        </w:rPr>
        <w:t>Janz &amp; Becker</w:t>
      </w:r>
      <w:r>
        <w:rPr>
          <w:color w:val="0E101A"/>
          <w:sz w:val="24"/>
          <w:szCs w:val="24"/>
        </w:rPr>
        <w:t xml:space="preserve">, </w:t>
      </w:r>
      <w:r>
        <w:rPr>
          <w:color w:val="0E101A"/>
          <w:sz w:val="24"/>
          <w:szCs w:val="24"/>
        </w:rPr>
        <w:lastRenderedPageBreak/>
        <w:t>1984; Rosenstock et al., 1988</w:t>
      </w:r>
      <w:r>
        <w:rPr>
          <w:sz w:val="24"/>
          <w:szCs w:val="24"/>
        </w:rPr>
        <w:t xml:space="preserve">); here, we observed accompanying behavioral manifestations that are both adaptive (i.e., prevention) and maladaptive (i.e., hoarding). For instance, perceived barriers and perceived severity were associated with increased prevention and hoarding. Perceived barriers were particularly critical for preventive behavior among individuals characterized by high levels of dark traits, and these individuals expressed lower self-efficacy. Such possibly problematic health beliefs, then, could be altered through interventions that would thwart those with dark personalities from some personal and interpersonal costs of the pandemic, encouraging engagement in prevention and the avoidance of hoarding. </w:t>
      </w:r>
    </w:p>
    <w:p w14:paraId="28650331" w14:textId="77777777" w:rsidR="00F173EA" w:rsidRPr="00D7209D" w:rsidRDefault="004250A8">
      <w:pPr>
        <w:pBdr>
          <w:top w:val="nil"/>
          <w:left w:val="nil"/>
          <w:bottom w:val="nil"/>
          <w:right w:val="nil"/>
          <w:between w:val="nil"/>
        </w:pBdr>
        <w:spacing w:line="480" w:lineRule="auto"/>
        <w:ind w:hanging="720"/>
        <w:jc w:val="center"/>
        <w:rPr>
          <w:b/>
          <w:bCs/>
          <w:sz w:val="24"/>
          <w:szCs w:val="24"/>
        </w:rPr>
      </w:pPr>
      <w:r>
        <w:br w:type="page"/>
      </w:r>
      <w:r w:rsidRPr="00D7209D">
        <w:rPr>
          <w:b/>
          <w:bCs/>
          <w:color w:val="000000"/>
          <w:sz w:val="24"/>
          <w:szCs w:val="24"/>
        </w:rPr>
        <w:lastRenderedPageBreak/>
        <w:t>References</w:t>
      </w:r>
    </w:p>
    <w:p w14:paraId="463835C2" w14:textId="1229C458" w:rsidR="00F173EA" w:rsidRDefault="004250A8">
      <w:pPr>
        <w:pBdr>
          <w:top w:val="nil"/>
          <w:left w:val="nil"/>
          <w:bottom w:val="nil"/>
          <w:right w:val="nil"/>
          <w:between w:val="nil"/>
        </w:pBdr>
        <w:spacing w:line="480" w:lineRule="auto"/>
        <w:ind w:left="720" w:hanging="720"/>
        <w:rPr>
          <w:sz w:val="24"/>
          <w:szCs w:val="24"/>
        </w:rPr>
      </w:pPr>
      <w:r>
        <w:rPr>
          <w:sz w:val="24"/>
          <w:szCs w:val="24"/>
        </w:rPr>
        <w:t>Ahorsu, D.</w:t>
      </w:r>
      <w:r w:rsidR="00602778">
        <w:rPr>
          <w:sz w:val="24"/>
          <w:szCs w:val="24"/>
        </w:rPr>
        <w:t xml:space="preserve"> </w:t>
      </w:r>
      <w:r>
        <w:rPr>
          <w:sz w:val="24"/>
          <w:szCs w:val="24"/>
        </w:rPr>
        <w:t>K., Lin, C.</w:t>
      </w:r>
      <w:r w:rsidR="00602778">
        <w:rPr>
          <w:sz w:val="24"/>
          <w:szCs w:val="24"/>
        </w:rPr>
        <w:t xml:space="preserve"> </w:t>
      </w:r>
      <w:r>
        <w:rPr>
          <w:sz w:val="24"/>
          <w:szCs w:val="24"/>
        </w:rPr>
        <w:t>Y., Imani, V., Saffari, M., Griffiths, M.</w:t>
      </w:r>
      <w:r w:rsidR="00602778">
        <w:rPr>
          <w:sz w:val="24"/>
          <w:szCs w:val="24"/>
        </w:rPr>
        <w:t xml:space="preserve"> </w:t>
      </w:r>
      <w:r>
        <w:rPr>
          <w:sz w:val="24"/>
          <w:szCs w:val="24"/>
        </w:rPr>
        <w:t>D., &amp; Pakpour, A.</w:t>
      </w:r>
      <w:r w:rsidR="00602778">
        <w:rPr>
          <w:sz w:val="24"/>
          <w:szCs w:val="24"/>
        </w:rPr>
        <w:t xml:space="preserve"> </w:t>
      </w:r>
      <w:r>
        <w:rPr>
          <w:sz w:val="24"/>
          <w:szCs w:val="24"/>
        </w:rPr>
        <w:t xml:space="preserve">H. (2020). The fear of COVID-19 scale: Development and initial validation. </w:t>
      </w:r>
      <w:r w:rsidRPr="001C38AA">
        <w:rPr>
          <w:i/>
          <w:sz w:val="24"/>
          <w:szCs w:val="24"/>
        </w:rPr>
        <w:t>International Journal of Mental Health and Addiction</w:t>
      </w:r>
      <w:r>
        <w:rPr>
          <w:sz w:val="24"/>
          <w:szCs w:val="24"/>
        </w:rPr>
        <w:t xml:space="preserve">. </w:t>
      </w:r>
      <w:r w:rsidR="00E746A3">
        <w:rPr>
          <w:sz w:val="24"/>
          <w:szCs w:val="24"/>
        </w:rPr>
        <w:t>Advance online publication. https://doi.org/</w:t>
      </w:r>
      <w:r>
        <w:rPr>
          <w:sz w:val="24"/>
          <w:szCs w:val="24"/>
        </w:rPr>
        <w:t>10.1007/s11469-020-00270-8</w:t>
      </w:r>
    </w:p>
    <w:p w14:paraId="75732DD6" w14:textId="45CFBA27"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rPr>
        <w:t>Alsulaiman, S.</w:t>
      </w:r>
      <w:r w:rsidR="00602778">
        <w:rPr>
          <w:sz w:val="24"/>
          <w:szCs w:val="24"/>
        </w:rPr>
        <w:t xml:space="preserve"> </w:t>
      </w:r>
      <w:r>
        <w:rPr>
          <w:sz w:val="24"/>
          <w:szCs w:val="24"/>
        </w:rPr>
        <w:t>A., &amp; Rentner, T.</w:t>
      </w:r>
      <w:r w:rsidR="00602778">
        <w:rPr>
          <w:sz w:val="24"/>
          <w:szCs w:val="24"/>
        </w:rPr>
        <w:t xml:space="preserve"> </w:t>
      </w:r>
      <w:r>
        <w:rPr>
          <w:sz w:val="24"/>
          <w:szCs w:val="24"/>
        </w:rPr>
        <w:t xml:space="preserve">L. (2018). The health belief model and preventive measures: A Study of the ministry of health campaign on coronavirus in Saudi Arabia. </w:t>
      </w:r>
      <w:r>
        <w:rPr>
          <w:i/>
          <w:sz w:val="24"/>
          <w:szCs w:val="24"/>
        </w:rPr>
        <w:t>Journal of International Crisis and Risk Communication Research, 1</w:t>
      </w:r>
      <w:r>
        <w:rPr>
          <w:sz w:val="24"/>
          <w:szCs w:val="24"/>
        </w:rPr>
        <w:t xml:space="preserve">, 27-56. </w:t>
      </w:r>
      <w:r w:rsidR="00E746A3">
        <w:rPr>
          <w:sz w:val="24"/>
          <w:szCs w:val="24"/>
          <w:highlight w:val="white"/>
        </w:rPr>
        <w:t>https://doi.org/</w:t>
      </w:r>
      <w:r>
        <w:rPr>
          <w:sz w:val="24"/>
          <w:szCs w:val="24"/>
          <w:highlight w:val="white"/>
        </w:rPr>
        <w:t>10.30658/jicrcr.1.1.3</w:t>
      </w:r>
    </w:p>
    <w:p w14:paraId="5EB26D31" w14:textId="5BD84061"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highlight w:val="white"/>
        </w:rPr>
        <w:t>Byrne, B.</w:t>
      </w:r>
      <w:r w:rsidR="00602778">
        <w:rPr>
          <w:sz w:val="24"/>
          <w:szCs w:val="24"/>
          <w:highlight w:val="white"/>
        </w:rPr>
        <w:t xml:space="preserve"> </w:t>
      </w:r>
      <w:r>
        <w:rPr>
          <w:sz w:val="24"/>
          <w:szCs w:val="24"/>
          <w:highlight w:val="white"/>
        </w:rPr>
        <w:t xml:space="preserve">M. (1994). </w:t>
      </w:r>
      <w:r w:rsidRPr="00D7209D">
        <w:rPr>
          <w:i/>
          <w:iCs/>
          <w:sz w:val="24"/>
          <w:szCs w:val="24"/>
          <w:highlight w:val="white"/>
        </w:rPr>
        <w:t>Structural equation modeling with EQS and EQS/windows</w:t>
      </w:r>
      <w:r>
        <w:rPr>
          <w:sz w:val="24"/>
          <w:szCs w:val="24"/>
          <w:highlight w:val="white"/>
        </w:rPr>
        <w:t>. Sage Publications. ISBN:</w:t>
      </w:r>
      <w:r w:rsidR="00EF5615">
        <w:rPr>
          <w:sz w:val="24"/>
          <w:szCs w:val="24"/>
          <w:highlight w:val="white"/>
        </w:rPr>
        <w:t xml:space="preserve"> </w:t>
      </w:r>
      <w:r>
        <w:rPr>
          <w:sz w:val="24"/>
          <w:szCs w:val="24"/>
          <w:highlight w:val="white"/>
        </w:rPr>
        <w:t>9780803950924</w:t>
      </w:r>
    </w:p>
    <w:p w14:paraId="7E13D3C7" w14:textId="426602AA"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highlight w:val="white"/>
        </w:rPr>
        <w:t>Champion, V.</w:t>
      </w:r>
      <w:r w:rsidR="00AC1B6D">
        <w:rPr>
          <w:sz w:val="24"/>
          <w:szCs w:val="24"/>
          <w:highlight w:val="white"/>
        </w:rPr>
        <w:t xml:space="preserve"> </w:t>
      </w:r>
      <w:r>
        <w:rPr>
          <w:sz w:val="24"/>
          <w:szCs w:val="24"/>
          <w:highlight w:val="white"/>
        </w:rPr>
        <w:t xml:space="preserve">L. (1984). Instrument development for health belief model constructs. </w:t>
      </w:r>
      <w:r>
        <w:rPr>
          <w:i/>
          <w:sz w:val="24"/>
          <w:szCs w:val="24"/>
          <w:highlight w:val="white"/>
        </w:rPr>
        <w:t>Advances in Nursing Science</w:t>
      </w:r>
      <w:r>
        <w:rPr>
          <w:sz w:val="24"/>
          <w:szCs w:val="24"/>
          <w:highlight w:val="white"/>
        </w:rPr>
        <w:t xml:space="preserve">, </w:t>
      </w:r>
      <w:r>
        <w:rPr>
          <w:i/>
          <w:sz w:val="24"/>
          <w:szCs w:val="24"/>
        </w:rPr>
        <w:t>6</w:t>
      </w:r>
      <w:r>
        <w:rPr>
          <w:sz w:val="24"/>
          <w:szCs w:val="24"/>
        </w:rPr>
        <w:t xml:space="preserve">, 73–85. </w:t>
      </w:r>
      <w:r w:rsidR="00E746A3">
        <w:rPr>
          <w:sz w:val="24"/>
          <w:szCs w:val="24"/>
          <w:highlight w:val="white"/>
        </w:rPr>
        <w:t>https://doi.org/</w:t>
      </w:r>
      <w:hyperlink r:id="rId9">
        <w:r>
          <w:rPr>
            <w:sz w:val="24"/>
            <w:szCs w:val="24"/>
            <w:highlight w:val="white"/>
          </w:rPr>
          <w:t>10.1097/00012272-198404000-00011</w:t>
        </w:r>
      </w:hyperlink>
    </w:p>
    <w:p w14:paraId="59B07779" w14:textId="5C14110D" w:rsidR="00F173EA" w:rsidRDefault="004250A8">
      <w:pPr>
        <w:pBdr>
          <w:top w:val="nil"/>
          <w:left w:val="nil"/>
          <w:bottom w:val="nil"/>
          <w:right w:val="nil"/>
          <w:between w:val="nil"/>
        </w:pBdr>
        <w:spacing w:line="480" w:lineRule="auto"/>
        <w:ind w:left="720" w:hanging="720"/>
        <w:rPr>
          <w:sz w:val="24"/>
          <w:szCs w:val="24"/>
        </w:rPr>
      </w:pPr>
      <w:r>
        <w:rPr>
          <w:sz w:val="24"/>
          <w:szCs w:val="24"/>
        </w:rPr>
        <w:t>Champion, V.</w:t>
      </w:r>
      <w:r w:rsidR="00602778">
        <w:rPr>
          <w:sz w:val="24"/>
          <w:szCs w:val="24"/>
        </w:rPr>
        <w:t xml:space="preserve"> </w:t>
      </w:r>
      <w:r>
        <w:rPr>
          <w:sz w:val="24"/>
          <w:szCs w:val="24"/>
        </w:rPr>
        <w:t>L., &amp; Skinner, C.</w:t>
      </w:r>
      <w:r w:rsidR="00602778">
        <w:rPr>
          <w:sz w:val="24"/>
          <w:szCs w:val="24"/>
        </w:rPr>
        <w:t xml:space="preserve"> </w:t>
      </w:r>
      <w:r>
        <w:rPr>
          <w:sz w:val="24"/>
          <w:szCs w:val="24"/>
        </w:rPr>
        <w:t>S. (2008). The health belief model. In K. Glanz, B.</w:t>
      </w:r>
      <w:r w:rsidR="00602778">
        <w:rPr>
          <w:sz w:val="24"/>
          <w:szCs w:val="24"/>
        </w:rPr>
        <w:t xml:space="preserve"> </w:t>
      </w:r>
      <w:r>
        <w:rPr>
          <w:sz w:val="24"/>
          <w:szCs w:val="24"/>
        </w:rPr>
        <w:t xml:space="preserve">K. Rimer, &amp; K. Viswanath (Eds.), </w:t>
      </w:r>
      <w:r>
        <w:rPr>
          <w:i/>
          <w:sz w:val="24"/>
          <w:szCs w:val="24"/>
        </w:rPr>
        <w:t>Health behavior and health education: Theory, research, and practice</w:t>
      </w:r>
      <w:r>
        <w:rPr>
          <w:sz w:val="24"/>
          <w:szCs w:val="24"/>
        </w:rPr>
        <w:t xml:space="preserve"> (4</w:t>
      </w:r>
      <w:r>
        <w:rPr>
          <w:sz w:val="24"/>
          <w:szCs w:val="24"/>
          <w:vertAlign w:val="superscript"/>
        </w:rPr>
        <w:t>th</w:t>
      </w:r>
      <w:r>
        <w:rPr>
          <w:sz w:val="24"/>
          <w:szCs w:val="24"/>
        </w:rPr>
        <w:t xml:space="preserve"> ed., pp. 45-65). Jossey-Bass. ISBN:</w:t>
      </w:r>
      <w:r w:rsidR="00EF5615">
        <w:rPr>
          <w:sz w:val="24"/>
          <w:szCs w:val="24"/>
        </w:rPr>
        <w:t xml:space="preserve"> </w:t>
      </w:r>
      <w:r>
        <w:rPr>
          <w:sz w:val="24"/>
          <w:szCs w:val="24"/>
        </w:rPr>
        <w:t>9780787996147</w:t>
      </w:r>
    </w:p>
    <w:p w14:paraId="61E4324C" w14:textId="74E64CC0"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rPr>
        <w:t>Crysel, L.</w:t>
      </w:r>
      <w:r w:rsidR="00602778">
        <w:rPr>
          <w:sz w:val="24"/>
          <w:szCs w:val="24"/>
        </w:rPr>
        <w:t xml:space="preserve"> </w:t>
      </w:r>
      <w:r>
        <w:rPr>
          <w:sz w:val="24"/>
          <w:szCs w:val="24"/>
        </w:rPr>
        <w:t>C., Crosier, B.</w:t>
      </w:r>
      <w:r w:rsidR="00602778">
        <w:rPr>
          <w:sz w:val="24"/>
          <w:szCs w:val="24"/>
        </w:rPr>
        <w:t xml:space="preserve"> </w:t>
      </w:r>
      <w:r>
        <w:rPr>
          <w:sz w:val="24"/>
          <w:szCs w:val="24"/>
        </w:rPr>
        <w:t>S., &amp; Webster, G.</w:t>
      </w:r>
      <w:r w:rsidR="00602778">
        <w:rPr>
          <w:sz w:val="24"/>
          <w:szCs w:val="24"/>
        </w:rPr>
        <w:t xml:space="preserve"> </w:t>
      </w:r>
      <w:r>
        <w:rPr>
          <w:sz w:val="24"/>
          <w:szCs w:val="24"/>
        </w:rPr>
        <w:t xml:space="preserve">W. (2013). The Dark Triad and risky behavior. </w:t>
      </w:r>
      <w:r>
        <w:rPr>
          <w:i/>
          <w:sz w:val="24"/>
          <w:szCs w:val="24"/>
        </w:rPr>
        <w:t>Personality and Individual Differences, 54</w:t>
      </w:r>
      <w:r>
        <w:rPr>
          <w:sz w:val="24"/>
          <w:szCs w:val="24"/>
        </w:rPr>
        <w:t xml:space="preserve">, 35-40. </w:t>
      </w:r>
      <w:r w:rsidR="00E746A3">
        <w:rPr>
          <w:sz w:val="24"/>
          <w:szCs w:val="24"/>
        </w:rPr>
        <w:t>https://doi.org/</w:t>
      </w:r>
      <w:r>
        <w:rPr>
          <w:sz w:val="24"/>
          <w:szCs w:val="24"/>
        </w:rPr>
        <w:t>10.1016/j.paid.2012.07.029</w:t>
      </w:r>
    </w:p>
    <w:p w14:paraId="0A6A898B" w14:textId="0620ED4E" w:rsidR="00F173EA" w:rsidRPr="0091490C" w:rsidRDefault="004250A8">
      <w:pPr>
        <w:pBdr>
          <w:top w:val="nil"/>
          <w:left w:val="nil"/>
          <w:bottom w:val="nil"/>
          <w:right w:val="nil"/>
          <w:between w:val="nil"/>
        </w:pBdr>
        <w:spacing w:line="480" w:lineRule="auto"/>
        <w:ind w:left="720" w:hanging="720"/>
        <w:rPr>
          <w:sz w:val="24"/>
          <w:szCs w:val="24"/>
          <w:highlight w:val="white"/>
          <w:lang w:val="de-DE"/>
        </w:rPr>
      </w:pPr>
      <w:r>
        <w:rPr>
          <w:sz w:val="24"/>
          <w:szCs w:val="24"/>
          <w:highlight w:val="white"/>
        </w:rPr>
        <w:t>Czarna, A.</w:t>
      </w:r>
      <w:r w:rsidR="00602778">
        <w:rPr>
          <w:sz w:val="24"/>
          <w:szCs w:val="24"/>
          <w:highlight w:val="white"/>
        </w:rPr>
        <w:t xml:space="preserve"> </w:t>
      </w:r>
      <w:r>
        <w:rPr>
          <w:sz w:val="24"/>
          <w:szCs w:val="24"/>
          <w:highlight w:val="white"/>
        </w:rPr>
        <w:t>Z., Jonason, P.</w:t>
      </w:r>
      <w:r w:rsidR="00602778">
        <w:rPr>
          <w:sz w:val="24"/>
          <w:szCs w:val="24"/>
          <w:highlight w:val="white"/>
        </w:rPr>
        <w:t xml:space="preserve"> </w:t>
      </w:r>
      <w:r>
        <w:rPr>
          <w:sz w:val="24"/>
          <w:szCs w:val="24"/>
          <w:highlight w:val="white"/>
        </w:rPr>
        <w:t xml:space="preserve">K., Dufner, M., &amp; Kossowska, M. (2016). The Dirty Dozen Scale: Validation of a Polish version and extension of the nomological net. </w:t>
      </w:r>
      <w:r w:rsidRPr="0091490C">
        <w:rPr>
          <w:i/>
          <w:sz w:val="24"/>
          <w:szCs w:val="24"/>
          <w:highlight w:val="white"/>
          <w:lang w:val="de-DE"/>
        </w:rPr>
        <w:t>Frontiers in Psychology</w:t>
      </w:r>
      <w:r w:rsidRPr="0091490C">
        <w:rPr>
          <w:sz w:val="24"/>
          <w:szCs w:val="24"/>
          <w:highlight w:val="white"/>
          <w:lang w:val="de-DE"/>
        </w:rPr>
        <w:t xml:space="preserve">, </w:t>
      </w:r>
      <w:r w:rsidRPr="0091490C">
        <w:rPr>
          <w:i/>
          <w:sz w:val="24"/>
          <w:szCs w:val="24"/>
          <w:highlight w:val="white"/>
          <w:lang w:val="de-DE"/>
        </w:rPr>
        <w:t>7</w:t>
      </w:r>
      <w:r w:rsidRPr="0091490C">
        <w:rPr>
          <w:sz w:val="24"/>
          <w:szCs w:val="24"/>
          <w:highlight w:val="white"/>
          <w:lang w:val="de-DE"/>
        </w:rPr>
        <w:t>, 445.</w:t>
      </w:r>
      <w:r w:rsidRPr="0091490C">
        <w:rPr>
          <w:sz w:val="24"/>
          <w:szCs w:val="24"/>
          <w:lang w:val="de-DE"/>
        </w:rPr>
        <w:t xml:space="preserve"> </w:t>
      </w:r>
      <w:r w:rsidR="00E746A3">
        <w:rPr>
          <w:sz w:val="24"/>
          <w:szCs w:val="24"/>
          <w:highlight w:val="white"/>
          <w:lang w:val="de-DE"/>
        </w:rPr>
        <w:t>https://doi.org/</w:t>
      </w:r>
      <w:r w:rsidRPr="0091490C">
        <w:rPr>
          <w:sz w:val="24"/>
          <w:szCs w:val="24"/>
          <w:highlight w:val="white"/>
          <w:lang w:val="de-DE"/>
        </w:rPr>
        <w:t>10.3389/fpsyg.2016.00445</w:t>
      </w:r>
    </w:p>
    <w:p w14:paraId="342B5D9B" w14:textId="43D564AE" w:rsidR="00F173EA" w:rsidRPr="001C38AA" w:rsidRDefault="004250A8">
      <w:pPr>
        <w:pBdr>
          <w:top w:val="nil"/>
          <w:left w:val="nil"/>
          <w:bottom w:val="nil"/>
          <w:right w:val="nil"/>
          <w:between w:val="nil"/>
        </w:pBdr>
        <w:spacing w:line="480" w:lineRule="auto"/>
        <w:ind w:left="720" w:hanging="720"/>
        <w:rPr>
          <w:sz w:val="24"/>
          <w:szCs w:val="24"/>
          <w:highlight w:val="white"/>
        </w:rPr>
      </w:pPr>
      <w:r w:rsidRPr="0091490C">
        <w:rPr>
          <w:sz w:val="24"/>
          <w:szCs w:val="24"/>
          <w:highlight w:val="white"/>
          <w:lang w:val="de-DE"/>
        </w:rPr>
        <w:t xml:space="preserve">Faul, F., Erdfelder, E., Lang, A.G., &amp; Buchner, A. (2007). </w:t>
      </w:r>
      <w:r>
        <w:rPr>
          <w:sz w:val="24"/>
          <w:szCs w:val="24"/>
          <w:highlight w:val="white"/>
        </w:rPr>
        <w:t xml:space="preserve">G*Power 3: A flexible statistical power analysis program for the social, behavioral, and biomedical sciences. Behavior Research Methods, 39, 175-191. </w:t>
      </w:r>
      <w:r w:rsidR="00E746A3">
        <w:rPr>
          <w:sz w:val="24"/>
          <w:szCs w:val="24"/>
          <w:highlight w:val="white"/>
        </w:rPr>
        <w:t>https://doi.org/</w:t>
      </w:r>
      <w:r w:rsidR="00EF5615">
        <w:rPr>
          <w:sz w:val="24"/>
          <w:szCs w:val="24"/>
          <w:highlight w:val="white"/>
        </w:rPr>
        <w:t xml:space="preserve"> </w:t>
      </w:r>
      <w:r>
        <w:rPr>
          <w:sz w:val="24"/>
          <w:szCs w:val="24"/>
          <w:highlight w:val="white"/>
        </w:rPr>
        <w:t>10.3758/BF03193146</w:t>
      </w:r>
    </w:p>
    <w:p w14:paraId="7EB2E16A" w14:textId="17E3D024" w:rsidR="00F173EA" w:rsidRDefault="004250A8">
      <w:pPr>
        <w:pBdr>
          <w:top w:val="nil"/>
          <w:left w:val="nil"/>
          <w:bottom w:val="nil"/>
          <w:right w:val="nil"/>
          <w:between w:val="nil"/>
        </w:pBdr>
        <w:spacing w:line="480" w:lineRule="auto"/>
        <w:ind w:left="720" w:hanging="720"/>
        <w:rPr>
          <w:sz w:val="24"/>
          <w:szCs w:val="24"/>
        </w:rPr>
      </w:pPr>
      <w:r w:rsidRPr="00DC1665">
        <w:rPr>
          <w:sz w:val="24"/>
          <w:szCs w:val="24"/>
          <w:lang w:val="en-GB"/>
        </w:rPr>
        <w:lastRenderedPageBreak/>
        <w:t>Friedman, H.</w:t>
      </w:r>
      <w:r w:rsidR="00602778" w:rsidRPr="00DC1665">
        <w:rPr>
          <w:sz w:val="24"/>
          <w:szCs w:val="24"/>
          <w:lang w:val="en-GB"/>
        </w:rPr>
        <w:t xml:space="preserve"> </w:t>
      </w:r>
      <w:r w:rsidRPr="00DC1665">
        <w:rPr>
          <w:sz w:val="24"/>
          <w:szCs w:val="24"/>
          <w:lang w:val="en-GB"/>
        </w:rPr>
        <w:t>S., &amp; Kern, M.</w:t>
      </w:r>
      <w:r w:rsidR="00602778" w:rsidRPr="00DC1665">
        <w:rPr>
          <w:sz w:val="24"/>
          <w:szCs w:val="24"/>
          <w:lang w:val="en-GB"/>
        </w:rPr>
        <w:t xml:space="preserve"> </w:t>
      </w:r>
      <w:r w:rsidRPr="00DC1665">
        <w:rPr>
          <w:sz w:val="24"/>
          <w:szCs w:val="24"/>
          <w:lang w:val="en-GB"/>
        </w:rPr>
        <w:t xml:space="preserve">L. (2014). </w:t>
      </w:r>
      <w:r>
        <w:rPr>
          <w:sz w:val="24"/>
          <w:szCs w:val="24"/>
        </w:rPr>
        <w:t xml:space="preserve">Personality, well-being, and health. </w:t>
      </w:r>
      <w:r>
        <w:rPr>
          <w:i/>
          <w:sz w:val="24"/>
          <w:szCs w:val="24"/>
        </w:rPr>
        <w:t>Annual Review of Psychology</w:t>
      </w:r>
      <w:r>
        <w:rPr>
          <w:sz w:val="24"/>
          <w:szCs w:val="24"/>
        </w:rPr>
        <w:t xml:space="preserve">, </w:t>
      </w:r>
      <w:r>
        <w:rPr>
          <w:i/>
          <w:sz w:val="24"/>
          <w:szCs w:val="24"/>
        </w:rPr>
        <w:t>65</w:t>
      </w:r>
      <w:r>
        <w:rPr>
          <w:sz w:val="24"/>
          <w:szCs w:val="24"/>
        </w:rPr>
        <w:t xml:space="preserve">, 719-742. </w:t>
      </w:r>
      <w:r w:rsidR="00E746A3">
        <w:rPr>
          <w:sz w:val="24"/>
          <w:szCs w:val="24"/>
        </w:rPr>
        <w:t>https://doi.org/</w:t>
      </w:r>
      <w:r>
        <w:rPr>
          <w:sz w:val="24"/>
          <w:szCs w:val="24"/>
        </w:rPr>
        <w:t>10.1146/annurev-psych-010213-115123</w:t>
      </w:r>
    </w:p>
    <w:p w14:paraId="2F7EA51B" w14:textId="4C9BD006" w:rsidR="00F173EA" w:rsidRDefault="004250A8">
      <w:pPr>
        <w:pBdr>
          <w:top w:val="nil"/>
          <w:left w:val="nil"/>
          <w:bottom w:val="nil"/>
          <w:right w:val="nil"/>
          <w:between w:val="nil"/>
        </w:pBdr>
        <w:spacing w:line="480" w:lineRule="auto"/>
        <w:ind w:left="720" w:hanging="720"/>
        <w:rPr>
          <w:sz w:val="24"/>
          <w:szCs w:val="24"/>
        </w:rPr>
      </w:pPr>
      <w:r>
        <w:rPr>
          <w:sz w:val="24"/>
          <w:szCs w:val="24"/>
        </w:rPr>
        <w:t xml:space="preserve">George, D., &amp; Mallery, M. (2010). </w:t>
      </w:r>
      <w:r>
        <w:rPr>
          <w:i/>
          <w:sz w:val="24"/>
          <w:szCs w:val="24"/>
        </w:rPr>
        <w:t xml:space="preserve">SPSS for </w:t>
      </w:r>
      <w:r w:rsidR="00602778">
        <w:rPr>
          <w:i/>
          <w:sz w:val="24"/>
          <w:szCs w:val="24"/>
        </w:rPr>
        <w:t>w</w:t>
      </w:r>
      <w:r>
        <w:rPr>
          <w:i/>
          <w:sz w:val="24"/>
          <w:szCs w:val="24"/>
        </w:rPr>
        <w:t xml:space="preserve">indows </w:t>
      </w:r>
      <w:r w:rsidR="00602778">
        <w:rPr>
          <w:i/>
          <w:sz w:val="24"/>
          <w:szCs w:val="24"/>
        </w:rPr>
        <w:t>s</w:t>
      </w:r>
      <w:r>
        <w:rPr>
          <w:i/>
          <w:sz w:val="24"/>
          <w:szCs w:val="24"/>
        </w:rPr>
        <w:t xml:space="preserve">tep by </w:t>
      </w:r>
      <w:r w:rsidR="00602778">
        <w:rPr>
          <w:i/>
          <w:sz w:val="24"/>
          <w:szCs w:val="24"/>
        </w:rPr>
        <w:t>s</w:t>
      </w:r>
      <w:r>
        <w:rPr>
          <w:i/>
          <w:sz w:val="24"/>
          <w:szCs w:val="24"/>
        </w:rPr>
        <w:t xml:space="preserve">tep: A </w:t>
      </w:r>
      <w:r w:rsidR="00602778">
        <w:rPr>
          <w:i/>
          <w:sz w:val="24"/>
          <w:szCs w:val="24"/>
        </w:rPr>
        <w:t>s</w:t>
      </w:r>
      <w:r>
        <w:rPr>
          <w:i/>
          <w:sz w:val="24"/>
          <w:szCs w:val="24"/>
        </w:rPr>
        <w:t xml:space="preserve">imple </w:t>
      </w:r>
      <w:r w:rsidR="00602778">
        <w:rPr>
          <w:i/>
          <w:sz w:val="24"/>
          <w:szCs w:val="24"/>
        </w:rPr>
        <w:t>g</w:t>
      </w:r>
      <w:r>
        <w:rPr>
          <w:i/>
          <w:sz w:val="24"/>
          <w:szCs w:val="24"/>
        </w:rPr>
        <w:t xml:space="preserve">uide and </w:t>
      </w:r>
      <w:r w:rsidR="00602778">
        <w:rPr>
          <w:i/>
          <w:sz w:val="24"/>
          <w:szCs w:val="24"/>
        </w:rPr>
        <w:t>r</w:t>
      </w:r>
      <w:r>
        <w:rPr>
          <w:i/>
          <w:sz w:val="24"/>
          <w:szCs w:val="24"/>
        </w:rPr>
        <w:t>eference, 17.0 update</w:t>
      </w:r>
      <w:r>
        <w:rPr>
          <w:sz w:val="24"/>
          <w:szCs w:val="24"/>
        </w:rPr>
        <w:t xml:space="preserve"> (10th ed.). Pearson. ISBN:</w:t>
      </w:r>
      <w:r w:rsidR="00EF5615">
        <w:rPr>
          <w:sz w:val="24"/>
          <w:szCs w:val="24"/>
        </w:rPr>
        <w:t xml:space="preserve"> </w:t>
      </w:r>
      <w:r>
        <w:rPr>
          <w:sz w:val="24"/>
          <w:szCs w:val="24"/>
        </w:rPr>
        <w:t>9780205755615</w:t>
      </w:r>
    </w:p>
    <w:p w14:paraId="1BAB38CD" w14:textId="37EA8D1C" w:rsidR="00602778" w:rsidRDefault="004250A8">
      <w:pPr>
        <w:pBdr>
          <w:top w:val="nil"/>
          <w:left w:val="nil"/>
          <w:bottom w:val="nil"/>
          <w:right w:val="nil"/>
          <w:between w:val="nil"/>
        </w:pBdr>
        <w:spacing w:line="480" w:lineRule="auto"/>
        <w:ind w:left="720" w:hanging="720"/>
        <w:rPr>
          <w:sz w:val="24"/>
          <w:szCs w:val="24"/>
        </w:rPr>
      </w:pPr>
      <w:r>
        <w:rPr>
          <w:sz w:val="24"/>
          <w:szCs w:val="24"/>
        </w:rPr>
        <w:t xml:space="preserve">Golec de Zavala, A. (2018). Collective narcissism. </w:t>
      </w:r>
      <w:r w:rsidR="00602778">
        <w:rPr>
          <w:sz w:val="24"/>
        </w:rPr>
        <w:t xml:space="preserve">In A. D. Herman, A. B. Brunel, &amp; J. D. Foster (Eds.), </w:t>
      </w:r>
      <w:r w:rsidR="00602778">
        <w:rPr>
          <w:i/>
          <w:sz w:val="24"/>
        </w:rPr>
        <w:t>Handbook of trait narcissism</w:t>
      </w:r>
      <w:r w:rsidR="00602778">
        <w:rPr>
          <w:sz w:val="24"/>
        </w:rPr>
        <w:t xml:space="preserve">. </w:t>
      </w:r>
      <w:r w:rsidR="00602778">
        <w:rPr>
          <w:i/>
          <w:sz w:val="24"/>
        </w:rPr>
        <w:t>Key advances, research methods, and controversies</w:t>
      </w:r>
      <w:r w:rsidR="00602778" w:rsidDel="00602778">
        <w:rPr>
          <w:sz w:val="24"/>
          <w:szCs w:val="24"/>
        </w:rPr>
        <w:t xml:space="preserve"> </w:t>
      </w:r>
      <w:r>
        <w:rPr>
          <w:sz w:val="24"/>
          <w:szCs w:val="24"/>
        </w:rPr>
        <w:t>(pp. 79–88). Springer. ISBN:</w:t>
      </w:r>
      <w:r w:rsidR="00EF5615">
        <w:rPr>
          <w:sz w:val="24"/>
          <w:szCs w:val="24"/>
        </w:rPr>
        <w:t xml:space="preserve"> </w:t>
      </w:r>
      <w:r>
        <w:rPr>
          <w:sz w:val="24"/>
          <w:szCs w:val="24"/>
        </w:rPr>
        <w:t>9783319921716</w:t>
      </w:r>
    </w:p>
    <w:p w14:paraId="56C3F8C5" w14:textId="7903AAC2" w:rsidR="00F173EA" w:rsidRDefault="004250A8">
      <w:pPr>
        <w:pBdr>
          <w:top w:val="nil"/>
          <w:left w:val="nil"/>
          <w:bottom w:val="nil"/>
          <w:right w:val="nil"/>
          <w:between w:val="nil"/>
        </w:pBdr>
        <w:spacing w:line="480" w:lineRule="auto"/>
        <w:ind w:left="720" w:hanging="720"/>
        <w:rPr>
          <w:sz w:val="24"/>
          <w:szCs w:val="24"/>
          <w:highlight w:val="white"/>
        </w:rPr>
      </w:pPr>
      <w:r w:rsidRPr="001C38AA">
        <w:rPr>
          <w:sz w:val="24"/>
          <w:szCs w:val="24"/>
          <w:highlight w:val="white"/>
          <w:lang w:val="pl-PL"/>
        </w:rPr>
        <w:t xml:space="preserve">Golec de Zavala, A., Cichocka, A., &amp; Bilewicz, M. (2013). </w:t>
      </w:r>
      <w:r>
        <w:rPr>
          <w:sz w:val="24"/>
          <w:szCs w:val="24"/>
          <w:highlight w:val="white"/>
        </w:rPr>
        <w:t xml:space="preserve">The paradox of in‐group love: Differentiating collective narcissism advances understanding of the relationship between in‐group and out‐group attitudes. </w:t>
      </w:r>
      <w:r>
        <w:rPr>
          <w:i/>
          <w:sz w:val="24"/>
          <w:szCs w:val="24"/>
          <w:highlight w:val="white"/>
        </w:rPr>
        <w:t>Journal of Personality</w:t>
      </w:r>
      <w:r>
        <w:rPr>
          <w:sz w:val="24"/>
          <w:szCs w:val="24"/>
          <w:highlight w:val="white"/>
        </w:rPr>
        <w:t xml:space="preserve">, </w:t>
      </w:r>
      <w:r>
        <w:rPr>
          <w:i/>
          <w:sz w:val="24"/>
          <w:szCs w:val="24"/>
          <w:highlight w:val="white"/>
        </w:rPr>
        <w:t>81</w:t>
      </w:r>
      <w:r>
        <w:rPr>
          <w:sz w:val="24"/>
          <w:szCs w:val="24"/>
          <w:highlight w:val="white"/>
        </w:rPr>
        <w:t xml:space="preserve">, 16-28. </w:t>
      </w:r>
      <w:r w:rsidR="00E746A3">
        <w:rPr>
          <w:sz w:val="24"/>
          <w:szCs w:val="24"/>
        </w:rPr>
        <w:t>https://doi.org/</w:t>
      </w:r>
      <w:r>
        <w:rPr>
          <w:sz w:val="24"/>
          <w:szCs w:val="24"/>
        </w:rPr>
        <w:t>10.1111/j.1467-6494.2012.00779.x</w:t>
      </w:r>
    </w:p>
    <w:p w14:paraId="372B82A5" w14:textId="431B6D08"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highlight w:val="white"/>
        </w:rPr>
        <w:t xml:space="preserve">Golec de Zavala, A., Cichocka, A., Eidelson, R., &amp; Jayawickreme, N. (2009). Collective narcissism and its social consequences. </w:t>
      </w:r>
      <w:r>
        <w:rPr>
          <w:i/>
          <w:sz w:val="24"/>
          <w:szCs w:val="24"/>
          <w:highlight w:val="white"/>
        </w:rPr>
        <w:t>Journal of Personality and Social Psychology</w:t>
      </w:r>
      <w:r>
        <w:rPr>
          <w:sz w:val="24"/>
          <w:szCs w:val="24"/>
          <w:highlight w:val="white"/>
        </w:rPr>
        <w:t xml:space="preserve">, </w:t>
      </w:r>
      <w:r>
        <w:rPr>
          <w:i/>
          <w:sz w:val="24"/>
          <w:szCs w:val="24"/>
          <w:highlight w:val="white"/>
        </w:rPr>
        <w:t>97</w:t>
      </w:r>
      <w:r>
        <w:rPr>
          <w:sz w:val="24"/>
          <w:szCs w:val="24"/>
          <w:highlight w:val="white"/>
        </w:rPr>
        <w:t xml:space="preserve">, 1074-1096. </w:t>
      </w:r>
      <w:r w:rsidR="00E746A3">
        <w:rPr>
          <w:sz w:val="24"/>
          <w:szCs w:val="24"/>
        </w:rPr>
        <w:t>https://doi.org/</w:t>
      </w:r>
      <w:r>
        <w:rPr>
          <w:sz w:val="24"/>
          <w:szCs w:val="24"/>
          <w:highlight w:val="white"/>
        </w:rPr>
        <w:t>10.1037/a0016904</w:t>
      </w:r>
    </w:p>
    <w:p w14:paraId="1B3FCF0F" w14:textId="0460420E"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rPr>
        <w:t xml:space="preserve">Golec de Zavala, A., Federico, C.M., Sedikides, C., Guerra, R., Lantos, D., Mroziński, B., Cypryanska, M., &amp; Baran, T. (2019). Low self-esteem predicts out-group derogation via collective narcissism, but this relationship is obscured by in-group satisfaction. </w:t>
      </w:r>
      <w:r>
        <w:rPr>
          <w:i/>
          <w:sz w:val="24"/>
          <w:szCs w:val="24"/>
        </w:rPr>
        <w:t>Journal of Personality and Social Psychology</w:t>
      </w:r>
      <w:r>
        <w:rPr>
          <w:sz w:val="24"/>
          <w:szCs w:val="24"/>
        </w:rPr>
        <w:t xml:space="preserve">. Advance online publication. </w:t>
      </w:r>
      <w:r w:rsidR="00E746A3">
        <w:rPr>
          <w:sz w:val="24"/>
          <w:szCs w:val="24"/>
        </w:rPr>
        <w:t>https://doi.org/</w:t>
      </w:r>
      <w:r>
        <w:rPr>
          <w:sz w:val="24"/>
          <w:szCs w:val="24"/>
          <w:highlight w:val="white"/>
        </w:rPr>
        <w:t>10.1037/pspp0000260</w:t>
      </w:r>
    </w:p>
    <w:p w14:paraId="79F72120" w14:textId="62614AA7" w:rsidR="00F173EA" w:rsidRDefault="004250A8">
      <w:pPr>
        <w:pBdr>
          <w:top w:val="nil"/>
          <w:left w:val="nil"/>
          <w:bottom w:val="nil"/>
          <w:right w:val="nil"/>
          <w:between w:val="nil"/>
        </w:pBdr>
        <w:spacing w:line="480" w:lineRule="auto"/>
        <w:ind w:left="720" w:hanging="720"/>
        <w:rPr>
          <w:sz w:val="24"/>
          <w:szCs w:val="24"/>
        </w:rPr>
      </w:pPr>
      <w:r>
        <w:rPr>
          <w:sz w:val="24"/>
          <w:szCs w:val="24"/>
          <w:highlight w:val="white"/>
        </w:rPr>
        <w:t>Gott, A.</w:t>
      </w:r>
      <w:r w:rsidR="00E746A3">
        <w:rPr>
          <w:sz w:val="24"/>
          <w:szCs w:val="24"/>
          <w:highlight w:val="white"/>
        </w:rPr>
        <w:t xml:space="preserve"> </w:t>
      </w:r>
      <w:r>
        <w:rPr>
          <w:sz w:val="24"/>
          <w:szCs w:val="24"/>
          <w:highlight w:val="white"/>
        </w:rPr>
        <w:t>J., &amp; Hetzel-Riggin, M.</w:t>
      </w:r>
      <w:r w:rsidR="00E746A3">
        <w:rPr>
          <w:sz w:val="24"/>
          <w:szCs w:val="24"/>
          <w:highlight w:val="white"/>
        </w:rPr>
        <w:t xml:space="preserve"> </w:t>
      </w:r>
      <w:r>
        <w:rPr>
          <w:sz w:val="24"/>
          <w:szCs w:val="24"/>
          <w:highlight w:val="white"/>
        </w:rPr>
        <w:t xml:space="preserve">D. (2018). What did you expect? Substance use expectancies mediate the relationships between Dark Triad traits, substance use, and substance preferences. </w:t>
      </w:r>
      <w:r>
        <w:rPr>
          <w:i/>
          <w:sz w:val="24"/>
          <w:szCs w:val="24"/>
          <w:highlight w:val="white"/>
        </w:rPr>
        <w:t>Psychological Reports</w:t>
      </w:r>
      <w:r>
        <w:rPr>
          <w:sz w:val="24"/>
          <w:szCs w:val="24"/>
          <w:highlight w:val="white"/>
        </w:rPr>
        <w:t xml:space="preserve">, </w:t>
      </w:r>
      <w:r>
        <w:rPr>
          <w:i/>
          <w:sz w:val="24"/>
          <w:szCs w:val="24"/>
          <w:highlight w:val="white"/>
        </w:rPr>
        <w:t>121</w:t>
      </w:r>
      <w:r>
        <w:rPr>
          <w:sz w:val="24"/>
          <w:szCs w:val="24"/>
          <w:highlight w:val="white"/>
        </w:rPr>
        <w:t>, 831-852.</w:t>
      </w:r>
      <w:r>
        <w:rPr>
          <w:sz w:val="24"/>
          <w:szCs w:val="24"/>
        </w:rPr>
        <w:t xml:space="preserve"> </w:t>
      </w:r>
      <w:r w:rsidR="00E746A3">
        <w:rPr>
          <w:sz w:val="24"/>
          <w:szCs w:val="24"/>
        </w:rPr>
        <w:t>https://doi.org/</w:t>
      </w:r>
      <w:r>
        <w:rPr>
          <w:sz w:val="24"/>
          <w:szCs w:val="24"/>
          <w:highlight w:val="white"/>
        </w:rPr>
        <w:t>10.1177/0033294118755094</w:t>
      </w:r>
    </w:p>
    <w:p w14:paraId="18BECF0D" w14:textId="71756F53" w:rsidR="00F173EA" w:rsidRPr="0091490C" w:rsidRDefault="004250A8">
      <w:pPr>
        <w:pBdr>
          <w:top w:val="nil"/>
          <w:left w:val="nil"/>
          <w:bottom w:val="nil"/>
          <w:right w:val="nil"/>
          <w:between w:val="nil"/>
        </w:pBdr>
        <w:spacing w:line="480" w:lineRule="auto"/>
        <w:ind w:left="720" w:hanging="720"/>
        <w:rPr>
          <w:sz w:val="24"/>
          <w:szCs w:val="24"/>
          <w:lang w:val="fr-FR"/>
        </w:rPr>
      </w:pPr>
      <w:r>
        <w:rPr>
          <w:sz w:val="24"/>
          <w:szCs w:val="24"/>
        </w:rPr>
        <w:t xml:space="preserve">Henderson-King, E., Henderson-King, D., &amp; Hathaway, L. (2009). Group favoritism and support for government policies as a function of patriotic orientation and perceived threat. </w:t>
      </w:r>
      <w:r w:rsidRPr="0091490C">
        <w:rPr>
          <w:i/>
          <w:sz w:val="24"/>
          <w:szCs w:val="24"/>
          <w:lang w:val="fr-FR"/>
        </w:rPr>
        <w:t xml:space="preserve">Dans </w:t>
      </w:r>
      <w:r w:rsidRPr="0091490C">
        <w:rPr>
          <w:i/>
          <w:sz w:val="24"/>
          <w:szCs w:val="24"/>
          <w:lang w:val="fr-FR"/>
        </w:rPr>
        <w:lastRenderedPageBreak/>
        <w:t>Revue Internationale de Psychologie Sociale, 2</w:t>
      </w:r>
      <w:r w:rsidRPr="0091490C">
        <w:rPr>
          <w:sz w:val="24"/>
          <w:szCs w:val="24"/>
          <w:lang w:val="fr-FR"/>
        </w:rPr>
        <w:t>2, 235-266.</w:t>
      </w:r>
      <w:r w:rsidR="00EF5615" w:rsidRPr="0091490C">
        <w:rPr>
          <w:sz w:val="24"/>
          <w:szCs w:val="24"/>
          <w:lang w:val="fr-FR"/>
        </w:rPr>
        <w:t xml:space="preserve"> https://www.cairn.info/revue-internationale-de-psychologie-sociale-2009-3-page-235.htm.</w:t>
      </w:r>
    </w:p>
    <w:p w14:paraId="6B19D41A" w14:textId="178D9226" w:rsidR="00F173EA" w:rsidRDefault="004250A8">
      <w:pPr>
        <w:pBdr>
          <w:top w:val="nil"/>
          <w:left w:val="nil"/>
          <w:bottom w:val="nil"/>
          <w:right w:val="nil"/>
          <w:between w:val="nil"/>
        </w:pBdr>
        <w:spacing w:line="480" w:lineRule="auto"/>
        <w:ind w:left="720" w:hanging="720"/>
        <w:rPr>
          <w:sz w:val="24"/>
          <w:szCs w:val="24"/>
          <w:highlight w:val="white"/>
        </w:rPr>
      </w:pPr>
      <w:r w:rsidRPr="0091490C">
        <w:rPr>
          <w:sz w:val="24"/>
          <w:szCs w:val="24"/>
          <w:highlight w:val="white"/>
          <w:lang w:val="de-DE"/>
        </w:rPr>
        <w:t>Janz, N.</w:t>
      </w:r>
      <w:r w:rsidR="00E746A3">
        <w:rPr>
          <w:sz w:val="24"/>
          <w:szCs w:val="24"/>
          <w:highlight w:val="white"/>
          <w:lang w:val="de-DE"/>
        </w:rPr>
        <w:t xml:space="preserve"> </w:t>
      </w:r>
      <w:r w:rsidRPr="0091490C">
        <w:rPr>
          <w:sz w:val="24"/>
          <w:szCs w:val="24"/>
          <w:highlight w:val="white"/>
          <w:lang w:val="de-DE"/>
        </w:rPr>
        <w:t>K., &amp; Becker, M.</w:t>
      </w:r>
      <w:r w:rsidR="00E746A3">
        <w:rPr>
          <w:sz w:val="24"/>
          <w:szCs w:val="24"/>
          <w:highlight w:val="white"/>
          <w:lang w:val="de-DE"/>
        </w:rPr>
        <w:t xml:space="preserve"> </w:t>
      </w:r>
      <w:r w:rsidRPr="0091490C">
        <w:rPr>
          <w:sz w:val="24"/>
          <w:szCs w:val="24"/>
          <w:highlight w:val="white"/>
          <w:lang w:val="de-DE"/>
        </w:rPr>
        <w:t>H. (1984). </w:t>
      </w:r>
      <w:r>
        <w:rPr>
          <w:sz w:val="24"/>
          <w:szCs w:val="24"/>
          <w:highlight w:val="white"/>
        </w:rPr>
        <w:t>The health belief model: a decade later. </w:t>
      </w:r>
      <w:r>
        <w:rPr>
          <w:i/>
          <w:sz w:val="24"/>
          <w:szCs w:val="24"/>
          <w:highlight w:val="white"/>
        </w:rPr>
        <w:t>Health Education Quarterly, 11</w:t>
      </w:r>
      <w:r>
        <w:rPr>
          <w:sz w:val="24"/>
          <w:szCs w:val="24"/>
          <w:highlight w:val="white"/>
        </w:rPr>
        <w:t xml:space="preserve">, 1–47. </w:t>
      </w:r>
      <w:r w:rsidR="00E746A3">
        <w:rPr>
          <w:sz w:val="24"/>
          <w:szCs w:val="24"/>
          <w:highlight w:val="white"/>
        </w:rPr>
        <w:t>https://doi.org/</w:t>
      </w:r>
      <w:r>
        <w:rPr>
          <w:sz w:val="24"/>
          <w:szCs w:val="24"/>
          <w:highlight w:val="white"/>
        </w:rPr>
        <w:t>10.1177/109019818401100101</w:t>
      </w:r>
    </w:p>
    <w:p w14:paraId="58EAD3FE" w14:textId="604DE2FD"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highlight w:val="white"/>
        </w:rPr>
        <w:t>Jonason, P.</w:t>
      </w:r>
      <w:r w:rsidR="00E746A3">
        <w:rPr>
          <w:sz w:val="24"/>
          <w:szCs w:val="24"/>
          <w:highlight w:val="white"/>
        </w:rPr>
        <w:t xml:space="preserve"> </w:t>
      </w:r>
      <w:r>
        <w:rPr>
          <w:sz w:val="24"/>
          <w:szCs w:val="24"/>
          <w:highlight w:val="white"/>
        </w:rPr>
        <w:t>K., Baughman, H.</w:t>
      </w:r>
      <w:r w:rsidR="00E746A3">
        <w:rPr>
          <w:sz w:val="24"/>
          <w:szCs w:val="24"/>
          <w:highlight w:val="white"/>
        </w:rPr>
        <w:t xml:space="preserve"> </w:t>
      </w:r>
      <w:r>
        <w:rPr>
          <w:sz w:val="24"/>
          <w:szCs w:val="24"/>
          <w:highlight w:val="white"/>
        </w:rPr>
        <w:t>M., Carter, G.</w:t>
      </w:r>
      <w:r w:rsidR="00E746A3">
        <w:rPr>
          <w:sz w:val="24"/>
          <w:szCs w:val="24"/>
          <w:highlight w:val="white"/>
        </w:rPr>
        <w:t xml:space="preserve"> </w:t>
      </w:r>
      <w:r>
        <w:rPr>
          <w:sz w:val="24"/>
          <w:szCs w:val="24"/>
          <w:highlight w:val="white"/>
        </w:rPr>
        <w:t xml:space="preserve">L., &amp; Parker, P. (2015). Dorian Gray without his portrait: Psychological, social, and physical health costs associated with the Dark Triad. </w:t>
      </w:r>
      <w:r>
        <w:rPr>
          <w:i/>
          <w:sz w:val="24"/>
          <w:szCs w:val="24"/>
          <w:highlight w:val="white"/>
        </w:rPr>
        <w:t>Personality and Individual Differences</w:t>
      </w:r>
      <w:r>
        <w:rPr>
          <w:sz w:val="24"/>
          <w:szCs w:val="24"/>
          <w:highlight w:val="white"/>
        </w:rPr>
        <w:t xml:space="preserve">, </w:t>
      </w:r>
      <w:r>
        <w:rPr>
          <w:i/>
          <w:sz w:val="24"/>
          <w:szCs w:val="24"/>
          <w:highlight w:val="white"/>
        </w:rPr>
        <w:t>78</w:t>
      </w:r>
      <w:r>
        <w:rPr>
          <w:sz w:val="24"/>
          <w:szCs w:val="24"/>
          <w:highlight w:val="white"/>
        </w:rPr>
        <w:t xml:space="preserve">, 5-13. </w:t>
      </w:r>
      <w:hyperlink r:id="rId10">
        <w:r w:rsidR="00E746A3">
          <w:rPr>
            <w:sz w:val="24"/>
            <w:szCs w:val="24"/>
            <w:highlight w:val="white"/>
          </w:rPr>
          <w:t>https://doi.org/</w:t>
        </w:r>
        <w:r>
          <w:rPr>
            <w:sz w:val="24"/>
            <w:szCs w:val="24"/>
            <w:highlight w:val="white"/>
          </w:rPr>
          <w:t>10.1016/j.paid.2015.01.008</w:t>
        </w:r>
      </w:hyperlink>
    </w:p>
    <w:p w14:paraId="43D39C80" w14:textId="40970CA7" w:rsidR="00F173EA" w:rsidRDefault="004250A8">
      <w:pPr>
        <w:pBdr>
          <w:top w:val="nil"/>
          <w:left w:val="nil"/>
          <w:bottom w:val="nil"/>
          <w:right w:val="nil"/>
          <w:between w:val="nil"/>
        </w:pBdr>
        <w:spacing w:line="480" w:lineRule="auto"/>
        <w:ind w:left="720" w:hanging="720"/>
        <w:rPr>
          <w:sz w:val="24"/>
          <w:szCs w:val="24"/>
        </w:rPr>
      </w:pPr>
      <w:r>
        <w:rPr>
          <w:sz w:val="24"/>
          <w:szCs w:val="24"/>
        </w:rPr>
        <w:t>Jonason, P.</w:t>
      </w:r>
      <w:r w:rsidR="00E746A3">
        <w:rPr>
          <w:sz w:val="24"/>
          <w:szCs w:val="24"/>
        </w:rPr>
        <w:t xml:space="preserve"> </w:t>
      </w:r>
      <w:r>
        <w:rPr>
          <w:sz w:val="24"/>
          <w:szCs w:val="24"/>
        </w:rPr>
        <w:t>K., &amp; Fletcher, S.</w:t>
      </w:r>
      <w:r w:rsidR="00E746A3">
        <w:rPr>
          <w:sz w:val="24"/>
          <w:szCs w:val="24"/>
        </w:rPr>
        <w:t xml:space="preserve"> </w:t>
      </w:r>
      <w:r>
        <w:rPr>
          <w:sz w:val="24"/>
          <w:szCs w:val="24"/>
        </w:rPr>
        <w:t xml:space="preserve">A. (2018). Agentic and communal behavioral biases in the Dark Triad traits. </w:t>
      </w:r>
      <w:r>
        <w:rPr>
          <w:i/>
          <w:sz w:val="24"/>
          <w:szCs w:val="24"/>
        </w:rPr>
        <w:t>Personality and Individual Differences, 130</w:t>
      </w:r>
      <w:r>
        <w:rPr>
          <w:sz w:val="24"/>
          <w:szCs w:val="24"/>
        </w:rPr>
        <w:t xml:space="preserve">, 76-82. </w:t>
      </w:r>
      <w:r w:rsidR="00E746A3">
        <w:rPr>
          <w:sz w:val="24"/>
          <w:szCs w:val="24"/>
        </w:rPr>
        <w:t>https://doi.org/</w:t>
      </w:r>
      <w:r>
        <w:rPr>
          <w:sz w:val="24"/>
          <w:szCs w:val="24"/>
        </w:rPr>
        <w:t>10.1016/j.paid.2018.03.044</w:t>
      </w:r>
    </w:p>
    <w:p w14:paraId="2827C38D" w14:textId="6C7EC635"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rPr>
        <w:t>Jonason, P.</w:t>
      </w:r>
      <w:r w:rsidR="00E746A3">
        <w:rPr>
          <w:sz w:val="24"/>
          <w:szCs w:val="24"/>
        </w:rPr>
        <w:t xml:space="preserve"> </w:t>
      </w:r>
      <w:r>
        <w:rPr>
          <w:sz w:val="24"/>
          <w:szCs w:val="24"/>
        </w:rPr>
        <w:t>K., Foster, J.</w:t>
      </w:r>
      <w:r w:rsidR="00E746A3">
        <w:rPr>
          <w:sz w:val="24"/>
          <w:szCs w:val="24"/>
        </w:rPr>
        <w:t xml:space="preserve"> </w:t>
      </w:r>
      <w:r>
        <w:rPr>
          <w:sz w:val="24"/>
          <w:szCs w:val="24"/>
        </w:rPr>
        <w:t>D, Egorova, M.</w:t>
      </w:r>
      <w:r w:rsidR="00E746A3">
        <w:rPr>
          <w:sz w:val="24"/>
          <w:szCs w:val="24"/>
        </w:rPr>
        <w:t xml:space="preserve"> </w:t>
      </w:r>
      <w:r>
        <w:rPr>
          <w:sz w:val="24"/>
          <w:szCs w:val="24"/>
        </w:rPr>
        <w:t>S., Parshikova, O., Csathó, Á., Oshio, A., &amp; Gouveia, V.</w:t>
      </w:r>
      <w:r w:rsidR="00E746A3">
        <w:rPr>
          <w:sz w:val="24"/>
          <w:szCs w:val="24"/>
        </w:rPr>
        <w:t xml:space="preserve"> </w:t>
      </w:r>
      <w:r>
        <w:rPr>
          <w:sz w:val="24"/>
          <w:szCs w:val="24"/>
        </w:rPr>
        <w:t xml:space="preserve">V. (2017). The Dark Triad traits from a life history perspective in six countries. </w:t>
      </w:r>
      <w:r>
        <w:rPr>
          <w:i/>
          <w:sz w:val="24"/>
          <w:szCs w:val="24"/>
        </w:rPr>
        <w:t>Frontiers in Psychology: Evolutionary Psychology, 8</w:t>
      </w:r>
      <w:r>
        <w:rPr>
          <w:sz w:val="24"/>
          <w:szCs w:val="24"/>
        </w:rPr>
        <w:t xml:space="preserve">, 1476. </w:t>
      </w:r>
      <w:r w:rsidR="00E746A3">
        <w:rPr>
          <w:sz w:val="24"/>
          <w:szCs w:val="24"/>
        </w:rPr>
        <w:t>https://doi.org/</w:t>
      </w:r>
      <w:r>
        <w:rPr>
          <w:sz w:val="24"/>
          <w:szCs w:val="24"/>
        </w:rPr>
        <w:t>10.3389/fpsyg.2017.01476</w:t>
      </w:r>
    </w:p>
    <w:p w14:paraId="1885C507" w14:textId="38699BE3" w:rsidR="00F173EA" w:rsidRDefault="004250A8">
      <w:pPr>
        <w:pBdr>
          <w:top w:val="nil"/>
          <w:left w:val="nil"/>
          <w:bottom w:val="nil"/>
          <w:right w:val="nil"/>
          <w:between w:val="nil"/>
        </w:pBdr>
        <w:spacing w:line="480" w:lineRule="auto"/>
        <w:ind w:left="720" w:hanging="720"/>
        <w:rPr>
          <w:sz w:val="24"/>
          <w:szCs w:val="24"/>
          <w:highlight w:val="white"/>
        </w:rPr>
      </w:pPr>
      <w:r>
        <w:rPr>
          <w:sz w:val="24"/>
          <w:szCs w:val="24"/>
        </w:rPr>
        <w:t>Jonason, P.</w:t>
      </w:r>
      <w:r w:rsidR="00E746A3">
        <w:rPr>
          <w:sz w:val="24"/>
          <w:szCs w:val="24"/>
        </w:rPr>
        <w:t xml:space="preserve"> </w:t>
      </w:r>
      <w:r>
        <w:rPr>
          <w:sz w:val="24"/>
          <w:szCs w:val="24"/>
        </w:rPr>
        <w:t>K., Koehn, M.</w:t>
      </w:r>
      <w:r w:rsidR="00E746A3">
        <w:rPr>
          <w:sz w:val="24"/>
          <w:szCs w:val="24"/>
        </w:rPr>
        <w:t xml:space="preserve"> </w:t>
      </w:r>
      <w:r>
        <w:rPr>
          <w:sz w:val="24"/>
          <w:szCs w:val="24"/>
        </w:rPr>
        <w:t>A., Bulyk, R.</w:t>
      </w:r>
      <w:r w:rsidR="00E746A3">
        <w:rPr>
          <w:sz w:val="24"/>
          <w:szCs w:val="24"/>
        </w:rPr>
        <w:t xml:space="preserve"> </w:t>
      </w:r>
      <w:r>
        <w:rPr>
          <w:sz w:val="24"/>
          <w:szCs w:val="24"/>
        </w:rPr>
        <w:t>A., &amp; Davis, M.</w:t>
      </w:r>
      <w:r w:rsidR="00E746A3">
        <w:rPr>
          <w:sz w:val="24"/>
          <w:szCs w:val="24"/>
        </w:rPr>
        <w:t xml:space="preserve"> </w:t>
      </w:r>
      <w:r>
        <w:rPr>
          <w:sz w:val="24"/>
          <w:szCs w:val="24"/>
        </w:rPr>
        <w:t xml:space="preserve">D. (2020). Standing out and not fitting in: The Dark Triad traits and social values. </w:t>
      </w:r>
      <w:r>
        <w:rPr>
          <w:i/>
          <w:sz w:val="24"/>
          <w:szCs w:val="24"/>
        </w:rPr>
        <w:t>The Journal of Social Psychology, 160</w:t>
      </w:r>
      <w:r>
        <w:rPr>
          <w:sz w:val="24"/>
          <w:szCs w:val="24"/>
        </w:rPr>
        <w:t xml:space="preserve">, 164-169. </w:t>
      </w:r>
      <w:r w:rsidR="00E746A3">
        <w:rPr>
          <w:sz w:val="24"/>
          <w:szCs w:val="24"/>
        </w:rPr>
        <w:t>https://doi.org/</w:t>
      </w:r>
      <w:r>
        <w:rPr>
          <w:sz w:val="24"/>
          <w:szCs w:val="24"/>
        </w:rPr>
        <w:t>10.1080/00224545.2019.1623162</w:t>
      </w:r>
    </w:p>
    <w:p w14:paraId="5EE457FC" w14:textId="04EB4433" w:rsidR="00F173EA" w:rsidRPr="00DC1665" w:rsidRDefault="004250A8">
      <w:pPr>
        <w:pBdr>
          <w:top w:val="nil"/>
          <w:left w:val="nil"/>
          <w:bottom w:val="nil"/>
          <w:right w:val="nil"/>
          <w:between w:val="nil"/>
        </w:pBdr>
        <w:spacing w:line="480" w:lineRule="auto"/>
        <w:ind w:left="720" w:hanging="720"/>
        <w:rPr>
          <w:sz w:val="24"/>
          <w:szCs w:val="24"/>
          <w:highlight w:val="white"/>
          <w:lang w:val="fr-FR"/>
        </w:rPr>
      </w:pPr>
      <w:r>
        <w:rPr>
          <w:sz w:val="24"/>
          <w:szCs w:val="24"/>
          <w:highlight w:val="white"/>
        </w:rPr>
        <w:t>Jonason, P.</w:t>
      </w:r>
      <w:r w:rsidR="00E746A3">
        <w:rPr>
          <w:sz w:val="24"/>
          <w:szCs w:val="24"/>
          <w:highlight w:val="white"/>
        </w:rPr>
        <w:t xml:space="preserve"> </w:t>
      </w:r>
      <w:r>
        <w:rPr>
          <w:sz w:val="24"/>
          <w:szCs w:val="24"/>
          <w:highlight w:val="white"/>
        </w:rPr>
        <w:t>K., &amp; Webster, G.</w:t>
      </w:r>
      <w:r w:rsidR="00E746A3">
        <w:rPr>
          <w:sz w:val="24"/>
          <w:szCs w:val="24"/>
          <w:highlight w:val="white"/>
        </w:rPr>
        <w:t xml:space="preserve"> </w:t>
      </w:r>
      <w:r>
        <w:rPr>
          <w:sz w:val="24"/>
          <w:szCs w:val="24"/>
          <w:highlight w:val="white"/>
        </w:rPr>
        <w:t xml:space="preserve">D. (2010). The Dirty Dozen: A concise measure of the Dark Triad. </w:t>
      </w:r>
      <w:r w:rsidRPr="00DC1665">
        <w:rPr>
          <w:i/>
          <w:sz w:val="24"/>
          <w:szCs w:val="24"/>
          <w:highlight w:val="white"/>
          <w:lang w:val="fr-FR"/>
        </w:rPr>
        <w:t>Psychological Assessment</w:t>
      </w:r>
      <w:r w:rsidRPr="00DC1665">
        <w:rPr>
          <w:sz w:val="24"/>
          <w:szCs w:val="24"/>
          <w:highlight w:val="white"/>
          <w:lang w:val="fr-FR"/>
        </w:rPr>
        <w:t xml:space="preserve">, </w:t>
      </w:r>
      <w:r w:rsidRPr="00DC1665">
        <w:rPr>
          <w:i/>
          <w:sz w:val="24"/>
          <w:szCs w:val="24"/>
          <w:highlight w:val="white"/>
          <w:lang w:val="fr-FR"/>
        </w:rPr>
        <w:t>22</w:t>
      </w:r>
      <w:r w:rsidRPr="00DC1665">
        <w:rPr>
          <w:sz w:val="24"/>
          <w:szCs w:val="24"/>
          <w:highlight w:val="white"/>
          <w:lang w:val="fr-FR"/>
        </w:rPr>
        <w:t>, 420-432.</w:t>
      </w:r>
      <w:hyperlink r:id="rId11">
        <w:r w:rsidRPr="00DC1665">
          <w:rPr>
            <w:sz w:val="24"/>
            <w:szCs w:val="24"/>
            <w:highlight w:val="white"/>
            <w:lang w:val="fr-FR"/>
          </w:rPr>
          <w:t xml:space="preserve"> </w:t>
        </w:r>
        <w:r w:rsidR="00E746A3" w:rsidRPr="00DC1665">
          <w:rPr>
            <w:sz w:val="24"/>
            <w:szCs w:val="24"/>
            <w:highlight w:val="white"/>
            <w:lang w:val="fr-FR"/>
          </w:rPr>
          <w:t>https://doi.org/</w:t>
        </w:r>
        <w:r w:rsidRPr="00DC1665">
          <w:rPr>
            <w:sz w:val="24"/>
            <w:szCs w:val="24"/>
            <w:highlight w:val="white"/>
            <w:lang w:val="fr-FR"/>
          </w:rPr>
          <w:t>10.1037/a0019265</w:t>
        </w:r>
      </w:hyperlink>
    </w:p>
    <w:p w14:paraId="79105275" w14:textId="2F189AF1" w:rsidR="00F173EA" w:rsidRDefault="004250A8">
      <w:pPr>
        <w:pBdr>
          <w:top w:val="nil"/>
          <w:left w:val="nil"/>
          <w:bottom w:val="nil"/>
          <w:right w:val="nil"/>
          <w:between w:val="nil"/>
        </w:pBdr>
        <w:spacing w:line="480" w:lineRule="auto"/>
        <w:ind w:left="720" w:hanging="720"/>
        <w:rPr>
          <w:sz w:val="24"/>
          <w:szCs w:val="24"/>
          <w:highlight w:val="white"/>
        </w:rPr>
      </w:pPr>
      <w:r w:rsidRPr="00EB3981">
        <w:rPr>
          <w:sz w:val="24"/>
          <w:szCs w:val="24"/>
          <w:highlight w:val="white"/>
          <w:lang w:val="fr-FR"/>
        </w:rPr>
        <w:t>Jones, D.</w:t>
      </w:r>
      <w:r w:rsidR="00E746A3" w:rsidRPr="00EB3981">
        <w:rPr>
          <w:sz w:val="24"/>
          <w:szCs w:val="24"/>
          <w:highlight w:val="white"/>
          <w:lang w:val="fr-FR"/>
        </w:rPr>
        <w:t xml:space="preserve"> </w:t>
      </w:r>
      <w:r w:rsidRPr="00EB3981">
        <w:rPr>
          <w:sz w:val="24"/>
          <w:szCs w:val="24"/>
          <w:highlight w:val="white"/>
          <w:lang w:val="fr-FR"/>
        </w:rPr>
        <w:t>N., &amp; Figueredo, A.</w:t>
      </w:r>
      <w:r w:rsidR="00E746A3" w:rsidRPr="00EB3981">
        <w:rPr>
          <w:sz w:val="24"/>
          <w:szCs w:val="24"/>
          <w:highlight w:val="white"/>
          <w:lang w:val="fr-FR"/>
        </w:rPr>
        <w:t xml:space="preserve"> </w:t>
      </w:r>
      <w:r w:rsidRPr="00EB3981">
        <w:rPr>
          <w:sz w:val="24"/>
          <w:szCs w:val="24"/>
          <w:highlight w:val="white"/>
          <w:lang w:val="fr-FR"/>
        </w:rPr>
        <w:t xml:space="preserve">J. (2013). </w:t>
      </w:r>
      <w:r>
        <w:rPr>
          <w:sz w:val="24"/>
          <w:szCs w:val="24"/>
          <w:highlight w:val="white"/>
        </w:rPr>
        <w:t xml:space="preserve">The core of darkness: Uncovering the heart of the Dark Triad. </w:t>
      </w:r>
      <w:r>
        <w:rPr>
          <w:i/>
          <w:sz w:val="24"/>
          <w:szCs w:val="24"/>
          <w:highlight w:val="white"/>
        </w:rPr>
        <w:t>European Journal of Personality</w:t>
      </w:r>
      <w:r>
        <w:rPr>
          <w:sz w:val="24"/>
          <w:szCs w:val="24"/>
          <w:highlight w:val="white"/>
        </w:rPr>
        <w:t xml:space="preserve">, </w:t>
      </w:r>
      <w:r>
        <w:rPr>
          <w:i/>
          <w:sz w:val="24"/>
          <w:szCs w:val="24"/>
          <w:highlight w:val="white"/>
        </w:rPr>
        <w:t>27</w:t>
      </w:r>
      <w:r>
        <w:rPr>
          <w:sz w:val="24"/>
          <w:szCs w:val="24"/>
          <w:highlight w:val="white"/>
        </w:rPr>
        <w:t xml:space="preserve">, 521-531. </w:t>
      </w:r>
      <w:hyperlink r:id="rId12">
        <w:r w:rsidR="00E746A3">
          <w:rPr>
            <w:sz w:val="24"/>
            <w:szCs w:val="24"/>
            <w:highlight w:val="white"/>
          </w:rPr>
          <w:t>https://doi.org/</w:t>
        </w:r>
        <w:r>
          <w:rPr>
            <w:sz w:val="24"/>
            <w:szCs w:val="24"/>
            <w:highlight w:val="white"/>
          </w:rPr>
          <w:t>10.1002/per.1893</w:t>
        </w:r>
      </w:hyperlink>
    </w:p>
    <w:p w14:paraId="023852A3" w14:textId="6A9FFA31" w:rsidR="00F173EA" w:rsidRDefault="004250A8">
      <w:pPr>
        <w:pBdr>
          <w:top w:val="nil"/>
          <w:left w:val="nil"/>
          <w:bottom w:val="nil"/>
          <w:right w:val="nil"/>
          <w:between w:val="nil"/>
        </w:pBdr>
        <w:spacing w:line="480" w:lineRule="auto"/>
        <w:ind w:left="720" w:hanging="720"/>
        <w:rPr>
          <w:sz w:val="24"/>
          <w:szCs w:val="24"/>
        </w:rPr>
      </w:pPr>
      <w:r>
        <w:rPr>
          <w:sz w:val="24"/>
          <w:szCs w:val="24"/>
          <w:highlight w:val="white"/>
        </w:rPr>
        <w:t>Jones, D.</w:t>
      </w:r>
      <w:r w:rsidR="00E746A3">
        <w:rPr>
          <w:sz w:val="24"/>
          <w:szCs w:val="24"/>
          <w:highlight w:val="white"/>
        </w:rPr>
        <w:t xml:space="preserve"> </w:t>
      </w:r>
      <w:r>
        <w:rPr>
          <w:sz w:val="24"/>
          <w:szCs w:val="24"/>
          <w:highlight w:val="white"/>
        </w:rPr>
        <w:t>N., &amp; Paulhus, D.</w:t>
      </w:r>
      <w:r w:rsidR="00E746A3">
        <w:rPr>
          <w:sz w:val="24"/>
          <w:szCs w:val="24"/>
          <w:highlight w:val="white"/>
        </w:rPr>
        <w:t xml:space="preserve"> </w:t>
      </w:r>
      <w:r>
        <w:rPr>
          <w:sz w:val="24"/>
          <w:szCs w:val="24"/>
          <w:highlight w:val="white"/>
        </w:rPr>
        <w:t xml:space="preserve">L. (2011). The role of impulsivity in the Dark Triad of personality. </w:t>
      </w:r>
      <w:r>
        <w:rPr>
          <w:i/>
          <w:sz w:val="24"/>
          <w:szCs w:val="24"/>
          <w:highlight w:val="white"/>
        </w:rPr>
        <w:t>Personality and Individual Differences</w:t>
      </w:r>
      <w:r>
        <w:rPr>
          <w:sz w:val="24"/>
          <w:szCs w:val="24"/>
          <w:highlight w:val="white"/>
        </w:rPr>
        <w:t xml:space="preserve">, </w:t>
      </w:r>
      <w:r>
        <w:rPr>
          <w:i/>
          <w:sz w:val="24"/>
          <w:szCs w:val="24"/>
          <w:highlight w:val="white"/>
        </w:rPr>
        <w:t>51</w:t>
      </w:r>
      <w:r>
        <w:rPr>
          <w:sz w:val="24"/>
          <w:szCs w:val="24"/>
          <w:highlight w:val="white"/>
        </w:rPr>
        <w:t>, 679-682.</w:t>
      </w:r>
      <w:r>
        <w:rPr>
          <w:sz w:val="24"/>
          <w:szCs w:val="24"/>
        </w:rPr>
        <w:t xml:space="preserve"> </w:t>
      </w:r>
      <w:r w:rsidR="00E746A3">
        <w:rPr>
          <w:sz w:val="24"/>
          <w:szCs w:val="24"/>
        </w:rPr>
        <w:t>https://doi.org/</w:t>
      </w:r>
      <w:r>
        <w:rPr>
          <w:sz w:val="24"/>
          <w:szCs w:val="24"/>
        </w:rPr>
        <w:t>10.1016/j.paid.2011.04.011</w:t>
      </w:r>
    </w:p>
    <w:p w14:paraId="45C6DBB4" w14:textId="6C489F5E" w:rsidR="00F173EA" w:rsidRDefault="004250A8">
      <w:pPr>
        <w:pBdr>
          <w:top w:val="nil"/>
          <w:left w:val="nil"/>
          <w:bottom w:val="nil"/>
          <w:right w:val="nil"/>
          <w:between w:val="nil"/>
        </w:pBdr>
        <w:spacing w:line="480" w:lineRule="auto"/>
        <w:ind w:left="720" w:hanging="709"/>
        <w:rPr>
          <w:sz w:val="24"/>
          <w:szCs w:val="24"/>
        </w:rPr>
      </w:pPr>
      <w:r w:rsidRPr="00DC1665">
        <w:rPr>
          <w:sz w:val="24"/>
          <w:szCs w:val="24"/>
          <w:lang w:val="en-GB"/>
        </w:rPr>
        <w:lastRenderedPageBreak/>
        <w:t>Malesza, M., &amp; Kaczmarek, M.</w:t>
      </w:r>
      <w:r w:rsidR="00E746A3" w:rsidRPr="00DC1665">
        <w:rPr>
          <w:sz w:val="24"/>
          <w:szCs w:val="24"/>
          <w:lang w:val="en-GB"/>
        </w:rPr>
        <w:t xml:space="preserve"> </w:t>
      </w:r>
      <w:r w:rsidRPr="00DC1665">
        <w:rPr>
          <w:sz w:val="24"/>
          <w:szCs w:val="24"/>
          <w:lang w:val="en-GB"/>
        </w:rPr>
        <w:t xml:space="preserve">C. (2019). </w:t>
      </w:r>
      <w:r>
        <w:rPr>
          <w:sz w:val="24"/>
          <w:szCs w:val="24"/>
        </w:rPr>
        <w:t xml:space="preserve">Dark side of health-predicting health behaviors and diseases with the Dark Triad traits. </w:t>
      </w:r>
      <w:r>
        <w:rPr>
          <w:i/>
          <w:sz w:val="24"/>
          <w:szCs w:val="24"/>
        </w:rPr>
        <w:t>Journal of Public Health</w:t>
      </w:r>
      <w:r>
        <w:rPr>
          <w:sz w:val="24"/>
          <w:szCs w:val="24"/>
        </w:rPr>
        <w:t xml:space="preserve">. Advance online publication. </w:t>
      </w:r>
      <w:r w:rsidR="00E746A3">
        <w:rPr>
          <w:sz w:val="24"/>
          <w:szCs w:val="24"/>
        </w:rPr>
        <w:t>https://doi.org/</w:t>
      </w:r>
      <w:r>
        <w:rPr>
          <w:sz w:val="24"/>
          <w:szCs w:val="24"/>
        </w:rPr>
        <w:t>10.1007/s10389-019-01129-6</w:t>
      </w:r>
    </w:p>
    <w:p w14:paraId="78E773D6" w14:textId="48CD0294" w:rsidR="00F173EA" w:rsidRDefault="004250A8">
      <w:pPr>
        <w:pBdr>
          <w:top w:val="nil"/>
          <w:left w:val="nil"/>
          <w:bottom w:val="nil"/>
          <w:right w:val="nil"/>
          <w:between w:val="nil"/>
        </w:pBdr>
        <w:spacing w:line="480" w:lineRule="auto"/>
        <w:ind w:left="720" w:hanging="709"/>
        <w:rPr>
          <w:sz w:val="24"/>
          <w:szCs w:val="24"/>
          <w:highlight w:val="white"/>
        </w:rPr>
      </w:pPr>
      <w:r>
        <w:rPr>
          <w:sz w:val="24"/>
          <w:szCs w:val="24"/>
        </w:rPr>
        <w:t xml:space="preserve">Mollon, P. (1993). </w:t>
      </w:r>
      <w:r>
        <w:rPr>
          <w:i/>
          <w:sz w:val="24"/>
          <w:szCs w:val="24"/>
        </w:rPr>
        <w:t>The fragile self: The structure of narcissistic disturbance</w:t>
      </w:r>
      <w:r>
        <w:rPr>
          <w:sz w:val="24"/>
          <w:szCs w:val="24"/>
        </w:rPr>
        <w:t>. Whurr Publishers. ISBN:</w:t>
      </w:r>
      <w:r w:rsidR="00EF5615">
        <w:rPr>
          <w:sz w:val="24"/>
          <w:szCs w:val="24"/>
        </w:rPr>
        <w:t xml:space="preserve"> </w:t>
      </w:r>
      <w:r>
        <w:rPr>
          <w:sz w:val="24"/>
          <w:szCs w:val="24"/>
        </w:rPr>
        <w:t>9781870332637</w:t>
      </w:r>
    </w:p>
    <w:p w14:paraId="6253DBB7" w14:textId="7DF10639" w:rsidR="00F173EA" w:rsidRDefault="004250A8">
      <w:pPr>
        <w:pBdr>
          <w:top w:val="nil"/>
          <w:left w:val="nil"/>
          <w:bottom w:val="nil"/>
          <w:right w:val="nil"/>
          <w:between w:val="nil"/>
        </w:pBdr>
        <w:spacing w:line="480" w:lineRule="auto"/>
        <w:ind w:left="720" w:hanging="720"/>
        <w:rPr>
          <w:sz w:val="24"/>
          <w:szCs w:val="24"/>
        </w:rPr>
      </w:pPr>
      <w:r>
        <w:rPr>
          <w:sz w:val="24"/>
          <w:szCs w:val="24"/>
          <w:highlight w:val="white"/>
        </w:rPr>
        <w:t>Paulhus, D.</w:t>
      </w:r>
      <w:r w:rsidR="00E746A3">
        <w:rPr>
          <w:sz w:val="24"/>
          <w:szCs w:val="24"/>
          <w:highlight w:val="white"/>
        </w:rPr>
        <w:t xml:space="preserve"> </w:t>
      </w:r>
      <w:r>
        <w:rPr>
          <w:sz w:val="24"/>
          <w:szCs w:val="24"/>
          <w:highlight w:val="white"/>
        </w:rPr>
        <w:t>L., &amp; Williams, K.</w:t>
      </w:r>
      <w:r w:rsidR="00E746A3">
        <w:rPr>
          <w:sz w:val="24"/>
          <w:szCs w:val="24"/>
          <w:highlight w:val="white"/>
        </w:rPr>
        <w:t xml:space="preserve"> </w:t>
      </w:r>
      <w:r>
        <w:rPr>
          <w:sz w:val="24"/>
          <w:szCs w:val="24"/>
          <w:highlight w:val="white"/>
        </w:rPr>
        <w:t xml:space="preserve">M. (2002). The Dark Triad of personality: Narcissism, Machiavellianism, and psychopathy. </w:t>
      </w:r>
      <w:r>
        <w:rPr>
          <w:i/>
          <w:sz w:val="24"/>
          <w:szCs w:val="24"/>
          <w:highlight w:val="white"/>
        </w:rPr>
        <w:t>Journal of Research in Personality</w:t>
      </w:r>
      <w:r>
        <w:rPr>
          <w:sz w:val="24"/>
          <w:szCs w:val="24"/>
          <w:highlight w:val="white"/>
        </w:rPr>
        <w:t xml:space="preserve">, </w:t>
      </w:r>
      <w:r>
        <w:rPr>
          <w:i/>
          <w:sz w:val="24"/>
          <w:szCs w:val="24"/>
          <w:highlight w:val="white"/>
        </w:rPr>
        <w:t>36</w:t>
      </w:r>
      <w:r>
        <w:rPr>
          <w:sz w:val="24"/>
          <w:szCs w:val="24"/>
          <w:highlight w:val="white"/>
        </w:rPr>
        <w:t>, 556-563.</w:t>
      </w:r>
      <w:r>
        <w:rPr>
          <w:sz w:val="24"/>
          <w:szCs w:val="24"/>
        </w:rPr>
        <w:t xml:space="preserve"> </w:t>
      </w:r>
      <w:r w:rsidR="00BB5962">
        <w:rPr>
          <w:sz w:val="24"/>
          <w:szCs w:val="24"/>
        </w:rPr>
        <w:t>https://doi.org/</w:t>
      </w:r>
      <w:hyperlink r:id="rId13">
        <w:r>
          <w:rPr>
            <w:sz w:val="24"/>
            <w:szCs w:val="24"/>
            <w:highlight w:val="white"/>
          </w:rPr>
          <w:t>10.1016/S0092-6566(02)00505-6</w:t>
        </w:r>
      </w:hyperlink>
    </w:p>
    <w:p w14:paraId="4620E8CD" w14:textId="6BB6B67B" w:rsidR="00F173EA" w:rsidRDefault="004250A8">
      <w:pPr>
        <w:pBdr>
          <w:top w:val="nil"/>
          <w:left w:val="nil"/>
          <w:bottom w:val="nil"/>
          <w:right w:val="nil"/>
          <w:between w:val="nil"/>
        </w:pBdr>
        <w:spacing w:line="480" w:lineRule="auto"/>
        <w:ind w:left="720" w:hanging="720"/>
        <w:rPr>
          <w:sz w:val="24"/>
          <w:szCs w:val="24"/>
        </w:rPr>
      </w:pPr>
      <w:r>
        <w:rPr>
          <w:sz w:val="24"/>
          <w:szCs w:val="24"/>
        </w:rPr>
        <w:t>Podsakoff, P.</w:t>
      </w:r>
      <w:r w:rsidR="00E746A3">
        <w:rPr>
          <w:sz w:val="24"/>
          <w:szCs w:val="24"/>
        </w:rPr>
        <w:t xml:space="preserve"> </w:t>
      </w:r>
      <w:r>
        <w:rPr>
          <w:sz w:val="24"/>
          <w:szCs w:val="24"/>
        </w:rPr>
        <w:t>M., MacKenzie, S.</w:t>
      </w:r>
      <w:r w:rsidR="00E746A3">
        <w:rPr>
          <w:sz w:val="24"/>
          <w:szCs w:val="24"/>
        </w:rPr>
        <w:t xml:space="preserve"> </w:t>
      </w:r>
      <w:r>
        <w:rPr>
          <w:sz w:val="24"/>
          <w:szCs w:val="24"/>
        </w:rPr>
        <w:t>B., &amp; Podsakoff, N.</w:t>
      </w:r>
      <w:r w:rsidR="00E746A3">
        <w:rPr>
          <w:sz w:val="24"/>
          <w:szCs w:val="24"/>
        </w:rPr>
        <w:t xml:space="preserve"> </w:t>
      </w:r>
      <w:r>
        <w:rPr>
          <w:sz w:val="24"/>
          <w:szCs w:val="24"/>
        </w:rPr>
        <w:t xml:space="preserve">P. (2012). Sources of method bias in social science research and recommendations on how to control it. </w:t>
      </w:r>
      <w:r>
        <w:rPr>
          <w:i/>
          <w:sz w:val="24"/>
          <w:szCs w:val="24"/>
        </w:rPr>
        <w:t>Annual Review of Psychology, 63</w:t>
      </w:r>
      <w:r>
        <w:rPr>
          <w:sz w:val="24"/>
          <w:szCs w:val="24"/>
        </w:rPr>
        <w:t xml:space="preserve">, 539-569. </w:t>
      </w:r>
      <w:r w:rsidR="00E746A3">
        <w:rPr>
          <w:sz w:val="24"/>
          <w:szCs w:val="24"/>
        </w:rPr>
        <w:t>https://doi.org/</w:t>
      </w:r>
      <w:r>
        <w:rPr>
          <w:sz w:val="24"/>
          <w:szCs w:val="24"/>
        </w:rPr>
        <w:t>10.1146/annurev-psych-120710-100452</w:t>
      </w:r>
    </w:p>
    <w:p w14:paraId="778FDAD5" w14:textId="07822E8B" w:rsidR="00F173EA" w:rsidRDefault="004250A8">
      <w:pPr>
        <w:pBdr>
          <w:top w:val="nil"/>
          <w:left w:val="nil"/>
          <w:bottom w:val="nil"/>
          <w:right w:val="nil"/>
          <w:between w:val="nil"/>
        </w:pBdr>
        <w:spacing w:line="480" w:lineRule="auto"/>
        <w:ind w:left="720" w:hanging="720"/>
        <w:rPr>
          <w:sz w:val="24"/>
          <w:szCs w:val="24"/>
        </w:rPr>
      </w:pPr>
      <w:r>
        <w:rPr>
          <w:sz w:val="24"/>
          <w:szCs w:val="24"/>
          <w:highlight w:val="white"/>
        </w:rPr>
        <w:t>Rosenstock, I.</w:t>
      </w:r>
      <w:r w:rsidR="00E746A3">
        <w:rPr>
          <w:sz w:val="24"/>
          <w:szCs w:val="24"/>
          <w:highlight w:val="white"/>
        </w:rPr>
        <w:t xml:space="preserve"> </w:t>
      </w:r>
      <w:r>
        <w:rPr>
          <w:sz w:val="24"/>
          <w:szCs w:val="24"/>
          <w:highlight w:val="white"/>
        </w:rPr>
        <w:t>M. (1974). Historical origins of the health belief model. </w:t>
      </w:r>
      <w:r>
        <w:rPr>
          <w:i/>
          <w:sz w:val="24"/>
          <w:szCs w:val="24"/>
          <w:highlight w:val="white"/>
        </w:rPr>
        <w:t>Health Education Monographs, 2</w:t>
      </w:r>
      <w:r>
        <w:rPr>
          <w:sz w:val="24"/>
          <w:szCs w:val="24"/>
          <w:highlight w:val="white"/>
        </w:rPr>
        <w:t xml:space="preserve">, 328-335. </w:t>
      </w:r>
      <w:r w:rsidR="00E746A3">
        <w:rPr>
          <w:sz w:val="24"/>
          <w:szCs w:val="24"/>
        </w:rPr>
        <w:t>https://doi.org/</w:t>
      </w:r>
      <w:r>
        <w:rPr>
          <w:sz w:val="24"/>
          <w:szCs w:val="24"/>
          <w:highlight w:val="white"/>
        </w:rPr>
        <w:t>10.1177/109019817400200403</w:t>
      </w:r>
    </w:p>
    <w:p w14:paraId="64CB1FD4" w14:textId="1EFC1977" w:rsidR="00F173EA" w:rsidRDefault="004250A8">
      <w:pPr>
        <w:pBdr>
          <w:top w:val="nil"/>
          <w:left w:val="nil"/>
          <w:bottom w:val="nil"/>
          <w:right w:val="nil"/>
          <w:between w:val="nil"/>
        </w:pBdr>
        <w:spacing w:line="480" w:lineRule="auto"/>
        <w:ind w:left="720" w:hanging="720"/>
        <w:rPr>
          <w:sz w:val="24"/>
          <w:szCs w:val="24"/>
        </w:rPr>
      </w:pPr>
      <w:r w:rsidRPr="00DC1665">
        <w:rPr>
          <w:sz w:val="24"/>
          <w:szCs w:val="24"/>
          <w:lang w:val="en-GB"/>
        </w:rPr>
        <w:t>Rosenstock, I.</w:t>
      </w:r>
      <w:r w:rsidR="00E746A3" w:rsidRPr="00DC1665">
        <w:rPr>
          <w:sz w:val="24"/>
          <w:szCs w:val="24"/>
          <w:lang w:val="en-GB"/>
        </w:rPr>
        <w:t xml:space="preserve"> </w:t>
      </w:r>
      <w:r w:rsidRPr="00DC1665">
        <w:rPr>
          <w:sz w:val="24"/>
          <w:szCs w:val="24"/>
          <w:lang w:val="en-GB"/>
        </w:rPr>
        <w:t>M., Strecher, V.</w:t>
      </w:r>
      <w:r w:rsidR="00E746A3" w:rsidRPr="00DC1665">
        <w:rPr>
          <w:sz w:val="24"/>
          <w:szCs w:val="24"/>
          <w:lang w:val="en-GB"/>
        </w:rPr>
        <w:t xml:space="preserve"> </w:t>
      </w:r>
      <w:r w:rsidRPr="00DC1665">
        <w:rPr>
          <w:sz w:val="24"/>
          <w:szCs w:val="24"/>
          <w:lang w:val="en-GB"/>
        </w:rPr>
        <w:t>J., &amp; Becker, M.</w:t>
      </w:r>
      <w:r w:rsidR="00E746A3" w:rsidRPr="00DC1665">
        <w:rPr>
          <w:sz w:val="24"/>
          <w:szCs w:val="24"/>
          <w:lang w:val="en-GB"/>
        </w:rPr>
        <w:t xml:space="preserve"> </w:t>
      </w:r>
      <w:r w:rsidRPr="00DC1665">
        <w:rPr>
          <w:sz w:val="24"/>
          <w:szCs w:val="24"/>
          <w:lang w:val="en-GB"/>
        </w:rPr>
        <w:t>H. (1988).</w:t>
      </w:r>
      <w:r w:rsidRPr="00DC1665">
        <w:rPr>
          <w:i/>
          <w:sz w:val="24"/>
          <w:szCs w:val="24"/>
          <w:lang w:val="en-GB"/>
        </w:rPr>
        <w:t xml:space="preserve"> </w:t>
      </w:r>
      <w:r>
        <w:rPr>
          <w:sz w:val="24"/>
          <w:szCs w:val="24"/>
        </w:rPr>
        <w:t xml:space="preserve">Social learning theory and the health belief model. </w:t>
      </w:r>
      <w:r>
        <w:rPr>
          <w:i/>
          <w:sz w:val="24"/>
          <w:szCs w:val="24"/>
        </w:rPr>
        <w:t>Health Education &amp; Behavior, 15</w:t>
      </w:r>
      <w:r>
        <w:rPr>
          <w:sz w:val="24"/>
          <w:szCs w:val="24"/>
        </w:rPr>
        <w:t xml:space="preserve">, 175–183. </w:t>
      </w:r>
      <w:r w:rsidR="00E746A3">
        <w:rPr>
          <w:sz w:val="24"/>
          <w:szCs w:val="24"/>
        </w:rPr>
        <w:t>https://doi.org/</w:t>
      </w:r>
      <w:hyperlink r:id="rId14">
        <w:r>
          <w:rPr>
            <w:sz w:val="24"/>
            <w:szCs w:val="24"/>
            <w:highlight w:val="white"/>
          </w:rPr>
          <w:t>10.1177/109019818801500203</w:t>
        </w:r>
      </w:hyperlink>
    </w:p>
    <w:p w14:paraId="2783A685" w14:textId="48B6568E" w:rsidR="00602778" w:rsidRDefault="004250A8" w:rsidP="00D7209D">
      <w:pPr>
        <w:pBdr>
          <w:top w:val="nil"/>
          <w:left w:val="nil"/>
          <w:bottom w:val="nil"/>
          <w:right w:val="nil"/>
          <w:between w:val="nil"/>
        </w:pBdr>
        <w:spacing w:line="480" w:lineRule="auto"/>
        <w:ind w:left="720" w:hanging="720"/>
        <w:rPr>
          <w:sz w:val="24"/>
          <w:szCs w:val="24"/>
        </w:rPr>
      </w:pPr>
      <w:r>
        <w:rPr>
          <w:sz w:val="24"/>
          <w:szCs w:val="24"/>
        </w:rPr>
        <w:t xml:space="preserve">Sedikides, C. (2012). Self-protection. In M.R. Leary &amp; J.P. Tangney (Eds.), </w:t>
      </w:r>
      <w:r>
        <w:rPr>
          <w:i/>
          <w:sz w:val="24"/>
          <w:szCs w:val="24"/>
        </w:rPr>
        <w:t>Handbook of self and identity</w:t>
      </w:r>
      <w:r>
        <w:rPr>
          <w:sz w:val="24"/>
          <w:szCs w:val="24"/>
        </w:rPr>
        <w:t xml:space="preserve"> (2</w:t>
      </w:r>
      <w:r>
        <w:rPr>
          <w:sz w:val="24"/>
          <w:szCs w:val="24"/>
          <w:vertAlign w:val="superscript"/>
        </w:rPr>
        <w:t>nd</w:t>
      </w:r>
      <w:r>
        <w:rPr>
          <w:sz w:val="24"/>
          <w:szCs w:val="24"/>
        </w:rPr>
        <w:t xml:space="preserve"> ed., pp. 327-353). Guilford Press. ISBN:</w:t>
      </w:r>
      <w:r w:rsidR="00EF5615">
        <w:rPr>
          <w:sz w:val="24"/>
          <w:szCs w:val="24"/>
        </w:rPr>
        <w:t xml:space="preserve"> </w:t>
      </w:r>
      <w:r>
        <w:rPr>
          <w:sz w:val="24"/>
          <w:szCs w:val="24"/>
        </w:rPr>
        <w:t>9781462515370</w:t>
      </w:r>
    </w:p>
    <w:p w14:paraId="52D6204F" w14:textId="2D0B853D" w:rsidR="00602778" w:rsidRPr="00602778" w:rsidRDefault="00602778">
      <w:pPr>
        <w:pBdr>
          <w:top w:val="nil"/>
          <w:left w:val="nil"/>
          <w:bottom w:val="nil"/>
          <w:right w:val="nil"/>
          <w:between w:val="nil"/>
        </w:pBdr>
        <w:spacing w:line="480" w:lineRule="auto"/>
        <w:ind w:left="720" w:hanging="720"/>
        <w:rPr>
          <w:sz w:val="24"/>
          <w:szCs w:val="24"/>
        </w:rPr>
      </w:pPr>
      <w:r w:rsidRPr="00A26BC2">
        <w:rPr>
          <w:bCs/>
          <w:color w:val="000000"/>
          <w:sz w:val="24"/>
          <w:szCs w:val="24"/>
        </w:rPr>
        <w:t xml:space="preserve">Sedikides, C., Gaertner, L., Luke, M. A., O’Mara, E. M., &amp; Gebauer, J. (2013). A three-tier hierarchy of motivational self-potency: Individual self, relational self, collective self. </w:t>
      </w:r>
      <w:r w:rsidRPr="00A26BC2">
        <w:rPr>
          <w:bCs/>
          <w:i/>
          <w:iCs/>
          <w:color w:val="000000"/>
          <w:sz w:val="24"/>
          <w:szCs w:val="24"/>
        </w:rPr>
        <w:t>Advances in Experimental Social Psychology, 48</w:t>
      </w:r>
      <w:r w:rsidRPr="00A26BC2">
        <w:rPr>
          <w:bCs/>
          <w:color w:val="000000"/>
          <w:sz w:val="24"/>
          <w:szCs w:val="24"/>
        </w:rPr>
        <w:t xml:space="preserve">, 235-295. </w:t>
      </w:r>
      <w:hyperlink r:id="rId15" w:history="1">
        <w:r w:rsidRPr="00D7209D">
          <w:rPr>
            <w:rStyle w:val="Hyperlink"/>
            <w:bCs/>
            <w:color w:val="000000"/>
            <w:sz w:val="24"/>
            <w:szCs w:val="24"/>
            <w:u w:val="none"/>
          </w:rPr>
          <w:t>https://doi.org/10.1016/B978-0-12-407188-9.00005-3</w:t>
        </w:r>
      </w:hyperlink>
    </w:p>
    <w:p w14:paraId="55941074" w14:textId="50C51994" w:rsidR="00F173EA" w:rsidRDefault="004250A8">
      <w:pPr>
        <w:pBdr>
          <w:top w:val="nil"/>
          <w:left w:val="nil"/>
          <w:bottom w:val="nil"/>
          <w:right w:val="nil"/>
          <w:between w:val="nil"/>
        </w:pBdr>
        <w:spacing w:line="480" w:lineRule="auto"/>
        <w:ind w:left="720" w:hanging="720"/>
        <w:rPr>
          <w:sz w:val="24"/>
          <w:szCs w:val="24"/>
        </w:rPr>
      </w:pPr>
      <w:r>
        <w:rPr>
          <w:sz w:val="24"/>
          <w:szCs w:val="24"/>
        </w:rPr>
        <w:t>Sternisko, A., Cichocka, A., Cislak, A., &amp; Van Bavel, J.</w:t>
      </w:r>
      <w:r w:rsidR="00E746A3">
        <w:rPr>
          <w:sz w:val="24"/>
          <w:szCs w:val="24"/>
        </w:rPr>
        <w:t xml:space="preserve"> </w:t>
      </w:r>
      <w:r>
        <w:rPr>
          <w:sz w:val="24"/>
          <w:szCs w:val="24"/>
        </w:rPr>
        <w:t xml:space="preserve">J. (2020). Collective narcissism predicts the belief and dissemination of conspiracy theories during the COVID-19 pandemic. </w:t>
      </w:r>
      <w:r w:rsidR="00E746A3" w:rsidRPr="00E746A3">
        <w:rPr>
          <w:sz w:val="24"/>
          <w:szCs w:val="24"/>
        </w:rPr>
        <w:t>PsyArXiv Preprints</w:t>
      </w:r>
      <w:r w:rsidR="00E746A3">
        <w:rPr>
          <w:sz w:val="24"/>
          <w:szCs w:val="24"/>
        </w:rPr>
        <w:t>.</w:t>
      </w:r>
      <w:r>
        <w:rPr>
          <w:sz w:val="24"/>
          <w:szCs w:val="24"/>
        </w:rPr>
        <w:t xml:space="preserve"> </w:t>
      </w:r>
      <w:r w:rsidR="00E746A3">
        <w:rPr>
          <w:sz w:val="24"/>
          <w:szCs w:val="24"/>
        </w:rPr>
        <w:t>https://doi.org/</w:t>
      </w:r>
      <w:r>
        <w:rPr>
          <w:sz w:val="24"/>
          <w:szCs w:val="24"/>
        </w:rPr>
        <w:t>10.31234/osf.io/4c6av</w:t>
      </w:r>
    </w:p>
    <w:p w14:paraId="2C48077C" w14:textId="5D9768AF" w:rsidR="00F173EA" w:rsidRPr="001C38AA" w:rsidRDefault="004250A8">
      <w:pPr>
        <w:pBdr>
          <w:top w:val="nil"/>
          <w:left w:val="nil"/>
          <w:bottom w:val="nil"/>
          <w:right w:val="nil"/>
          <w:between w:val="nil"/>
        </w:pBdr>
        <w:spacing w:line="480" w:lineRule="auto"/>
        <w:ind w:left="720" w:hanging="720"/>
        <w:rPr>
          <w:sz w:val="24"/>
          <w:szCs w:val="24"/>
          <w:highlight w:val="white"/>
          <w:lang w:val="pl-PL"/>
        </w:rPr>
      </w:pPr>
      <w:r>
        <w:rPr>
          <w:sz w:val="24"/>
          <w:szCs w:val="24"/>
        </w:rPr>
        <w:t xml:space="preserve">Yoshitake, N., Omori, M., Sugawara, M., Akishinonomiya, K., &amp; Shimada, S. (2019). Do health beliefs, personality traits, and interpersonal concerns predict TB prevention behavior among Japanese adults? </w:t>
      </w:r>
      <w:r w:rsidRPr="001C38AA">
        <w:rPr>
          <w:i/>
          <w:sz w:val="24"/>
          <w:szCs w:val="24"/>
          <w:lang w:val="pl-PL"/>
        </w:rPr>
        <w:t>PloS One</w:t>
      </w:r>
      <w:r w:rsidRPr="001C38AA">
        <w:rPr>
          <w:sz w:val="24"/>
          <w:szCs w:val="24"/>
          <w:lang w:val="pl-PL"/>
        </w:rPr>
        <w:t xml:space="preserve">, </w:t>
      </w:r>
      <w:r w:rsidRPr="001C38AA">
        <w:rPr>
          <w:i/>
          <w:sz w:val="24"/>
          <w:szCs w:val="24"/>
          <w:lang w:val="pl-PL"/>
        </w:rPr>
        <w:t>14</w:t>
      </w:r>
      <w:r w:rsidRPr="001C38AA">
        <w:rPr>
          <w:sz w:val="24"/>
          <w:szCs w:val="24"/>
          <w:lang w:val="pl-PL"/>
        </w:rPr>
        <w:t xml:space="preserve">, </w:t>
      </w:r>
      <w:r w:rsidRPr="001C38AA">
        <w:rPr>
          <w:sz w:val="24"/>
          <w:szCs w:val="24"/>
          <w:highlight w:val="white"/>
          <w:lang w:val="pl-PL"/>
        </w:rPr>
        <w:t xml:space="preserve">e0211728. </w:t>
      </w:r>
      <w:r w:rsidR="00E746A3">
        <w:rPr>
          <w:sz w:val="24"/>
          <w:szCs w:val="24"/>
          <w:highlight w:val="white"/>
          <w:lang w:val="pl-PL"/>
        </w:rPr>
        <w:t>https://doi.org/</w:t>
      </w:r>
      <w:r w:rsidRPr="001C38AA">
        <w:rPr>
          <w:sz w:val="24"/>
          <w:szCs w:val="24"/>
          <w:highlight w:val="white"/>
          <w:lang w:val="pl-PL"/>
        </w:rPr>
        <w:t>10.1371/journal.pone.0211728</w:t>
      </w:r>
    </w:p>
    <w:p w14:paraId="6253F59D" w14:textId="54CF5D25" w:rsidR="00F173EA" w:rsidRDefault="004250A8">
      <w:pPr>
        <w:pBdr>
          <w:top w:val="nil"/>
          <w:left w:val="nil"/>
          <w:bottom w:val="nil"/>
          <w:right w:val="nil"/>
          <w:between w:val="nil"/>
        </w:pBdr>
        <w:spacing w:line="480" w:lineRule="auto"/>
        <w:ind w:left="720" w:hanging="720"/>
        <w:rPr>
          <w:sz w:val="24"/>
          <w:szCs w:val="24"/>
          <w:highlight w:val="white"/>
        </w:rPr>
      </w:pPr>
      <w:r w:rsidRPr="001C38AA">
        <w:rPr>
          <w:sz w:val="24"/>
          <w:szCs w:val="24"/>
          <w:lang w:val="pl-PL"/>
        </w:rPr>
        <w:t>Zajenkowski, M., Jonason, P.</w:t>
      </w:r>
      <w:r w:rsidR="00E746A3">
        <w:rPr>
          <w:sz w:val="24"/>
          <w:szCs w:val="24"/>
          <w:lang w:val="pl-PL"/>
        </w:rPr>
        <w:t xml:space="preserve"> </w:t>
      </w:r>
      <w:r w:rsidRPr="001C38AA">
        <w:rPr>
          <w:sz w:val="24"/>
          <w:szCs w:val="24"/>
          <w:lang w:val="pl-PL"/>
        </w:rPr>
        <w:t xml:space="preserve">K., Leniarska, M., &amp; Kozakiewicz, Z. (2020). </w:t>
      </w:r>
      <w:r>
        <w:rPr>
          <w:sz w:val="24"/>
          <w:szCs w:val="24"/>
        </w:rPr>
        <w:t xml:space="preserve">Who complies with the restrictions to reduce the spread of COVID-19? Personality and perceptions of the COVID-19 situation. </w:t>
      </w:r>
      <w:r>
        <w:rPr>
          <w:i/>
          <w:sz w:val="24"/>
          <w:szCs w:val="24"/>
        </w:rPr>
        <w:t>Personality and Individual Differences, 166</w:t>
      </w:r>
      <w:r>
        <w:rPr>
          <w:sz w:val="24"/>
          <w:szCs w:val="24"/>
        </w:rPr>
        <w:t xml:space="preserve">, 110199. </w:t>
      </w:r>
      <w:r w:rsidR="00E746A3">
        <w:rPr>
          <w:sz w:val="24"/>
          <w:szCs w:val="24"/>
        </w:rPr>
        <w:t>https://doi.org/</w:t>
      </w:r>
      <w:r>
        <w:rPr>
          <w:sz w:val="24"/>
          <w:szCs w:val="24"/>
        </w:rPr>
        <w:t>10.1016/j.paid.2020.110199</w:t>
      </w:r>
    </w:p>
    <w:p w14:paraId="4A027282" w14:textId="4836A8ED" w:rsidR="00F173EA" w:rsidRDefault="004250A8">
      <w:pPr>
        <w:pBdr>
          <w:top w:val="nil"/>
          <w:left w:val="nil"/>
          <w:bottom w:val="nil"/>
          <w:right w:val="nil"/>
          <w:between w:val="nil"/>
        </w:pBdr>
        <w:spacing w:line="480" w:lineRule="auto"/>
        <w:ind w:left="720" w:hanging="720"/>
        <w:rPr>
          <w:sz w:val="24"/>
          <w:szCs w:val="24"/>
        </w:rPr>
      </w:pPr>
      <w:r>
        <w:rPr>
          <w:sz w:val="24"/>
          <w:szCs w:val="24"/>
          <w:highlight w:val="white"/>
        </w:rPr>
        <w:t>Zeigler-Hill, V.</w:t>
      </w:r>
      <w:r w:rsidR="00E746A3">
        <w:rPr>
          <w:sz w:val="24"/>
          <w:szCs w:val="24"/>
          <w:highlight w:val="white"/>
        </w:rPr>
        <w:t xml:space="preserve"> </w:t>
      </w:r>
      <w:r>
        <w:rPr>
          <w:sz w:val="24"/>
          <w:szCs w:val="24"/>
          <w:highlight w:val="white"/>
        </w:rPr>
        <w:t>E., &amp; Marcus, D.</w:t>
      </w:r>
      <w:r w:rsidR="00E746A3">
        <w:rPr>
          <w:sz w:val="24"/>
          <w:szCs w:val="24"/>
          <w:highlight w:val="white"/>
        </w:rPr>
        <w:t xml:space="preserve"> </w:t>
      </w:r>
      <w:r>
        <w:rPr>
          <w:sz w:val="24"/>
          <w:szCs w:val="24"/>
          <w:highlight w:val="white"/>
        </w:rPr>
        <w:t xml:space="preserve">K. (2016). </w:t>
      </w:r>
      <w:r>
        <w:rPr>
          <w:i/>
          <w:sz w:val="24"/>
          <w:szCs w:val="24"/>
          <w:highlight w:val="white"/>
        </w:rPr>
        <w:t>The dark side of personality: Science and practice in social, personality, and clinical psychology</w:t>
      </w:r>
      <w:r>
        <w:rPr>
          <w:sz w:val="24"/>
          <w:szCs w:val="24"/>
          <w:highlight w:val="white"/>
        </w:rPr>
        <w:t>. APA Press. ISBN:</w:t>
      </w:r>
      <w:r w:rsidR="00EF5615">
        <w:rPr>
          <w:sz w:val="24"/>
          <w:szCs w:val="24"/>
          <w:highlight w:val="white"/>
        </w:rPr>
        <w:t xml:space="preserve"> </w:t>
      </w:r>
      <w:r>
        <w:rPr>
          <w:sz w:val="24"/>
          <w:szCs w:val="24"/>
          <w:highlight w:val="white"/>
        </w:rPr>
        <w:t>9781433821875</w:t>
      </w:r>
    </w:p>
    <w:p w14:paraId="5AEFC356" w14:textId="66BF348D" w:rsidR="00F173EA" w:rsidRDefault="004250A8">
      <w:pPr>
        <w:spacing w:line="480" w:lineRule="auto"/>
        <w:ind w:left="720" w:hanging="720"/>
        <w:rPr>
          <w:sz w:val="24"/>
          <w:szCs w:val="24"/>
          <w:highlight w:val="white"/>
        </w:rPr>
      </w:pPr>
      <w:r>
        <w:rPr>
          <w:sz w:val="24"/>
          <w:szCs w:val="24"/>
          <w:highlight w:val="white"/>
        </w:rPr>
        <w:t>Żemojtel-Piotrowska, M., Sawicki, A., &amp; Jonason, P.</w:t>
      </w:r>
      <w:r w:rsidR="00E746A3">
        <w:rPr>
          <w:sz w:val="24"/>
          <w:szCs w:val="24"/>
          <w:highlight w:val="white"/>
        </w:rPr>
        <w:t xml:space="preserve"> </w:t>
      </w:r>
      <w:r>
        <w:rPr>
          <w:sz w:val="24"/>
          <w:szCs w:val="24"/>
          <w:highlight w:val="white"/>
        </w:rPr>
        <w:t xml:space="preserve">K. (2020a). Dark personality, political values, and prejudice: Testing a dual process model of prejudice towards refugees. </w:t>
      </w:r>
      <w:r>
        <w:rPr>
          <w:i/>
          <w:sz w:val="24"/>
          <w:szCs w:val="24"/>
          <w:highlight w:val="white"/>
        </w:rPr>
        <w:t>Personality and Individual Differences, 166</w:t>
      </w:r>
      <w:r>
        <w:rPr>
          <w:sz w:val="24"/>
          <w:szCs w:val="24"/>
          <w:highlight w:val="white"/>
        </w:rPr>
        <w:t>,</w:t>
      </w:r>
      <w:r>
        <w:rPr>
          <w:sz w:val="24"/>
          <w:szCs w:val="24"/>
        </w:rPr>
        <w:t xml:space="preserve"> 110168. </w:t>
      </w:r>
      <w:r w:rsidR="00E746A3">
        <w:rPr>
          <w:sz w:val="24"/>
          <w:szCs w:val="24"/>
          <w:highlight w:val="white"/>
        </w:rPr>
        <w:t>https://doi.org/</w:t>
      </w:r>
      <w:r>
        <w:rPr>
          <w:sz w:val="24"/>
          <w:szCs w:val="24"/>
          <w:highlight w:val="white"/>
        </w:rPr>
        <w:t>10.1016/j.paid.2020.110168</w:t>
      </w:r>
    </w:p>
    <w:p w14:paraId="3B25997A" w14:textId="775C51C7" w:rsidR="00F173EA" w:rsidRPr="001C38AA" w:rsidRDefault="004250A8">
      <w:pPr>
        <w:spacing w:line="480" w:lineRule="auto"/>
        <w:ind w:left="720" w:hanging="720"/>
        <w:rPr>
          <w:sz w:val="24"/>
          <w:szCs w:val="24"/>
          <w:lang w:val="pl-PL"/>
        </w:rPr>
      </w:pPr>
      <w:r w:rsidRPr="001C38AA">
        <w:rPr>
          <w:sz w:val="24"/>
          <w:szCs w:val="24"/>
          <w:lang w:val="pl-PL"/>
        </w:rPr>
        <w:t>Żemojtel-Piotrowska, Piotrowski, J., Sawicki, A., &amp; Jonason, P.</w:t>
      </w:r>
      <w:r w:rsidR="00E746A3">
        <w:rPr>
          <w:sz w:val="24"/>
          <w:szCs w:val="24"/>
          <w:lang w:val="pl-PL"/>
        </w:rPr>
        <w:t xml:space="preserve"> </w:t>
      </w:r>
      <w:r w:rsidRPr="001C38AA">
        <w:rPr>
          <w:sz w:val="24"/>
          <w:szCs w:val="24"/>
          <w:lang w:val="pl-PL"/>
        </w:rPr>
        <w:t xml:space="preserve">K. (2020b). </w:t>
      </w:r>
      <w:r>
        <w:rPr>
          <w:i/>
          <w:sz w:val="24"/>
          <w:szCs w:val="24"/>
        </w:rPr>
        <w:t>We will rescue Italy, but we dislike the European Union</w:t>
      </w:r>
      <w:r>
        <w:rPr>
          <w:sz w:val="24"/>
          <w:szCs w:val="24"/>
        </w:rPr>
        <w:t xml:space="preserve">. </w:t>
      </w:r>
      <w:r w:rsidRPr="001C38AA">
        <w:rPr>
          <w:sz w:val="24"/>
          <w:szCs w:val="24"/>
          <w:lang w:val="pl-PL"/>
        </w:rPr>
        <w:t xml:space="preserve">Preprint. </w:t>
      </w:r>
      <w:r w:rsidR="00E746A3">
        <w:rPr>
          <w:sz w:val="24"/>
          <w:szCs w:val="24"/>
          <w:lang w:val="pl-PL"/>
        </w:rPr>
        <w:t>https://doi.org/</w:t>
      </w:r>
      <w:r w:rsidRPr="001C38AA">
        <w:rPr>
          <w:sz w:val="24"/>
          <w:szCs w:val="24"/>
          <w:lang w:val="pl-PL"/>
        </w:rPr>
        <w:t>10.13140/RG.2.2.35735.93605</w:t>
      </w:r>
    </w:p>
    <w:p w14:paraId="2C7DB1FE" w14:textId="77777777" w:rsidR="00F173EA" w:rsidRDefault="004250A8">
      <w:pPr>
        <w:spacing w:line="480" w:lineRule="auto"/>
        <w:ind w:left="720" w:hanging="720"/>
        <w:rPr>
          <w:sz w:val="24"/>
          <w:szCs w:val="24"/>
        </w:rPr>
      </w:pPr>
      <w:r w:rsidRPr="001C38AA">
        <w:rPr>
          <w:sz w:val="24"/>
          <w:szCs w:val="24"/>
          <w:lang w:val="pl-PL"/>
        </w:rPr>
        <w:t xml:space="preserve">Żemojtel-Piotrowska, M., Piotrowski, J., Sedikides, C., Sawicki, A., Czarna, A.Z., Fatfouta, R., &amp; Baran, T. (2020c). </w:t>
      </w:r>
      <w:r>
        <w:rPr>
          <w:i/>
          <w:sz w:val="24"/>
          <w:szCs w:val="24"/>
        </w:rPr>
        <w:t>Communal collective narcissism</w:t>
      </w:r>
      <w:r>
        <w:rPr>
          <w:sz w:val="24"/>
          <w:szCs w:val="24"/>
        </w:rPr>
        <w:t xml:space="preserve">. </w:t>
      </w:r>
      <w:r>
        <w:rPr>
          <w:sz w:val="24"/>
          <w:szCs w:val="24"/>
          <w:highlight w:val="white"/>
        </w:rPr>
        <w:t xml:space="preserve">Manuscript </w:t>
      </w:r>
      <w:r w:rsidR="001C38AA">
        <w:rPr>
          <w:sz w:val="24"/>
          <w:szCs w:val="24"/>
        </w:rPr>
        <w:t>submitted for publication.</w:t>
      </w:r>
    </w:p>
    <w:p w14:paraId="6D221A7D" w14:textId="77777777" w:rsidR="00F173EA" w:rsidRDefault="00F173EA">
      <w:pPr>
        <w:pBdr>
          <w:top w:val="nil"/>
          <w:left w:val="nil"/>
          <w:bottom w:val="nil"/>
          <w:right w:val="nil"/>
          <w:between w:val="nil"/>
        </w:pBdr>
        <w:spacing w:line="480" w:lineRule="auto"/>
        <w:ind w:left="720" w:hanging="720"/>
        <w:rPr>
          <w:color w:val="201F1E"/>
          <w:sz w:val="24"/>
          <w:szCs w:val="24"/>
          <w:highlight w:val="white"/>
        </w:rPr>
      </w:pPr>
    </w:p>
    <w:p w14:paraId="505F169C" w14:textId="77777777" w:rsidR="00F173EA" w:rsidRDefault="00F173EA">
      <w:pPr>
        <w:pBdr>
          <w:top w:val="nil"/>
          <w:left w:val="nil"/>
          <w:bottom w:val="nil"/>
          <w:right w:val="nil"/>
          <w:between w:val="nil"/>
        </w:pBdr>
        <w:spacing w:line="480" w:lineRule="auto"/>
        <w:ind w:hanging="720"/>
        <w:rPr>
          <w:color w:val="0E101A"/>
          <w:sz w:val="24"/>
          <w:szCs w:val="24"/>
        </w:rPr>
      </w:pPr>
    </w:p>
    <w:p w14:paraId="6AF33968" w14:textId="77777777" w:rsidR="00F173EA" w:rsidRDefault="00F173EA">
      <w:pPr>
        <w:spacing w:line="480" w:lineRule="auto"/>
        <w:rPr>
          <w:color w:val="0E101A"/>
          <w:sz w:val="24"/>
          <w:szCs w:val="24"/>
        </w:rPr>
      </w:pPr>
    </w:p>
    <w:p w14:paraId="0FEE49B7" w14:textId="77777777" w:rsidR="00DF0427" w:rsidRDefault="00DF0427">
      <w:pPr>
        <w:rPr>
          <w:b/>
          <w:color w:val="000000"/>
          <w:sz w:val="24"/>
          <w:szCs w:val="24"/>
        </w:rPr>
      </w:pPr>
      <w:r>
        <w:rPr>
          <w:b/>
          <w:color w:val="000000"/>
          <w:sz w:val="24"/>
          <w:szCs w:val="24"/>
        </w:rPr>
        <w:br w:type="page"/>
      </w:r>
    </w:p>
    <w:p w14:paraId="438E9991" w14:textId="77777777" w:rsidR="00F173EA" w:rsidRDefault="004250A8">
      <w:pPr>
        <w:pBdr>
          <w:top w:val="nil"/>
          <w:left w:val="nil"/>
          <w:bottom w:val="nil"/>
          <w:right w:val="nil"/>
          <w:between w:val="nil"/>
        </w:pBdr>
        <w:spacing w:line="480" w:lineRule="auto"/>
        <w:ind w:hanging="2"/>
        <w:jc w:val="center"/>
        <w:rPr>
          <w:color w:val="000000"/>
          <w:sz w:val="24"/>
          <w:szCs w:val="24"/>
        </w:rPr>
      </w:pPr>
      <w:r>
        <w:rPr>
          <w:b/>
          <w:color w:val="000000"/>
          <w:sz w:val="24"/>
          <w:szCs w:val="24"/>
        </w:rPr>
        <w:t>FIGURES</w:t>
      </w:r>
    </w:p>
    <w:p w14:paraId="50A63055" w14:textId="77777777" w:rsidR="00F173EA" w:rsidRDefault="004250A8">
      <w:pPr>
        <w:pBdr>
          <w:top w:val="nil"/>
          <w:left w:val="nil"/>
          <w:bottom w:val="nil"/>
          <w:right w:val="nil"/>
          <w:between w:val="nil"/>
        </w:pBdr>
        <w:rPr>
          <w:sz w:val="24"/>
          <w:szCs w:val="24"/>
        </w:rPr>
      </w:pPr>
      <w:r>
        <w:rPr>
          <w:noProof/>
          <w:sz w:val="24"/>
          <w:szCs w:val="24"/>
          <w:lang w:val="en-GB" w:eastAsia="zh-CN"/>
        </w:rPr>
        <w:drawing>
          <wp:inline distT="114300" distB="114300" distL="114300" distR="114300" wp14:anchorId="768F2832" wp14:editId="6D060FF4">
            <wp:extent cx="5731200" cy="4114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731200" cy="4114800"/>
                    </a:xfrm>
                    <a:prstGeom prst="rect">
                      <a:avLst/>
                    </a:prstGeom>
                    <a:ln/>
                  </pic:spPr>
                </pic:pic>
              </a:graphicData>
            </a:graphic>
          </wp:inline>
        </w:drawing>
      </w:r>
    </w:p>
    <w:p w14:paraId="129912DC" w14:textId="0E863EA9" w:rsidR="00F173EA" w:rsidRDefault="004250A8">
      <w:pPr>
        <w:pBdr>
          <w:top w:val="nil"/>
          <w:left w:val="nil"/>
          <w:bottom w:val="nil"/>
          <w:right w:val="nil"/>
          <w:between w:val="nil"/>
        </w:pBdr>
        <w:rPr>
          <w:color w:val="000000"/>
          <w:sz w:val="24"/>
          <w:szCs w:val="24"/>
        </w:rPr>
      </w:pPr>
      <w:r w:rsidRPr="00D7209D">
        <w:rPr>
          <w:i/>
          <w:iCs/>
          <w:color w:val="000000"/>
          <w:sz w:val="24"/>
          <w:szCs w:val="24"/>
        </w:rPr>
        <w:t>Figure 1</w:t>
      </w:r>
      <w:r>
        <w:rPr>
          <w:i/>
          <w:color w:val="000000"/>
          <w:sz w:val="24"/>
          <w:szCs w:val="24"/>
        </w:rPr>
        <w:t>.</w:t>
      </w:r>
      <w:r>
        <w:rPr>
          <w:color w:val="000000"/>
          <w:sz w:val="24"/>
          <w:szCs w:val="24"/>
        </w:rPr>
        <w:t xml:space="preserve"> Standardized Path Coefficients in an Unconstrained Model</w:t>
      </w:r>
    </w:p>
    <w:p w14:paraId="15753D91" w14:textId="77777777" w:rsidR="00F173EA" w:rsidRDefault="00F173EA">
      <w:pPr>
        <w:pBdr>
          <w:top w:val="nil"/>
          <w:left w:val="nil"/>
          <w:bottom w:val="nil"/>
          <w:right w:val="nil"/>
          <w:between w:val="nil"/>
        </w:pBdr>
        <w:rPr>
          <w:i/>
          <w:color w:val="000000"/>
          <w:sz w:val="24"/>
          <w:szCs w:val="24"/>
        </w:rPr>
      </w:pPr>
    </w:p>
    <w:p w14:paraId="4DC7ADA1" w14:textId="77777777" w:rsidR="00F173EA" w:rsidRDefault="004250A8">
      <w:pPr>
        <w:pBdr>
          <w:top w:val="nil"/>
          <w:left w:val="nil"/>
          <w:bottom w:val="nil"/>
          <w:right w:val="nil"/>
          <w:between w:val="nil"/>
        </w:pBdr>
        <w:rPr>
          <w:color w:val="000000"/>
          <w:sz w:val="24"/>
          <w:szCs w:val="24"/>
        </w:rPr>
      </w:pPr>
      <w:r>
        <w:rPr>
          <w:i/>
          <w:color w:val="000000"/>
          <w:sz w:val="24"/>
          <w:szCs w:val="24"/>
        </w:rPr>
        <w:t xml:space="preserve">Notes. </w:t>
      </w:r>
      <w:r>
        <w:rPr>
          <w:color w:val="000000"/>
          <w:sz w:val="24"/>
          <w:szCs w:val="24"/>
        </w:rPr>
        <w:t xml:space="preserve">Mach = </w:t>
      </w:r>
      <w:r>
        <w:rPr>
          <w:color w:val="0E101A"/>
          <w:sz w:val="24"/>
          <w:szCs w:val="24"/>
        </w:rPr>
        <w:t xml:space="preserve">Machiavellianism. </w:t>
      </w:r>
      <w:r>
        <w:rPr>
          <w:color w:val="000000"/>
          <w:sz w:val="24"/>
          <w:szCs w:val="24"/>
        </w:rPr>
        <w:t>The total effect of Dark Core on preventive behavior was -.15 (</w:t>
      </w:r>
      <w:r>
        <w:rPr>
          <w:i/>
          <w:color w:val="000000"/>
          <w:sz w:val="24"/>
          <w:szCs w:val="24"/>
        </w:rPr>
        <w:t>p</w:t>
      </w:r>
      <w:r>
        <w:rPr>
          <w:color w:val="000000"/>
          <w:sz w:val="24"/>
          <w:szCs w:val="24"/>
        </w:rPr>
        <w:t xml:space="preserve"> &lt; .001) and on hoarding was .18 (</w:t>
      </w:r>
      <w:r>
        <w:rPr>
          <w:i/>
          <w:color w:val="000000"/>
          <w:sz w:val="24"/>
          <w:szCs w:val="24"/>
        </w:rPr>
        <w:t>p</w:t>
      </w:r>
      <w:r>
        <w:rPr>
          <w:color w:val="000000"/>
          <w:sz w:val="24"/>
          <w:szCs w:val="24"/>
        </w:rPr>
        <w:t xml:space="preserve"> &lt; .001). The total effect of collective narcissism on preventive behaviors was .04 (</w:t>
      </w:r>
      <w:r>
        <w:rPr>
          <w:i/>
          <w:color w:val="000000"/>
          <w:sz w:val="24"/>
          <w:szCs w:val="24"/>
        </w:rPr>
        <w:t>p</w:t>
      </w:r>
      <w:r>
        <w:rPr>
          <w:color w:val="000000"/>
          <w:sz w:val="24"/>
          <w:szCs w:val="24"/>
        </w:rPr>
        <w:t xml:space="preserve"> = .063), and on hoarding was .13 (</w:t>
      </w:r>
      <w:r>
        <w:rPr>
          <w:i/>
          <w:color w:val="000000"/>
          <w:sz w:val="24"/>
          <w:szCs w:val="24"/>
        </w:rPr>
        <w:t xml:space="preserve">p </w:t>
      </w:r>
      <w:r>
        <w:rPr>
          <w:color w:val="000000"/>
          <w:sz w:val="24"/>
          <w:szCs w:val="24"/>
        </w:rPr>
        <w:t>&lt; .001). The indirect effect for the Dark Core on preventive behaviors was -.07 (</w:t>
      </w:r>
      <w:r>
        <w:rPr>
          <w:i/>
          <w:color w:val="000000"/>
          <w:sz w:val="24"/>
          <w:szCs w:val="24"/>
        </w:rPr>
        <w:t>p</w:t>
      </w:r>
      <w:r>
        <w:rPr>
          <w:color w:val="000000"/>
          <w:sz w:val="24"/>
          <w:szCs w:val="24"/>
        </w:rPr>
        <w:t xml:space="preserve"> &lt; .001) and .02 (</w:t>
      </w:r>
      <w:r>
        <w:rPr>
          <w:i/>
          <w:color w:val="000000"/>
          <w:sz w:val="24"/>
          <w:szCs w:val="24"/>
        </w:rPr>
        <w:t>p</w:t>
      </w:r>
      <w:r>
        <w:rPr>
          <w:color w:val="000000"/>
          <w:sz w:val="24"/>
          <w:szCs w:val="24"/>
        </w:rPr>
        <w:t xml:space="preserve"> = .337) on hoarding. The indirect effects for collective narcissism on preventive behavior was .04 (</w:t>
      </w:r>
      <w:r>
        <w:rPr>
          <w:i/>
          <w:color w:val="000000"/>
          <w:sz w:val="24"/>
          <w:szCs w:val="24"/>
        </w:rPr>
        <w:t>p</w:t>
      </w:r>
      <w:r>
        <w:rPr>
          <w:color w:val="000000"/>
          <w:sz w:val="24"/>
          <w:szCs w:val="24"/>
        </w:rPr>
        <w:t xml:space="preserve"> &lt; .01) and .04 (</w:t>
      </w:r>
      <w:r>
        <w:rPr>
          <w:i/>
          <w:color w:val="000000"/>
          <w:sz w:val="24"/>
          <w:szCs w:val="24"/>
        </w:rPr>
        <w:t xml:space="preserve">p </w:t>
      </w:r>
      <w:r>
        <w:rPr>
          <w:color w:val="000000"/>
          <w:sz w:val="24"/>
          <w:szCs w:val="24"/>
        </w:rPr>
        <w:t>&lt; .01) on hoarding.</w:t>
      </w:r>
    </w:p>
    <w:p w14:paraId="005CDE0C" w14:textId="77777777" w:rsidR="00F173EA" w:rsidRDefault="004250A8">
      <w:pPr>
        <w:pBdr>
          <w:top w:val="nil"/>
          <w:left w:val="nil"/>
          <w:bottom w:val="nil"/>
          <w:right w:val="nil"/>
          <w:between w:val="nil"/>
        </w:pBdr>
        <w:rPr>
          <w:color w:val="000000"/>
          <w:sz w:val="24"/>
          <w:szCs w:val="24"/>
        </w:rPr>
      </w:pPr>
      <w:r>
        <w:rPr>
          <w:color w:val="000000"/>
          <w:sz w:val="24"/>
          <w:szCs w:val="24"/>
        </w:rPr>
        <w:t xml:space="preserve">* </w:t>
      </w:r>
      <w:r>
        <w:rPr>
          <w:i/>
          <w:color w:val="000000"/>
          <w:sz w:val="24"/>
          <w:szCs w:val="24"/>
        </w:rPr>
        <w:t>p</w:t>
      </w:r>
      <w:r>
        <w:rPr>
          <w:color w:val="000000"/>
          <w:sz w:val="24"/>
          <w:szCs w:val="24"/>
        </w:rPr>
        <w:t xml:space="preserve"> &lt; .05, ** </w:t>
      </w:r>
      <w:r>
        <w:rPr>
          <w:i/>
          <w:color w:val="000000"/>
          <w:sz w:val="24"/>
          <w:szCs w:val="24"/>
        </w:rPr>
        <w:t>p</w:t>
      </w:r>
      <w:r>
        <w:rPr>
          <w:color w:val="000000"/>
          <w:sz w:val="24"/>
          <w:szCs w:val="24"/>
        </w:rPr>
        <w:t xml:space="preserve"> &lt; .01</w:t>
      </w:r>
    </w:p>
    <w:p w14:paraId="05BF1CB3" w14:textId="77777777" w:rsidR="00F173EA" w:rsidRDefault="00F173EA">
      <w:pPr>
        <w:pBdr>
          <w:top w:val="nil"/>
          <w:left w:val="nil"/>
          <w:bottom w:val="nil"/>
          <w:right w:val="nil"/>
          <w:between w:val="nil"/>
        </w:pBdr>
        <w:spacing w:line="480" w:lineRule="auto"/>
        <w:ind w:hanging="2"/>
        <w:rPr>
          <w:color w:val="000000"/>
          <w:sz w:val="24"/>
          <w:szCs w:val="24"/>
        </w:rPr>
      </w:pPr>
    </w:p>
    <w:p w14:paraId="0FBCA432" w14:textId="77777777" w:rsidR="00F173EA" w:rsidRDefault="00F173EA">
      <w:pPr>
        <w:pBdr>
          <w:top w:val="nil"/>
          <w:left w:val="nil"/>
          <w:bottom w:val="nil"/>
          <w:right w:val="nil"/>
          <w:between w:val="nil"/>
        </w:pBdr>
        <w:spacing w:line="480" w:lineRule="auto"/>
        <w:rPr>
          <w:color w:val="000000"/>
          <w:sz w:val="24"/>
          <w:szCs w:val="24"/>
        </w:rPr>
        <w:sectPr w:rsidR="00F173EA">
          <w:headerReference w:type="default" r:id="rId17"/>
          <w:footerReference w:type="even" r:id="rId18"/>
          <w:footerReference w:type="default" r:id="rId19"/>
          <w:headerReference w:type="first" r:id="rId20"/>
          <w:footerReference w:type="first" r:id="rId21"/>
          <w:pgSz w:w="11906" w:h="16838"/>
          <w:pgMar w:top="1440" w:right="1440" w:bottom="1440" w:left="1440" w:header="708" w:footer="720" w:gutter="0"/>
          <w:pgNumType w:start="1"/>
          <w:cols w:space="708" w:equalWidth="0">
            <w:col w:w="9406"/>
          </w:cols>
        </w:sectPr>
      </w:pPr>
    </w:p>
    <w:p w14:paraId="52F3D79C" w14:textId="1B662975" w:rsidR="00F173EA" w:rsidRDefault="00F173EA">
      <w:pPr>
        <w:pBdr>
          <w:top w:val="nil"/>
          <w:left w:val="nil"/>
          <w:bottom w:val="nil"/>
          <w:right w:val="nil"/>
          <w:between w:val="nil"/>
        </w:pBdr>
        <w:spacing w:line="480" w:lineRule="auto"/>
        <w:jc w:val="center"/>
        <w:rPr>
          <w:b/>
          <w:color w:val="000000"/>
          <w:sz w:val="24"/>
          <w:szCs w:val="24"/>
        </w:rPr>
      </w:pPr>
    </w:p>
    <w:tbl>
      <w:tblPr>
        <w:tblStyle w:val="a"/>
        <w:tblW w:w="14742" w:type="dxa"/>
        <w:tblInd w:w="0" w:type="dxa"/>
        <w:tblLayout w:type="fixed"/>
        <w:tblLook w:val="0000" w:firstRow="0" w:lastRow="0" w:firstColumn="0" w:lastColumn="0" w:noHBand="0" w:noVBand="0"/>
      </w:tblPr>
      <w:tblGrid>
        <w:gridCol w:w="2835"/>
        <w:gridCol w:w="993"/>
        <w:gridCol w:w="992"/>
        <w:gridCol w:w="850"/>
        <w:gridCol w:w="993"/>
        <w:gridCol w:w="1134"/>
        <w:gridCol w:w="992"/>
        <w:gridCol w:w="992"/>
        <w:gridCol w:w="851"/>
        <w:gridCol w:w="1134"/>
        <w:gridCol w:w="1134"/>
        <w:gridCol w:w="850"/>
        <w:gridCol w:w="992"/>
      </w:tblGrid>
      <w:tr w:rsidR="00F173EA" w14:paraId="66D6B296" w14:textId="77777777">
        <w:trPr>
          <w:trHeight w:val="350"/>
        </w:trPr>
        <w:tc>
          <w:tcPr>
            <w:tcW w:w="14742" w:type="dxa"/>
            <w:gridSpan w:val="13"/>
          </w:tcPr>
          <w:p w14:paraId="4BD17C9D" w14:textId="13925329" w:rsidR="00E746A3" w:rsidRDefault="004250A8">
            <w:pPr>
              <w:pBdr>
                <w:top w:val="nil"/>
                <w:left w:val="nil"/>
                <w:bottom w:val="nil"/>
                <w:right w:val="nil"/>
                <w:between w:val="nil"/>
              </w:pBdr>
              <w:rPr>
                <w:b/>
                <w:bCs/>
                <w:color w:val="0E101A"/>
                <w:sz w:val="24"/>
                <w:szCs w:val="24"/>
              </w:rPr>
            </w:pPr>
            <w:r w:rsidRPr="00D7209D">
              <w:rPr>
                <w:b/>
                <w:bCs/>
                <w:color w:val="0E101A"/>
                <w:sz w:val="24"/>
                <w:szCs w:val="24"/>
              </w:rPr>
              <w:t>Table 1</w:t>
            </w:r>
          </w:p>
          <w:p w14:paraId="6F8CFAB9" w14:textId="77777777" w:rsidR="00E746A3" w:rsidRPr="00D7209D" w:rsidRDefault="00E746A3">
            <w:pPr>
              <w:pBdr>
                <w:top w:val="nil"/>
                <w:left w:val="nil"/>
                <w:bottom w:val="nil"/>
                <w:right w:val="nil"/>
                <w:between w:val="nil"/>
              </w:pBdr>
              <w:rPr>
                <w:b/>
                <w:bCs/>
                <w:color w:val="0E101A"/>
                <w:sz w:val="24"/>
                <w:szCs w:val="24"/>
              </w:rPr>
            </w:pPr>
          </w:p>
          <w:p w14:paraId="39005382" w14:textId="15E8C835" w:rsidR="00E746A3" w:rsidRDefault="004250A8">
            <w:pPr>
              <w:pBdr>
                <w:top w:val="nil"/>
                <w:left w:val="nil"/>
                <w:bottom w:val="nil"/>
                <w:right w:val="nil"/>
                <w:between w:val="nil"/>
              </w:pBdr>
              <w:rPr>
                <w:color w:val="0E101A"/>
                <w:sz w:val="24"/>
                <w:szCs w:val="24"/>
              </w:rPr>
            </w:pPr>
            <w:r>
              <w:rPr>
                <w:color w:val="0E101A"/>
                <w:sz w:val="24"/>
                <w:szCs w:val="24"/>
              </w:rPr>
              <w:t>Descriptive Statistics and Zero-Order Correlations Among Study Variables</w:t>
            </w:r>
          </w:p>
          <w:p w14:paraId="6FA34D3B" w14:textId="2BBAFD33" w:rsidR="00F173EA" w:rsidRDefault="00F173EA">
            <w:pPr>
              <w:pBdr>
                <w:top w:val="nil"/>
                <w:left w:val="nil"/>
                <w:bottom w:val="nil"/>
                <w:right w:val="nil"/>
                <w:between w:val="nil"/>
              </w:pBdr>
              <w:rPr>
                <w:color w:val="0E101A"/>
                <w:sz w:val="24"/>
                <w:szCs w:val="24"/>
              </w:rPr>
            </w:pPr>
          </w:p>
        </w:tc>
      </w:tr>
      <w:tr w:rsidR="00F173EA" w:rsidRPr="007238B0" w14:paraId="6EA048DE" w14:textId="77777777">
        <w:tc>
          <w:tcPr>
            <w:tcW w:w="2835" w:type="dxa"/>
            <w:tcBorders>
              <w:top w:val="single" w:sz="4" w:space="0" w:color="000000"/>
              <w:bottom w:val="single" w:sz="4" w:space="0" w:color="000000"/>
            </w:tcBorders>
          </w:tcPr>
          <w:p w14:paraId="558E22E5" w14:textId="77777777" w:rsidR="00F173EA" w:rsidRPr="00D7209D" w:rsidRDefault="00F173EA">
            <w:pPr>
              <w:pBdr>
                <w:top w:val="nil"/>
                <w:left w:val="nil"/>
                <w:bottom w:val="nil"/>
                <w:right w:val="nil"/>
                <w:between w:val="nil"/>
              </w:pBdr>
              <w:rPr>
                <w:color w:val="0E101A"/>
                <w:sz w:val="24"/>
                <w:szCs w:val="24"/>
              </w:rPr>
            </w:pPr>
          </w:p>
        </w:tc>
        <w:tc>
          <w:tcPr>
            <w:tcW w:w="993" w:type="dxa"/>
            <w:tcBorders>
              <w:top w:val="single" w:sz="4" w:space="0" w:color="000000"/>
              <w:bottom w:val="single" w:sz="4" w:space="0" w:color="000000"/>
            </w:tcBorders>
          </w:tcPr>
          <w:p w14:paraId="48DD957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w:t>
            </w:r>
          </w:p>
        </w:tc>
        <w:tc>
          <w:tcPr>
            <w:tcW w:w="992" w:type="dxa"/>
            <w:tcBorders>
              <w:top w:val="single" w:sz="4" w:space="0" w:color="000000"/>
              <w:bottom w:val="single" w:sz="4" w:space="0" w:color="000000"/>
            </w:tcBorders>
          </w:tcPr>
          <w:p w14:paraId="77BAD94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w:t>
            </w:r>
          </w:p>
        </w:tc>
        <w:tc>
          <w:tcPr>
            <w:tcW w:w="850" w:type="dxa"/>
            <w:tcBorders>
              <w:top w:val="single" w:sz="4" w:space="0" w:color="000000"/>
              <w:bottom w:val="single" w:sz="4" w:space="0" w:color="000000"/>
            </w:tcBorders>
          </w:tcPr>
          <w:p w14:paraId="562D7E3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w:t>
            </w:r>
          </w:p>
        </w:tc>
        <w:tc>
          <w:tcPr>
            <w:tcW w:w="993" w:type="dxa"/>
            <w:tcBorders>
              <w:top w:val="single" w:sz="4" w:space="0" w:color="000000"/>
              <w:bottom w:val="single" w:sz="4" w:space="0" w:color="000000"/>
            </w:tcBorders>
          </w:tcPr>
          <w:p w14:paraId="2A4FB12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4</w:t>
            </w:r>
          </w:p>
        </w:tc>
        <w:tc>
          <w:tcPr>
            <w:tcW w:w="1134" w:type="dxa"/>
            <w:tcBorders>
              <w:top w:val="single" w:sz="4" w:space="0" w:color="000000"/>
              <w:bottom w:val="single" w:sz="4" w:space="0" w:color="000000"/>
            </w:tcBorders>
          </w:tcPr>
          <w:p w14:paraId="4E4C600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5</w:t>
            </w:r>
          </w:p>
        </w:tc>
        <w:tc>
          <w:tcPr>
            <w:tcW w:w="992" w:type="dxa"/>
            <w:tcBorders>
              <w:top w:val="single" w:sz="4" w:space="0" w:color="000000"/>
              <w:bottom w:val="single" w:sz="4" w:space="0" w:color="000000"/>
            </w:tcBorders>
          </w:tcPr>
          <w:p w14:paraId="630D39EB"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6</w:t>
            </w:r>
          </w:p>
        </w:tc>
        <w:tc>
          <w:tcPr>
            <w:tcW w:w="992" w:type="dxa"/>
            <w:tcBorders>
              <w:top w:val="single" w:sz="4" w:space="0" w:color="000000"/>
              <w:bottom w:val="single" w:sz="4" w:space="0" w:color="000000"/>
            </w:tcBorders>
          </w:tcPr>
          <w:p w14:paraId="0D73E7DB"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7</w:t>
            </w:r>
          </w:p>
        </w:tc>
        <w:tc>
          <w:tcPr>
            <w:tcW w:w="851" w:type="dxa"/>
            <w:tcBorders>
              <w:top w:val="single" w:sz="4" w:space="0" w:color="000000"/>
              <w:bottom w:val="single" w:sz="4" w:space="0" w:color="000000"/>
            </w:tcBorders>
          </w:tcPr>
          <w:p w14:paraId="32927D39"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8</w:t>
            </w:r>
          </w:p>
        </w:tc>
        <w:tc>
          <w:tcPr>
            <w:tcW w:w="1134" w:type="dxa"/>
            <w:tcBorders>
              <w:top w:val="single" w:sz="4" w:space="0" w:color="000000"/>
              <w:bottom w:val="single" w:sz="4" w:space="0" w:color="000000"/>
            </w:tcBorders>
          </w:tcPr>
          <w:p w14:paraId="38DAC42E"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9</w:t>
            </w:r>
          </w:p>
        </w:tc>
        <w:tc>
          <w:tcPr>
            <w:tcW w:w="1134" w:type="dxa"/>
            <w:tcBorders>
              <w:top w:val="single" w:sz="4" w:space="0" w:color="000000"/>
              <w:bottom w:val="single" w:sz="4" w:space="0" w:color="000000"/>
            </w:tcBorders>
          </w:tcPr>
          <w:p w14:paraId="3BA4F5B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10</w:t>
            </w:r>
          </w:p>
        </w:tc>
        <w:tc>
          <w:tcPr>
            <w:tcW w:w="850" w:type="dxa"/>
            <w:tcBorders>
              <w:top w:val="single" w:sz="4" w:space="0" w:color="000000"/>
              <w:bottom w:val="single" w:sz="4" w:space="0" w:color="000000"/>
            </w:tcBorders>
          </w:tcPr>
          <w:p w14:paraId="4272977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11</w:t>
            </w:r>
          </w:p>
        </w:tc>
        <w:tc>
          <w:tcPr>
            <w:tcW w:w="992" w:type="dxa"/>
            <w:tcBorders>
              <w:top w:val="single" w:sz="4" w:space="0" w:color="000000"/>
              <w:bottom w:val="single" w:sz="4" w:space="0" w:color="000000"/>
            </w:tcBorders>
          </w:tcPr>
          <w:p w14:paraId="412975FD"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12</w:t>
            </w:r>
          </w:p>
        </w:tc>
      </w:tr>
      <w:tr w:rsidR="00F173EA" w:rsidRPr="007238B0" w14:paraId="5F038C0B" w14:textId="77777777">
        <w:tc>
          <w:tcPr>
            <w:tcW w:w="2835" w:type="dxa"/>
            <w:tcBorders>
              <w:top w:val="single" w:sz="4" w:space="0" w:color="000000"/>
            </w:tcBorders>
          </w:tcPr>
          <w:p w14:paraId="16186450"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1. Machiavellianism</w:t>
            </w:r>
          </w:p>
        </w:tc>
        <w:tc>
          <w:tcPr>
            <w:tcW w:w="993" w:type="dxa"/>
            <w:tcBorders>
              <w:top w:val="single" w:sz="4" w:space="0" w:color="000000"/>
            </w:tcBorders>
          </w:tcPr>
          <w:p w14:paraId="40CD07AF" w14:textId="77777777" w:rsidR="00F173EA" w:rsidRPr="007238B0" w:rsidRDefault="00F173EA">
            <w:pPr>
              <w:pBdr>
                <w:top w:val="nil"/>
                <w:left w:val="nil"/>
                <w:bottom w:val="nil"/>
                <w:right w:val="nil"/>
                <w:between w:val="nil"/>
              </w:pBdr>
              <w:jc w:val="center"/>
              <w:rPr>
                <w:color w:val="0E101A"/>
                <w:sz w:val="24"/>
                <w:szCs w:val="24"/>
              </w:rPr>
            </w:pPr>
          </w:p>
        </w:tc>
        <w:tc>
          <w:tcPr>
            <w:tcW w:w="992" w:type="dxa"/>
            <w:tcBorders>
              <w:top w:val="single" w:sz="4" w:space="0" w:color="000000"/>
            </w:tcBorders>
          </w:tcPr>
          <w:p w14:paraId="14ACAE60" w14:textId="77777777" w:rsidR="00F173EA" w:rsidRPr="007238B0" w:rsidRDefault="00F173EA">
            <w:pPr>
              <w:pBdr>
                <w:top w:val="nil"/>
                <w:left w:val="nil"/>
                <w:bottom w:val="nil"/>
                <w:right w:val="nil"/>
                <w:between w:val="nil"/>
              </w:pBdr>
              <w:jc w:val="center"/>
              <w:rPr>
                <w:color w:val="0E101A"/>
                <w:sz w:val="24"/>
                <w:szCs w:val="24"/>
              </w:rPr>
            </w:pPr>
          </w:p>
        </w:tc>
        <w:tc>
          <w:tcPr>
            <w:tcW w:w="850" w:type="dxa"/>
            <w:tcBorders>
              <w:top w:val="single" w:sz="4" w:space="0" w:color="000000"/>
            </w:tcBorders>
          </w:tcPr>
          <w:p w14:paraId="3FAA5EA2" w14:textId="77777777" w:rsidR="00F173EA" w:rsidRPr="007238B0" w:rsidRDefault="00F173EA">
            <w:pPr>
              <w:pBdr>
                <w:top w:val="nil"/>
                <w:left w:val="nil"/>
                <w:bottom w:val="nil"/>
                <w:right w:val="nil"/>
                <w:between w:val="nil"/>
              </w:pBdr>
              <w:jc w:val="center"/>
              <w:rPr>
                <w:color w:val="0E101A"/>
                <w:sz w:val="24"/>
                <w:szCs w:val="24"/>
              </w:rPr>
            </w:pPr>
          </w:p>
        </w:tc>
        <w:tc>
          <w:tcPr>
            <w:tcW w:w="993" w:type="dxa"/>
            <w:tcBorders>
              <w:top w:val="single" w:sz="4" w:space="0" w:color="000000"/>
            </w:tcBorders>
          </w:tcPr>
          <w:p w14:paraId="05FD4AD1" w14:textId="77777777" w:rsidR="00F173EA" w:rsidRPr="007238B0" w:rsidRDefault="00F173EA">
            <w:pPr>
              <w:pBdr>
                <w:top w:val="nil"/>
                <w:left w:val="nil"/>
                <w:bottom w:val="nil"/>
                <w:right w:val="nil"/>
                <w:between w:val="nil"/>
              </w:pBdr>
              <w:jc w:val="center"/>
              <w:rPr>
                <w:color w:val="0E101A"/>
                <w:sz w:val="24"/>
                <w:szCs w:val="24"/>
              </w:rPr>
            </w:pPr>
          </w:p>
        </w:tc>
        <w:tc>
          <w:tcPr>
            <w:tcW w:w="1134" w:type="dxa"/>
            <w:tcBorders>
              <w:top w:val="single" w:sz="4" w:space="0" w:color="000000"/>
            </w:tcBorders>
          </w:tcPr>
          <w:p w14:paraId="612BDEDC" w14:textId="77777777" w:rsidR="00F173EA" w:rsidRPr="007238B0" w:rsidRDefault="00F173EA">
            <w:pPr>
              <w:pBdr>
                <w:top w:val="nil"/>
                <w:left w:val="nil"/>
                <w:bottom w:val="nil"/>
                <w:right w:val="nil"/>
                <w:between w:val="nil"/>
              </w:pBdr>
              <w:jc w:val="center"/>
              <w:rPr>
                <w:color w:val="0E101A"/>
                <w:sz w:val="24"/>
                <w:szCs w:val="24"/>
              </w:rPr>
            </w:pPr>
          </w:p>
        </w:tc>
        <w:tc>
          <w:tcPr>
            <w:tcW w:w="992" w:type="dxa"/>
            <w:tcBorders>
              <w:top w:val="single" w:sz="4" w:space="0" w:color="000000"/>
            </w:tcBorders>
          </w:tcPr>
          <w:p w14:paraId="6B117AD5" w14:textId="77777777" w:rsidR="00F173EA" w:rsidRPr="007238B0" w:rsidRDefault="00F173EA">
            <w:pPr>
              <w:pBdr>
                <w:top w:val="nil"/>
                <w:left w:val="nil"/>
                <w:bottom w:val="nil"/>
                <w:right w:val="nil"/>
                <w:between w:val="nil"/>
              </w:pBdr>
              <w:jc w:val="center"/>
              <w:rPr>
                <w:color w:val="0E101A"/>
                <w:sz w:val="24"/>
                <w:szCs w:val="24"/>
              </w:rPr>
            </w:pPr>
          </w:p>
        </w:tc>
        <w:tc>
          <w:tcPr>
            <w:tcW w:w="992" w:type="dxa"/>
            <w:tcBorders>
              <w:top w:val="single" w:sz="4" w:space="0" w:color="000000"/>
            </w:tcBorders>
          </w:tcPr>
          <w:p w14:paraId="18A22036" w14:textId="77777777" w:rsidR="00F173EA" w:rsidRPr="007238B0" w:rsidRDefault="00F173EA">
            <w:pPr>
              <w:pBdr>
                <w:top w:val="nil"/>
                <w:left w:val="nil"/>
                <w:bottom w:val="nil"/>
                <w:right w:val="nil"/>
                <w:between w:val="nil"/>
              </w:pBdr>
              <w:jc w:val="center"/>
              <w:rPr>
                <w:color w:val="0E101A"/>
                <w:sz w:val="24"/>
                <w:szCs w:val="24"/>
              </w:rPr>
            </w:pPr>
          </w:p>
        </w:tc>
        <w:tc>
          <w:tcPr>
            <w:tcW w:w="851" w:type="dxa"/>
            <w:tcBorders>
              <w:top w:val="single" w:sz="4" w:space="0" w:color="000000"/>
            </w:tcBorders>
          </w:tcPr>
          <w:p w14:paraId="1EBA8193" w14:textId="77777777" w:rsidR="00F173EA" w:rsidRPr="007238B0" w:rsidRDefault="00F173EA">
            <w:pPr>
              <w:pBdr>
                <w:top w:val="nil"/>
                <w:left w:val="nil"/>
                <w:bottom w:val="nil"/>
                <w:right w:val="nil"/>
                <w:between w:val="nil"/>
              </w:pBdr>
              <w:jc w:val="center"/>
              <w:rPr>
                <w:color w:val="0E101A"/>
                <w:sz w:val="24"/>
                <w:szCs w:val="24"/>
              </w:rPr>
            </w:pPr>
          </w:p>
        </w:tc>
        <w:tc>
          <w:tcPr>
            <w:tcW w:w="1134" w:type="dxa"/>
            <w:tcBorders>
              <w:top w:val="single" w:sz="4" w:space="0" w:color="000000"/>
            </w:tcBorders>
          </w:tcPr>
          <w:p w14:paraId="7409A297" w14:textId="77777777" w:rsidR="00F173EA" w:rsidRPr="007238B0" w:rsidRDefault="00F173EA">
            <w:pPr>
              <w:pBdr>
                <w:top w:val="nil"/>
                <w:left w:val="nil"/>
                <w:bottom w:val="nil"/>
                <w:right w:val="nil"/>
                <w:between w:val="nil"/>
              </w:pBdr>
              <w:jc w:val="center"/>
              <w:rPr>
                <w:color w:val="0E101A"/>
                <w:sz w:val="24"/>
                <w:szCs w:val="24"/>
              </w:rPr>
            </w:pPr>
          </w:p>
        </w:tc>
        <w:tc>
          <w:tcPr>
            <w:tcW w:w="1134" w:type="dxa"/>
            <w:tcBorders>
              <w:top w:val="single" w:sz="4" w:space="0" w:color="000000"/>
            </w:tcBorders>
          </w:tcPr>
          <w:p w14:paraId="30AF71EB" w14:textId="77777777" w:rsidR="00F173EA" w:rsidRPr="007238B0" w:rsidRDefault="00F173EA">
            <w:pPr>
              <w:pBdr>
                <w:top w:val="nil"/>
                <w:left w:val="nil"/>
                <w:bottom w:val="nil"/>
                <w:right w:val="nil"/>
                <w:between w:val="nil"/>
              </w:pBdr>
              <w:jc w:val="center"/>
              <w:rPr>
                <w:color w:val="0E101A"/>
                <w:sz w:val="24"/>
                <w:szCs w:val="24"/>
              </w:rPr>
            </w:pPr>
          </w:p>
        </w:tc>
        <w:tc>
          <w:tcPr>
            <w:tcW w:w="850" w:type="dxa"/>
            <w:tcBorders>
              <w:top w:val="single" w:sz="4" w:space="0" w:color="000000"/>
            </w:tcBorders>
          </w:tcPr>
          <w:p w14:paraId="55B20FF9" w14:textId="77777777" w:rsidR="00F173EA" w:rsidRPr="007238B0" w:rsidRDefault="00F173EA">
            <w:pPr>
              <w:pBdr>
                <w:top w:val="nil"/>
                <w:left w:val="nil"/>
                <w:bottom w:val="nil"/>
                <w:right w:val="nil"/>
                <w:between w:val="nil"/>
              </w:pBdr>
              <w:jc w:val="center"/>
              <w:rPr>
                <w:color w:val="0E101A"/>
                <w:sz w:val="24"/>
                <w:szCs w:val="24"/>
              </w:rPr>
            </w:pPr>
          </w:p>
        </w:tc>
        <w:tc>
          <w:tcPr>
            <w:tcW w:w="992" w:type="dxa"/>
            <w:tcBorders>
              <w:top w:val="single" w:sz="4" w:space="0" w:color="000000"/>
            </w:tcBorders>
          </w:tcPr>
          <w:p w14:paraId="2B1BA7DD"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39669358" w14:textId="77777777">
        <w:tc>
          <w:tcPr>
            <w:tcW w:w="2835" w:type="dxa"/>
          </w:tcPr>
          <w:p w14:paraId="26207C22"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2. Narcissism</w:t>
            </w:r>
          </w:p>
        </w:tc>
        <w:tc>
          <w:tcPr>
            <w:tcW w:w="993" w:type="dxa"/>
          </w:tcPr>
          <w:p w14:paraId="4746DAAD"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.71</w:t>
            </w:r>
            <w:r w:rsidRPr="007238B0">
              <w:rPr>
                <w:color w:val="0E101A"/>
                <w:sz w:val="24"/>
                <w:szCs w:val="24"/>
                <w:vertAlign w:val="superscript"/>
              </w:rPr>
              <w:t>**</w:t>
            </w:r>
          </w:p>
        </w:tc>
        <w:tc>
          <w:tcPr>
            <w:tcW w:w="992" w:type="dxa"/>
          </w:tcPr>
          <w:p w14:paraId="043FECC7"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236B3E2D" w14:textId="77777777" w:rsidR="00F173EA" w:rsidRPr="007238B0" w:rsidRDefault="00F173EA">
            <w:pPr>
              <w:pBdr>
                <w:top w:val="nil"/>
                <w:left w:val="nil"/>
                <w:bottom w:val="nil"/>
                <w:right w:val="nil"/>
                <w:between w:val="nil"/>
              </w:pBdr>
              <w:jc w:val="center"/>
              <w:rPr>
                <w:color w:val="0E101A"/>
                <w:sz w:val="24"/>
                <w:szCs w:val="24"/>
              </w:rPr>
            </w:pPr>
          </w:p>
        </w:tc>
        <w:tc>
          <w:tcPr>
            <w:tcW w:w="993" w:type="dxa"/>
          </w:tcPr>
          <w:p w14:paraId="643CFA72"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1260C6CD"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25B762B8"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0752E1D2" w14:textId="77777777" w:rsidR="00F173EA" w:rsidRPr="007238B0" w:rsidRDefault="00F173EA">
            <w:pPr>
              <w:pBdr>
                <w:top w:val="nil"/>
                <w:left w:val="nil"/>
                <w:bottom w:val="nil"/>
                <w:right w:val="nil"/>
                <w:between w:val="nil"/>
              </w:pBdr>
              <w:jc w:val="center"/>
              <w:rPr>
                <w:color w:val="0E101A"/>
                <w:sz w:val="24"/>
                <w:szCs w:val="24"/>
              </w:rPr>
            </w:pPr>
          </w:p>
        </w:tc>
        <w:tc>
          <w:tcPr>
            <w:tcW w:w="851" w:type="dxa"/>
          </w:tcPr>
          <w:p w14:paraId="11ADF8E1"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5A317D12"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3797F142"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5B0F4306"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738B130B"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167D0FC4" w14:textId="77777777">
        <w:tc>
          <w:tcPr>
            <w:tcW w:w="2835" w:type="dxa"/>
          </w:tcPr>
          <w:p w14:paraId="2F2F64AC"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3. Psychopathy</w:t>
            </w:r>
          </w:p>
        </w:tc>
        <w:tc>
          <w:tcPr>
            <w:tcW w:w="993" w:type="dxa"/>
          </w:tcPr>
          <w:p w14:paraId="4835DBD2"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.76</w:t>
            </w:r>
            <w:r w:rsidRPr="007238B0">
              <w:rPr>
                <w:color w:val="0E101A"/>
                <w:sz w:val="24"/>
                <w:szCs w:val="24"/>
                <w:vertAlign w:val="superscript"/>
              </w:rPr>
              <w:t>**</w:t>
            </w:r>
          </w:p>
        </w:tc>
        <w:tc>
          <w:tcPr>
            <w:tcW w:w="992" w:type="dxa"/>
          </w:tcPr>
          <w:p w14:paraId="553EF01D"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.55</w:t>
            </w:r>
            <w:r w:rsidRPr="007238B0">
              <w:rPr>
                <w:color w:val="0E101A"/>
                <w:sz w:val="24"/>
                <w:szCs w:val="24"/>
                <w:vertAlign w:val="superscript"/>
              </w:rPr>
              <w:t>**</w:t>
            </w:r>
          </w:p>
        </w:tc>
        <w:tc>
          <w:tcPr>
            <w:tcW w:w="850" w:type="dxa"/>
          </w:tcPr>
          <w:p w14:paraId="6A8E66CB" w14:textId="77777777" w:rsidR="00F173EA" w:rsidRPr="007238B0" w:rsidRDefault="00F173EA">
            <w:pPr>
              <w:pBdr>
                <w:top w:val="nil"/>
                <w:left w:val="nil"/>
                <w:bottom w:val="nil"/>
                <w:right w:val="nil"/>
                <w:between w:val="nil"/>
              </w:pBdr>
              <w:jc w:val="center"/>
              <w:rPr>
                <w:color w:val="0E101A"/>
                <w:sz w:val="24"/>
                <w:szCs w:val="24"/>
              </w:rPr>
            </w:pPr>
          </w:p>
        </w:tc>
        <w:tc>
          <w:tcPr>
            <w:tcW w:w="993" w:type="dxa"/>
          </w:tcPr>
          <w:p w14:paraId="740A66EA"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4E1B11CC"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7F86A36F"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6B38E1D7" w14:textId="77777777" w:rsidR="00F173EA" w:rsidRPr="007238B0" w:rsidRDefault="00F173EA">
            <w:pPr>
              <w:pBdr>
                <w:top w:val="nil"/>
                <w:left w:val="nil"/>
                <w:bottom w:val="nil"/>
                <w:right w:val="nil"/>
                <w:between w:val="nil"/>
              </w:pBdr>
              <w:jc w:val="center"/>
              <w:rPr>
                <w:color w:val="0E101A"/>
                <w:sz w:val="24"/>
                <w:szCs w:val="24"/>
              </w:rPr>
            </w:pPr>
          </w:p>
        </w:tc>
        <w:tc>
          <w:tcPr>
            <w:tcW w:w="851" w:type="dxa"/>
          </w:tcPr>
          <w:p w14:paraId="003CF384"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3D56AC8D"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41266D66"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7A3FB18D"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788B63B5"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3E51B9BD" w14:textId="77777777">
        <w:tc>
          <w:tcPr>
            <w:tcW w:w="2835" w:type="dxa"/>
          </w:tcPr>
          <w:p w14:paraId="56D2932A"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4. Agentic CN</w:t>
            </w:r>
          </w:p>
        </w:tc>
        <w:tc>
          <w:tcPr>
            <w:tcW w:w="993" w:type="dxa"/>
          </w:tcPr>
          <w:p w14:paraId="67649E9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.11</w:t>
            </w:r>
            <w:r w:rsidRPr="007238B0">
              <w:rPr>
                <w:color w:val="0E101A"/>
                <w:sz w:val="24"/>
                <w:szCs w:val="24"/>
                <w:vertAlign w:val="superscript"/>
              </w:rPr>
              <w:t>**</w:t>
            </w:r>
          </w:p>
        </w:tc>
        <w:tc>
          <w:tcPr>
            <w:tcW w:w="992" w:type="dxa"/>
          </w:tcPr>
          <w:p w14:paraId="1A256CD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.21</w:t>
            </w:r>
            <w:r w:rsidRPr="007238B0">
              <w:rPr>
                <w:color w:val="0E101A"/>
                <w:sz w:val="24"/>
                <w:szCs w:val="24"/>
                <w:vertAlign w:val="superscript"/>
              </w:rPr>
              <w:t>**</w:t>
            </w:r>
          </w:p>
        </w:tc>
        <w:tc>
          <w:tcPr>
            <w:tcW w:w="850" w:type="dxa"/>
          </w:tcPr>
          <w:p w14:paraId="28CC2C8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.03</w:t>
            </w:r>
          </w:p>
        </w:tc>
        <w:tc>
          <w:tcPr>
            <w:tcW w:w="993" w:type="dxa"/>
          </w:tcPr>
          <w:p w14:paraId="3BD3E22C"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4A988A40"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58FC920A"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6C7B6CD6" w14:textId="77777777" w:rsidR="00F173EA" w:rsidRPr="007238B0" w:rsidRDefault="00F173EA">
            <w:pPr>
              <w:pBdr>
                <w:top w:val="nil"/>
                <w:left w:val="nil"/>
                <w:bottom w:val="nil"/>
                <w:right w:val="nil"/>
                <w:between w:val="nil"/>
              </w:pBdr>
              <w:jc w:val="center"/>
              <w:rPr>
                <w:color w:val="0E101A"/>
                <w:sz w:val="24"/>
                <w:szCs w:val="24"/>
              </w:rPr>
            </w:pPr>
          </w:p>
        </w:tc>
        <w:tc>
          <w:tcPr>
            <w:tcW w:w="851" w:type="dxa"/>
          </w:tcPr>
          <w:p w14:paraId="560B3A76"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07CEB04A"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1F4DBE2F"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0485C681"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1B1CE389"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0150B3AE" w14:textId="77777777">
        <w:tc>
          <w:tcPr>
            <w:tcW w:w="2835" w:type="dxa"/>
          </w:tcPr>
          <w:p w14:paraId="604F5FA0"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 xml:space="preserve">5. </w:t>
            </w:r>
            <w:r w:rsidRPr="007238B0">
              <w:rPr>
                <w:color w:val="0E101A"/>
                <w:sz w:val="24"/>
                <w:szCs w:val="24"/>
              </w:rPr>
              <w:t>Communal CN</w:t>
            </w:r>
          </w:p>
        </w:tc>
        <w:tc>
          <w:tcPr>
            <w:tcW w:w="993" w:type="dxa"/>
          </w:tcPr>
          <w:p w14:paraId="6014606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.16</w:t>
            </w:r>
            <w:r w:rsidRPr="007238B0">
              <w:rPr>
                <w:color w:val="0E101A"/>
                <w:sz w:val="24"/>
                <w:szCs w:val="24"/>
                <w:vertAlign w:val="superscript"/>
              </w:rPr>
              <w:t>**</w:t>
            </w:r>
          </w:p>
        </w:tc>
        <w:tc>
          <w:tcPr>
            <w:tcW w:w="992" w:type="dxa"/>
          </w:tcPr>
          <w:p w14:paraId="08C3431C"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.24</w:t>
            </w:r>
            <w:r w:rsidRPr="007238B0">
              <w:rPr>
                <w:color w:val="0E101A"/>
                <w:sz w:val="24"/>
                <w:szCs w:val="24"/>
                <w:vertAlign w:val="superscript"/>
              </w:rPr>
              <w:t>**</w:t>
            </w:r>
          </w:p>
        </w:tc>
        <w:tc>
          <w:tcPr>
            <w:tcW w:w="850" w:type="dxa"/>
          </w:tcPr>
          <w:p w14:paraId="45F24E0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.10</w:t>
            </w:r>
            <w:r w:rsidRPr="007238B0">
              <w:rPr>
                <w:color w:val="0E101A"/>
                <w:sz w:val="24"/>
                <w:szCs w:val="24"/>
                <w:vertAlign w:val="superscript"/>
              </w:rPr>
              <w:t>**</w:t>
            </w:r>
          </w:p>
        </w:tc>
        <w:tc>
          <w:tcPr>
            <w:tcW w:w="993" w:type="dxa"/>
          </w:tcPr>
          <w:p w14:paraId="7BA85FF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.81</w:t>
            </w:r>
            <w:r w:rsidRPr="007238B0">
              <w:rPr>
                <w:color w:val="0E101A"/>
                <w:sz w:val="24"/>
                <w:szCs w:val="24"/>
                <w:vertAlign w:val="superscript"/>
              </w:rPr>
              <w:t>**</w:t>
            </w:r>
          </w:p>
        </w:tc>
        <w:tc>
          <w:tcPr>
            <w:tcW w:w="1134" w:type="dxa"/>
          </w:tcPr>
          <w:p w14:paraId="0576AFD9" w14:textId="77777777" w:rsidR="00F173EA" w:rsidRPr="007238B0" w:rsidRDefault="00F173EA">
            <w:pPr>
              <w:pBdr>
                <w:top w:val="nil"/>
                <w:left w:val="nil"/>
                <w:bottom w:val="nil"/>
                <w:right w:val="nil"/>
                <w:between w:val="nil"/>
              </w:pBdr>
              <w:jc w:val="center"/>
              <w:rPr>
                <w:color w:val="0E101A"/>
                <w:sz w:val="24"/>
                <w:szCs w:val="24"/>
              </w:rPr>
            </w:pPr>
            <w:bookmarkStart w:id="7" w:name="_3dy6vkm" w:colFirst="0" w:colLast="0"/>
            <w:bookmarkEnd w:id="7"/>
          </w:p>
        </w:tc>
        <w:tc>
          <w:tcPr>
            <w:tcW w:w="992" w:type="dxa"/>
          </w:tcPr>
          <w:p w14:paraId="3544C9F6"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2B04A9B3" w14:textId="77777777" w:rsidR="00F173EA" w:rsidRPr="007238B0" w:rsidRDefault="00F173EA">
            <w:pPr>
              <w:pBdr>
                <w:top w:val="nil"/>
                <w:left w:val="nil"/>
                <w:bottom w:val="nil"/>
                <w:right w:val="nil"/>
                <w:between w:val="nil"/>
              </w:pBdr>
              <w:jc w:val="center"/>
              <w:rPr>
                <w:color w:val="0E101A"/>
                <w:sz w:val="24"/>
                <w:szCs w:val="24"/>
              </w:rPr>
            </w:pPr>
          </w:p>
        </w:tc>
        <w:tc>
          <w:tcPr>
            <w:tcW w:w="851" w:type="dxa"/>
          </w:tcPr>
          <w:p w14:paraId="6CEF0EDE"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2A1A487F"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4D5BEEB4"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5AE13C91"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0DDD63F7"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31EDBBD7" w14:textId="77777777">
        <w:tc>
          <w:tcPr>
            <w:tcW w:w="2835" w:type="dxa"/>
          </w:tcPr>
          <w:p w14:paraId="1009CF7D"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6. Perceived barriers</w:t>
            </w:r>
          </w:p>
        </w:tc>
        <w:tc>
          <w:tcPr>
            <w:tcW w:w="993" w:type="dxa"/>
          </w:tcPr>
          <w:p w14:paraId="6369A78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.42</w:t>
            </w:r>
            <w:r w:rsidRPr="007238B0">
              <w:rPr>
                <w:color w:val="0E101A"/>
                <w:sz w:val="24"/>
                <w:szCs w:val="24"/>
                <w:vertAlign w:val="superscript"/>
              </w:rPr>
              <w:t>**</w:t>
            </w:r>
          </w:p>
        </w:tc>
        <w:tc>
          <w:tcPr>
            <w:tcW w:w="992" w:type="dxa"/>
          </w:tcPr>
          <w:p w14:paraId="674BF4F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.31</w:t>
            </w:r>
            <w:r w:rsidRPr="007238B0">
              <w:rPr>
                <w:color w:val="0E101A"/>
                <w:sz w:val="24"/>
                <w:szCs w:val="24"/>
                <w:vertAlign w:val="superscript"/>
              </w:rPr>
              <w:t>**</w:t>
            </w:r>
          </w:p>
        </w:tc>
        <w:tc>
          <w:tcPr>
            <w:tcW w:w="850" w:type="dxa"/>
          </w:tcPr>
          <w:p w14:paraId="6800811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.41</w:t>
            </w:r>
            <w:r w:rsidRPr="007238B0">
              <w:rPr>
                <w:color w:val="0E101A"/>
                <w:sz w:val="24"/>
                <w:szCs w:val="24"/>
                <w:vertAlign w:val="superscript"/>
              </w:rPr>
              <w:t>**</w:t>
            </w:r>
          </w:p>
        </w:tc>
        <w:tc>
          <w:tcPr>
            <w:tcW w:w="993" w:type="dxa"/>
          </w:tcPr>
          <w:p w14:paraId="76652A6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.19</w:t>
            </w:r>
            <w:r w:rsidRPr="007238B0">
              <w:rPr>
                <w:color w:val="0E101A"/>
                <w:sz w:val="24"/>
                <w:szCs w:val="24"/>
                <w:vertAlign w:val="superscript"/>
              </w:rPr>
              <w:t>**</w:t>
            </w:r>
          </w:p>
        </w:tc>
        <w:tc>
          <w:tcPr>
            <w:tcW w:w="1134" w:type="dxa"/>
          </w:tcPr>
          <w:p w14:paraId="221832C5"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.25</w:t>
            </w:r>
            <w:r w:rsidRPr="007238B0">
              <w:rPr>
                <w:color w:val="0E101A"/>
                <w:sz w:val="24"/>
                <w:szCs w:val="24"/>
                <w:vertAlign w:val="superscript"/>
              </w:rPr>
              <w:t>**</w:t>
            </w:r>
          </w:p>
        </w:tc>
        <w:tc>
          <w:tcPr>
            <w:tcW w:w="992" w:type="dxa"/>
          </w:tcPr>
          <w:p w14:paraId="15606D89"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2F56DC90" w14:textId="77777777" w:rsidR="00F173EA" w:rsidRPr="007238B0" w:rsidRDefault="00F173EA">
            <w:pPr>
              <w:pBdr>
                <w:top w:val="nil"/>
                <w:left w:val="nil"/>
                <w:bottom w:val="nil"/>
                <w:right w:val="nil"/>
                <w:between w:val="nil"/>
              </w:pBdr>
              <w:jc w:val="center"/>
              <w:rPr>
                <w:color w:val="0E101A"/>
                <w:sz w:val="24"/>
                <w:szCs w:val="24"/>
              </w:rPr>
            </w:pPr>
          </w:p>
        </w:tc>
        <w:tc>
          <w:tcPr>
            <w:tcW w:w="851" w:type="dxa"/>
          </w:tcPr>
          <w:p w14:paraId="32585834"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023C9F35"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6AB45F56"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24BA5118"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1AC5D0F3"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1CE14945" w14:textId="77777777">
        <w:tc>
          <w:tcPr>
            <w:tcW w:w="2835" w:type="dxa"/>
          </w:tcPr>
          <w:p w14:paraId="084BFE7A"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7. Perceived susceptibility</w:t>
            </w:r>
          </w:p>
        </w:tc>
        <w:tc>
          <w:tcPr>
            <w:tcW w:w="993" w:type="dxa"/>
          </w:tcPr>
          <w:p w14:paraId="666E39D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.29</w:t>
            </w:r>
            <w:r w:rsidRPr="007238B0">
              <w:rPr>
                <w:color w:val="0E101A"/>
                <w:sz w:val="24"/>
                <w:szCs w:val="24"/>
                <w:vertAlign w:val="superscript"/>
              </w:rPr>
              <w:t>**</w:t>
            </w:r>
          </w:p>
        </w:tc>
        <w:tc>
          <w:tcPr>
            <w:tcW w:w="992" w:type="dxa"/>
          </w:tcPr>
          <w:p w14:paraId="2DAE4E7E"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.23</w:t>
            </w:r>
            <w:r w:rsidRPr="007238B0">
              <w:rPr>
                <w:color w:val="0E101A"/>
                <w:sz w:val="24"/>
                <w:szCs w:val="24"/>
                <w:vertAlign w:val="superscript"/>
              </w:rPr>
              <w:t>**</w:t>
            </w:r>
          </w:p>
        </w:tc>
        <w:tc>
          <w:tcPr>
            <w:tcW w:w="850" w:type="dxa"/>
          </w:tcPr>
          <w:p w14:paraId="1305F9A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.25</w:t>
            </w:r>
            <w:r w:rsidRPr="007238B0">
              <w:rPr>
                <w:color w:val="0E101A"/>
                <w:sz w:val="24"/>
                <w:szCs w:val="24"/>
                <w:vertAlign w:val="superscript"/>
              </w:rPr>
              <w:t>**</w:t>
            </w:r>
          </w:p>
        </w:tc>
        <w:tc>
          <w:tcPr>
            <w:tcW w:w="993" w:type="dxa"/>
          </w:tcPr>
          <w:p w14:paraId="6746AF1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.19</w:t>
            </w:r>
            <w:r w:rsidRPr="007238B0">
              <w:rPr>
                <w:color w:val="0E101A"/>
                <w:sz w:val="24"/>
                <w:szCs w:val="24"/>
                <w:vertAlign w:val="superscript"/>
              </w:rPr>
              <w:t>**</w:t>
            </w:r>
          </w:p>
        </w:tc>
        <w:tc>
          <w:tcPr>
            <w:tcW w:w="1134" w:type="dxa"/>
          </w:tcPr>
          <w:p w14:paraId="1DB7ED22"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.19</w:t>
            </w:r>
            <w:r w:rsidRPr="007238B0">
              <w:rPr>
                <w:color w:val="0E101A"/>
                <w:sz w:val="24"/>
                <w:szCs w:val="24"/>
                <w:vertAlign w:val="superscript"/>
              </w:rPr>
              <w:t>**</w:t>
            </w:r>
          </w:p>
        </w:tc>
        <w:tc>
          <w:tcPr>
            <w:tcW w:w="992" w:type="dxa"/>
          </w:tcPr>
          <w:p w14:paraId="3410FAC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.41</w:t>
            </w:r>
            <w:r w:rsidRPr="007238B0">
              <w:rPr>
                <w:color w:val="0E101A"/>
                <w:sz w:val="24"/>
                <w:szCs w:val="24"/>
                <w:vertAlign w:val="superscript"/>
              </w:rPr>
              <w:t>**</w:t>
            </w:r>
          </w:p>
        </w:tc>
        <w:tc>
          <w:tcPr>
            <w:tcW w:w="992" w:type="dxa"/>
          </w:tcPr>
          <w:p w14:paraId="0A71A4CC" w14:textId="77777777" w:rsidR="00F173EA" w:rsidRPr="007238B0" w:rsidRDefault="00F173EA">
            <w:pPr>
              <w:pBdr>
                <w:top w:val="nil"/>
                <w:left w:val="nil"/>
                <w:bottom w:val="nil"/>
                <w:right w:val="nil"/>
                <w:between w:val="nil"/>
              </w:pBdr>
              <w:jc w:val="center"/>
              <w:rPr>
                <w:color w:val="0E101A"/>
                <w:sz w:val="24"/>
                <w:szCs w:val="24"/>
              </w:rPr>
            </w:pPr>
          </w:p>
        </w:tc>
        <w:tc>
          <w:tcPr>
            <w:tcW w:w="851" w:type="dxa"/>
          </w:tcPr>
          <w:p w14:paraId="44CBED4B"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5E5B1F26"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68C6EAE4"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322E10DC"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2C498E35"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3CF68BF1" w14:textId="77777777">
        <w:tc>
          <w:tcPr>
            <w:tcW w:w="2835" w:type="dxa"/>
          </w:tcPr>
          <w:p w14:paraId="09C49085"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8. Perceived severity</w:t>
            </w:r>
          </w:p>
        </w:tc>
        <w:tc>
          <w:tcPr>
            <w:tcW w:w="993" w:type="dxa"/>
          </w:tcPr>
          <w:p w14:paraId="54E8F77C"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.07</w:t>
            </w:r>
          </w:p>
        </w:tc>
        <w:tc>
          <w:tcPr>
            <w:tcW w:w="992" w:type="dxa"/>
          </w:tcPr>
          <w:p w14:paraId="086B409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.12</w:t>
            </w:r>
            <w:r w:rsidRPr="007238B0">
              <w:rPr>
                <w:color w:val="0E101A"/>
                <w:sz w:val="24"/>
                <w:szCs w:val="24"/>
                <w:vertAlign w:val="superscript"/>
              </w:rPr>
              <w:t>**</w:t>
            </w:r>
          </w:p>
        </w:tc>
        <w:tc>
          <w:tcPr>
            <w:tcW w:w="850" w:type="dxa"/>
          </w:tcPr>
          <w:p w14:paraId="1599B3F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.05</w:t>
            </w:r>
          </w:p>
        </w:tc>
        <w:tc>
          <w:tcPr>
            <w:tcW w:w="993" w:type="dxa"/>
          </w:tcPr>
          <w:p w14:paraId="44995BF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.24</w:t>
            </w:r>
            <w:r w:rsidRPr="007238B0">
              <w:rPr>
                <w:color w:val="0E101A"/>
                <w:sz w:val="24"/>
                <w:szCs w:val="24"/>
                <w:vertAlign w:val="superscript"/>
              </w:rPr>
              <w:t>**</w:t>
            </w:r>
          </w:p>
        </w:tc>
        <w:tc>
          <w:tcPr>
            <w:tcW w:w="1134" w:type="dxa"/>
          </w:tcPr>
          <w:p w14:paraId="4A6A5279"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.21</w:t>
            </w:r>
            <w:r w:rsidRPr="007238B0">
              <w:rPr>
                <w:color w:val="0E101A"/>
                <w:sz w:val="24"/>
                <w:szCs w:val="24"/>
                <w:vertAlign w:val="superscript"/>
              </w:rPr>
              <w:t>**</w:t>
            </w:r>
          </w:p>
        </w:tc>
        <w:tc>
          <w:tcPr>
            <w:tcW w:w="992" w:type="dxa"/>
          </w:tcPr>
          <w:p w14:paraId="6BEABED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.01</w:t>
            </w:r>
          </w:p>
        </w:tc>
        <w:tc>
          <w:tcPr>
            <w:tcW w:w="992" w:type="dxa"/>
          </w:tcPr>
          <w:p w14:paraId="27A7A0CF"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.41</w:t>
            </w:r>
            <w:r w:rsidRPr="007238B0">
              <w:rPr>
                <w:color w:val="0E101A"/>
                <w:sz w:val="24"/>
                <w:szCs w:val="24"/>
                <w:vertAlign w:val="superscript"/>
              </w:rPr>
              <w:t>**</w:t>
            </w:r>
          </w:p>
        </w:tc>
        <w:tc>
          <w:tcPr>
            <w:tcW w:w="851" w:type="dxa"/>
          </w:tcPr>
          <w:p w14:paraId="64D0FE49"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40B83599"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75ED0AD1"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21C4E4C5"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19892253"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334EF690" w14:textId="77777777">
        <w:tc>
          <w:tcPr>
            <w:tcW w:w="2835" w:type="dxa"/>
          </w:tcPr>
          <w:p w14:paraId="59636275"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 xml:space="preserve">9. Perceived </w:t>
            </w:r>
            <w:r w:rsidRPr="007238B0">
              <w:rPr>
                <w:color w:val="0E101A"/>
                <w:sz w:val="24"/>
                <w:szCs w:val="24"/>
              </w:rPr>
              <w:t>benefits</w:t>
            </w:r>
          </w:p>
        </w:tc>
        <w:tc>
          <w:tcPr>
            <w:tcW w:w="993" w:type="dxa"/>
          </w:tcPr>
          <w:p w14:paraId="54C50E6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.05</w:t>
            </w:r>
          </w:p>
        </w:tc>
        <w:tc>
          <w:tcPr>
            <w:tcW w:w="992" w:type="dxa"/>
          </w:tcPr>
          <w:p w14:paraId="26C64E7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.13</w:t>
            </w:r>
            <w:r w:rsidRPr="007238B0">
              <w:rPr>
                <w:color w:val="0E101A"/>
                <w:sz w:val="24"/>
                <w:szCs w:val="24"/>
                <w:vertAlign w:val="superscript"/>
              </w:rPr>
              <w:t>**</w:t>
            </w:r>
          </w:p>
        </w:tc>
        <w:tc>
          <w:tcPr>
            <w:tcW w:w="850" w:type="dxa"/>
          </w:tcPr>
          <w:p w14:paraId="20BD559F"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.06</w:t>
            </w:r>
            <w:r w:rsidRPr="007238B0">
              <w:rPr>
                <w:color w:val="0E101A"/>
                <w:sz w:val="24"/>
                <w:szCs w:val="24"/>
                <w:vertAlign w:val="superscript"/>
              </w:rPr>
              <w:t>**</w:t>
            </w:r>
          </w:p>
        </w:tc>
        <w:tc>
          <w:tcPr>
            <w:tcW w:w="993" w:type="dxa"/>
          </w:tcPr>
          <w:p w14:paraId="1A8A6A3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.22</w:t>
            </w:r>
            <w:r w:rsidRPr="007238B0">
              <w:rPr>
                <w:color w:val="0E101A"/>
                <w:sz w:val="24"/>
                <w:szCs w:val="24"/>
                <w:vertAlign w:val="superscript"/>
              </w:rPr>
              <w:t>**</w:t>
            </w:r>
          </w:p>
        </w:tc>
        <w:tc>
          <w:tcPr>
            <w:tcW w:w="1134" w:type="dxa"/>
          </w:tcPr>
          <w:p w14:paraId="4B187A7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.28</w:t>
            </w:r>
            <w:r w:rsidRPr="007238B0">
              <w:rPr>
                <w:color w:val="0E101A"/>
                <w:sz w:val="24"/>
                <w:szCs w:val="24"/>
                <w:vertAlign w:val="superscript"/>
              </w:rPr>
              <w:t>**</w:t>
            </w:r>
          </w:p>
        </w:tc>
        <w:tc>
          <w:tcPr>
            <w:tcW w:w="992" w:type="dxa"/>
          </w:tcPr>
          <w:p w14:paraId="051F2EEE"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.19</w:t>
            </w:r>
            <w:r w:rsidRPr="007238B0">
              <w:rPr>
                <w:color w:val="0E101A"/>
                <w:sz w:val="24"/>
                <w:szCs w:val="24"/>
                <w:vertAlign w:val="superscript"/>
              </w:rPr>
              <w:t>**</w:t>
            </w:r>
          </w:p>
        </w:tc>
        <w:tc>
          <w:tcPr>
            <w:tcW w:w="992" w:type="dxa"/>
          </w:tcPr>
          <w:p w14:paraId="1858121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.03</w:t>
            </w:r>
          </w:p>
        </w:tc>
        <w:tc>
          <w:tcPr>
            <w:tcW w:w="851" w:type="dxa"/>
          </w:tcPr>
          <w:p w14:paraId="05B9D319"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.16</w:t>
            </w:r>
            <w:r w:rsidRPr="007238B0">
              <w:rPr>
                <w:color w:val="0E101A"/>
                <w:sz w:val="24"/>
                <w:szCs w:val="24"/>
                <w:vertAlign w:val="superscript"/>
              </w:rPr>
              <w:t>**</w:t>
            </w:r>
          </w:p>
        </w:tc>
        <w:tc>
          <w:tcPr>
            <w:tcW w:w="1134" w:type="dxa"/>
          </w:tcPr>
          <w:p w14:paraId="44E40D0B" w14:textId="77777777" w:rsidR="00F173EA" w:rsidRPr="007238B0" w:rsidRDefault="00F173EA">
            <w:pPr>
              <w:pBdr>
                <w:top w:val="nil"/>
                <w:left w:val="nil"/>
                <w:bottom w:val="nil"/>
                <w:right w:val="nil"/>
                <w:between w:val="nil"/>
              </w:pBdr>
              <w:jc w:val="center"/>
              <w:rPr>
                <w:color w:val="0E101A"/>
                <w:sz w:val="24"/>
                <w:szCs w:val="24"/>
              </w:rPr>
            </w:pPr>
          </w:p>
        </w:tc>
        <w:tc>
          <w:tcPr>
            <w:tcW w:w="1134" w:type="dxa"/>
          </w:tcPr>
          <w:p w14:paraId="7BD54A37"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408D1D69"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00AE21AF"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7EF2751A" w14:textId="77777777">
        <w:tc>
          <w:tcPr>
            <w:tcW w:w="2835" w:type="dxa"/>
          </w:tcPr>
          <w:p w14:paraId="7755D0CC"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10. Self-efficacy</w:t>
            </w:r>
          </w:p>
        </w:tc>
        <w:tc>
          <w:tcPr>
            <w:tcW w:w="993" w:type="dxa"/>
          </w:tcPr>
          <w:p w14:paraId="3238095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-.13</w:t>
            </w:r>
            <w:r w:rsidRPr="007238B0">
              <w:rPr>
                <w:color w:val="0E101A"/>
                <w:sz w:val="24"/>
                <w:szCs w:val="24"/>
                <w:vertAlign w:val="superscript"/>
              </w:rPr>
              <w:t>**</w:t>
            </w:r>
          </w:p>
        </w:tc>
        <w:tc>
          <w:tcPr>
            <w:tcW w:w="992" w:type="dxa"/>
          </w:tcPr>
          <w:p w14:paraId="2ACA83E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-.02</w:t>
            </w:r>
          </w:p>
        </w:tc>
        <w:tc>
          <w:tcPr>
            <w:tcW w:w="850" w:type="dxa"/>
          </w:tcPr>
          <w:p w14:paraId="36330B1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-.12</w:t>
            </w:r>
            <w:r w:rsidRPr="007238B0">
              <w:rPr>
                <w:color w:val="0E101A"/>
                <w:sz w:val="24"/>
                <w:szCs w:val="24"/>
                <w:vertAlign w:val="superscript"/>
              </w:rPr>
              <w:t>*</w:t>
            </w:r>
          </w:p>
        </w:tc>
        <w:tc>
          <w:tcPr>
            <w:tcW w:w="993" w:type="dxa"/>
          </w:tcPr>
          <w:p w14:paraId="5F3D207C"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.12</w:t>
            </w:r>
            <w:r w:rsidRPr="007238B0">
              <w:rPr>
                <w:color w:val="0E101A"/>
                <w:sz w:val="24"/>
                <w:szCs w:val="24"/>
                <w:vertAlign w:val="superscript"/>
              </w:rPr>
              <w:t>**</w:t>
            </w:r>
          </w:p>
        </w:tc>
        <w:tc>
          <w:tcPr>
            <w:tcW w:w="1134" w:type="dxa"/>
          </w:tcPr>
          <w:p w14:paraId="4714188D"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.12</w:t>
            </w:r>
            <w:r w:rsidRPr="007238B0">
              <w:rPr>
                <w:color w:val="0E101A"/>
                <w:sz w:val="24"/>
                <w:szCs w:val="24"/>
                <w:vertAlign w:val="superscript"/>
              </w:rPr>
              <w:t>**</w:t>
            </w:r>
          </w:p>
        </w:tc>
        <w:tc>
          <w:tcPr>
            <w:tcW w:w="992" w:type="dxa"/>
          </w:tcPr>
          <w:p w14:paraId="68FEBB7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-.16</w:t>
            </w:r>
            <w:r w:rsidRPr="007238B0">
              <w:rPr>
                <w:color w:val="0E101A"/>
                <w:sz w:val="24"/>
                <w:szCs w:val="24"/>
                <w:vertAlign w:val="superscript"/>
              </w:rPr>
              <w:t>**</w:t>
            </w:r>
          </w:p>
        </w:tc>
        <w:tc>
          <w:tcPr>
            <w:tcW w:w="992" w:type="dxa"/>
          </w:tcPr>
          <w:p w14:paraId="0F6A300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-.11</w:t>
            </w:r>
            <w:r w:rsidRPr="007238B0">
              <w:rPr>
                <w:color w:val="0E101A"/>
                <w:sz w:val="24"/>
                <w:szCs w:val="24"/>
                <w:vertAlign w:val="superscript"/>
              </w:rPr>
              <w:t>**</w:t>
            </w:r>
          </w:p>
        </w:tc>
        <w:tc>
          <w:tcPr>
            <w:tcW w:w="851" w:type="dxa"/>
          </w:tcPr>
          <w:p w14:paraId="77C0483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.18</w:t>
            </w:r>
            <w:r w:rsidRPr="007238B0">
              <w:rPr>
                <w:color w:val="0E101A"/>
                <w:sz w:val="24"/>
                <w:szCs w:val="24"/>
                <w:vertAlign w:val="superscript"/>
              </w:rPr>
              <w:t>**</w:t>
            </w:r>
          </w:p>
        </w:tc>
        <w:tc>
          <w:tcPr>
            <w:tcW w:w="1134" w:type="dxa"/>
          </w:tcPr>
          <w:p w14:paraId="269E51A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.61</w:t>
            </w:r>
            <w:r w:rsidRPr="007238B0">
              <w:rPr>
                <w:color w:val="0E101A"/>
                <w:sz w:val="24"/>
                <w:szCs w:val="24"/>
                <w:vertAlign w:val="superscript"/>
              </w:rPr>
              <w:t>**</w:t>
            </w:r>
          </w:p>
        </w:tc>
        <w:tc>
          <w:tcPr>
            <w:tcW w:w="1134" w:type="dxa"/>
          </w:tcPr>
          <w:p w14:paraId="22AE2817" w14:textId="77777777" w:rsidR="00F173EA" w:rsidRPr="007238B0" w:rsidRDefault="00F173EA">
            <w:pPr>
              <w:pBdr>
                <w:top w:val="nil"/>
                <w:left w:val="nil"/>
                <w:bottom w:val="nil"/>
                <w:right w:val="nil"/>
                <w:between w:val="nil"/>
              </w:pBdr>
              <w:jc w:val="center"/>
              <w:rPr>
                <w:color w:val="0E101A"/>
                <w:sz w:val="24"/>
                <w:szCs w:val="24"/>
              </w:rPr>
            </w:pPr>
          </w:p>
        </w:tc>
        <w:tc>
          <w:tcPr>
            <w:tcW w:w="850" w:type="dxa"/>
          </w:tcPr>
          <w:p w14:paraId="0E44C058"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7E93961B"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31168E10" w14:textId="77777777">
        <w:tc>
          <w:tcPr>
            <w:tcW w:w="2835" w:type="dxa"/>
          </w:tcPr>
          <w:p w14:paraId="36836AD8"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11. Hoarding behavior</w:t>
            </w:r>
          </w:p>
        </w:tc>
        <w:tc>
          <w:tcPr>
            <w:tcW w:w="993" w:type="dxa"/>
          </w:tcPr>
          <w:p w14:paraId="6AA6B8CF"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.23</w:t>
            </w:r>
            <w:r w:rsidRPr="007238B0">
              <w:rPr>
                <w:color w:val="0E101A"/>
                <w:sz w:val="24"/>
                <w:szCs w:val="24"/>
                <w:vertAlign w:val="superscript"/>
              </w:rPr>
              <w:t>**</w:t>
            </w:r>
          </w:p>
        </w:tc>
        <w:tc>
          <w:tcPr>
            <w:tcW w:w="992" w:type="dxa"/>
          </w:tcPr>
          <w:p w14:paraId="190CBCF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.24</w:t>
            </w:r>
            <w:r w:rsidRPr="007238B0">
              <w:rPr>
                <w:color w:val="0E101A"/>
                <w:sz w:val="24"/>
                <w:szCs w:val="24"/>
                <w:vertAlign w:val="superscript"/>
              </w:rPr>
              <w:t>**</w:t>
            </w:r>
          </w:p>
        </w:tc>
        <w:tc>
          <w:tcPr>
            <w:tcW w:w="850" w:type="dxa"/>
          </w:tcPr>
          <w:p w14:paraId="18B9E21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.20</w:t>
            </w:r>
            <w:r w:rsidRPr="007238B0">
              <w:rPr>
                <w:color w:val="0E101A"/>
                <w:sz w:val="24"/>
                <w:szCs w:val="24"/>
                <w:vertAlign w:val="superscript"/>
              </w:rPr>
              <w:t>**</w:t>
            </w:r>
          </w:p>
        </w:tc>
        <w:tc>
          <w:tcPr>
            <w:tcW w:w="993" w:type="dxa"/>
          </w:tcPr>
          <w:p w14:paraId="2E23531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.18</w:t>
            </w:r>
            <w:r w:rsidRPr="007238B0">
              <w:rPr>
                <w:color w:val="0E101A"/>
                <w:sz w:val="24"/>
                <w:szCs w:val="24"/>
                <w:vertAlign w:val="superscript"/>
              </w:rPr>
              <w:t>**</w:t>
            </w:r>
          </w:p>
        </w:tc>
        <w:tc>
          <w:tcPr>
            <w:tcW w:w="1134" w:type="dxa"/>
          </w:tcPr>
          <w:p w14:paraId="1C375ED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.23</w:t>
            </w:r>
            <w:r w:rsidRPr="007238B0">
              <w:rPr>
                <w:color w:val="0E101A"/>
                <w:sz w:val="24"/>
                <w:szCs w:val="24"/>
                <w:vertAlign w:val="superscript"/>
              </w:rPr>
              <w:t>**</w:t>
            </w:r>
          </w:p>
        </w:tc>
        <w:tc>
          <w:tcPr>
            <w:tcW w:w="992" w:type="dxa"/>
          </w:tcPr>
          <w:p w14:paraId="133D3A0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.11</w:t>
            </w:r>
            <w:r w:rsidRPr="007238B0">
              <w:rPr>
                <w:color w:val="0E101A"/>
                <w:sz w:val="24"/>
                <w:szCs w:val="24"/>
                <w:vertAlign w:val="superscript"/>
              </w:rPr>
              <w:t>**</w:t>
            </w:r>
          </w:p>
        </w:tc>
        <w:tc>
          <w:tcPr>
            <w:tcW w:w="992" w:type="dxa"/>
          </w:tcPr>
          <w:p w14:paraId="2EE766DF"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.31</w:t>
            </w:r>
            <w:r w:rsidRPr="007238B0">
              <w:rPr>
                <w:color w:val="0E101A"/>
                <w:sz w:val="24"/>
                <w:szCs w:val="24"/>
                <w:vertAlign w:val="superscript"/>
              </w:rPr>
              <w:t>**</w:t>
            </w:r>
          </w:p>
        </w:tc>
        <w:tc>
          <w:tcPr>
            <w:tcW w:w="851" w:type="dxa"/>
          </w:tcPr>
          <w:p w14:paraId="7E62546C"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.26</w:t>
            </w:r>
            <w:r w:rsidRPr="007238B0">
              <w:rPr>
                <w:color w:val="0E101A"/>
                <w:sz w:val="24"/>
                <w:szCs w:val="24"/>
                <w:vertAlign w:val="superscript"/>
              </w:rPr>
              <w:t>**</w:t>
            </w:r>
          </w:p>
        </w:tc>
        <w:tc>
          <w:tcPr>
            <w:tcW w:w="1134" w:type="dxa"/>
          </w:tcPr>
          <w:p w14:paraId="1D4DA42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.12</w:t>
            </w:r>
            <w:r w:rsidRPr="007238B0">
              <w:rPr>
                <w:color w:val="0E101A"/>
                <w:sz w:val="24"/>
                <w:szCs w:val="24"/>
                <w:vertAlign w:val="superscript"/>
              </w:rPr>
              <w:t>**</w:t>
            </w:r>
          </w:p>
        </w:tc>
        <w:tc>
          <w:tcPr>
            <w:tcW w:w="1134" w:type="dxa"/>
          </w:tcPr>
          <w:p w14:paraId="469F3BD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.04</w:t>
            </w:r>
          </w:p>
        </w:tc>
        <w:tc>
          <w:tcPr>
            <w:tcW w:w="850" w:type="dxa"/>
          </w:tcPr>
          <w:p w14:paraId="65C69DFC" w14:textId="77777777" w:rsidR="00F173EA" w:rsidRPr="007238B0" w:rsidRDefault="00F173EA">
            <w:pPr>
              <w:pBdr>
                <w:top w:val="nil"/>
                <w:left w:val="nil"/>
                <w:bottom w:val="nil"/>
                <w:right w:val="nil"/>
                <w:between w:val="nil"/>
              </w:pBdr>
              <w:jc w:val="center"/>
              <w:rPr>
                <w:color w:val="0E101A"/>
                <w:sz w:val="24"/>
                <w:szCs w:val="24"/>
              </w:rPr>
            </w:pPr>
          </w:p>
        </w:tc>
        <w:tc>
          <w:tcPr>
            <w:tcW w:w="992" w:type="dxa"/>
          </w:tcPr>
          <w:p w14:paraId="0FA7BD51"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5104AD07" w14:textId="77777777">
        <w:tc>
          <w:tcPr>
            <w:tcW w:w="2835" w:type="dxa"/>
            <w:tcBorders>
              <w:bottom w:val="single" w:sz="4" w:space="0" w:color="000000"/>
            </w:tcBorders>
          </w:tcPr>
          <w:p w14:paraId="4954DA26" w14:textId="77777777" w:rsidR="00F173EA" w:rsidRPr="007238B0" w:rsidRDefault="004250A8">
            <w:pPr>
              <w:pBdr>
                <w:top w:val="nil"/>
                <w:left w:val="nil"/>
                <w:bottom w:val="nil"/>
                <w:right w:val="nil"/>
                <w:between w:val="nil"/>
              </w:pBdr>
              <w:rPr>
                <w:color w:val="0E101A"/>
                <w:sz w:val="24"/>
                <w:szCs w:val="24"/>
              </w:rPr>
            </w:pPr>
            <w:r w:rsidRPr="00D7209D">
              <w:rPr>
                <w:color w:val="0E101A"/>
                <w:sz w:val="24"/>
                <w:szCs w:val="24"/>
              </w:rPr>
              <w:t>12. Preventive behavior</w:t>
            </w:r>
          </w:p>
        </w:tc>
        <w:tc>
          <w:tcPr>
            <w:tcW w:w="993" w:type="dxa"/>
            <w:tcBorders>
              <w:bottom w:val="single" w:sz="4" w:space="0" w:color="000000"/>
            </w:tcBorders>
          </w:tcPr>
          <w:p w14:paraId="5741B19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-.20</w:t>
            </w:r>
            <w:r w:rsidRPr="007238B0">
              <w:rPr>
                <w:color w:val="0E101A"/>
                <w:sz w:val="24"/>
                <w:szCs w:val="24"/>
                <w:vertAlign w:val="superscript"/>
              </w:rPr>
              <w:t>**</w:t>
            </w:r>
          </w:p>
        </w:tc>
        <w:tc>
          <w:tcPr>
            <w:tcW w:w="992" w:type="dxa"/>
            <w:tcBorders>
              <w:bottom w:val="single" w:sz="4" w:space="0" w:color="000000"/>
            </w:tcBorders>
          </w:tcPr>
          <w:p w14:paraId="0E46697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-.09</w:t>
            </w:r>
            <w:r w:rsidRPr="007238B0">
              <w:rPr>
                <w:color w:val="0E101A"/>
                <w:sz w:val="24"/>
                <w:szCs w:val="24"/>
                <w:vertAlign w:val="superscript"/>
              </w:rPr>
              <w:t>*</w:t>
            </w:r>
          </w:p>
        </w:tc>
        <w:tc>
          <w:tcPr>
            <w:tcW w:w="850" w:type="dxa"/>
            <w:tcBorders>
              <w:bottom w:val="single" w:sz="4" w:space="0" w:color="000000"/>
            </w:tcBorders>
          </w:tcPr>
          <w:p w14:paraId="3E47AC0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-.21</w:t>
            </w:r>
            <w:r w:rsidRPr="007238B0">
              <w:rPr>
                <w:color w:val="0E101A"/>
                <w:sz w:val="24"/>
                <w:szCs w:val="24"/>
                <w:vertAlign w:val="superscript"/>
              </w:rPr>
              <w:t>**</w:t>
            </w:r>
          </w:p>
        </w:tc>
        <w:tc>
          <w:tcPr>
            <w:tcW w:w="993" w:type="dxa"/>
            <w:tcBorders>
              <w:bottom w:val="single" w:sz="4" w:space="0" w:color="000000"/>
            </w:tcBorders>
          </w:tcPr>
          <w:p w14:paraId="5E9F672D"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.06</w:t>
            </w:r>
          </w:p>
        </w:tc>
        <w:tc>
          <w:tcPr>
            <w:tcW w:w="1134" w:type="dxa"/>
            <w:tcBorders>
              <w:bottom w:val="single" w:sz="4" w:space="0" w:color="000000"/>
            </w:tcBorders>
          </w:tcPr>
          <w:p w14:paraId="24461300"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.03</w:t>
            </w:r>
          </w:p>
        </w:tc>
        <w:tc>
          <w:tcPr>
            <w:tcW w:w="992" w:type="dxa"/>
            <w:tcBorders>
              <w:bottom w:val="single" w:sz="4" w:space="0" w:color="000000"/>
            </w:tcBorders>
          </w:tcPr>
          <w:p w14:paraId="2F539ED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-.30</w:t>
            </w:r>
            <w:r w:rsidRPr="007238B0">
              <w:rPr>
                <w:color w:val="0E101A"/>
                <w:sz w:val="24"/>
                <w:szCs w:val="24"/>
                <w:vertAlign w:val="superscript"/>
              </w:rPr>
              <w:t>**</w:t>
            </w:r>
          </w:p>
        </w:tc>
        <w:tc>
          <w:tcPr>
            <w:tcW w:w="992" w:type="dxa"/>
            <w:tcBorders>
              <w:bottom w:val="single" w:sz="4" w:space="0" w:color="000000"/>
            </w:tcBorders>
          </w:tcPr>
          <w:p w14:paraId="3600C47E"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.06</w:t>
            </w:r>
          </w:p>
        </w:tc>
        <w:tc>
          <w:tcPr>
            <w:tcW w:w="851" w:type="dxa"/>
            <w:tcBorders>
              <w:bottom w:val="single" w:sz="4" w:space="0" w:color="000000"/>
            </w:tcBorders>
          </w:tcPr>
          <w:p w14:paraId="567EE652"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.28</w:t>
            </w:r>
            <w:r w:rsidRPr="007238B0">
              <w:rPr>
                <w:color w:val="0E101A"/>
                <w:sz w:val="24"/>
                <w:szCs w:val="24"/>
                <w:vertAlign w:val="superscript"/>
              </w:rPr>
              <w:t>**</w:t>
            </w:r>
          </w:p>
        </w:tc>
        <w:tc>
          <w:tcPr>
            <w:tcW w:w="1134" w:type="dxa"/>
            <w:tcBorders>
              <w:bottom w:val="single" w:sz="4" w:space="0" w:color="000000"/>
            </w:tcBorders>
          </w:tcPr>
          <w:p w14:paraId="5D56BBBE"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.24</w:t>
            </w:r>
            <w:r w:rsidRPr="007238B0">
              <w:rPr>
                <w:color w:val="0E101A"/>
                <w:sz w:val="24"/>
                <w:szCs w:val="24"/>
                <w:vertAlign w:val="superscript"/>
              </w:rPr>
              <w:t>**</w:t>
            </w:r>
          </w:p>
        </w:tc>
        <w:tc>
          <w:tcPr>
            <w:tcW w:w="1134" w:type="dxa"/>
            <w:tcBorders>
              <w:bottom w:val="single" w:sz="4" w:space="0" w:color="000000"/>
            </w:tcBorders>
          </w:tcPr>
          <w:p w14:paraId="636D4DB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.38</w:t>
            </w:r>
            <w:r w:rsidRPr="007238B0">
              <w:rPr>
                <w:color w:val="0E101A"/>
                <w:sz w:val="24"/>
                <w:szCs w:val="24"/>
                <w:vertAlign w:val="superscript"/>
              </w:rPr>
              <w:t>**</w:t>
            </w:r>
          </w:p>
        </w:tc>
        <w:tc>
          <w:tcPr>
            <w:tcW w:w="850" w:type="dxa"/>
            <w:tcBorders>
              <w:bottom w:val="single" w:sz="4" w:space="0" w:color="000000"/>
            </w:tcBorders>
          </w:tcPr>
          <w:p w14:paraId="734AB885"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.28</w:t>
            </w:r>
            <w:r w:rsidRPr="007238B0">
              <w:rPr>
                <w:color w:val="0E101A"/>
                <w:sz w:val="24"/>
                <w:szCs w:val="24"/>
                <w:vertAlign w:val="superscript"/>
              </w:rPr>
              <w:t>**</w:t>
            </w:r>
          </w:p>
        </w:tc>
        <w:tc>
          <w:tcPr>
            <w:tcW w:w="992" w:type="dxa"/>
            <w:tcBorders>
              <w:bottom w:val="single" w:sz="4" w:space="0" w:color="000000"/>
            </w:tcBorders>
          </w:tcPr>
          <w:p w14:paraId="1495C71F" w14:textId="77777777" w:rsidR="00F173EA" w:rsidRPr="007238B0" w:rsidRDefault="00F173EA">
            <w:pPr>
              <w:pBdr>
                <w:top w:val="nil"/>
                <w:left w:val="nil"/>
                <w:bottom w:val="nil"/>
                <w:right w:val="nil"/>
                <w:between w:val="nil"/>
              </w:pBdr>
              <w:jc w:val="center"/>
              <w:rPr>
                <w:color w:val="0E101A"/>
                <w:sz w:val="24"/>
                <w:szCs w:val="24"/>
              </w:rPr>
            </w:pPr>
          </w:p>
        </w:tc>
      </w:tr>
      <w:tr w:rsidR="00F173EA" w:rsidRPr="007238B0" w14:paraId="59E0C5B1" w14:textId="77777777">
        <w:tc>
          <w:tcPr>
            <w:tcW w:w="2835" w:type="dxa"/>
            <w:tcBorders>
              <w:top w:val="single" w:sz="4" w:space="0" w:color="000000"/>
            </w:tcBorders>
          </w:tcPr>
          <w:p w14:paraId="3B6ECB4C" w14:textId="77777777" w:rsidR="00F173EA" w:rsidRPr="007238B0" w:rsidRDefault="004250A8">
            <w:pPr>
              <w:pBdr>
                <w:top w:val="nil"/>
                <w:left w:val="nil"/>
                <w:bottom w:val="nil"/>
                <w:right w:val="nil"/>
                <w:between w:val="nil"/>
              </w:pBdr>
              <w:jc w:val="right"/>
              <w:rPr>
                <w:color w:val="0E101A"/>
                <w:sz w:val="24"/>
                <w:szCs w:val="24"/>
              </w:rPr>
            </w:pPr>
            <w:r w:rsidRPr="00D7209D">
              <w:rPr>
                <w:color w:val="0E101A"/>
                <w:sz w:val="24"/>
                <w:szCs w:val="24"/>
              </w:rPr>
              <w:t>Cronbach’s α</w:t>
            </w:r>
          </w:p>
        </w:tc>
        <w:tc>
          <w:tcPr>
            <w:tcW w:w="993" w:type="dxa"/>
            <w:tcBorders>
              <w:top w:val="single" w:sz="4" w:space="0" w:color="000000"/>
            </w:tcBorders>
          </w:tcPr>
          <w:p w14:paraId="2479EFB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.91</w:t>
            </w:r>
          </w:p>
        </w:tc>
        <w:tc>
          <w:tcPr>
            <w:tcW w:w="992" w:type="dxa"/>
            <w:tcBorders>
              <w:top w:val="single" w:sz="4" w:space="0" w:color="000000"/>
            </w:tcBorders>
          </w:tcPr>
          <w:p w14:paraId="74EDEF6F"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.89</w:t>
            </w:r>
          </w:p>
        </w:tc>
        <w:tc>
          <w:tcPr>
            <w:tcW w:w="850" w:type="dxa"/>
            <w:tcBorders>
              <w:top w:val="single" w:sz="4" w:space="0" w:color="000000"/>
            </w:tcBorders>
          </w:tcPr>
          <w:p w14:paraId="670758C1"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.79</w:t>
            </w:r>
          </w:p>
        </w:tc>
        <w:tc>
          <w:tcPr>
            <w:tcW w:w="993" w:type="dxa"/>
            <w:tcBorders>
              <w:top w:val="single" w:sz="4" w:space="0" w:color="000000"/>
            </w:tcBorders>
          </w:tcPr>
          <w:p w14:paraId="1FE4BF7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.91</w:t>
            </w:r>
          </w:p>
        </w:tc>
        <w:tc>
          <w:tcPr>
            <w:tcW w:w="1134" w:type="dxa"/>
            <w:tcBorders>
              <w:top w:val="single" w:sz="4" w:space="0" w:color="000000"/>
            </w:tcBorders>
          </w:tcPr>
          <w:p w14:paraId="259188B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.97</w:t>
            </w:r>
          </w:p>
        </w:tc>
        <w:tc>
          <w:tcPr>
            <w:tcW w:w="992" w:type="dxa"/>
            <w:tcBorders>
              <w:top w:val="single" w:sz="4" w:space="0" w:color="000000"/>
            </w:tcBorders>
          </w:tcPr>
          <w:p w14:paraId="5B371B4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.72</w:t>
            </w:r>
          </w:p>
        </w:tc>
        <w:tc>
          <w:tcPr>
            <w:tcW w:w="992" w:type="dxa"/>
            <w:tcBorders>
              <w:top w:val="single" w:sz="4" w:space="0" w:color="000000"/>
            </w:tcBorders>
          </w:tcPr>
          <w:p w14:paraId="6C1DD56B"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.76</w:t>
            </w:r>
          </w:p>
        </w:tc>
        <w:tc>
          <w:tcPr>
            <w:tcW w:w="851" w:type="dxa"/>
            <w:tcBorders>
              <w:top w:val="single" w:sz="4" w:space="0" w:color="000000"/>
            </w:tcBorders>
          </w:tcPr>
          <w:p w14:paraId="4F91624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.74</w:t>
            </w:r>
          </w:p>
        </w:tc>
        <w:tc>
          <w:tcPr>
            <w:tcW w:w="1134" w:type="dxa"/>
            <w:tcBorders>
              <w:top w:val="single" w:sz="4" w:space="0" w:color="000000"/>
            </w:tcBorders>
          </w:tcPr>
          <w:p w14:paraId="17743A1A"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.60</w:t>
            </w:r>
          </w:p>
        </w:tc>
        <w:tc>
          <w:tcPr>
            <w:tcW w:w="1134" w:type="dxa"/>
            <w:tcBorders>
              <w:top w:val="single" w:sz="4" w:space="0" w:color="000000"/>
            </w:tcBorders>
          </w:tcPr>
          <w:p w14:paraId="60E5B80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.58</w:t>
            </w:r>
          </w:p>
        </w:tc>
        <w:tc>
          <w:tcPr>
            <w:tcW w:w="850" w:type="dxa"/>
            <w:tcBorders>
              <w:top w:val="single" w:sz="4" w:space="0" w:color="000000"/>
            </w:tcBorders>
          </w:tcPr>
          <w:p w14:paraId="67D1FAC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.80</w:t>
            </w:r>
          </w:p>
        </w:tc>
        <w:tc>
          <w:tcPr>
            <w:tcW w:w="992" w:type="dxa"/>
            <w:tcBorders>
              <w:top w:val="single" w:sz="4" w:space="0" w:color="000000"/>
            </w:tcBorders>
          </w:tcPr>
          <w:p w14:paraId="7D8E5F09"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.65</w:t>
            </w:r>
          </w:p>
        </w:tc>
      </w:tr>
      <w:tr w:rsidR="00F173EA" w:rsidRPr="007238B0" w14:paraId="523E228E" w14:textId="77777777">
        <w:tc>
          <w:tcPr>
            <w:tcW w:w="2835" w:type="dxa"/>
            <w:tcBorders>
              <w:bottom w:val="single" w:sz="4" w:space="0" w:color="000000"/>
            </w:tcBorders>
          </w:tcPr>
          <w:p w14:paraId="1F0D0705" w14:textId="77777777" w:rsidR="00F173EA" w:rsidRPr="007238B0" w:rsidRDefault="004250A8">
            <w:pPr>
              <w:pBdr>
                <w:top w:val="nil"/>
                <w:left w:val="nil"/>
                <w:bottom w:val="nil"/>
                <w:right w:val="nil"/>
                <w:between w:val="nil"/>
              </w:pBdr>
              <w:jc w:val="right"/>
              <w:rPr>
                <w:color w:val="0E101A"/>
                <w:sz w:val="24"/>
                <w:szCs w:val="24"/>
              </w:rPr>
            </w:pPr>
            <w:r w:rsidRPr="00D7209D">
              <w:rPr>
                <w:color w:val="0E101A"/>
                <w:sz w:val="24"/>
                <w:szCs w:val="24"/>
              </w:rPr>
              <w:t xml:space="preserve">Overall: </w:t>
            </w:r>
            <w:r w:rsidRPr="007238B0">
              <w:rPr>
                <w:i/>
                <w:color w:val="0E101A"/>
                <w:sz w:val="24"/>
                <w:szCs w:val="24"/>
              </w:rPr>
              <w:t>M</w:t>
            </w:r>
            <w:r w:rsidRPr="007238B0">
              <w:rPr>
                <w:color w:val="0E101A"/>
                <w:sz w:val="24"/>
                <w:szCs w:val="24"/>
              </w:rPr>
              <w:t xml:space="preserve"> (</w:t>
            </w:r>
            <w:r w:rsidRPr="007238B0">
              <w:rPr>
                <w:i/>
                <w:color w:val="0E101A"/>
                <w:sz w:val="24"/>
                <w:szCs w:val="24"/>
              </w:rPr>
              <w:t>SD</w:t>
            </w:r>
            <w:r w:rsidRPr="007238B0">
              <w:rPr>
                <w:color w:val="0E101A"/>
                <w:sz w:val="24"/>
                <w:szCs w:val="24"/>
              </w:rPr>
              <w:t>)</w:t>
            </w:r>
          </w:p>
        </w:tc>
        <w:tc>
          <w:tcPr>
            <w:tcW w:w="993" w:type="dxa"/>
            <w:tcBorders>
              <w:bottom w:val="single" w:sz="4" w:space="0" w:color="000000"/>
            </w:tcBorders>
          </w:tcPr>
          <w:p w14:paraId="51D31DFC"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2.19 (0.92)</w:t>
            </w:r>
          </w:p>
        </w:tc>
        <w:tc>
          <w:tcPr>
            <w:tcW w:w="992" w:type="dxa"/>
            <w:tcBorders>
              <w:bottom w:val="single" w:sz="4" w:space="0" w:color="000000"/>
            </w:tcBorders>
          </w:tcPr>
          <w:p w14:paraId="2B323E3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2.50 (0.85)</w:t>
            </w:r>
          </w:p>
        </w:tc>
        <w:tc>
          <w:tcPr>
            <w:tcW w:w="850" w:type="dxa"/>
            <w:tcBorders>
              <w:bottom w:val="single" w:sz="4" w:space="0" w:color="000000"/>
            </w:tcBorders>
          </w:tcPr>
          <w:p w14:paraId="41898C8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2.32 (0.78)</w:t>
            </w:r>
          </w:p>
        </w:tc>
        <w:tc>
          <w:tcPr>
            <w:tcW w:w="993" w:type="dxa"/>
            <w:tcBorders>
              <w:bottom w:val="single" w:sz="4" w:space="0" w:color="000000"/>
            </w:tcBorders>
          </w:tcPr>
          <w:p w14:paraId="54E050D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4.11 (1.34)</w:t>
            </w:r>
          </w:p>
        </w:tc>
        <w:tc>
          <w:tcPr>
            <w:tcW w:w="1134" w:type="dxa"/>
            <w:tcBorders>
              <w:bottom w:val="single" w:sz="4" w:space="0" w:color="000000"/>
            </w:tcBorders>
          </w:tcPr>
          <w:p w14:paraId="3C89F404"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3.79 (1.60)</w:t>
            </w:r>
          </w:p>
        </w:tc>
        <w:tc>
          <w:tcPr>
            <w:tcW w:w="992" w:type="dxa"/>
            <w:tcBorders>
              <w:bottom w:val="single" w:sz="4" w:space="0" w:color="000000"/>
            </w:tcBorders>
          </w:tcPr>
          <w:p w14:paraId="136301DE"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2.31 (0.75)</w:t>
            </w:r>
          </w:p>
        </w:tc>
        <w:tc>
          <w:tcPr>
            <w:tcW w:w="992" w:type="dxa"/>
            <w:tcBorders>
              <w:bottom w:val="single" w:sz="4" w:space="0" w:color="000000"/>
            </w:tcBorders>
          </w:tcPr>
          <w:p w14:paraId="584B4EE7"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2.55 (0.67)</w:t>
            </w:r>
          </w:p>
        </w:tc>
        <w:tc>
          <w:tcPr>
            <w:tcW w:w="851" w:type="dxa"/>
            <w:tcBorders>
              <w:bottom w:val="single" w:sz="4" w:space="0" w:color="000000"/>
            </w:tcBorders>
          </w:tcPr>
          <w:p w14:paraId="5C1EE908"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3.29 (0.75)</w:t>
            </w:r>
          </w:p>
        </w:tc>
        <w:tc>
          <w:tcPr>
            <w:tcW w:w="1134" w:type="dxa"/>
            <w:tcBorders>
              <w:bottom w:val="single" w:sz="4" w:space="0" w:color="000000"/>
            </w:tcBorders>
          </w:tcPr>
          <w:p w14:paraId="28DEAE1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3.23 (0.63)</w:t>
            </w:r>
          </w:p>
        </w:tc>
        <w:tc>
          <w:tcPr>
            <w:tcW w:w="1134" w:type="dxa"/>
            <w:tcBorders>
              <w:bottom w:val="single" w:sz="4" w:space="0" w:color="000000"/>
            </w:tcBorders>
          </w:tcPr>
          <w:p w14:paraId="01C8E466"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3.70 (0.53)</w:t>
            </w:r>
          </w:p>
        </w:tc>
        <w:tc>
          <w:tcPr>
            <w:tcW w:w="850" w:type="dxa"/>
            <w:tcBorders>
              <w:bottom w:val="single" w:sz="4" w:space="0" w:color="000000"/>
            </w:tcBorders>
          </w:tcPr>
          <w:p w14:paraId="12EEDA33"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2.19 (0.75)</w:t>
            </w:r>
          </w:p>
        </w:tc>
        <w:tc>
          <w:tcPr>
            <w:tcW w:w="992" w:type="dxa"/>
            <w:tcBorders>
              <w:bottom w:val="single" w:sz="4" w:space="0" w:color="000000"/>
            </w:tcBorders>
          </w:tcPr>
          <w:p w14:paraId="70359265" w14:textId="77777777" w:rsidR="00F173EA" w:rsidRPr="007238B0" w:rsidRDefault="004250A8">
            <w:pPr>
              <w:pBdr>
                <w:top w:val="nil"/>
                <w:left w:val="nil"/>
                <w:bottom w:val="nil"/>
                <w:right w:val="nil"/>
                <w:between w:val="nil"/>
              </w:pBdr>
              <w:jc w:val="center"/>
              <w:rPr>
                <w:color w:val="0E101A"/>
                <w:sz w:val="24"/>
                <w:szCs w:val="24"/>
              </w:rPr>
            </w:pPr>
            <w:r w:rsidRPr="007238B0">
              <w:rPr>
                <w:color w:val="0E101A"/>
                <w:sz w:val="24"/>
                <w:szCs w:val="24"/>
              </w:rPr>
              <w:t>3.19 (0.59)</w:t>
            </w:r>
          </w:p>
        </w:tc>
      </w:tr>
      <w:tr w:rsidR="00F173EA" w14:paraId="55B3A8A2" w14:textId="77777777">
        <w:trPr>
          <w:trHeight w:val="261"/>
        </w:trPr>
        <w:tc>
          <w:tcPr>
            <w:tcW w:w="14742" w:type="dxa"/>
            <w:gridSpan w:val="13"/>
          </w:tcPr>
          <w:p w14:paraId="00AAE29D" w14:textId="77777777" w:rsidR="00E746A3" w:rsidRDefault="00E746A3">
            <w:pPr>
              <w:pBdr>
                <w:top w:val="nil"/>
                <w:left w:val="nil"/>
                <w:bottom w:val="nil"/>
                <w:right w:val="nil"/>
                <w:between w:val="nil"/>
              </w:pBdr>
              <w:rPr>
                <w:i/>
                <w:color w:val="0E101A"/>
                <w:sz w:val="24"/>
                <w:szCs w:val="24"/>
              </w:rPr>
            </w:pPr>
          </w:p>
          <w:p w14:paraId="34C070C9" w14:textId="0B16B1AD" w:rsidR="00F173EA" w:rsidRDefault="004250A8">
            <w:pPr>
              <w:pBdr>
                <w:top w:val="nil"/>
                <w:left w:val="nil"/>
                <w:bottom w:val="nil"/>
                <w:right w:val="nil"/>
                <w:between w:val="nil"/>
              </w:pBdr>
              <w:rPr>
                <w:color w:val="0E101A"/>
                <w:sz w:val="24"/>
                <w:szCs w:val="24"/>
              </w:rPr>
            </w:pPr>
            <w:r>
              <w:rPr>
                <w:i/>
                <w:color w:val="0E101A"/>
                <w:sz w:val="24"/>
                <w:szCs w:val="24"/>
              </w:rPr>
              <w:t>Note.</w:t>
            </w:r>
            <w:r>
              <w:rPr>
                <w:color w:val="0E101A"/>
                <w:sz w:val="24"/>
                <w:szCs w:val="24"/>
              </w:rPr>
              <w:t xml:space="preserve"> CN = collective narcissism; * </w:t>
            </w:r>
            <w:r>
              <w:rPr>
                <w:i/>
                <w:color w:val="0E101A"/>
                <w:sz w:val="24"/>
                <w:szCs w:val="24"/>
              </w:rPr>
              <w:t>p</w:t>
            </w:r>
            <w:r>
              <w:rPr>
                <w:color w:val="0E101A"/>
                <w:sz w:val="24"/>
                <w:szCs w:val="24"/>
              </w:rPr>
              <w:t xml:space="preserve"> &lt; .05, ** </w:t>
            </w:r>
            <w:r>
              <w:rPr>
                <w:i/>
                <w:color w:val="0E101A"/>
                <w:sz w:val="24"/>
                <w:szCs w:val="24"/>
              </w:rPr>
              <w:t>p</w:t>
            </w:r>
            <w:r>
              <w:rPr>
                <w:color w:val="0E101A"/>
                <w:sz w:val="24"/>
                <w:szCs w:val="24"/>
              </w:rPr>
              <w:t xml:space="preserve"> &lt; .01 </w:t>
            </w:r>
          </w:p>
        </w:tc>
      </w:tr>
    </w:tbl>
    <w:p w14:paraId="685931FB" w14:textId="77777777" w:rsidR="00F173EA" w:rsidRDefault="00F173EA">
      <w:pPr>
        <w:pBdr>
          <w:top w:val="nil"/>
          <w:left w:val="nil"/>
          <w:bottom w:val="nil"/>
          <w:right w:val="nil"/>
          <w:between w:val="nil"/>
        </w:pBdr>
        <w:spacing w:line="480" w:lineRule="auto"/>
        <w:ind w:hanging="2"/>
        <w:rPr>
          <w:color w:val="0E101A"/>
          <w:sz w:val="24"/>
          <w:szCs w:val="24"/>
        </w:rPr>
      </w:pPr>
    </w:p>
    <w:p w14:paraId="40DF4FF0" w14:textId="77777777" w:rsidR="00F173EA" w:rsidRDefault="00F173EA">
      <w:pPr>
        <w:pBdr>
          <w:top w:val="nil"/>
          <w:left w:val="nil"/>
          <w:bottom w:val="nil"/>
          <w:right w:val="nil"/>
          <w:between w:val="nil"/>
        </w:pBdr>
        <w:spacing w:line="480" w:lineRule="auto"/>
        <w:ind w:hanging="2"/>
        <w:rPr>
          <w:color w:val="000000"/>
          <w:sz w:val="24"/>
          <w:szCs w:val="24"/>
        </w:rPr>
      </w:pPr>
    </w:p>
    <w:p w14:paraId="520A774A" w14:textId="77777777" w:rsidR="00F173EA" w:rsidRDefault="00F173EA">
      <w:pPr>
        <w:pBdr>
          <w:top w:val="nil"/>
          <w:left w:val="nil"/>
          <w:bottom w:val="nil"/>
          <w:right w:val="nil"/>
          <w:between w:val="nil"/>
        </w:pBdr>
        <w:spacing w:line="480" w:lineRule="auto"/>
        <w:ind w:hanging="2"/>
        <w:rPr>
          <w:color w:val="000000"/>
          <w:sz w:val="24"/>
          <w:szCs w:val="24"/>
        </w:rPr>
      </w:pPr>
    </w:p>
    <w:sectPr w:rsidR="00F173EA" w:rsidSect="007238B0">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9" w:footer="720" w:gutter="0"/>
      <w:cols w:space="708" w:equalWidth="0">
        <w:col w:w="9406"/>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5437A" w14:textId="77777777" w:rsidR="00011948" w:rsidRDefault="00011948">
      <w:r>
        <w:separator/>
      </w:r>
    </w:p>
  </w:endnote>
  <w:endnote w:type="continuationSeparator" w:id="0">
    <w:p w14:paraId="6D0C49E2" w14:textId="77777777" w:rsidR="00011948" w:rsidRDefault="0001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harisSIL">
    <w:altName w:val="MS Gothic"/>
    <w:panose1 w:val="00000000000000000000"/>
    <w:charset w:val="80"/>
    <w:family w:val="swiss"/>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3824" w14:textId="77777777" w:rsidR="007D20A1" w:rsidRDefault="007D20A1">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46F9" w14:textId="77777777" w:rsidR="007D20A1" w:rsidRDefault="007D20A1">
    <w:pPr>
      <w:pBdr>
        <w:top w:val="nil"/>
        <w:left w:val="nil"/>
        <w:bottom w:val="nil"/>
        <w:right w:val="nil"/>
        <w:between w:val="nil"/>
      </w:pBdr>
      <w:spacing w:line="276"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09BA" w14:textId="77777777" w:rsidR="007D20A1" w:rsidRDefault="007D20A1">
    <w:pPr>
      <w:pBdr>
        <w:top w:val="nil"/>
        <w:left w:val="nil"/>
        <w:bottom w:val="nil"/>
        <w:right w:val="nil"/>
        <w:between w:val="nil"/>
      </w:pBdr>
      <w:ind w:hanging="1"/>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EE88" w14:textId="77777777" w:rsidR="007D20A1" w:rsidRDefault="007D20A1">
    <w:pPr>
      <w:pBdr>
        <w:top w:val="nil"/>
        <w:left w:val="nil"/>
        <w:bottom w:val="nil"/>
        <w:right w:val="nil"/>
        <w:between w:val="nil"/>
      </w:pBdr>
      <w:tabs>
        <w:tab w:val="center" w:pos="4819"/>
        <w:tab w:val="right" w:pos="9638"/>
      </w:tabs>
      <w:ind w:hanging="1"/>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B0B8" w14:textId="77777777" w:rsidR="007D20A1" w:rsidRDefault="007D20A1">
    <w:pPr>
      <w:pBdr>
        <w:top w:val="nil"/>
        <w:left w:val="nil"/>
        <w:bottom w:val="nil"/>
        <w:right w:val="nil"/>
        <w:between w:val="nil"/>
      </w:pBdr>
      <w:tabs>
        <w:tab w:val="center" w:pos="4819"/>
        <w:tab w:val="right" w:pos="9638"/>
      </w:tabs>
      <w:ind w:hanging="1"/>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F62B" w14:textId="77777777" w:rsidR="007D20A1" w:rsidRDefault="007D20A1">
    <w:pPr>
      <w:pBdr>
        <w:top w:val="nil"/>
        <w:left w:val="nil"/>
        <w:bottom w:val="nil"/>
        <w:right w:val="nil"/>
        <w:between w:val="nil"/>
      </w:pBdr>
      <w:ind w:hanging="1"/>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197D" w14:textId="77777777" w:rsidR="00011948" w:rsidRDefault="00011948">
      <w:r>
        <w:separator/>
      </w:r>
    </w:p>
  </w:footnote>
  <w:footnote w:type="continuationSeparator" w:id="0">
    <w:p w14:paraId="5B351C61" w14:textId="77777777" w:rsidR="00011948" w:rsidRDefault="00011948">
      <w:r>
        <w:continuationSeparator/>
      </w:r>
    </w:p>
  </w:footnote>
  <w:footnote w:id="1">
    <w:p w14:paraId="12FDBAC2" w14:textId="044D7309" w:rsidR="007D20A1" w:rsidRDefault="007D20A1" w:rsidP="00685D46">
      <w:pPr>
        <w:pBdr>
          <w:top w:val="nil"/>
          <w:left w:val="nil"/>
          <w:bottom w:val="nil"/>
          <w:right w:val="nil"/>
          <w:between w:val="nil"/>
        </w:pBdr>
        <w:rPr>
          <w:color w:val="000000"/>
        </w:rPr>
      </w:pPr>
      <w:r>
        <w:rPr>
          <w:vertAlign w:val="superscript"/>
        </w:rPr>
        <w:footnoteRef/>
      </w:r>
      <w:r>
        <w:rPr>
          <w:color w:val="000000"/>
        </w:rPr>
        <w:t xml:space="preserve"> We excluded items assessing cues to action (i.e., </w:t>
      </w:r>
      <w:r>
        <w:rPr>
          <w:color w:val="000000"/>
          <w:highlight w:val="white"/>
        </w:rPr>
        <w:t xml:space="preserve">internal or external events that affect readiness for action and ignite the decision-making process; </w:t>
      </w:r>
      <w:r>
        <w:rPr>
          <w:color w:val="0E101A"/>
        </w:rPr>
        <w:t>Rosenstock, 1974</w:t>
      </w:r>
      <w:r>
        <w:rPr>
          <w:color w:val="000000"/>
          <w:highlight w:val="white"/>
        </w:rPr>
        <w:t>)</w:t>
      </w:r>
      <w:r w:rsidR="00685D46">
        <w:rPr>
          <w:color w:val="000000"/>
        </w:rPr>
        <w:t>,</w:t>
      </w:r>
      <w:r>
        <w:rPr>
          <w:color w:val="000000"/>
        </w:rPr>
        <w:t xml:space="preserve"> because this construct was less relevant to the purposes of our study. Specifically, the pertinent items were general (e.g., “I often do exercise”) rather than contextually sensitive, and this </w:t>
      </w:r>
      <w:r w:rsidR="00685D46">
        <w:rPr>
          <w:color w:val="000000"/>
        </w:rPr>
        <w:t xml:space="preserve">is </w:t>
      </w:r>
      <w:r>
        <w:rPr>
          <w:color w:val="000000"/>
        </w:rPr>
        <w:t xml:space="preserve">a reason why </w:t>
      </w:r>
      <w:r w:rsidR="00685D46">
        <w:rPr>
          <w:color w:val="000000"/>
        </w:rPr>
        <w:t xml:space="preserve">the variable </w:t>
      </w:r>
      <w:r>
        <w:rPr>
          <w:color w:val="000000"/>
        </w:rPr>
        <w:t xml:space="preserve">cues for action is often omitted from research on the health belief model (Champion &amp; Skinner, 2008). Also, internal cues to action </w:t>
      </w:r>
      <w:r w:rsidR="00685D46">
        <w:rPr>
          <w:color w:val="000000"/>
        </w:rPr>
        <w:t xml:space="preserve">is </w:t>
      </w:r>
      <w:r>
        <w:rPr>
          <w:color w:val="000000"/>
        </w:rPr>
        <w:t>based on observed illness symptoms, and such symptoms were rare during the early stage of the pandemic in Poland, when we collected our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43E3" w14:textId="32E4618D" w:rsidR="007D20A1" w:rsidRDefault="007D20A1">
    <w:pPr>
      <w:ind w:hanging="2"/>
      <w:rPr>
        <w:sz w:val="24"/>
        <w:szCs w:val="24"/>
      </w:rPr>
    </w:pPr>
    <w:r>
      <w:rPr>
        <w:sz w:val="24"/>
        <w:szCs w:val="24"/>
      </w:rPr>
      <w:t>DARK TRAITS AND COPING DURING THE COVID-19 PANDEMIC</w:t>
    </w:r>
    <w:r>
      <w:rPr>
        <w:sz w:val="24"/>
        <w:szCs w:val="24"/>
      </w:rPr>
      <w:tab/>
    </w:r>
    <w:r>
      <w:rPr>
        <w:sz w:val="24"/>
        <w:szCs w:val="24"/>
      </w:rPr>
      <w:tab/>
    </w:r>
    <w:r>
      <w:rPr>
        <w:sz w:val="24"/>
        <w:szCs w:val="24"/>
      </w:rPr>
      <w:tab/>
    </w:r>
    <w:r>
      <w:rPr>
        <w:sz w:val="24"/>
        <w:szCs w:val="24"/>
      </w:rPr>
      <w:fldChar w:fldCharType="begin"/>
    </w:r>
    <w:r>
      <w:rPr>
        <w:sz w:val="24"/>
        <w:szCs w:val="24"/>
      </w:rPr>
      <w:instrText>PAGE</w:instrText>
    </w:r>
    <w:r>
      <w:rPr>
        <w:sz w:val="24"/>
        <w:szCs w:val="24"/>
      </w:rPr>
      <w:fldChar w:fldCharType="separate"/>
    </w:r>
    <w:r w:rsidR="00EB3981">
      <w:rPr>
        <w:noProof/>
        <w:sz w:val="24"/>
        <w:szCs w:val="24"/>
      </w:rPr>
      <w:t>1</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7486" w14:textId="77777777" w:rsidR="007D20A1" w:rsidRDefault="007D20A1">
    <w:pPr>
      <w:pBdr>
        <w:top w:val="nil"/>
        <w:left w:val="nil"/>
        <w:bottom w:val="nil"/>
        <w:right w:val="nil"/>
        <w:between w:val="nil"/>
      </w:pBdr>
      <w:ind w:hanging="1"/>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20AE" w14:textId="77777777" w:rsidR="007D20A1" w:rsidRDefault="007D20A1">
    <w:pPr>
      <w:pBdr>
        <w:top w:val="nil"/>
        <w:left w:val="nil"/>
        <w:bottom w:val="nil"/>
        <w:right w:val="nil"/>
        <w:between w:val="nil"/>
      </w:pBdr>
      <w:ind w:hanging="2"/>
      <w:rPr>
        <w:color w:val="000000"/>
      </w:rPr>
    </w:pPr>
    <w:r>
      <w:rPr>
        <w:color w:val="000000"/>
        <w:sz w:val="24"/>
        <w:szCs w:val="24"/>
      </w:rPr>
      <w:t>Running head: DARK TRIAD, COLLECTIVE NARCISSISM &amp; BEHAVIORS</w:t>
    </w:r>
    <w:r>
      <w:rPr>
        <w:color w:val="000000"/>
        <w:sz w:val="24"/>
        <w:szCs w:val="24"/>
      </w:rPr>
      <w:tab/>
    </w:r>
    <w:r>
      <w:rPr>
        <w:color w:val="000000"/>
        <w:sz w:val="24"/>
        <w:szCs w:val="24"/>
      </w:rPr>
      <w:tab/>
    </w:r>
    <w:r>
      <w:rPr>
        <w:color w:val="000000"/>
      </w:rPr>
      <w:fldChar w:fldCharType="begin"/>
    </w:r>
    <w:r>
      <w:rPr>
        <w:color w:val="000000"/>
      </w:rPr>
      <w:instrText>PAGE</w:instrText>
    </w:r>
    <w:r>
      <w:rPr>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B5D7" w14:textId="609CC42E" w:rsidR="007D20A1" w:rsidRDefault="007D20A1">
    <w:pPr>
      <w:pBdr>
        <w:top w:val="nil"/>
        <w:left w:val="nil"/>
        <w:bottom w:val="nil"/>
        <w:right w:val="nil"/>
        <w:between w:val="nil"/>
      </w:pBdr>
      <w:ind w:hanging="2"/>
      <w:rPr>
        <w:color w:val="000000"/>
      </w:rPr>
    </w:pPr>
    <w:r>
      <w:rPr>
        <w:sz w:val="24"/>
        <w:szCs w:val="24"/>
      </w:rPr>
      <w:t>DARK TRAITS AND COPING DURING THE COVID-19 PANDEMIC</w:t>
    </w:r>
    <w:r>
      <w:rPr>
        <w:color w:val="000000"/>
        <w:sz w:val="24"/>
        <w:szCs w:val="24"/>
      </w:rPr>
      <w:tab/>
    </w:r>
    <w:r>
      <w:rPr>
        <w:color w:val="000000"/>
        <w:sz w:val="24"/>
        <w:szCs w:val="24"/>
      </w:rPr>
      <w:tab/>
    </w:r>
    <w:r>
      <w:rPr>
        <w:color w:val="000000"/>
        <w:sz w:val="24"/>
        <w:szCs w:val="24"/>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EB3981">
      <w:rPr>
        <w:noProof/>
        <w:color w:val="000000"/>
        <w:sz w:val="24"/>
        <w:szCs w:val="24"/>
      </w:rPr>
      <w:t>20</w:t>
    </w:r>
    <w:r>
      <w:rPr>
        <w:color w:val="000000"/>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1802" w14:textId="77777777" w:rsidR="007D20A1" w:rsidRDefault="007D20A1">
    <w:pPr>
      <w:pBdr>
        <w:top w:val="nil"/>
        <w:left w:val="nil"/>
        <w:bottom w:val="nil"/>
        <w:right w:val="nil"/>
        <w:between w:val="nil"/>
      </w:pBdr>
      <w:ind w:hanging="1"/>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EA"/>
    <w:rsid w:val="00011948"/>
    <w:rsid w:val="001C38AA"/>
    <w:rsid w:val="00226471"/>
    <w:rsid w:val="004250A8"/>
    <w:rsid w:val="00477304"/>
    <w:rsid w:val="004A06EA"/>
    <w:rsid w:val="00602778"/>
    <w:rsid w:val="00685D46"/>
    <w:rsid w:val="006F6819"/>
    <w:rsid w:val="007238B0"/>
    <w:rsid w:val="007275C4"/>
    <w:rsid w:val="007D20A1"/>
    <w:rsid w:val="008D750D"/>
    <w:rsid w:val="0091490C"/>
    <w:rsid w:val="00AC1B6D"/>
    <w:rsid w:val="00BB5962"/>
    <w:rsid w:val="00C16722"/>
    <w:rsid w:val="00CF5270"/>
    <w:rsid w:val="00D7209D"/>
    <w:rsid w:val="00D772EC"/>
    <w:rsid w:val="00DC1665"/>
    <w:rsid w:val="00DF0427"/>
    <w:rsid w:val="00DF491F"/>
    <w:rsid w:val="00E746A3"/>
    <w:rsid w:val="00EB3981"/>
    <w:rsid w:val="00ED4B4D"/>
    <w:rsid w:val="00EF5615"/>
    <w:rsid w:val="00F173EA"/>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838B"/>
  <w15:docId w15:val="{CB5D27A9-D1CC-40D9-B2B0-8314187D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8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0427"/>
    <w:rPr>
      <w:b/>
      <w:bCs/>
    </w:rPr>
  </w:style>
  <w:style w:type="character" w:customStyle="1" w:styleId="CommentSubjectChar">
    <w:name w:val="Comment Subject Char"/>
    <w:basedOn w:val="CommentTextChar"/>
    <w:link w:val="CommentSubject"/>
    <w:uiPriority w:val="99"/>
    <w:semiHidden/>
    <w:rsid w:val="00DF0427"/>
    <w:rPr>
      <w:b/>
      <w:bCs/>
    </w:rPr>
  </w:style>
  <w:style w:type="character" w:styleId="Hyperlink">
    <w:name w:val="Hyperlink"/>
    <w:rsid w:val="00602778"/>
    <w:rPr>
      <w:color w:val="0000FF"/>
      <w:u w:val="single"/>
    </w:rPr>
  </w:style>
  <w:style w:type="character" w:customStyle="1" w:styleId="doi">
    <w:name w:val="doi"/>
    <w:basedOn w:val="DefaultParagraphFont"/>
    <w:rsid w:val="0060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14662">
      <w:bodyDiv w:val="1"/>
      <w:marLeft w:val="0"/>
      <w:marRight w:val="0"/>
      <w:marTop w:val="0"/>
      <w:marBottom w:val="0"/>
      <w:divBdr>
        <w:top w:val="none" w:sz="0" w:space="0" w:color="auto"/>
        <w:left w:val="none" w:sz="0" w:space="0" w:color="auto"/>
        <w:bottom w:val="none" w:sz="0" w:space="0" w:color="auto"/>
        <w:right w:val="none" w:sz="0" w:space="0" w:color="auto"/>
      </w:divBdr>
    </w:div>
    <w:div w:id="1119957437">
      <w:bodyDiv w:val="1"/>
      <w:marLeft w:val="0"/>
      <w:marRight w:val="0"/>
      <w:marTop w:val="0"/>
      <w:marBottom w:val="0"/>
      <w:divBdr>
        <w:top w:val="none" w:sz="0" w:space="0" w:color="auto"/>
        <w:left w:val="none" w:sz="0" w:space="0" w:color="auto"/>
        <w:bottom w:val="none" w:sz="0" w:space="0" w:color="auto"/>
        <w:right w:val="none" w:sz="0" w:space="0" w:color="auto"/>
      </w:divBdr>
    </w:div>
    <w:div w:id="1149201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lariadna.com/" TargetMode="External"/><Relationship Id="rId13" Type="http://schemas.openxmlformats.org/officeDocument/2006/relationships/hyperlink" Target="https://psycnet.apa.org/doi/10.1016/S0092-6566(02)00505-6"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osf.io/x54st/?view_only=175478ad465643288973d54d6f4c4004&amp;fbclid=IwAR1gc-KQ4A_nWzjX9ZyzwPympi4m8_9AVhDIUcvxY57MSax_kC2Pdn7ZTCQ" TargetMode="External"/><Relationship Id="rId12" Type="http://schemas.openxmlformats.org/officeDocument/2006/relationships/hyperlink" Target="https://doi.org/10.1002/per.1893"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zemojtel-piotrowska@uksw.edu.pl" TargetMode="External"/><Relationship Id="rId11" Type="http://schemas.openxmlformats.org/officeDocument/2006/relationships/hyperlink" Target="https://psycnet.apa.org/doi/10.1037/a0019265" TargetMode="External"/><Relationship Id="rId24"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yperlink" Target="http://dx.doi.org/10.1016/B978-0-12-407188-9.00005-3"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psycnet.apa.org/doi/10.1016/j.paid.2015.01.008"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7/00012272-198404000-00011" TargetMode="External"/><Relationship Id="rId14" Type="http://schemas.openxmlformats.org/officeDocument/2006/relationships/hyperlink" Target="https://doi.org/10.1177/109019818801500203" TargetMode="External"/><Relationship Id="rId22" Type="http://schemas.openxmlformats.org/officeDocument/2006/relationships/header" Target="header3.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5458</Words>
  <Characters>31117</Characters>
  <Application>Microsoft Office Word</Application>
  <DocSecurity>0</DocSecurity>
  <Lines>259</Lines>
  <Paragraphs>73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Uniwersytet Kardynała Stefana Wyszyńskiego</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Anna Żemojtel-Piotrowska</dc:creator>
  <cp:lastModifiedBy>de Montfalcon S.P.</cp:lastModifiedBy>
  <cp:revision>2</cp:revision>
  <dcterms:created xsi:type="dcterms:W3CDTF">2020-07-17T10:45:00Z</dcterms:created>
  <dcterms:modified xsi:type="dcterms:W3CDTF">2020-07-17T10:45:00Z</dcterms:modified>
</cp:coreProperties>
</file>