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8FA0F" w14:textId="77777777" w:rsidR="00E401A5" w:rsidRPr="00880F44" w:rsidRDefault="00E401A5" w:rsidP="00E401A5">
      <w:pPr>
        <w:spacing w:before="240" w:after="120" w:line="480" w:lineRule="auto"/>
        <w:jc w:val="both"/>
        <w:rPr>
          <w:rFonts w:cstheme="minorHAnsi"/>
          <w:b/>
        </w:rPr>
      </w:pPr>
      <w:bookmarkStart w:id="0" w:name="_GoBack"/>
      <w:bookmarkEnd w:id="0"/>
      <w:r w:rsidRPr="00880F44">
        <w:rPr>
          <w:rFonts w:cstheme="minorHAnsi"/>
          <w:b/>
        </w:rPr>
        <w:t>Introduction</w:t>
      </w:r>
    </w:p>
    <w:p w14:paraId="49ADE55E" w14:textId="37BEF179" w:rsidR="00E401A5" w:rsidRPr="00880F44" w:rsidRDefault="00E401A5" w:rsidP="00E401A5">
      <w:pPr>
        <w:spacing w:before="240" w:after="120" w:line="480" w:lineRule="auto"/>
        <w:jc w:val="both"/>
        <w:rPr>
          <w:rFonts w:cstheme="minorHAnsi"/>
        </w:rPr>
      </w:pPr>
      <w:r w:rsidRPr="00880F44">
        <w:rPr>
          <w:rFonts w:cstheme="minorHAnsi"/>
        </w:rPr>
        <w:t xml:space="preserve">Placental morphology is variable and can greatly affect the efficiency of nutrient transfer to the developing </w:t>
      </w:r>
      <w:proofErr w:type="spellStart"/>
      <w:r w:rsidRPr="00880F44">
        <w:rPr>
          <w:rFonts w:cstheme="minorHAnsi"/>
        </w:rPr>
        <w:t>fetus</w:t>
      </w:r>
      <w:proofErr w:type="spellEnd"/>
      <w:r w:rsidRPr="00880F44">
        <w:rPr>
          <w:rFonts w:cstheme="minorHAnsi"/>
        </w:rPr>
        <w:t xml:space="preserve"> </w:t>
      </w:r>
      <w:r w:rsidRPr="00292B07">
        <w:rPr>
          <w:rFonts w:cstheme="minorHAnsi"/>
        </w:rPr>
        <w:fldChar w:fldCharType="begin"/>
      </w:r>
      <w:r w:rsidR="00564CE2">
        <w:rPr>
          <w:rFonts w:cstheme="minorHAnsi"/>
        </w:rPr>
        <w:instrText xml:space="preserve"> ADDIN EN.CITE &lt;EndNote&gt;&lt;Cite&gt;&lt;Author&gt;Huppertz&lt;/Author&gt;&lt;Year&gt;2006&lt;/Year&gt;&lt;RecNum&gt;8&lt;/RecNum&gt;&lt;DisplayText&gt;[1]&lt;/DisplayText&gt;&lt;record&gt;&lt;rec-number&gt;8&lt;/rec-number&gt;&lt;foreign-keys&gt;&lt;key app="EN" db-id="tfwvwzxv0zrszlesr085eddvz9vwesewfwsr" timestamp="1566576992"&gt;8&lt;/key&gt;&lt;/foreign-keys&gt;&lt;ref-type name="Journal Article"&gt;17&lt;/ref-type&gt;&lt;contributors&gt;&lt;authors&gt;&lt;author&gt;Huppertz, B.&lt;/author&gt;&lt;author&gt;Burton, G.&lt;/author&gt;&lt;author&gt;Cross, J. C.&lt;/author&gt;&lt;author&gt;Kingdom, J. C. P.&lt;/author&gt;&lt;/authors&gt;&lt;/contributors&gt;&lt;titles&gt;&lt;title&gt;Placental Morphology: From Molecule to Mother – A Dedication to Peter Kaufmann – A Review&lt;/title&gt;&lt;secondary-title&gt;Placenta&lt;/secondary-title&gt;&lt;/titles&gt;&lt;periodical&gt;&lt;full-title&gt;Placenta&lt;/full-title&gt;&lt;/periodical&gt;&lt;pages&gt;3-8&lt;/pages&gt;&lt;volume&gt;27&lt;/volume&gt;&lt;keywords&gt;&lt;keyword&gt;Placenta&lt;/keyword&gt;&lt;keyword&gt;Morphology&lt;/keyword&gt;&lt;keyword&gt;Stereology&lt;/keyword&gt;&lt;keyword&gt;IUGR&lt;/keyword&gt;&lt;/keywords&gt;&lt;dates&gt;&lt;year&gt;2006&lt;/year&gt;&lt;pub-dates&gt;&lt;date&gt;2006/04/01/&lt;/date&gt;&lt;/pub-dates&gt;&lt;/dates&gt;&lt;isbn&gt;0143-4004&lt;/isbn&gt;&lt;urls&gt;&lt;related-urls&gt;&lt;url&gt;http://www.sciencedirect.com/science/article/pii/S0143400406000129&lt;/url&gt;&lt;/related-urls&gt;&lt;/urls&gt;&lt;electronic-resource-num&gt;https://doi.org/10.1016/j.placenta.2006.01.007&lt;/electronic-resource-num&gt;&lt;/record&gt;&lt;/Cite&gt;&lt;/EndNote&gt;</w:instrText>
      </w:r>
      <w:r w:rsidRPr="00292B07">
        <w:rPr>
          <w:rFonts w:cstheme="minorHAnsi"/>
        </w:rPr>
        <w:fldChar w:fldCharType="separate"/>
      </w:r>
      <w:r w:rsidR="00564CE2">
        <w:rPr>
          <w:rFonts w:cstheme="minorHAnsi"/>
          <w:noProof/>
        </w:rPr>
        <w:t>[1]</w:t>
      </w:r>
      <w:r w:rsidRPr="00292B07">
        <w:rPr>
          <w:rFonts w:cstheme="minorHAnsi"/>
        </w:rPr>
        <w:fldChar w:fldCharType="end"/>
      </w:r>
      <w:r w:rsidRPr="00880F44">
        <w:rPr>
          <w:rFonts w:cstheme="minorHAnsi"/>
        </w:rPr>
        <w:t>. Furthermore, the role of the placenta within the developmental origins of health and disease (</w:t>
      </w:r>
      <w:proofErr w:type="spellStart"/>
      <w:r w:rsidRPr="00880F44">
        <w:rPr>
          <w:rFonts w:cstheme="minorHAnsi"/>
        </w:rPr>
        <w:t>DOHaD</w:t>
      </w:r>
      <w:proofErr w:type="spellEnd"/>
      <w:r w:rsidRPr="00880F44">
        <w:rPr>
          <w:rFonts w:cstheme="minorHAnsi"/>
        </w:rPr>
        <w:t xml:space="preserve">) paradigm is well recognised, with placental size and function being associated with a number of adulthood non-communicable diseases, including hypertension </w:t>
      </w:r>
      <w:r w:rsidRPr="00292B07">
        <w:rPr>
          <w:rFonts w:cstheme="minorHAnsi"/>
        </w:rPr>
        <w:fldChar w:fldCharType="begin">
          <w:fldData xml:space="preserve">PEVuZE5vdGU+PENpdGU+PEF1dGhvcj5CYXJrZXI8L0F1dGhvcj48WWVhcj4yMDEwPC9ZZWFyPjxS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</w:fldData>
        </w:fldChar>
      </w:r>
      <w:r w:rsidR="00564CE2">
        <w:rPr>
          <w:rFonts w:cstheme="minorHAnsi"/>
        </w:rPr>
        <w:instrText xml:space="preserve"> ADDIN EN.CITE </w:instrText>
      </w:r>
      <w:r w:rsidR="00564CE2">
        <w:rPr>
          <w:rFonts w:cstheme="minorHAnsi"/>
        </w:rPr>
        <w:fldChar w:fldCharType="begin">
          <w:fldData xml:space="preserve">PEVuZE5vdGU+PENpdGU+PEF1dGhvcj5CYXJrZXI8L0F1dGhvcj48WWVhcj4yMDEwPC9ZZWFyPjxS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</w:fldData>
        </w:fldChar>
      </w:r>
      <w:r w:rsidR="00564CE2">
        <w:rPr>
          <w:rFonts w:cstheme="minorHAnsi"/>
        </w:rPr>
        <w:instrText xml:space="preserve"> ADDIN EN.CITE.DATA </w:instrText>
      </w:r>
      <w:r w:rsidR="00564CE2">
        <w:rPr>
          <w:rFonts w:cstheme="minorHAnsi"/>
        </w:rPr>
      </w:r>
      <w:r w:rsidR="00564CE2">
        <w:rPr>
          <w:rFonts w:cstheme="minorHAnsi"/>
        </w:rPr>
        <w:fldChar w:fldCharType="end"/>
      </w:r>
      <w:r w:rsidRPr="00292B07">
        <w:rPr>
          <w:rFonts w:cstheme="minorHAnsi"/>
        </w:rPr>
      </w:r>
      <w:r w:rsidRPr="00292B07">
        <w:rPr>
          <w:rFonts w:cstheme="minorHAnsi"/>
        </w:rPr>
        <w:fldChar w:fldCharType="separate"/>
      </w:r>
      <w:r w:rsidR="00564CE2">
        <w:rPr>
          <w:rFonts w:cstheme="minorHAnsi"/>
          <w:noProof/>
        </w:rPr>
        <w:t>[2]</w:t>
      </w:r>
      <w:r w:rsidRPr="00292B07">
        <w:rPr>
          <w:rFonts w:cstheme="minorHAnsi"/>
        </w:rPr>
        <w:fldChar w:fldCharType="end"/>
      </w:r>
      <w:r w:rsidRPr="00880F44">
        <w:rPr>
          <w:rFonts w:cstheme="minorHAnsi"/>
        </w:rPr>
        <w:t xml:space="preserve">, ischaemic heart disease </w:t>
      </w:r>
      <w:r w:rsidRPr="00292B07">
        <w:rPr>
          <w:rFonts w:cstheme="minorHAnsi"/>
        </w:rPr>
        <w:fldChar w:fldCharType="begin"/>
      </w:r>
      <w:r w:rsidR="00564CE2">
        <w:rPr>
          <w:rFonts w:cstheme="minorHAnsi"/>
        </w:rPr>
        <w:instrText xml:space="preserve"> ADDIN EN.CITE &lt;EndNote&gt;&lt;Cite&gt;&lt;Author&gt;Thornburg&lt;/Author&gt;&lt;Year&gt;2010&lt;/Year&gt;&lt;RecNum&gt;12&lt;/RecNum&gt;&lt;DisplayText&gt;[3]&lt;/DisplayText&gt;&lt;record&gt;&lt;rec-number&gt;12&lt;/rec-number&gt;&lt;foreign-keys&gt;&lt;key app="EN" db-id="tfwvwzxv0zrszlesr085eddvz9vwesewfwsr" timestamp="1566579895"&gt;12&lt;/key&gt;&lt;/foreign-keys&gt;&lt;ref-type name="Journal Article"&gt;17&lt;/ref-type&gt;&lt;contributors&gt;&lt;authors&gt;&lt;author&gt;Thornburg, KL&lt;/author&gt;&lt;author&gt;O&amp;apos;tierney, PF&lt;/author&gt;&lt;author&gt;Louey, Samantha&lt;/author&gt;&lt;/authors&gt;&lt;/contributors&gt;&lt;titles&gt;&lt;title&gt;The placenta is a programming agent for cardiovascular disease&lt;/title&gt;&lt;secondary-title&gt;Placenta&lt;/secondary-title&gt;&lt;/titles&gt;&lt;periodical&gt;&lt;full-title&gt;Placenta&lt;/full-title&gt;&lt;/periodical&gt;&lt;pages&gt;S54-S59&lt;/pages&gt;&lt;volume&gt;31&lt;/volume&gt;&lt;dates&gt;&lt;year&gt;2010&lt;/year&gt;&lt;/dates&gt;&lt;isbn&gt;0143-4004&lt;/isbn&gt;&lt;urls&gt;&lt;/urls&gt;&lt;/record&gt;&lt;/Cite&gt;&lt;/EndNote&gt;</w:instrText>
      </w:r>
      <w:r w:rsidRPr="00292B07">
        <w:rPr>
          <w:rFonts w:cstheme="minorHAnsi"/>
        </w:rPr>
        <w:fldChar w:fldCharType="separate"/>
      </w:r>
      <w:r w:rsidR="00564CE2">
        <w:rPr>
          <w:rFonts w:cstheme="minorHAnsi"/>
          <w:noProof/>
        </w:rPr>
        <w:t>[3]</w:t>
      </w:r>
      <w:r w:rsidRPr="00292B07">
        <w:rPr>
          <w:rFonts w:cstheme="minorHAnsi"/>
        </w:rPr>
        <w:fldChar w:fldCharType="end"/>
      </w:r>
      <w:r w:rsidRPr="00880F44">
        <w:rPr>
          <w:rFonts w:cstheme="minorHAnsi"/>
        </w:rPr>
        <w:t xml:space="preserve"> and diabetes </w:t>
      </w:r>
      <w:r w:rsidRPr="00292B07">
        <w:rPr>
          <w:rFonts w:cstheme="minorHAnsi"/>
        </w:rPr>
        <w:fldChar w:fldCharType="begin"/>
      </w:r>
      <w:r w:rsidR="00564CE2">
        <w:rPr>
          <w:rFonts w:cstheme="minorHAnsi"/>
        </w:rPr>
        <w:instrText xml:space="preserve"> ADDIN EN.CITE &lt;EndNote&gt;&lt;Cite&gt;&lt;Author&gt;Eriksson&lt;/Author&gt;&lt;Year&gt;2000&lt;/Year&gt;&lt;RecNum&gt;11&lt;/RecNum&gt;&lt;DisplayText&gt;[4]&lt;/DisplayText&gt;&lt;record&gt;&lt;rec-number&gt;11&lt;/rec-number&gt;&lt;foreign-keys&gt;&lt;key app="EN" db-id="tfwvwzxv0zrszlesr085eddvz9vwesewfwsr" timestamp="1566579888"&gt;11&lt;/key&gt;&lt;/foreign-keys&gt;&lt;ref-type name="Journal Article"&gt;17&lt;/ref-type&gt;&lt;contributors&gt;&lt;authors&gt;&lt;author&gt;Eriksson, Johan&lt;/author&gt;&lt;author&gt;Forsen, Tom&lt;/author&gt;&lt;author&gt;Tuomilehto, Jaakko&lt;/author&gt;&lt;author&gt;Osmond, Clive&lt;/author&gt;&lt;author&gt;Barker, David&lt;/author&gt;&lt;/authors&gt;&lt;/contributors&gt;&lt;titles&gt;&lt;title&gt;Fetal and childhood growth and hypertension in adult life&lt;/title&gt;&lt;secondary-title&gt;Hypertension&lt;/secondary-title&gt;&lt;/titles&gt;&lt;periodical&gt;&lt;full-title&gt;Hypertension&lt;/full-title&gt;&lt;/periodical&gt;&lt;pages&gt;790-794&lt;/pages&gt;&lt;volume&gt;36&lt;/volume&gt;&lt;number&gt;5&lt;/number&gt;&lt;dates&gt;&lt;year&gt;2000&lt;/year&gt;&lt;/dates&gt;&lt;isbn&gt;0194-911X&lt;/isbn&gt;&lt;urls&gt;&lt;/urls&gt;&lt;/record&gt;&lt;/Cite&gt;&lt;/EndNote&gt;</w:instrText>
      </w:r>
      <w:r w:rsidRPr="00292B07">
        <w:rPr>
          <w:rFonts w:cstheme="minorHAnsi"/>
        </w:rPr>
        <w:fldChar w:fldCharType="separate"/>
      </w:r>
      <w:r w:rsidR="00564CE2">
        <w:rPr>
          <w:rFonts w:cstheme="minorHAnsi"/>
          <w:noProof/>
        </w:rPr>
        <w:t>[4]</w:t>
      </w:r>
      <w:r w:rsidRPr="00292B07">
        <w:rPr>
          <w:rFonts w:cstheme="minorHAnsi"/>
        </w:rPr>
        <w:fldChar w:fldCharType="end"/>
      </w:r>
      <w:r w:rsidRPr="00880F44">
        <w:rPr>
          <w:rFonts w:cstheme="minorHAnsi"/>
        </w:rPr>
        <w:t xml:space="preserve">. Osteoporosis is another such </w:t>
      </w:r>
      <w:r>
        <w:rPr>
          <w:rFonts w:cstheme="minorHAnsi"/>
        </w:rPr>
        <w:t xml:space="preserve">chronic </w:t>
      </w:r>
      <w:r w:rsidRPr="00880F44">
        <w:rPr>
          <w:rFonts w:cstheme="minorHAnsi"/>
        </w:rPr>
        <w:t xml:space="preserve">non-communicable disease and represents a significant public health burden due to its association with age-related fractures and the resulting morbidity and mortality </w:t>
      </w:r>
      <w:r w:rsidRPr="00292B07">
        <w:rPr>
          <w:rFonts w:cstheme="minorHAnsi"/>
        </w:rPr>
        <w:fldChar w:fldCharType="begin"/>
      </w:r>
      <w:r w:rsidR="00564CE2">
        <w:rPr>
          <w:rFonts w:cstheme="minorHAnsi"/>
        </w:rPr>
        <w:instrText xml:space="preserve"> ADDIN EN.CITE &lt;EndNote&gt;&lt;Cite&gt;&lt;Author&gt;Kim&lt;/Author&gt;&lt;Year&gt;2012&lt;/Year&gt;&lt;RecNum&gt;15&lt;/RecNum&gt;&lt;DisplayText&gt;[5,6]&lt;/DisplayText&gt;&lt;record&gt;&lt;rec-number&gt;15&lt;/rec-number&gt;&lt;foreign-keys&gt;&lt;key app="EN" db-id="tfwvwzxv0zrszlesr085eddvz9vwesewfwsr" timestamp="1566897336"&gt;15&lt;/key&gt;&lt;/foreign-keys&gt;&lt;ref-type name="Journal Article"&gt;17&lt;/ref-type&gt;&lt;contributors&gt;&lt;authors&gt;&lt;author&gt;Kim, Sang-Min&lt;/author&gt;&lt;author&gt;Moon, Young-Wan&lt;/author&gt;&lt;author&gt;Lim, Seung-Jae&lt;/author&gt;&lt;author&gt;Yoon, Byung-Koo&lt;/author&gt;&lt;author&gt;Min, Yong-Ki&lt;/author&gt;&lt;author&gt;Lee, Dong-Yun&lt;/author&gt;&lt;author&gt;Park, Youn-Soo&lt;/author&gt;&lt;/authors&gt;&lt;/contributors&gt;&lt;titles&gt;&lt;title&gt;Prediction of survival, second fracture, and functional recovery following the first hip fracture surgery in elderly patients&lt;/title&gt;&lt;secondary-title&gt;Bone&lt;/secondary-title&gt;&lt;/titles&gt;&lt;periodical&gt;&lt;full-title&gt;Bone&lt;/full-title&gt;&lt;/periodical&gt;&lt;pages&gt;1343-1350&lt;/pages&gt;&lt;volume&gt;50&lt;/volume&gt;&lt;number&gt;6&lt;/number&gt;&lt;dates&gt;&lt;year&gt;2012&lt;/year&gt;&lt;/dates&gt;&lt;isbn&gt;8756-3282&lt;/isbn&gt;&lt;urls&gt;&lt;/urls&gt;&lt;/record&gt;&lt;/Cite&gt;&lt;Cite&gt;&lt;Author&gt;Abrahamsen&lt;/Author&gt;&lt;Year&gt;2009&lt;/Year&gt;&lt;RecNum&gt;16&lt;/RecNum&gt;&lt;record&gt;&lt;rec-number&gt;16&lt;/rec-number&gt;&lt;foreign-keys&gt;&lt;key app="EN" db-id="tfwvwzxv0zrszlesr085eddvz9vwesewfwsr" timestamp="1566897342"&gt;16&lt;/key&gt;&lt;/foreign-keys&gt;&lt;ref-type name="Journal Article"&gt;17&lt;/ref-type&gt;&lt;contributors&gt;&lt;authors&gt;&lt;author&gt;Abrahamsen, B&lt;/author&gt;&lt;author&gt;Van Staa, T&lt;/author&gt;&lt;author&gt;Ariely, R&lt;/author&gt;&lt;author&gt;Olson, M&lt;/author&gt;&lt;author&gt;Cooper, C&lt;/author&gt;&lt;/authors&gt;&lt;/contributors&gt;&lt;titles&gt;&lt;title&gt;Excess mortality following hip fracture: a systematic epidemiological review&lt;/title&gt;&lt;secondary-title&gt;Osteoporosis international&lt;/secondary-title&gt;&lt;/titles&gt;&lt;periodical&gt;&lt;full-title&gt;Osteoporosis international&lt;/full-title&gt;&lt;/periodical&gt;&lt;pages&gt;1633-1650&lt;/pages&gt;&lt;volume&gt;20&lt;/volume&gt;&lt;number&gt;10&lt;/number&gt;&lt;dates&gt;&lt;year&gt;2009&lt;/year&gt;&lt;/dates&gt;&lt;isbn&gt;0937-941X&lt;/isbn&gt;&lt;urls&gt;&lt;/urls&gt;&lt;/record&gt;&lt;/Cite&gt;&lt;/EndNote&gt;</w:instrText>
      </w:r>
      <w:r w:rsidRPr="00292B07">
        <w:rPr>
          <w:rFonts w:cstheme="minorHAnsi"/>
        </w:rPr>
        <w:fldChar w:fldCharType="separate"/>
      </w:r>
      <w:r w:rsidR="00564CE2">
        <w:rPr>
          <w:rFonts w:cstheme="minorHAnsi"/>
          <w:noProof/>
        </w:rPr>
        <w:t>[5,6]</w:t>
      </w:r>
      <w:r w:rsidRPr="00292B07">
        <w:rPr>
          <w:rFonts w:cstheme="minorHAnsi"/>
        </w:rPr>
        <w:fldChar w:fldCharType="end"/>
      </w:r>
      <w:r w:rsidRPr="00880F44">
        <w:rPr>
          <w:rFonts w:cstheme="minorHAnsi"/>
        </w:rPr>
        <w:t xml:space="preserve">. Greater peak bone mass (PBM) </w:t>
      </w:r>
      <w:r>
        <w:rPr>
          <w:rFonts w:cstheme="minorHAnsi"/>
        </w:rPr>
        <w:t>can</w:t>
      </w:r>
      <w:r w:rsidRPr="00880F44">
        <w:rPr>
          <w:rFonts w:cstheme="minorHAnsi"/>
        </w:rPr>
        <w:t xml:space="preserve"> significantly delay the onset of osteoporosis </w:t>
      </w:r>
      <w:r w:rsidRPr="00292B07">
        <w:rPr>
          <w:rFonts w:cstheme="minorHAnsi"/>
        </w:rPr>
        <w:fldChar w:fldCharType="begin"/>
      </w:r>
      <w:r w:rsidR="00564CE2">
        <w:rPr>
          <w:rFonts w:cstheme="minorHAnsi"/>
        </w:rPr>
        <w:instrText xml:space="preserve"> ADDIN EN.CITE &lt;EndNote&gt;&lt;Cite&gt;&lt;Author&gt;Hernandez&lt;/Author&gt;&lt;Year&gt;2003&lt;/Year&gt;&lt;RecNum&gt;14&lt;/RecNum&gt;&lt;DisplayText&gt;[7]&lt;/DisplayText&gt;&lt;record&gt;&lt;rec-number&gt;14&lt;/rec-number&gt;&lt;foreign-keys&gt;&lt;key app="EN" db-id="tfwvwzxv0zrszlesr085eddvz9vwesewfwsr" timestamp="1566896555"&gt;14&lt;/key&gt;&lt;/foreign-keys&gt;&lt;ref-type name="Journal Article"&gt;17&lt;/ref-type&gt;&lt;contributors&gt;&lt;authors&gt;&lt;author&gt;Hernandez, CJ&lt;/author&gt;&lt;author&gt;Beaupre, GS&lt;/author&gt;&lt;author&gt;Carter, DR&lt;/author&gt;&lt;/authors&gt;&lt;/contributors&gt;&lt;titles&gt;&lt;title&gt;A theoretical analysis of the relative influences of peak BMD, age-related bone loss and menopause on the development of osteoporosis&lt;/title&gt;&lt;secondary-title&gt;Osteoporosis international&lt;/secondary-title&gt;&lt;/titles&gt;&lt;periodical&gt;&lt;full-title&gt;Osteoporosis international&lt;/full-title&gt;&lt;/periodical&gt;&lt;pages&gt;843-847&lt;/pages&gt;&lt;volume&gt;14&lt;/volume&gt;&lt;number&gt;10&lt;/number&gt;&lt;dates&gt;&lt;year&gt;2003&lt;/year&gt;&lt;/dates&gt;&lt;isbn&gt;0937-941X&lt;/isbn&gt;&lt;urls&gt;&lt;/urls&gt;&lt;/record&gt;&lt;/Cite&gt;&lt;/EndNote&gt;</w:instrText>
      </w:r>
      <w:r w:rsidRPr="00292B07">
        <w:rPr>
          <w:rFonts w:cstheme="minorHAnsi"/>
        </w:rPr>
        <w:fldChar w:fldCharType="separate"/>
      </w:r>
      <w:r w:rsidR="00564CE2">
        <w:rPr>
          <w:rFonts w:cstheme="minorHAnsi"/>
          <w:noProof/>
        </w:rPr>
        <w:t>[7]</w:t>
      </w:r>
      <w:r w:rsidRPr="00292B07">
        <w:rPr>
          <w:rFonts w:cstheme="minorHAnsi"/>
        </w:rPr>
        <w:fldChar w:fldCharType="end"/>
      </w:r>
      <w:r w:rsidRPr="00880F44">
        <w:rPr>
          <w:rFonts w:cstheme="minorHAnsi"/>
        </w:rPr>
        <w:t xml:space="preserve">, with adult PBM likely to be influenced by bone development in utero and during early childhood </w:t>
      </w:r>
      <w:r w:rsidRPr="00292B07">
        <w:rPr>
          <w:rFonts w:cstheme="minorHAnsi"/>
        </w:rPr>
        <w:fldChar w:fldCharType="begin"/>
      </w:r>
      <w:r w:rsidR="00564CE2">
        <w:rPr>
          <w:rFonts w:cstheme="minorHAnsi"/>
        </w:rPr>
        <w:instrText xml:space="preserve"> ADDIN EN.CITE &lt;EndNote&gt;&lt;Cite&gt;&lt;Author&gt;Cooper&lt;/Author&gt;&lt;Year&gt;1995&lt;/Year&gt;&lt;RecNum&gt;115&lt;/RecNum&gt;&lt;DisplayText&gt;[8,9]&lt;/DisplayText&gt;&lt;record&gt;&lt;rec-number&gt;115&lt;/rec-number&gt;&lt;foreign-keys&gt;&lt;key app="EN" db-id="tfwvwzxv0zrszlesr085eddvz9vwesewfwsr" timestamp="1567762776"&gt;115&lt;/key&gt;&lt;/foreign-keys&gt;&lt;ref-type name="Journal Article"&gt;17&lt;/ref-type&gt;&lt;contributors&gt;&lt;authors&gt;&lt;author&gt;Cooper, Cyrus&lt;/author&gt;&lt;author&gt;Cawley, Michael&lt;/author&gt;&lt;author&gt;Bhalla, Ashok&lt;/author&gt;&lt;author&gt;Egger, Peter&lt;/author&gt;&lt;author&gt;Ring, Francis&lt;/author&gt;&lt;author&gt;Morton, Linda&lt;/author&gt;&lt;author&gt;Barker, David&lt;/author&gt;&lt;/authors&gt;&lt;/contributors&gt;&lt;titles&gt;&lt;title&gt;Childhood growth, physical activity, and peak bone mass in women&lt;/title&gt;&lt;secondary-title&gt;Journal of Bone and Mineral Research&lt;/secondary-title&gt;&lt;/titles&gt;&lt;periodical&gt;&lt;full-title&gt;Journal of Bone and Mineral Research&lt;/full-title&gt;&lt;/periodical&gt;&lt;pages&gt;940-947&lt;/pages&gt;&lt;volume&gt;10&lt;/volume&gt;&lt;number&gt;6&lt;/number&gt;&lt;dates&gt;&lt;year&gt;1995&lt;/year&gt;&lt;/dates&gt;&lt;isbn&gt;0884-0431&lt;/isbn&gt;&lt;urls&gt;&lt;/urls&gt;&lt;/record&gt;&lt;/Cite&gt;&lt;Cite&gt;&lt;Author&gt;Dennison&lt;/Author&gt;&lt;Year&gt;2005&lt;/Year&gt;&lt;RecNum&gt;116&lt;/RecNum&gt;&lt;record&gt;&lt;rec-number&gt;116&lt;/rec-number&gt;&lt;foreign-keys&gt;&lt;key app="EN" db-id="tfwvwzxv0zrszlesr085eddvz9vwesewfwsr" timestamp="1567762826"&gt;116&lt;/key&gt;&lt;/foreign-keys&gt;&lt;ref-type name="Journal Article"&gt;17&lt;/ref-type&gt;&lt;contributors&gt;&lt;authors&gt;&lt;author&gt;Dennison, Elaine M&lt;/author&gt;&lt;author&gt;Syddall, Holly E&lt;/author&gt;&lt;author&gt;Sayer, A Aihie&lt;/author&gt;&lt;author&gt;Gilbody, Helen J&lt;/author&gt;&lt;author&gt;Cooper, Cyrus&lt;/author&gt;&lt;/authors&gt;&lt;/contributors&gt;&lt;titles&gt;&lt;title&gt;Birth weight and weight at 1 year are independent determinants of bone mass in the seventh decade: the Hertfordshire cohort study&lt;/title&gt;&lt;secondary-title&gt;Pediatric research&lt;/secondary-title&gt;&lt;/titles&gt;&lt;periodical&gt;&lt;full-title&gt;Pediatric research&lt;/full-title&gt;&lt;/periodical&gt;&lt;pages&gt;582&lt;/pages&gt;&lt;volume&gt;57&lt;/volume&gt;&lt;number&gt;4&lt;/number&gt;&lt;dates&gt;&lt;year&gt;2005&lt;/year&gt;&lt;/dates&gt;&lt;isbn&gt;1530-0447&lt;/isbn&gt;&lt;urls&gt;&lt;/urls&gt;&lt;/record&gt;&lt;/Cite&gt;&lt;/EndNote&gt;</w:instrText>
      </w:r>
      <w:r w:rsidRPr="00292B07">
        <w:rPr>
          <w:rFonts w:cstheme="minorHAnsi"/>
        </w:rPr>
        <w:fldChar w:fldCharType="separate"/>
      </w:r>
      <w:r w:rsidR="00564CE2">
        <w:rPr>
          <w:rFonts w:cstheme="minorHAnsi"/>
          <w:noProof/>
        </w:rPr>
        <w:t>[8,9]</w:t>
      </w:r>
      <w:r w:rsidRPr="00292B07">
        <w:rPr>
          <w:rFonts w:cstheme="minorHAnsi"/>
        </w:rPr>
        <w:fldChar w:fldCharType="end"/>
      </w:r>
      <w:r w:rsidRPr="00880F44">
        <w:rPr>
          <w:rFonts w:cstheme="minorHAnsi"/>
        </w:rPr>
        <w:t xml:space="preserve">. Therefore, much importance has been placed on elucidating the early determinants of bone mineral accrual within the human </w:t>
      </w:r>
      <w:proofErr w:type="spellStart"/>
      <w:r w:rsidRPr="00880F44">
        <w:rPr>
          <w:rFonts w:cstheme="minorHAnsi"/>
        </w:rPr>
        <w:t>lifecourse</w:t>
      </w:r>
      <w:proofErr w:type="spellEnd"/>
      <w:r w:rsidRPr="00880F44">
        <w:rPr>
          <w:rFonts w:cstheme="minorHAnsi"/>
        </w:rPr>
        <w:t xml:space="preserve">. </w:t>
      </w:r>
    </w:p>
    <w:p w14:paraId="2F4531C6" w14:textId="64342C76" w:rsidR="00E401A5" w:rsidRPr="00880F44" w:rsidRDefault="00E401A5" w:rsidP="00E401A5">
      <w:pPr>
        <w:spacing w:before="240" w:after="120" w:line="480" w:lineRule="auto"/>
        <w:jc w:val="both"/>
        <w:rPr>
          <w:rFonts w:cstheme="minorHAnsi"/>
        </w:rPr>
      </w:pPr>
      <w:r w:rsidRPr="00880F44">
        <w:rPr>
          <w:rFonts w:cstheme="minorHAnsi"/>
        </w:rPr>
        <w:t>There is growing evidence of associations between placental morphology and offspring bone health. We have previously shown in the Southampton Women’s Survey (SWS) cohort that estimated placental volume (</w:t>
      </w:r>
      <w:r>
        <w:rPr>
          <w:rFonts w:cstheme="minorHAnsi"/>
        </w:rPr>
        <w:t>PV</w:t>
      </w:r>
      <w:r w:rsidRPr="00880F44">
        <w:rPr>
          <w:rFonts w:cstheme="minorHAnsi"/>
        </w:rPr>
        <w:t>) in mid-pregnancy (at 19 weeks</w:t>
      </w:r>
      <w:r>
        <w:rPr>
          <w:rFonts w:cstheme="minorHAnsi"/>
        </w:rPr>
        <w:t>’</w:t>
      </w:r>
      <w:r w:rsidRPr="00880F44">
        <w:rPr>
          <w:rFonts w:cstheme="minorHAnsi"/>
        </w:rPr>
        <w:t xml:space="preserve"> gestation) is associated with neonatal bone size and mineral content </w:t>
      </w:r>
      <w:r w:rsidRPr="00292B07">
        <w:rPr>
          <w:rFonts w:cstheme="minorHAnsi"/>
        </w:rPr>
        <w:fldChar w:fldCharType="begin"/>
      </w:r>
      <w:r w:rsidR="00564CE2">
        <w:rPr>
          <w:rFonts w:cstheme="minorHAnsi"/>
        </w:rPr>
        <w:instrText xml:space="preserve"> ADDIN EN.CITE &lt;EndNote&gt;&lt;Cite&gt;&lt;Author&gt;Holroyd&lt;/Author&gt;&lt;Year&gt;2012&lt;/Year&gt;&lt;RecNum&gt;2&lt;/RecNum&gt;&lt;DisplayText&gt;[10]&lt;/DisplayText&gt;&lt;record&gt;&lt;rec-number&gt;2&lt;/rec-number&gt;&lt;foreign-keys&gt;&lt;key app="EN" db-id="tfwvwzxv0zrszlesr085eddvz9vwesewfwsr" timestamp="1566574896"&gt;2&lt;/key&gt;&lt;/foreign-keys&gt;&lt;ref-type name="Journal Article"&gt;17&lt;/ref-type&gt;&lt;contributors&gt;&lt;authors&gt;&lt;author&gt;Holroyd, C. R.&lt;/author&gt;&lt;author&gt;Harvey, N. C.&lt;/author&gt;&lt;author&gt;Crozier, S. R.&lt;/author&gt;&lt;author&gt;Winder, N. R.&lt;/author&gt;&lt;author&gt;Mahon, P. A.&lt;/author&gt;&lt;author&gt;Ntani, G.&lt;/author&gt;&lt;author&gt;Godfrey, K. M.&lt;/author&gt;&lt;author&gt;Inskip, H. M.&lt;/author&gt;&lt;author&gt;Cooper, C.&lt;/author&gt;&lt;/authors&gt;&lt;/contributors&gt;&lt;titles&gt;&lt;title&gt;Placental size at 19 weeks predicts offspring bone mass at birth: Findings from the Southampton Women&amp;apos;s Survey&lt;/title&gt;&lt;secondary-title&gt;Placenta&lt;/secondary-title&gt;&lt;/titles&gt;&lt;periodical&gt;&lt;full-title&gt;Placenta&lt;/full-title&gt;&lt;/periodical&gt;&lt;pages&gt;623-629&lt;/pages&gt;&lt;volume&gt;33&lt;/volume&gt;&lt;number&gt;8&lt;/number&gt;&lt;keywords&gt;&lt;keyword&gt;Osteoporosis&lt;/keyword&gt;&lt;keyword&gt;Placenta&lt;/keyword&gt;&lt;keyword&gt;Bone mass&lt;/keyword&gt;&lt;keyword&gt;Bone density&lt;/keyword&gt;&lt;keyword&gt;Ultrasound&lt;/keyword&gt;&lt;/keywords&gt;&lt;dates&gt;&lt;year&gt;2012&lt;/year&gt;&lt;pub-dates&gt;&lt;date&gt;2012/08/01/&lt;/date&gt;&lt;/pub-dates&gt;&lt;/dates&gt;&lt;isbn&gt;0143-4004&lt;/isbn&gt;&lt;urls&gt;&lt;related-urls&gt;&lt;url&gt;http://www.sciencedirect.com/science/article/pii/S0143400412001622&lt;/url&gt;&lt;/related-urls&gt;&lt;/urls&gt;&lt;electronic-resource-num&gt;https://doi.org/10.1016/j.placenta.2012.04.007&lt;/electronic-resource-num&gt;&lt;/record&gt;&lt;/Cite&gt;&lt;/EndNote&gt;</w:instrText>
      </w:r>
      <w:r w:rsidRPr="00292B07">
        <w:rPr>
          <w:rFonts w:cstheme="minorHAnsi"/>
        </w:rPr>
        <w:fldChar w:fldCharType="separate"/>
      </w:r>
      <w:r w:rsidR="00564CE2">
        <w:rPr>
          <w:rFonts w:cstheme="minorHAnsi"/>
          <w:noProof/>
        </w:rPr>
        <w:t>[10]</w:t>
      </w:r>
      <w:r w:rsidRPr="00292B07">
        <w:rPr>
          <w:rFonts w:cstheme="minorHAnsi"/>
        </w:rPr>
        <w:fldChar w:fldCharType="end"/>
      </w:r>
      <w:r w:rsidRPr="00880F44">
        <w:rPr>
          <w:rFonts w:cstheme="minorHAnsi"/>
        </w:rPr>
        <w:t xml:space="preserve">. We have also shown in the Avon Longitudinal Study of Parents and Children (ALSPAC) cohort that placental size measured </w:t>
      </w:r>
      <w:r>
        <w:rPr>
          <w:rFonts w:cstheme="minorHAnsi"/>
        </w:rPr>
        <w:t>at birth</w:t>
      </w:r>
      <w:r w:rsidRPr="00880F44">
        <w:rPr>
          <w:rFonts w:cstheme="minorHAnsi"/>
        </w:rPr>
        <w:t xml:space="preserve"> is associated with offspring bone size and density at 9.9 years and in later adolescence </w:t>
      </w:r>
      <w:r w:rsidRPr="00292B07">
        <w:rPr>
          <w:rFonts w:cstheme="minorHAnsi"/>
        </w:rPr>
        <w:fldChar w:fldCharType="begin"/>
      </w:r>
      <w:r w:rsidR="00564CE2">
        <w:rPr>
          <w:rFonts w:cstheme="minorHAnsi"/>
        </w:rPr>
        <w:instrText xml:space="preserve"> ADDIN EN.CITE &lt;EndNote&gt;&lt;Cite&gt;&lt;Author&gt;Holroyd&lt;/Author&gt;&lt;Year&gt;2016&lt;/Year&gt;&lt;RecNum&gt;3&lt;/RecNum&gt;&lt;DisplayText&gt;[11]&lt;/DisplayText&gt;&lt;record&gt;&lt;rec-number&gt;3&lt;/rec-number&gt;&lt;foreign-keys&gt;&lt;key app="EN" db-id="tfwvwzxv0zrszlesr085eddvz9vwesewfwsr" timestamp="1566574983"&gt;3&lt;/key&gt;&lt;/foreign-keys&gt;&lt;ref-type name="Journal Article"&gt;17&lt;/ref-type&gt;&lt;contributors&gt;&lt;authors&gt;&lt;author&gt;Holroyd, Christopher R&lt;/author&gt;&lt;author&gt;Osmond, Clive&lt;/author&gt;&lt;author&gt;Barker, David JP&lt;/author&gt;&lt;author&gt;Ring, Sue M&lt;/author&gt;&lt;author&gt;Lawlor, Debbie A&lt;/author&gt;&lt;author&gt;Tobias, Jon H&lt;/author&gt;&lt;author&gt;Smith, George Davey&lt;/author&gt;&lt;author&gt;Cooper, Cyrus&lt;/author&gt;&lt;author&gt;Harvey, Nicholas C&lt;/author&gt;&lt;/authors&gt;&lt;/contributors&gt;&lt;titles&gt;&lt;title&gt;Placental Size Is Associated Differentially With Postnatal Bone Size and Density&lt;/title&gt;&lt;secondary-title&gt;Journal of Bone and Mineral Research&lt;/secondary-title&gt;&lt;/titles&gt;&lt;periodical&gt;&lt;full-title&gt;Journal of Bone and Mineral Research&lt;/full-title&gt;&lt;/periodical&gt;&lt;pages&gt;1855-1864&lt;/pages&gt;&lt;volume&gt;31&lt;/volume&gt;&lt;number&gt;10&lt;/number&gt;&lt;dates&gt;&lt;year&gt;2016&lt;/year&gt;&lt;/dates&gt;&lt;isbn&gt;0884-0431&lt;/isbn&gt;&lt;urls&gt;&lt;related-urls&gt;&lt;url&gt;https://asbmr.onlinelibrary.wiley.com/doi/abs/10.1002/jbmr.2840&lt;/url&gt;&lt;/related-urls&gt;&lt;/urls&gt;&lt;electronic-resource-num&gt;10.1002/jbmr.2840&lt;/electronic-resource-num&gt;&lt;/record&gt;&lt;/Cite&gt;&lt;/EndNote&gt;</w:instrText>
      </w:r>
      <w:r w:rsidRPr="00292B07">
        <w:rPr>
          <w:rFonts w:cstheme="minorHAnsi"/>
        </w:rPr>
        <w:fldChar w:fldCharType="separate"/>
      </w:r>
      <w:r w:rsidR="00564CE2">
        <w:rPr>
          <w:rFonts w:cstheme="minorHAnsi"/>
          <w:noProof/>
        </w:rPr>
        <w:t>[11]</w:t>
      </w:r>
      <w:r w:rsidRPr="00292B07">
        <w:rPr>
          <w:rFonts w:cstheme="minorHAnsi"/>
        </w:rPr>
        <w:fldChar w:fldCharType="end"/>
      </w:r>
      <w:r w:rsidRPr="00880F44">
        <w:rPr>
          <w:rFonts w:cstheme="minorHAnsi"/>
        </w:rPr>
        <w:t>. However, it is not known whether relationships between placental size and offspring bone mass are evident when placental size is assessed in the first trimester. The Southampton Women’s Survey (SWS) cohort offers an ideal opportunity to investigate this relationship</w:t>
      </w:r>
      <w:r>
        <w:rPr>
          <w:rFonts w:cstheme="minorHAnsi"/>
        </w:rPr>
        <w:t xml:space="preserve"> as</w:t>
      </w:r>
      <w:r w:rsidRPr="00880F44">
        <w:rPr>
          <w:rFonts w:cstheme="minorHAnsi"/>
        </w:rPr>
        <w:t xml:space="preserve"> </w:t>
      </w:r>
      <w:r>
        <w:rPr>
          <w:rFonts w:cstheme="minorHAnsi"/>
        </w:rPr>
        <w:t>PV</w:t>
      </w:r>
      <w:r w:rsidRPr="00880F44">
        <w:rPr>
          <w:rFonts w:cstheme="minorHAnsi"/>
        </w:rPr>
        <w:t xml:space="preserve"> was measured in a subset of participants at 11 weeks</w:t>
      </w:r>
      <w:r>
        <w:rPr>
          <w:rFonts w:cstheme="minorHAnsi"/>
        </w:rPr>
        <w:t>’</w:t>
      </w:r>
      <w:r w:rsidRPr="00880F44">
        <w:rPr>
          <w:rFonts w:cstheme="minorHAnsi"/>
        </w:rPr>
        <w:t xml:space="preserve"> gestation using 3D ultrasound scanning (3DUS) methods (which is </w:t>
      </w:r>
      <w:r>
        <w:rPr>
          <w:rFonts w:cstheme="minorHAnsi"/>
        </w:rPr>
        <w:t>superior to</w:t>
      </w:r>
      <w:r w:rsidRPr="00880F44">
        <w:rPr>
          <w:rFonts w:cstheme="minorHAnsi"/>
        </w:rPr>
        <w:t xml:space="preserve"> 2D ultrasound </w:t>
      </w:r>
      <w:r>
        <w:rPr>
          <w:rFonts w:cstheme="minorHAnsi"/>
        </w:rPr>
        <w:t>PV</w:t>
      </w:r>
      <w:r w:rsidRPr="00880F44">
        <w:rPr>
          <w:rFonts w:cstheme="minorHAnsi"/>
        </w:rPr>
        <w:t xml:space="preserve"> estimates</w:t>
      </w:r>
      <w:r>
        <w:rPr>
          <w:rFonts w:cstheme="minorHAnsi"/>
        </w:rPr>
        <w:t xml:space="preserve"> used in many older studies</w:t>
      </w:r>
      <w:r w:rsidRPr="00880F44">
        <w:rPr>
          <w:rFonts w:cstheme="minorHAnsi"/>
        </w:rPr>
        <w:t>) and bone measures in the offspring w</w:t>
      </w:r>
      <w:r>
        <w:rPr>
          <w:rFonts w:cstheme="minorHAnsi"/>
        </w:rPr>
        <w:t>ere</w:t>
      </w:r>
      <w:r w:rsidRPr="00880F44">
        <w:rPr>
          <w:rFonts w:cstheme="minorHAnsi"/>
        </w:rPr>
        <w:t xml:space="preserve"> subsequently characterised in detail using dual-energy X-ray absorptiometry (DXA) scanning. </w:t>
      </w:r>
    </w:p>
    <w:p w14:paraId="0C933E9E" w14:textId="77777777" w:rsidR="00E401A5" w:rsidRDefault="00E401A5" w:rsidP="00E401A5">
      <w:pPr>
        <w:spacing w:before="240" w:after="120" w:line="480" w:lineRule="auto"/>
        <w:jc w:val="both"/>
        <w:rPr>
          <w:rFonts w:cstheme="minorHAnsi"/>
        </w:rPr>
      </w:pPr>
      <w:r w:rsidRPr="00880F44">
        <w:rPr>
          <w:rFonts w:cstheme="minorHAnsi"/>
        </w:rPr>
        <w:lastRenderedPageBreak/>
        <w:t xml:space="preserve">Therefore, the aim of this study was to investigate whether </w:t>
      </w:r>
      <w:r>
        <w:rPr>
          <w:rFonts w:cstheme="minorHAnsi"/>
        </w:rPr>
        <w:t>PV</w:t>
      </w:r>
      <w:r w:rsidRPr="00880F44">
        <w:rPr>
          <w:rFonts w:cstheme="minorHAnsi"/>
        </w:rPr>
        <w:t xml:space="preserve"> measured at 11 weeks gestation using 3DUS is associated with offspring bone composition at birth within the SWS, a longitudinal prospective cohort study of women and their children, and whether these relationships persist into later childhood. </w:t>
      </w:r>
    </w:p>
    <w:p w14:paraId="07D5E408" w14:textId="77777777" w:rsidR="00E401A5" w:rsidRPr="00880F44" w:rsidRDefault="00E401A5" w:rsidP="00E401A5">
      <w:pPr>
        <w:spacing w:before="240" w:after="120" w:line="480" w:lineRule="auto"/>
        <w:jc w:val="both"/>
        <w:rPr>
          <w:rFonts w:cstheme="minorHAnsi"/>
        </w:rPr>
      </w:pPr>
    </w:p>
    <w:p w14:paraId="3399B5F6" w14:textId="77777777" w:rsidR="00E401A5" w:rsidRPr="00880F44" w:rsidRDefault="00E401A5" w:rsidP="00E401A5">
      <w:pPr>
        <w:spacing w:before="240" w:after="120" w:line="480" w:lineRule="auto"/>
        <w:jc w:val="both"/>
        <w:rPr>
          <w:rFonts w:cstheme="minorHAnsi"/>
          <w:b/>
        </w:rPr>
      </w:pPr>
      <w:r w:rsidRPr="00880F44">
        <w:rPr>
          <w:rFonts w:cstheme="minorHAnsi"/>
          <w:b/>
        </w:rPr>
        <w:t>Methods</w:t>
      </w:r>
    </w:p>
    <w:p w14:paraId="2AE67AE8" w14:textId="77777777" w:rsidR="00E401A5" w:rsidRPr="00880F44" w:rsidRDefault="00E401A5" w:rsidP="00E401A5">
      <w:pPr>
        <w:spacing w:before="240" w:after="120" w:line="480" w:lineRule="auto"/>
        <w:jc w:val="both"/>
        <w:rPr>
          <w:rFonts w:cstheme="minorHAnsi"/>
          <w:bCs/>
          <w:i/>
          <w:iCs/>
        </w:rPr>
      </w:pPr>
      <w:r w:rsidRPr="00880F44">
        <w:rPr>
          <w:rFonts w:cstheme="minorHAnsi"/>
          <w:bCs/>
          <w:i/>
          <w:iCs/>
        </w:rPr>
        <w:t>Participants</w:t>
      </w:r>
    </w:p>
    <w:p w14:paraId="6705D645" w14:textId="172E3D40" w:rsidR="00E401A5" w:rsidRPr="00880F44" w:rsidRDefault="00E401A5" w:rsidP="00E401A5">
      <w:pPr>
        <w:spacing w:before="240" w:after="120" w:line="480" w:lineRule="auto"/>
        <w:jc w:val="both"/>
        <w:rPr>
          <w:rFonts w:cstheme="minorHAnsi"/>
        </w:rPr>
      </w:pPr>
      <w:r w:rsidRPr="00880F44">
        <w:rPr>
          <w:rFonts w:cstheme="minorHAnsi"/>
        </w:rPr>
        <w:t xml:space="preserve">The SWS is </w:t>
      </w:r>
      <w:r>
        <w:rPr>
          <w:rFonts w:cstheme="minorHAnsi"/>
        </w:rPr>
        <w:t xml:space="preserve">a </w:t>
      </w:r>
      <w:r w:rsidRPr="00880F44">
        <w:rPr>
          <w:rFonts w:cstheme="minorHAnsi"/>
        </w:rPr>
        <w:t xml:space="preserve">prospective mother-offspring cohort study, investigating the effects of pre-pregnancy and pre-natal characteristics on offspring health. Details of the SWS have been described elsewhere </w:t>
      </w:r>
      <w:r w:rsidRPr="00292B07">
        <w:rPr>
          <w:rFonts w:cstheme="minorHAnsi"/>
        </w:rPr>
        <w:fldChar w:fldCharType="begin"/>
      </w:r>
      <w:r w:rsidR="00564CE2">
        <w:rPr>
          <w:rFonts w:cstheme="minorHAnsi"/>
        </w:rPr>
        <w:instrText xml:space="preserve"> ADDIN EN.CITE &lt;EndNote&gt;&lt;Cite&gt;&lt;Author&gt;Inskip&lt;/Author&gt;&lt;Year&gt;2005&lt;/Year&gt;&lt;RecNum&gt;1&lt;/RecNum&gt;&lt;DisplayText&gt;[12]&lt;/DisplayText&gt;&lt;record&gt;&lt;rec-number&gt;1&lt;/rec-number&gt;&lt;foreign-keys&gt;&lt;key app="EN" db-id="tfwvwzxv0zrszlesr085eddvz9vwesewfwsr" timestamp="1566569234"&gt;1&lt;/key&gt;&lt;/foreign-keys&gt;&lt;ref-type name="Journal Article"&gt;17&lt;/ref-type&gt;&lt;contributors&gt;&lt;authors&gt;&lt;author&gt;Inskip, Hazel M&lt;/author&gt;&lt;author&gt;and the SWS Study Group&lt;/author&gt;&lt;author&gt;Godfrey, Keith M&lt;/author&gt;&lt;author&gt;and the SWS Study Group&lt;/author&gt;&lt;author&gt;Robinson, Siân M&lt;/author&gt;&lt;author&gt;and the SWS Study Group&lt;/author&gt;&lt;author&gt;Law, Catherine M&lt;/author&gt;&lt;author&gt;and the SWS Study Group&lt;/author&gt;&lt;author&gt;Barker, David JP&lt;/author&gt;&lt;author&gt;and the SWS Study Group&lt;/author&gt;&lt;author&gt;Cooper, Cyrus&lt;/author&gt;&lt;author&gt;and the SWS Study Group&lt;/author&gt;&lt;/authors&gt;&lt;/contributors&gt;&lt;titles&gt;&lt;title&gt;Cohort profile: The Southampton Women&amp;apos;s Survey&lt;/title&gt;&lt;secondary-title&gt;International Journal of Epidemiology&lt;/secondary-title&gt;&lt;/titles&gt;&lt;periodical&gt;&lt;full-title&gt;International Journal of Epidemiology&lt;/full-title&gt;&lt;/periodical&gt;&lt;pages&gt;42-48&lt;/pages&gt;&lt;volume&gt;35&lt;/volume&gt;&lt;number&gt;1&lt;/number&gt;&lt;dates&gt;&lt;year&gt;2005&lt;/year&gt;&lt;/dates&gt;&lt;isbn&gt;0300-5771&lt;/isbn&gt;&lt;urls&gt;&lt;related-urls&gt;&lt;url&gt;https://doi.org/10.1093/ije/dyi202&lt;/url&gt;&lt;/related-urls&gt;&lt;/urls&gt;&lt;electronic-resource-num&gt;10.1093/ije/dyi202&lt;/electronic-resource-num&gt;&lt;access-date&gt;8/23/2019&lt;/access-date&gt;&lt;/record&gt;&lt;/Cite&gt;&lt;/EndNote&gt;</w:instrText>
      </w:r>
      <w:r w:rsidRPr="00292B07">
        <w:rPr>
          <w:rFonts w:cstheme="minorHAnsi"/>
        </w:rPr>
        <w:fldChar w:fldCharType="separate"/>
      </w:r>
      <w:r w:rsidR="00564CE2">
        <w:rPr>
          <w:rFonts w:cstheme="minorHAnsi"/>
          <w:noProof/>
        </w:rPr>
        <w:t>[12]</w:t>
      </w:r>
      <w:r w:rsidRPr="00292B07">
        <w:rPr>
          <w:rFonts w:cstheme="minorHAnsi"/>
        </w:rPr>
        <w:fldChar w:fldCharType="end"/>
      </w:r>
      <w:r w:rsidRPr="00880F44">
        <w:rPr>
          <w:rFonts w:cstheme="minorHAnsi"/>
        </w:rPr>
        <w:t>. In brief, between 1998 and 2002, 12,583 non-pregnant women aged 20-34 years were recruited via their GP from the general population of Southampton, England. Anthropometry and lifestyle assessment</w:t>
      </w:r>
      <w:r>
        <w:rPr>
          <w:rFonts w:cstheme="minorHAnsi"/>
        </w:rPr>
        <w:t>s</w:t>
      </w:r>
      <w:r w:rsidRPr="00880F44">
        <w:rPr>
          <w:rFonts w:cstheme="minorHAnsi"/>
        </w:rPr>
        <w:t xml:space="preserve"> were carried out at entry into the study and again in early (11 weeks</w:t>
      </w:r>
      <w:r>
        <w:rPr>
          <w:rFonts w:cstheme="minorHAnsi"/>
        </w:rPr>
        <w:t>’</w:t>
      </w:r>
      <w:r w:rsidRPr="00880F44">
        <w:rPr>
          <w:rFonts w:cstheme="minorHAnsi"/>
        </w:rPr>
        <w:t xml:space="preserve"> gestation) and late pregnancy (34 weeks</w:t>
      </w:r>
      <w:r>
        <w:rPr>
          <w:rFonts w:cstheme="minorHAnsi"/>
        </w:rPr>
        <w:t>’</w:t>
      </w:r>
      <w:r w:rsidRPr="00880F44">
        <w:rPr>
          <w:rFonts w:cstheme="minorHAnsi"/>
        </w:rPr>
        <w:t xml:space="preserve"> gestation) in those women who became pregnant. Maternal height was measured using a stadiometer (</w:t>
      </w:r>
      <w:proofErr w:type="spellStart"/>
      <w:r w:rsidRPr="00880F44">
        <w:rPr>
          <w:rFonts w:cstheme="minorHAnsi"/>
        </w:rPr>
        <w:t>Seca</w:t>
      </w:r>
      <w:proofErr w:type="spellEnd"/>
      <w:r w:rsidRPr="00880F44">
        <w:rPr>
          <w:rFonts w:cstheme="minorHAnsi"/>
        </w:rPr>
        <w:t>, Birmingham, UK), weight with calibrated digital scales (</w:t>
      </w:r>
      <w:proofErr w:type="spellStart"/>
      <w:r w:rsidRPr="00880F44">
        <w:rPr>
          <w:rFonts w:cstheme="minorHAnsi"/>
        </w:rPr>
        <w:t>Seca</w:t>
      </w:r>
      <w:proofErr w:type="spellEnd"/>
      <w:r w:rsidRPr="00880F44">
        <w:rPr>
          <w:rFonts w:cstheme="minorHAnsi"/>
        </w:rPr>
        <w:t xml:space="preserve">, Birmingham, UK) and skin fold thickness (biceps, triceps, subscapular and supra-iliac) with </w:t>
      </w:r>
      <w:proofErr w:type="spellStart"/>
      <w:r w:rsidRPr="007A7D23">
        <w:rPr>
          <w:rFonts w:cstheme="minorHAnsi"/>
        </w:rPr>
        <w:t>Holtain</w:t>
      </w:r>
      <w:proofErr w:type="spellEnd"/>
      <w:r w:rsidRPr="007A7D23">
        <w:rPr>
          <w:rFonts w:cstheme="minorHAnsi"/>
        </w:rPr>
        <w:t xml:space="preserve"> </w:t>
      </w:r>
      <w:r>
        <w:rPr>
          <w:rFonts w:cstheme="minorHAnsi"/>
        </w:rPr>
        <w:t>c</w:t>
      </w:r>
      <w:r w:rsidRPr="007A7D23">
        <w:rPr>
          <w:rFonts w:cstheme="minorHAnsi"/>
        </w:rPr>
        <w:t>allipers (CMS Instruments, London, UK)</w:t>
      </w:r>
      <w:r w:rsidRPr="00880F44">
        <w:rPr>
          <w:rFonts w:cstheme="minorHAnsi"/>
        </w:rPr>
        <w:t xml:space="preserve">. Research nurses carrying out these measurements underwent training and regular re-assessment to ensure consistency. Information </w:t>
      </w:r>
      <w:r>
        <w:rPr>
          <w:rFonts w:cstheme="minorHAnsi"/>
        </w:rPr>
        <w:t>on</w:t>
      </w:r>
      <w:r w:rsidRPr="00880F44">
        <w:rPr>
          <w:rFonts w:cstheme="minorHAnsi"/>
        </w:rPr>
        <w:t xml:space="preserve"> parity, smoking habit and socioeconomic status was gathered via questionnaire. Women were also asked to characterise their walking speed into one of five groups (very slow, stroll at an easy pace, normal speed, </w:t>
      </w:r>
      <w:proofErr w:type="gramStart"/>
      <w:r w:rsidRPr="00880F44">
        <w:rPr>
          <w:rFonts w:cstheme="minorHAnsi"/>
        </w:rPr>
        <w:t>fairly brisk</w:t>
      </w:r>
      <w:proofErr w:type="gramEnd"/>
      <w:r w:rsidRPr="00880F44">
        <w:rPr>
          <w:rFonts w:cstheme="minorHAnsi"/>
        </w:rPr>
        <w:t xml:space="preserve"> or fast). A total of 3</w:t>
      </w:r>
      <w:r w:rsidR="005F5881">
        <w:rPr>
          <w:rFonts w:cstheme="minorHAnsi"/>
        </w:rPr>
        <w:t>,</w:t>
      </w:r>
      <w:r w:rsidRPr="00880F44">
        <w:rPr>
          <w:rFonts w:cstheme="minorHAnsi"/>
        </w:rPr>
        <w:t>158 singleton pregnancies were followed. Only singleton pregnancies and the</w:t>
      </w:r>
      <w:r>
        <w:rPr>
          <w:rFonts w:cstheme="minorHAnsi"/>
        </w:rPr>
        <w:t xml:space="preserve"> first child born</w:t>
      </w:r>
      <w:r w:rsidRPr="00880F44">
        <w:rPr>
          <w:rFonts w:cstheme="minorHAnsi"/>
        </w:rPr>
        <w:t xml:space="preserve"> during the study time frame were included in the analysis. Child sex, gestational age, birthweight </w:t>
      </w:r>
      <w:r w:rsidR="005E11D7">
        <w:rPr>
          <w:rFonts w:cstheme="minorHAnsi"/>
        </w:rPr>
        <w:t>(</w:t>
      </w:r>
      <w:r w:rsidRPr="00880F44">
        <w:rPr>
          <w:rFonts w:cstheme="minorHAnsi"/>
        </w:rPr>
        <w:t xml:space="preserve">measured using calibrated digital scales </w:t>
      </w:r>
      <w:r w:rsidR="005E11D7">
        <w:rPr>
          <w:rFonts w:cstheme="minorHAnsi"/>
        </w:rPr>
        <w:t>[</w:t>
      </w:r>
      <w:proofErr w:type="spellStart"/>
      <w:r w:rsidRPr="00880F44">
        <w:rPr>
          <w:rFonts w:cstheme="minorHAnsi"/>
        </w:rPr>
        <w:t>Seca</w:t>
      </w:r>
      <w:proofErr w:type="spellEnd"/>
      <w:r w:rsidRPr="00880F44">
        <w:rPr>
          <w:rFonts w:cstheme="minorHAnsi"/>
        </w:rPr>
        <w:t>, Birmingham, UK</w:t>
      </w:r>
      <w:r w:rsidR="005E11D7">
        <w:rPr>
          <w:rFonts w:cstheme="minorHAnsi"/>
        </w:rPr>
        <w:t>])</w:t>
      </w:r>
      <w:r w:rsidRPr="00880F44">
        <w:rPr>
          <w:rFonts w:cstheme="minorHAnsi"/>
        </w:rPr>
        <w:t xml:space="preserve"> and crown-heel length </w:t>
      </w:r>
      <w:r w:rsidR="005E11D7">
        <w:rPr>
          <w:rFonts w:cstheme="minorHAnsi"/>
        </w:rPr>
        <w:t>(</w:t>
      </w:r>
      <w:r w:rsidRPr="00880F44">
        <w:rPr>
          <w:rFonts w:cstheme="minorHAnsi"/>
        </w:rPr>
        <w:t xml:space="preserve">measured using a </w:t>
      </w:r>
      <w:proofErr w:type="spellStart"/>
      <w:r w:rsidRPr="00880F44">
        <w:rPr>
          <w:rFonts w:cstheme="minorHAnsi"/>
        </w:rPr>
        <w:t>neonatometer</w:t>
      </w:r>
      <w:proofErr w:type="spellEnd"/>
      <w:r w:rsidRPr="00880F44">
        <w:rPr>
          <w:rFonts w:cstheme="minorHAnsi"/>
        </w:rPr>
        <w:t xml:space="preserve"> </w:t>
      </w:r>
      <w:r w:rsidR="005E11D7">
        <w:rPr>
          <w:rFonts w:cstheme="minorHAnsi"/>
        </w:rPr>
        <w:t>[</w:t>
      </w:r>
      <w:r w:rsidRPr="00880F44">
        <w:rPr>
          <w:rFonts w:cstheme="minorHAnsi"/>
        </w:rPr>
        <w:t>CMS Ltd, UK</w:t>
      </w:r>
      <w:r w:rsidR="005E11D7">
        <w:rPr>
          <w:rFonts w:cstheme="minorHAnsi"/>
        </w:rPr>
        <w:t>])</w:t>
      </w:r>
      <w:r w:rsidRPr="00880F44">
        <w:rPr>
          <w:rFonts w:cstheme="minorHAnsi"/>
        </w:rPr>
        <w:t xml:space="preserve"> were recorded at birth. </w:t>
      </w:r>
    </w:p>
    <w:p w14:paraId="65F9F38D" w14:textId="77777777" w:rsidR="00E401A5" w:rsidRPr="00880F44" w:rsidRDefault="00E401A5" w:rsidP="00E401A5">
      <w:pPr>
        <w:spacing w:before="240" w:after="120" w:line="480" w:lineRule="auto"/>
        <w:jc w:val="both"/>
        <w:rPr>
          <w:rFonts w:cstheme="minorHAnsi"/>
          <w:bCs/>
          <w:i/>
          <w:iCs/>
        </w:rPr>
      </w:pPr>
      <w:r w:rsidRPr="00880F44">
        <w:rPr>
          <w:rFonts w:cstheme="minorHAnsi"/>
          <w:bCs/>
          <w:i/>
          <w:iCs/>
        </w:rPr>
        <w:t xml:space="preserve">Prenatal 3D ultrasound </w:t>
      </w:r>
    </w:p>
    <w:p w14:paraId="410143EF" w14:textId="28DF70B4" w:rsidR="00E401A5" w:rsidRPr="00880F44" w:rsidRDefault="00E401A5" w:rsidP="00E401A5">
      <w:pPr>
        <w:spacing w:before="240" w:after="120" w:line="480" w:lineRule="auto"/>
        <w:jc w:val="both"/>
        <w:rPr>
          <w:rFonts w:cstheme="minorHAnsi"/>
        </w:rPr>
      </w:pPr>
      <w:r w:rsidRPr="00880F44">
        <w:rPr>
          <w:rFonts w:cstheme="minorHAnsi"/>
        </w:rPr>
        <w:lastRenderedPageBreak/>
        <w:t>A subset of pregnancies underwent 3DUS at the 11 weeks’ gestation follow-up appointment on an opportunistic basis as part of a feasibility trial for future 3DUS assessment. A high resolution 3DUS system (</w:t>
      </w:r>
      <w:proofErr w:type="spellStart"/>
      <w:r w:rsidRPr="00880F44">
        <w:rPr>
          <w:rFonts w:cstheme="minorHAnsi"/>
        </w:rPr>
        <w:t>Kretz</w:t>
      </w:r>
      <w:proofErr w:type="spellEnd"/>
      <w:r w:rsidRPr="00880F44">
        <w:rPr>
          <w:rFonts w:cstheme="minorHAnsi"/>
        </w:rPr>
        <w:t xml:space="preserve"> </w:t>
      </w:r>
      <w:proofErr w:type="spellStart"/>
      <w:r w:rsidRPr="00880F44">
        <w:rPr>
          <w:rFonts w:cstheme="minorHAnsi"/>
        </w:rPr>
        <w:t>Voluson</w:t>
      </w:r>
      <w:proofErr w:type="spellEnd"/>
      <w:r w:rsidRPr="00880F44">
        <w:rPr>
          <w:rFonts w:cstheme="minorHAnsi"/>
        </w:rPr>
        <w:t xml:space="preserve"> 730, </w:t>
      </w:r>
      <w:proofErr w:type="spellStart"/>
      <w:r w:rsidRPr="00880F44">
        <w:rPr>
          <w:rFonts w:cstheme="minorHAnsi"/>
        </w:rPr>
        <w:t>Zipf</w:t>
      </w:r>
      <w:proofErr w:type="spellEnd"/>
      <w:r w:rsidRPr="00880F44">
        <w:rPr>
          <w:rFonts w:cstheme="minorHAnsi"/>
        </w:rPr>
        <w:t xml:space="preserve">, Austria) fitted with a 3D curvilinear multi-frequency transducer was used to collect </w:t>
      </w:r>
      <w:r>
        <w:rPr>
          <w:rFonts w:cstheme="minorHAnsi"/>
        </w:rPr>
        <w:t>PV</w:t>
      </w:r>
      <w:r w:rsidRPr="00880F44">
        <w:rPr>
          <w:rFonts w:cstheme="minorHAnsi"/>
        </w:rPr>
        <w:t xml:space="preserve"> data. </w:t>
      </w:r>
      <w:r w:rsidR="004311FB" w:rsidRPr="00E83204">
        <w:rPr>
          <w:rFonts w:cstheme="minorHAnsi"/>
        </w:rPr>
        <w:t>In order to accommodate the exposure being derived from ultrasound, gestational age at 11 week 3DUS was calculated using an algorithm accounting for last menstrual period, cycle length and measurements taken from the 11 week 3DUS</w:t>
      </w:r>
      <w:r w:rsidR="002B31D7" w:rsidRPr="00E83204">
        <w:rPr>
          <w:rFonts w:cstheme="minorHAnsi"/>
        </w:rPr>
        <w:t xml:space="preserve"> </w:t>
      </w:r>
      <w:r w:rsidR="002B31D7" w:rsidRPr="00E83204">
        <w:rPr>
          <w:rFonts w:cstheme="minorHAnsi"/>
        </w:rPr>
        <w:fldChar w:fldCharType="begin">
          <w:fldData xml:space="preserve">PEVuZE5vdGU+PENpdGU+PEF1dGhvcj5QaWtlPC9BdXRob3I+PFllYXI+MjAxMDwvWWVhcj48UmVj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</w:fldData>
        </w:fldChar>
      </w:r>
      <w:r w:rsidR="002B31D7" w:rsidRPr="00E83204">
        <w:rPr>
          <w:rFonts w:cstheme="minorHAnsi"/>
        </w:rPr>
        <w:instrText xml:space="preserve"> ADDIN EN.CITE </w:instrText>
      </w:r>
      <w:r w:rsidR="002B31D7" w:rsidRPr="00E83204">
        <w:rPr>
          <w:rFonts w:cstheme="minorHAnsi"/>
        </w:rPr>
        <w:fldChar w:fldCharType="begin">
          <w:fldData xml:space="preserve">PEVuZE5vdGU+PENpdGU+PEF1dGhvcj5QaWtlPC9BdXRob3I+PFllYXI+MjAxMDwvWWVhcj48UmVj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</w:fldData>
        </w:fldChar>
      </w:r>
      <w:r w:rsidR="002B31D7" w:rsidRPr="00E83204">
        <w:rPr>
          <w:rFonts w:cstheme="minorHAnsi"/>
        </w:rPr>
        <w:instrText xml:space="preserve"> ADDIN EN.CITE.DATA </w:instrText>
      </w:r>
      <w:r w:rsidR="002B31D7" w:rsidRPr="00E83204">
        <w:rPr>
          <w:rFonts w:cstheme="minorHAnsi"/>
        </w:rPr>
      </w:r>
      <w:r w:rsidR="002B31D7" w:rsidRPr="00E83204">
        <w:rPr>
          <w:rFonts w:cstheme="minorHAnsi"/>
        </w:rPr>
        <w:fldChar w:fldCharType="end"/>
      </w:r>
      <w:r w:rsidR="002B31D7" w:rsidRPr="00E83204">
        <w:rPr>
          <w:rFonts w:cstheme="minorHAnsi"/>
        </w:rPr>
      </w:r>
      <w:r w:rsidR="002B31D7" w:rsidRPr="00E83204">
        <w:rPr>
          <w:rFonts w:cstheme="minorHAnsi"/>
        </w:rPr>
        <w:fldChar w:fldCharType="separate"/>
      </w:r>
      <w:r w:rsidR="002B31D7" w:rsidRPr="00E83204">
        <w:rPr>
          <w:rFonts w:cstheme="minorHAnsi"/>
          <w:noProof/>
        </w:rPr>
        <w:t>[13]</w:t>
      </w:r>
      <w:r w:rsidR="002B31D7" w:rsidRPr="00E83204">
        <w:rPr>
          <w:rFonts w:cstheme="minorHAnsi"/>
        </w:rPr>
        <w:fldChar w:fldCharType="end"/>
      </w:r>
      <w:r w:rsidR="002B31D7" w:rsidRPr="00E83204">
        <w:rPr>
          <w:rFonts w:cstheme="minorHAnsi"/>
        </w:rPr>
        <w:t>.</w:t>
      </w:r>
      <w:r w:rsidR="004311FB">
        <w:rPr>
          <w:rFonts w:cstheme="minorHAnsi"/>
        </w:rPr>
        <w:t xml:space="preserve"> </w:t>
      </w:r>
      <w:r w:rsidRPr="00880F44">
        <w:rPr>
          <w:rFonts w:cstheme="minorHAnsi"/>
        </w:rPr>
        <w:t xml:space="preserve">An experienced sonographer (PM) located the longest longitudinal section of the placenta on screen. From this </w:t>
      </w:r>
      <w:r>
        <w:rPr>
          <w:rFonts w:cstheme="minorHAnsi"/>
        </w:rPr>
        <w:t>location,</w:t>
      </w:r>
      <w:r w:rsidRPr="00880F44">
        <w:rPr>
          <w:rFonts w:cstheme="minorHAnsi"/>
        </w:rPr>
        <w:t xml:space="preserve"> a mechanical sweep within the transducer was activated to collect a 3D acquisition of the placenta in voxels. </w:t>
      </w:r>
      <w:r w:rsidRPr="00AE5347">
        <w:rPr>
          <w:rFonts w:cstheme="minorHAnsi"/>
        </w:rPr>
        <w:t xml:space="preserve">Using the 4D VIEW application (GE Medical Systems, </w:t>
      </w:r>
      <w:proofErr w:type="spellStart"/>
      <w:r w:rsidRPr="00AE5347">
        <w:rPr>
          <w:rFonts w:cstheme="minorHAnsi"/>
        </w:rPr>
        <w:t>Kretztechnik</w:t>
      </w:r>
      <w:proofErr w:type="spellEnd"/>
      <w:r w:rsidRPr="00AE5347">
        <w:rPr>
          <w:rFonts w:cstheme="minorHAnsi"/>
        </w:rPr>
        <w:t xml:space="preserve">, </w:t>
      </w:r>
      <w:proofErr w:type="spellStart"/>
      <w:r w:rsidRPr="00AE5347">
        <w:rPr>
          <w:rFonts w:cstheme="minorHAnsi"/>
        </w:rPr>
        <w:t>Zipf</w:t>
      </w:r>
      <w:proofErr w:type="spellEnd"/>
      <w:r w:rsidRPr="00AE5347">
        <w:rPr>
          <w:rFonts w:cstheme="minorHAnsi"/>
        </w:rPr>
        <w:t xml:space="preserve">, Austria) sequential parallel measurements of placental area in the longitudinal plane were acquired using the 3D multiplane function of the ultrasound system software. Each </w:t>
      </w:r>
      <w:r>
        <w:rPr>
          <w:rFonts w:cstheme="minorHAnsi"/>
        </w:rPr>
        <w:t xml:space="preserve">longitudinal </w:t>
      </w:r>
      <w:r w:rsidRPr="00AE5347">
        <w:rPr>
          <w:rFonts w:cstheme="minorHAnsi"/>
        </w:rPr>
        <w:t xml:space="preserve">section of </w:t>
      </w:r>
      <w:r>
        <w:rPr>
          <w:rFonts w:cstheme="minorHAnsi"/>
        </w:rPr>
        <w:t xml:space="preserve">placenta then </w:t>
      </w:r>
      <w:r w:rsidRPr="00AE5347">
        <w:rPr>
          <w:rFonts w:cstheme="minorHAnsi"/>
        </w:rPr>
        <w:t xml:space="preserve">had </w:t>
      </w:r>
      <w:r>
        <w:rPr>
          <w:rFonts w:cstheme="minorHAnsi"/>
        </w:rPr>
        <w:t>its border</w:t>
      </w:r>
      <w:r w:rsidRPr="00AE5347">
        <w:rPr>
          <w:rFonts w:cstheme="minorHAnsi"/>
        </w:rPr>
        <w:t xml:space="preserve"> traced on-screen by the sonographer. This circumference excluded the placental vascular bed. The distance between the parallel slices was set to 5</w:t>
      </w:r>
      <w:r w:rsidR="00A356E8">
        <w:rPr>
          <w:rFonts w:cstheme="minorHAnsi"/>
        </w:rPr>
        <w:t xml:space="preserve"> </w:t>
      </w:r>
      <w:r w:rsidRPr="00AE5347">
        <w:rPr>
          <w:rFonts w:cstheme="minorHAnsi"/>
        </w:rPr>
        <w:t>mm increments at the periphery of the placenta and in 10mm increments towards the centre of the placenta. The software calculated the volume of tissue between slices using the area traced and the distance between the slices, to obtain the full PV in mm³.</w:t>
      </w:r>
      <w:r>
        <w:rPr>
          <w:rFonts w:cstheme="minorHAnsi"/>
        </w:rPr>
        <w:t xml:space="preserve"> </w:t>
      </w:r>
      <w:r w:rsidRPr="00880F44">
        <w:rPr>
          <w:rFonts w:cstheme="minorHAnsi"/>
        </w:rPr>
        <w:t>This measurement process was repeated three times and the mean volume was used in the final analysis.</w:t>
      </w:r>
      <w:r w:rsidR="00B20F16">
        <w:rPr>
          <w:rFonts w:cstheme="minorHAnsi"/>
        </w:rPr>
        <w:t xml:space="preserve"> </w:t>
      </w:r>
      <w:r w:rsidR="00B20F16" w:rsidRPr="00CF1E01">
        <w:rPr>
          <w:rFonts w:cstheme="minorHAnsi"/>
        </w:rPr>
        <w:t>The coefficient of variation between the three PV measurements ranged between 0.1% and 13%, with an average of 1.2%.</w:t>
      </w:r>
      <w:r w:rsidRPr="00880F44">
        <w:rPr>
          <w:rFonts w:cstheme="minorHAnsi"/>
        </w:rPr>
        <w:t xml:space="preserve"> </w:t>
      </w:r>
      <w:r w:rsidR="00AC2632" w:rsidRPr="00A938A8">
        <w:rPr>
          <w:rFonts w:cstheme="minorHAnsi"/>
        </w:rPr>
        <w:t>Any large or anteriorly sited placentae were omitted from the analysis if the entirety of the placental tissue was not captured in scans, as were any scans where increased maternal body habitus or bowel gas content obscured placental boundaries.</w:t>
      </w:r>
    </w:p>
    <w:p w14:paraId="68980E40" w14:textId="77777777" w:rsidR="00E401A5" w:rsidRPr="00880F44" w:rsidRDefault="00E401A5" w:rsidP="00E401A5">
      <w:pPr>
        <w:spacing w:before="240" w:after="120" w:line="480" w:lineRule="auto"/>
        <w:jc w:val="both"/>
        <w:rPr>
          <w:rFonts w:cstheme="minorHAnsi"/>
          <w:bCs/>
          <w:i/>
          <w:iCs/>
        </w:rPr>
      </w:pPr>
      <w:r w:rsidRPr="00880F44">
        <w:rPr>
          <w:rFonts w:cstheme="minorHAnsi"/>
          <w:bCs/>
          <w:i/>
          <w:iCs/>
        </w:rPr>
        <w:t>Neonatal DXA assessment</w:t>
      </w:r>
    </w:p>
    <w:p w14:paraId="2C6792B4" w14:textId="77777777" w:rsidR="00E401A5" w:rsidRPr="00880F44" w:rsidRDefault="00E401A5" w:rsidP="00E401A5">
      <w:pPr>
        <w:spacing w:before="240" w:after="120" w:line="480" w:lineRule="auto"/>
        <w:jc w:val="both"/>
        <w:rPr>
          <w:rFonts w:cstheme="minorHAnsi"/>
        </w:rPr>
      </w:pPr>
      <w:r w:rsidRPr="00880F44">
        <w:rPr>
          <w:rFonts w:cstheme="minorHAnsi"/>
        </w:rPr>
        <w:t xml:space="preserve">A random subset of mothers recruited to the SWS from specific GP practices were approached to participate in a bone assessment </w:t>
      </w:r>
      <w:proofErr w:type="spellStart"/>
      <w:r w:rsidRPr="00880F44">
        <w:rPr>
          <w:rFonts w:cstheme="minorHAnsi"/>
        </w:rPr>
        <w:t>substudy</w:t>
      </w:r>
      <w:proofErr w:type="spellEnd"/>
      <w:r w:rsidRPr="00880F44">
        <w:rPr>
          <w:rFonts w:cstheme="minorHAnsi"/>
        </w:rPr>
        <w:t xml:space="preserve">. Specific GP practices were chosen in order to avoid participants being recruited into multiple </w:t>
      </w:r>
      <w:proofErr w:type="spellStart"/>
      <w:r w:rsidRPr="00880F44">
        <w:rPr>
          <w:rFonts w:cstheme="minorHAnsi"/>
        </w:rPr>
        <w:t>substudies</w:t>
      </w:r>
      <w:proofErr w:type="spellEnd"/>
      <w:r w:rsidRPr="00880F44">
        <w:rPr>
          <w:rFonts w:cstheme="minorHAnsi"/>
        </w:rPr>
        <w:t xml:space="preserve">. This subset was representative of the population of Southampton as a whole. </w:t>
      </w:r>
      <w:r>
        <w:rPr>
          <w:rFonts w:cstheme="minorHAnsi"/>
        </w:rPr>
        <w:t>Neonates</w:t>
      </w:r>
      <w:r w:rsidRPr="00880F44">
        <w:rPr>
          <w:rFonts w:cstheme="minorHAnsi"/>
        </w:rPr>
        <w:t xml:space="preserve"> </w:t>
      </w:r>
      <w:r>
        <w:rPr>
          <w:rFonts w:cstheme="minorHAnsi"/>
        </w:rPr>
        <w:t>underwent</w:t>
      </w:r>
      <w:r w:rsidRPr="00880F44">
        <w:rPr>
          <w:rFonts w:cstheme="minorHAnsi"/>
        </w:rPr>
        <w:t xml:space="preserve"> DXA assessment within two weeks of birth. The </w:t>
      </w:r>
      <w:r w:rsidRPr="00880F44">
        <w:rPr>
          <w:rFonts w:cstheme="minorHAnsi"/>
        </w:rPr>
        <w:lastRenderedPageBreak/>
        <w:t xml:space="preserve">child’s crown-heel length and weight were obtained from birth records, </w:t>
      </w:r>
      <w:r>
        <w:rPr>
          <w:rFonts w:cstheme="minorHAnsi"/>
        </w:rPr>
        <w:t xml:space="preserve">measured </w:t>
      </w:r>
      <w:r w:rsidRPr="00880F44">
        <w:rPr>
          <w:rFonts w:cstheme="minorHAnsi"/>
        </w:rPr>
        <w:t xml:space="preserve">as described above. The child’s age at the time of DXA assessment was also recorded. A Lunar DPX-L scanner (GE Corporation, Madison, WA, USA) with specific paediatric software (paediatric small scan mode v4.7c) was used. Neonates were completely undressed, pacified and fed if necessary and swaddled in a standard towel. The neonate was then placed on a waterproof mat in a standardised position for DXA assessment. Rice bags were placed at the bottom of the towel to minimise movement. Whole body scans were obtained, generating data on bone indices. Short-term and long-term coefficients of variation for this instrument for adult </w:t>
      </w:r>
      <w:proofErr w:type="gramStart"/>
      <w:r w:rsidRPr="00880F44">
        <w:rPr>
          <w:rFonts w:cstheme="minorHAnsi"/>
        </w:rPr>
        <w:t>whole body</w:t>
      </w:r>
      <w:proofErr w:type="gramEnd"/>
      <w:r w:rsidRPr="00880F44">
        <w:rPr>
          <w:rFonts w:cstheme="minorHAnsi"/>
        </w:rPr>
        <w:t xml:space="preserve"> BMD were 0.8% and 1.4% respectively. DXA scans were reviewed and those with excessive movement or clothing artefacts were omitted from the analysis.</w:t>
      </w:r>
    </w:p>
    <w:p w14:paraId="1C73DAFC" w14:textId="77777777" w:rsidR="00E401A5" w:rsidRPr="00880F44" w:rsidRDefault="00E401A5" w:rsidP="00E401A5">
      <w:pPr>
        <w:spacing w:before="240" w:after="120" w:line="480" w:lineRule="auto"/>
        <w:jc w:val="both"/>
        <w:rPr>
          <w:rFonts w:cstheme="minorHAnsi"/>
          <w:bCs/>
          <w:i/>
          <w:iCs/>
        </w:rPr>
      </w:pPr>
      <w:r w:rsidRPr="00880F44">
        <w:rPr>
          <w:rFonts w:cstheme="minorHAnsi"/>
          <w:bCs/>
          <w:i/>
          <w:iCs/>
        </w:rPr>
        <w:t>6</w:t>
      </w:r>
      <w:r>
        <w:rPr>
          <w:rFonts w:cstheme="minorHAnsi"/>
          <w:bCs/>
          <w:i/>
          <w:iCs/>
        </w:rPr>
        <w:t>-</w:t>
      </w:r>
      <w:r w:rsidRPr="00880F44">
        <w:rPr>
          <w:rFonts w:cstheme="minorHAnsi"/>
          <w:bCs/>
          <w:i/>
          <w:iCs/>
        </w:rPr>
        <w:t>year and 8</w:t>
      </w:r>
      <w:r>
        <w:rPr>
          <w:rFonts w:cstheme="minorHAnsi"/>
          <w:bCs/>
          <w:i/>
          <w:iCs/>
        </w:rPr>
        <w:t>-</w:t>
      </w:r>
      <w:r w:rsidRPr="00880F44">
        <w:rPr>
          <w:rFonts w:cstheme="minorHAnsi"/>
          <w:bCs/>
          <w:i/>
          <w:iCs/>
        </w:rPr>
        <w:t>year DXA assessment</w:t>
      </w:r>
    </w:p>
    <w:p w14:paraId="23A4B5FD" w14:textId="77777777" w:rsidR="00E401A5" w:rsidRPr="00880F44" w:rsidRDefault="00E401A5" w:rsidP="00E401A5">
      <w:pPr>
        <w:spacing w:before="240" w:after="120" w:line="480" w:lineRule="auto"/>
        <w:jc w:val="both"/>
        <w:rPr>
          <w:rFonts w:cstheme="minorHAnsi"/>
        </w:rPr>
      </w:pPr>
      <w:r w:rsidRPr="00880F44">
        <w:rPr>
          <w:rFonts w:cstheme="minorHAnsi"/>
        </w:rPr>
        <w:t xml:space="preserve">At 6 and 8 years </w:t>
      </w:r>
      <w:r>
        <w:rPr>
          <w:rFonts w:cstheme="minorHAnsi"/>
        </w:rPr>
        <w:t xml:space="preserve">of age, </w:t>
      </w:r>
      <w:r w:rsidRPr="00880F44">
        <w:rPr>
          <w:rFonts w:cstheme="minorHAnsi"/>
        </w:rPr>
        <w:t>children were invited for a repeat DXA assessment. The child’s height, using a Leicester height measurer (</w:t>
      </w:r>
      <w:proofErr w:type="spellStart"/>
      <w:r w:rsidRPr="00880F44">
        <w:rPr>
          <w:rFonts w:cstheme="minorHAnsi"/>
        </w:rPr>
        <w:t>Seca</w:t>
      </w:r>
      <w:proofErr w:type="spellEnd"/>
      <w:r w:rsidRPr="00880F44">
        <w:rPr>
          <w:rFonts w:cstheme="minorHAnsi"/>
        </w:rPr>
        <w:t>, Birmingham, UK), and weight, using calibrated digital scales (</w:t>
      </w:r>
      <w:proofErr w:type="spellStart"/>
      <w:r w:rsidRPr="00880F44">
        <w:rPr>
          <w:rFonts w:cstheme="minorHAnsi"/>
        </w:rPr>
        <w:t>Seca</w:t>
      </w:r>
      <w:proofErr w:type="spellEnd"/>
      <w:r w:rsidRPr="00880F44">
        <w:rPr>
          <w:rFonts w:cstheme="minorHAnsi"/>
        </w:rPr>
        <w:t>, Birmingham, UK) were measured. The child’s age at the time of DXA assessment was also recorded. A Hologic Discovery scanner (Hologic Inc., Bedford, MA, USA) was used in paediatric scan mode. To encourage compliance children were shown an age</w:t>
      </w:r>
      <w:r>
        <w:rPr>
          <w:rFonts w:cstheme="minorHAnsi"/>
        </w:rPr>
        <w:t>-</w:t>
      </w:r>
      <w:r w:rsidRPr="00880F44">
        <w:rPr>
          <w:rFonts w:cstheme="minorHAnsi"/>
        </w:rPr>
        <w:t>appropriate DVD and a bright sheet with appropriate pictures was laid on the couch. Whole body scans were obtained, generating data on bone indices. Coefficients of variation for this instrument for whole body BMD were 0.75%. DXA scans were reviewed and those with excessive movement or clothing artefacts were omitted from the analysis.</w:t>
      </w:r>
    </w:p>
    <w:p w14:paraId="00E6667B" w14:textId="77777777" w:rsidR="00E401A5" w:rsidRPr="00880F44" w:rsidRDefault="00E401A5" w:rsidP="00E401A5">
      <w:pPr>
        <w:spacing w:before="240" w:after="120" w:line="480" w:lineRule="auto"/>
        <w:jc w:val="both"/>
        <w:rPr>
          <w:rFonts w:cstheme="minorHAnsi"/>
          <w:bCs/>
          <w:i/>
          <w:iCs/>
        </w:rPr>
      </w:pPr>
      <w:r w:rsidRPr="00880F44">
        <w:rPr>
          <w:rFonts w:cstheme="minorHAnsi"/>
          <w:bCs/>
          <w:i/>
          <w:iCs/>
        </w:rPr>
        <w:t>Statistical analysis</w:t>
      </w:r>
    </w:p>
    <w:p w14:paraId="21F63FAC" w14:textId="5F085C42" w:rsidR="00E401A5" w:rsidRDefault="00E401A5" w:rsidP="00E401A5">
      <w:pPr>
        <w:spacing w:before="240" w:after="120" w:line="480" w:lineRule="auto"/>
        <w:jc w:val="both"/>
        <w:rPr>
          <w:rFonts w:cstheme="minorHAnsi"/>
        </w:rPr>
      </w:pPr>
      <w:r w:rsidRPr="00880F44">
        <w:rPr>
          <w:rFonts w:cstheme="minorHAnsi"/>
        </w:rPr>
        <w:t xml:space="preserve">All baseline characteristics were checked for normality of distribution. Unpaired </w:t>
      </w:r>
      <w:r w:rsidRPr="00880F44">
        <w:rPr>
          <w:rFonts w:cstheme="minorHAnsi"/>
          <w:i/>
        </w:rPr>
        <w:t>t</w:t>
      </w:r>
      <w:r w:rsidRPr="00880F44">
        <w:rPr>
          <w:rFonts w:cstheme="minorHAnsi"/>
        </w:rPr>
        <w:t xml:space="preserve">-tests and Mann-Whitney </w:t>
      </w:r>
      <w:r w:rsidRPr="00880F44">
        <w:rPr>
          <w:rFonts w:cstheme="minorHAnsi"/>
          <w:i/>
        </w:rPr>
        <w:t>U</w:t>
      </w:r>
      <w:r w:rsidRPr="00880F44">
        <w:rPr>
          <w:rFonts w:cstheme="minorHAnsi"/>
        </w:rPr>
        <w:t xml:space="preserve"> tests were used to compare normally distributed and non-normally distributed maternal baseline characteristics respectively against the larger SWS cohort. </w:t>
      </w:r>
      <w:r>
        <w:rPr>
          <w:rFonts w:cstheme="minorHAnsi"/>
        </w:rPr>
        <w:t xml:space="preserve">The same tests </w:t>
      </w:r>
      <w:r w:rsidRPr="00880F44">
        <w:rPr>
          <w:rFonts w:cstheme="minorHAnsi"/>
        </w:rPr>
        <w:t xml:space="preserve">were used to compare offspring baseline characteristics by sex. Bone outcomes of interest were whole body bone </w:t>
      </w:r>
      <w:r w:rsidRPr="001B2906">
        <w:rPr>
          <w:rFonts w:cstheme="minorHAnsi"/>
        </w:rPr>
        <w:lastRenderedPageBreak/>
        <w:t xml:space="preserve">area (BA), whole body bone mineral content (BMC) and </w:t>
      </w:r>
      <w:proofErr w:type="gramStart"/>
      <w:r w:rsidRPr="001B2906">
        <w:rPr>
          <w:rFonts w:cstheme="minorHAnsi"/>
        </w:rPr>
        <w:t>whole body</w:t>
      </w:r>
      <w:proofErr w:type="gramEnd"/>
      <w:r w:rsidRPr="001B2906">
        <w:rPr>
          <w:rFonts w:cstheme="minorHAnsi"/>
        </w:rPr>
        <w:t xml:space="preserve"> areal bone mineral density (</w:t>
      </w:r>
      <w:proofErr w:type="spellStart"/>
      <w:r w:rsidRPr="001B2906">
        <w:rPr>
          <w:rFonts w:cstheme="minorHAnsi"/>
        </w:rPr>
        <w:t>aBMD</w:t>
      </w:r>
      <w:proofErr w:type="spellEnd"/>
      <w:r w:rsidRPr="001B2906">
        <w:rPr>
          <w:rFonts w:cstheme="minorHAnsi"/>
        </w:rPr>
        <w:t>). To allow for body size, whole body size-corrected bone mineral content (</w:t>
      </w:r>
      <w:proofErr w:type="spellStart"/>
      <w:r w:rsidRPr="001B2906">
        <w:rPr>
          <w:rFonts w:cstheme="minorHAnsi"/>
        </w:rPr>
        <w:t>scBMC</w:t>
      </w:r>
      <w:proofErr w:type="spellEnd"/>
      <w:r w:rsidRPr="001B2906">
        <w:rPr>
          <w:rFonts w:cstheme="minorHAnsi"/>
        </w:rPr>
        <w:t>) was also assessed (i.e. BMC adjusted for BA and the offspring’s length or height, and weight using linear regression). For 6- and 8-year DXA data outcomes were whole body measurement</w:t>
      </w:r>
      <w:r w:rsidR="008E0C81">
        <w:rPr>
          <w:rFonts w:cstheme="minorHAnsi"/>
        </w:rPr>
        <w:t>,</w:t>
      </w:r>
      <w:r w:rsidRPr="001B2906">
        <w:rPr>
          <w:rFonts w:cstheme="minorHAnsi"/>
        </w:rPr>
        <w:t xml:space="preserve"> excluding heads. </w:t>
      </w:r>
      <w:r w:rsidRPr="004475BC">
        <w:rPr>
          <w:rFonts w:cstheme="minorHAnsi"/>
        </w:rPr>
        <w:t xml:space="preserve">All </w:t>
      </w:r>
      <w:proofErr w:type="gramStart"/>
      <w:r w:rsidRPr="004475BC">
        <w:rPr>
          <w:rFonts w:cstheme="minorHAnsi"/>
        </w:rPr>
        <w:t>11 week</w:t>
      </w:r>
      <w:proofErr w:type="gramEnd"/>
      <w:r w:rsidRPr="004475BC">
        <w:rPr>
          <w:rFonts w:cstheme="minorHAnsi"/>
        </w:rPr>
        <w:t xml:space="preserve"> PVs were </w:t>
      </w:r>
      <w:r w:rsidR="00EC5870" w:rsidRPr="004475BC">
        <w:rPr>
          <w:rFonts w:cstheme="minorHAnsi"/>
        </w:rPr>
        <w:t>pre-</w:t>
      </w:r>
      <w:r w:rsidRPr="004475BC">
        <w:rPr>
          <w:rFonts w:cstheme="minorHAnsi"/>
        </w:rPr>
        <w:t>adjusted for gestational age at 11 week 3DUS scan before further analysis using linear regression.</w:t>
      </w:r>
      <w:r w:rsidR="007A4387">
        <w:rPr>
          <w:rFonts w:cstheme="minorHAnsi"/>
        </w:rPr>
        <w:t xml:space="preserve"> </w:t>
      </w:r>
      <w:r w:rsidRPr="001B2906">
        <w:rPr>
          <w:rFonts w:cstheme="minorHAnsi"/>
        </w:rPr>
        <w:t>Outcomes</w:t>
      </w:r>
      <w:r w:rsidRPr="00880F44">
        <w:rPr>
          <w:rFonts w:cstheme="minorHAnsi"/>
        </w:rPr>
        <w:t xml:space="preserve"> of interest at neonatal, 6</w:t>
      </w:r>
      <w:r>
        <w:rPr>
          <w:rFonts w:cstheme="minorHAnsi"/>
        </w:rPr>
        <w:t xml:space="preserve">-year </w:t>
      </w:r>
      <w:r w:rsidRPr="00880F44">
        <w:rPr>
          <w:rFonts w:cstheme="minorHAnsi"/>
        </w:rPr>
        <w:t>and 8</w:t>
      </w:r>
      <w:r>
        <w:rPr>
          <w:rFonts w:cstheme="minorHAnsi"/>
        </w:rPr>
        <w:t>-</w:t>
      </w:r>
      <w:r w:rsidRPr="00880F44">
        <w:rPr>
          <w:rFonts w:cstheme="minorHAnsi"/>
        </w:rPr>
        <w:t xml:space="preserve">year DXA assessment were initially related to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using univaria</w:t>
      </w:r>
      <w:r>
        <w:rPr>
          <w:rFonts w:cstheme="minorHAnsi"/>
        </w:rPr>
        <w:t>ble</w:t>
      </w:r>
      <w:r w:rsidRPr="00880F44">
        <w:rPr>
          <w:rFonts w:cstheme="minorHAnsi"/>
        </w:rPr>
        <w:t xml:space="preserve"> linear regression analyses.</w:t>
      </w:r>
      <w:r w:rsidR="007A4387">
        <w:rPr>
          <w:rFonts w:cstheme="minorHAnsi"/>
        </w:rPr>
        <w:t xml:space="preserve"> </w:t>
      </w:r>
    </w:p>
    <w:p w14:paraId="7248797F" w14:textId="0AB81086" w:rsidR="00FF755A" w:rsidRDefault="00E401A5" w:rsidP="00E401A5">
      <w:pPr>
        <w:spacing w:before="240" w:after="120" w:line="480" w:lineRule="auto"/>
        <w:jc w:val="both"/>
        <w:rPr>
          <w:rFonts w:cstheme="minorHAnsi"/>
        </w:rPr>
      </w:pPr>
      <w:r w:rsidRPr="00880F44">
        <w:rPr>
          <w:rFonts w:cstheme="minorHAnsi"/>
        </w:rPr>
        <w:t>A series of multivaria</w:t>
      </w:r>
      <w:r>
        <w:rPr>
          <w:rFonts w:cstheme="minorHAnsi"/>
        </w:rPr>
        <w:t>ble</w:t>
      </w:r>
      <w:r w:rsidRPr="00880F44">
        <w:rPr>
          <w:rFonts w:cstheme="minorHAnsi"/>
        </w:rPr>
        <w:t xml:space="preserve"> linear regression analyses were then carried out to </w:t>
      </w:r>
      <w:r>
        <w:rPr>
          <w:rFonts w:cstheme="minorHAnsi"/>
        </w:rPr>
        <w:t>adjust for confounding variables</w:t>
      </w:r>
      <w:r w:rsidRPr="00880F44">
        <w:rPr>
          <w:rFonts w:cstheme="minorHAnsi"/>
        </w:rPr>
        <w:t xml:space="preserve">. A directed acyclic graph (DAG) was first constructed using the </w:t>
      </w:r>
      <w:proofErr w:type="spellStart"/>
      <w:r w:rsidRPr="00880F44">
        <w:rPr>
          <w:rFonts w:cstheme="minorHAnsi"/>
        </w:rPr>
        <w:t>DAGitty</w:t>
      </w:r>
      <w:proofErr w:type="spellEnd"/>
      <w:r w:rsidRPr="00880F44">
        <w:rPr>
          <w:rFonts w:cstheme="minorHAnsi"/>
        </w:rPr>
        <w:t xml:space="preserve"> web application (</w:t>
      </w:r>
      <w:hyperlink r:id="rId7" w:history="1">
        <w:r w:rsidRPr="00C14DEF">
          <w:rPr>
            <w:rStyle w:val="Hyperlink"/>
            <w:rFonts w:cstheme="minorHAnsi"/>
          </w:rPr>
          <w:t>www.dagitty.net</w:t>
        </w:r>
      </w:hyperlink>
      <w:r w:rsidRPr="00880F44">
        <w:rPr>
          <w:rFonts w:cstheme="minorHAnsi"/>
        </w:rPr>
        <w:t xml:space="preserve">) </w:t>
      </w:r>
      <w:r>
        <w:rPr>
          <w:rFonts w:cstheme="minorHAnsi"/>
        </w:rPr>
        <w:t>incorporating</w:t>
      </w:r>
      <w:r w:rsidRPr="00880F44">
        <w:rPr>
          <w:rFonts w:cstheme="minorHAnsi"/>
        </w:rPr>
        <w:t xml:space="preserve"> maternal and offspring factors informed by literature review and biological plausibility (see Supplementary Figure 1). A minimal </w:t>
      </w:r>
      <w:r>
        <w:rPr>
          <w:rFonts w:cstheme="minorHAnsi"/>
        </w:rPr>
        <w:t>set</w:t>
      </w:r>
      <w:r w:rsidRPr="00880F44">
        <w:rPr>
          <w:rFonts w:cstheme="minorHAnsi"/>
        </w:rPr>
        <w:t xml:space="preserve"> was generated by </w:t>
      </w:r>
      <w:proofErr w:type="spellStart"/>
      <w:r w:rsidRPr="00880F44">
        <w:rPr>
          <w:rFonts w:cstheme="minorHAnsi"/>
        </w:rPr>
        <w:t>DAGitty</w:t>
      </w:r>
      <w:proofErr w:type="spellEnd"/>
      <w:r w:rsidRPr="00880F44">
        <w:rPr>
          <w:rFonts w:cstheme="minorHAnsi"/>
        </w:rPr>
        <w:t xml:space="preserve"> using these covariates which included</w:t>
      </w:r>
      <w:r>
        <w:rPr>
          <w:rFonts w:cstheme="minorHAnsi"/>
        </w:rPr>
        <w:t>:</w:t>
      </w:r>
      <w:r w:rsidRPr="00880F44">
        <w:rPr>
          <w:rFonts w:cstheme="minorHAnsi"/>
        </w:rPr>
        <w:t xml:space="preserve"> maternal age, smoking status, triceps skinfold thickness, walking speed (all measured at 11 weeks</w:t>
      </w:r>
      <w:r>
        <w:rPr>
          <w:rFonts w:cstheme="minorHAnsi"/>
        </w:rPr>
        <w:t>’</w:t>
      </w:r>
      <w:r w:rsidRPr="00880F44">
        <w:rPr>
          <w:rFonts w:cstheme="minorHAnsi"/>
        </w:rPr>
        <w:t xml:space="preserve"> gestation), maternal height and parity (both measured at study recruitment) and offspring sex</w:t>
      </w:r>
      <w:r>
        <w:rPr>
          <w:rFonts w:cstheme="minorHAnsi"/>
        </w:rPr>
        <w:t xml:space="preserve"> and g</w:t>
      </w:r>
      <w:r w:rsidRPr="00D064D9">
        <w:rPr>
          <w:rFonts w:cstheme="minorHAnsi"/>
        </w:rPr>
        <w:t>estational age at 11 week 3DUS</w:t>
      </w:r>
      <w:r>
        <w:rPr>
          <w:rFonts w:cstheme="minorHAnsi"/>
        </w:rPr>
        <w:t xml:space="preserve"> scan</w:t>
      </w:r>
      <w:r w:rsidRPr="00880F44">
        <w:rPr>
          <w:rFonts w:cstheme="minorHAnsi"/>
        </w:rPr>
        <w:t xml:space="preserve">. Offspring age at DXA scan </w:t>
      </w:r>
      <w:r>
        <w:rPr>
          <w:rFonts w:cstheme="minorHAnsi"/>
        </w:rPr>
        <w:t>was included as an additional covariate to increase precision of the associations.</w:t>
      </w:r>
      <w:r w:rsidRPr="00880F44">
        <w:rPr>
          <w:rFonts w:cstheme="minorHAnsi"/>
        </w:rPr>
        <w:t xml:space="preserve"> </w:t>
      </w:r>
      <w:r w:rsidR="00035D4A" w:rsidRPr="00B16997">
        <w:rPr>
          <w:rFonts w:cstheme="minorHAnsi"/>
        </w:rPr>
        <w:t>Furthermore, gestational age at delivery was included as an additional covariate for neonatal data only, due to positive associations being evident in preliminary analyses between gestational age at delivery and bone outcomes at this time point, but not at later ages.</w:t>
      </w:r>
      <w:r w:rsidR="00035D4A">
        <w:rPr>
          <w:rFonts w:cstheme="minorHAnsi"/>
        </w:rPr>
        <w:t xml:space="preserve"> </w:t>
      </w:r>
      <w:r>
        <w:rPr>
          <w:rFonts w:cstheme="minorHAnsi"/>
        </w:rPr>
        <w:t xml:space="preserve">A further model including birthweight in addition to the previous covariates was </w:t>
      </w:r>
      <w:r w:rsidR="00256F7A">
        <w:rPr>
          <w:rFonts w:cstheme="minorHAnsi"/>
        </w:rPr>
        <w:t xml:space="preserve">also </w:t>
      </w:r>
      <w:r>
        <w:rPr>
          <w:rFonts w:cstheme="minorHAnsi"/>
        </w:rPr>
        <w:t xml:space="preserve">used to investigate whether PV-bone associations might be explained in part by birthweight. </w:t>
      </w:r>
      <w:r w:rsidR="00256F7A" w:rsidRPr="00EE6E78">
        <w:rPr>
          <w:rFonts w:cstheme="minorHAnsi"/>
        </w:rPr>
        <w:t>Finally, i</w:t>
      </w:r>
      <w:r w:rsidR="00C67A13" w:rsidRPr="00EE6E78">
        <w:rPr>
          <w:rFonts w:cstheme="minorHAnsi"/>
        </w:rPr>
        <w:t xml:space="preserve">n order to investigate potential relationships over time, we additionally performed a multilevel model looking at the effect of placental volume on </w:t>
      </w:r>
      <w:proofErr w:type="spellStart"/>
      <w:r w:rsidR="00C67A13" w:rsidRPr="00EE6E78">
        <w:rPr>
          <w:rFonts w:cstheme="minorHAnsi"/>
        </w:rPr>
        <w:t>scBMC</w:t>
      </w:r>
      <w:proofErr w:type="spellEnd"/>
      <w:r w:rsidR="00C67A13" w:rsidRPr="00EE6E78">
        <w:rPr>
          <w:rFonts w:cstheme="minorHAnsi"/>
        </w:rPr>
        <w:t xml:space="preserve"> over time, </w:t>
      </w:r>
      <w:proofErr w:type="gramStart"/>
      <w:r w:rsidR="00C67A13" w:rsidRPr="00EE6E78">
        <w:rPr>
          <w:rFonts w:cstheme="minorHAnsi"/>
        </w:rPr>
        <w:t>taking into account</w:t>
      </w:r>
      <w:proofErr w:type="gramEnd"/>
      <w:r w:rsidR="00C67A13" w:rsidRPr="00EE6E78">
        <w:rPr>
          <w:rFonts w:cstheme="minorHAnsi"/>
        </w:rPr>
        <w:t xml:space="preserve"> the within-subject correlation.</w:t>
      </w:r>
      <w:r w:rsidR="00C67A13">
        <w:rPr>
          <w:rFonts w:cstheme="minorHAnsi"/>
        </w:rPr>
        <w:t xml:space="preserve"> </w:t>
      </w:r>
    </w:p>
    <w:p w14:paraId="7EF56BCB" w14:textId="6E6E8DC3" w:rsidR="00E401A5" w:rsidRDefault="00D26BE7" w:rsidP="00E401A5">
      <w:pPr>
        <w:spacing w:before="240" w:after="120" w:line="480" w:lineRule="auto"/>
        <w:jc w:val="both"/>
        <w:rPr>
          <w:rFonts w:cstheme="minorHAnsi"/>
        </w:rPr>
      </w:pPr>
      <w:r w:rsidRPr="008D0ED5">
        <w:rPr>
          <w:rFonts w:cstheme="minorHAnsi"/>
        </w:rPr>
        <w:t>Analyses at each timepoint used all available participants with data for the dependent variable of interest</w:t>
      </w:r>
      <w:r w:rsidR="00E401A5" w:rsidRPr="008D0ED5">
        <w:rPr>
          <w:rFonts w:cstheme="minorHAnsi"/>
        </w:rPr>
        <w:t>.</w:t>
      </w:r>
      <w:r w:rsidR="00E401A5" w:rsidRPr="00880F44">
        <w:rPr>
          <w:rFonts w:cstheme="minorHAnsi"/>
        </w:rPr>
        <w:t xml:space="preserve"> 11 week </w:t>
      </w:r>
      <w:r w:rsidR="00E401A5">
        <w:rPr>
          <w:rFonts w:cstheme="minorHAnsi"/>
        </w:rPr>
        <w:t>PV</w:t>
      </w:r>
      <w:r w:rsidR="00E401A5" w:rsidRPr="00880F44">
        <w:rPr>
          <w:rFonts w:cstheme="minorHAnsi"/>
        </w:rPr>
        <w:t xml:space="preserve"> and outcome variables were transformed to normality using a Fisher-Yates transformation (</w:t>
      </w:r>
      <w:r w:rsidR="00E401A5" w:rsidRPr="00880F44">
        <w:rPr>
          <w:rFonts w:cstheme="minorHAnsi"/>
          <w:i/>
        </w:rPr>
        <w:t>z</w:t>
      </w:r>
      <w:r w:rsidR="00E401A5" w:rsidRPr="00880F44">
        <w:rPr>
          <w:rFonts w:cstheme="minorHAnsi"/>
        </w:rPr>
        <w:t>-scores with a mean of 0 and a SD of 1)</w:t>
      </w:r>
      <w:r w:rsidR="00E401A5">
        <w:rPr>
          <w:rFonts w:cstheme="minorHAnsi"/>
        </w:rPr>
        <w:t xml:space="preserve"> </w:t>
      </w:r>
      <w:r w:rsidR="00E401A5">
        <w:rPr>
          <w:rFonts w:cstheme="minorHAnsi"/>
        </w:rPr>
        <w:fldChar w:fldCharType="begin"/>
      </w:r>
      <w:r w:rsidR="002B31D7">
        <w:rPr>
          <w:rFonts w:cstheme="minorHAnsi"/>
        </w:rPr>
        <w:instrText xml:space="preserve"> ADDIN EN.CITE &lt;EndNote&gt;&lt;Cite&gt;&lt;Author&gt;Armitage&lt;/Author&gt;&lt;Year&gt;2008&lt;/Year&gt;&lt;RecNum&gt;0&lt;/RecNum&gt;&lt;IDText&gt;Statistical methods in medical research&lt;/IDText&gt;&lt;DisplayText&gt;[14]&lt;/DisplayText&gt;&lt;record&gt;&lt;isbn&gt;0470775343&lt;/isbn&gt;&lt;titles&gt;&lt;title&gt;Statistical methods in medical research&lt;/title&gt;&lt;/titles&gt;&lt;contributors&gt;&lt;authors&gt;&lt;author&gt;Armitage, Peter&lt;/author&gt;&lt;author&gt;Berry, Geoffrey&lt;/author&gt;&lt;author&gt;Matthews, John Nigel Scott&lt;/author&gt;&lt;/authors&gt;&lt;/contributors&gt;&lt;added-date format="utc"&gt;1586618678&lt;/added-date&gt;&lt;ref-type name="Book"&gt;6&lt;/ref-type&gt;&lt;dates&gt;&lt;year&gt;2008&lt;/year&gt;&lt;/dates&gt;&lt;rec-number&gt;336&lt;/rec-number&gt;&lt;publisher&gt;John Wiley &amp;amp; Sons&lt;/publisher&gt;&lt;last-updated-date format="utc"&gt;1586618678&lt;/last-updated-date&gt;&lt;/record&gt;&lt;/Cite&gt;&lt;/EndNote&gt;</w:instrText>
      </w:r>
      <w:r w:rsidR="00E401A5">
        <w:rPr>
          <w:rFonts w:cstheme="minorHAnsi"/>
        </w:rPr>
        <w:fldChar w:fldCharType="separate"/>
      </w:r>
      <w:r w:rsidR="002B31D7">
        <w:rPr>
          <w:rFonts w:cstheme="minorHAnsi"/>
          <w:noProof/>
        </w:rPr>
        <w:t>[14]</w:t>
      </w:r>
      <w:r w:rsidR="00E401A5">
        <w:rPr>
          <w:rFonts w:cstheme="minorHAnsi"/>
        </w:rPr>
        <w:fldChar w:fldCharType="end"/>
      </w:r>
      <w:r w:rsidR="00E401A5" w:rsidRPr="00880F44">
        <w:rPr>
          <w:rFonts w:cstheme="minorHAnsi"/>
        </w:rPr>
        <w:t xml:space="preserve">. </w:t>
      </w:r>
      <w:r w:rsidR="00E401A5">
        <w:rPr>
          <w:rFonts w:cstheme="minorHAnsi"/>
        </w:rPr>
        <w:t>R</w:t>
      </w:r>
      <w:r w:rsidR="00E401A5" w:rsidRPr="00880F44">
        <w:rPr>
          <w:rFonts w:cstheme="minorHAnsi"/>
        </w:rPr>
        <w:t xml:space="preserve">egression coefficients represent an SD </w:t>
      </w:r>
      <w:r w:rsidR="00E401A5" w:rsidRPr="00880F44">
        <w:rPr>
          <w:rFonts w:cstheme="minorHAnsi"/>
        </w:rPr>
        <w:lastRenderedPageBreak/>
        <w:t xml:space="preserve">change in </w:t>
      </w:r>
      <w:r w:rsidR="00E401A5">
        <w:rPr>
          <w:rFonts w:cstheme="minorHAnsi"/>
        </w:rPr>
        <w:t xml:space="preserve">the normalised </w:t>
      </w:r>
      <w:r w:rsidR="00E401A5" w:rsidRPr="00880F44">
        <w:rPr>
          <w:rFonts w:cstheme="minorHAnsi"/>
        </w:rPr>
        <w:t xml:space="preserve">outcome variable per unit SD change in </w:t>
      </w:r>
      <w:r w:rsidR="00E401A5">
        <w:rPr>
          <w:rFonts w:cstheme="minorHAnsi"/>
        </w:rPr>
        <w:t xml:space="preserve">the normalised </w:t>
      </w:r>
      <w:proofErr w:type="gramStart"/>
      <w:r w:rsidR="00E401A5">
        <w:rPr>
          <w:rFonts w:cstheme="minorHAnsi"/>
        </w:rPr>
        <w:t>1</w:t>
      </w:r>
      <w:r w:rsidR="00E401A5" w:rsidRPr="00880F44">
        <w:rPr>
          <w:rFonts w:cstheme="minorHAnsi"/>
        </w:rPr>
        <w:t>1 week</w:t>
      </w:r>
      <w:proofErr w:type="gramEnd"/>
      <w:r w:rsidR="00E401A5" w:rsidRPr="00880F44">
        <w:rPr>
          <w:rFonts w:cstheme="minorHAnsi"/>
        </w:rPr>
        <w:t xml:space="preserve"> </w:t>
      </w:r>
      <w:r w:rsidR="00E401A5">
        <w:rPr>
          <w:rFonts w:cstheme="minorHAnsi"/>
        </w:rPr>
        <w:t>PV</w:t>
      </w:r>
      <w:r w:rsidR="00E401A5" w:rsidRPr="00880F44">
        <w:rPr>
          <w:rFonts w:cstheme="minorHAnsi"/>
        </w:rPr>
        <w:t>. Stata V15.1 (</w:t>
      </w:r>
      <w:proofErr w:type="spellStart"/>
      <w:r w:rsidR="00E401A5" w:rsidRPr="00880F44">
        <w:rPr>
          <w:rFonts w:cstheme="minorHAnsi"/>
        </w:rPr>
        <w:t>StataCorp</w:t>
      </w:r>
      <w:proofErr w:type="spellEnd"/>
      <w:r w:rsidR="00E401A5" w:rsidRPr="00880F44">
        <w:rPr>
          <w:rFonts w:cstheme="minorHAnsi"/>
        </w:rPr>
        <w:t xml:space="preserve"> LP, College Station, TX, USA) was used for all analyses. </w:t>
      </w:r>
    </w:p>
    <w:p w14:paraId="28354CF0" w14:textId="77777777" w:rsidR="00E401A5" w:rsidRDefault="00E401A5" w:rsidP="00E401A5">
      <w:pPr>
        <w:spacing w:before="240" w:after="120" w:line="480" w:lineRule="auto"/>
        <w:jc w:val="both"/>
        <w:rPr>
          <w:rFonts w:cstheme="minorHAnsi"/>
        </w:rPr>
      </w:pPr>
      <w:r w:rsidRPr="00880F44">
        <w:rPr>
          <w:rFonts w:cstheme="minorHAnsi"/>
        </w:rPr>
        <w:t>The SWS was approved by the Southampton and South West Hampshire Local Research Ethics Committee. Written consent was obtained from the parent or carer of all participants at each study stage.</w:t>
      </w:r>
    </w:p>
    <w:p w14:paraId="1FD54A90" w14:textId="77777777" w:rsidR="00E401A5" w:rsidRPr="00880F44" w:rsidRDefault="00E401A5" w:rsidP="00E401A5">
      <w:pPr>
        <w:spacing w:before="240" w:after="120" w:line="480" w:lineRule="auto"/>
        <w:jc w:val="both"/>
        <w:rPr>
          <w:rFonts w:cstheme="minorHAnsi"/>
        </w:rPr>
      </w:pPr>
    </w:p>
    <w:p w14:paraId="549A32B4" w14:textId="77777777" w:rsidR="00E401A5" w:rsidRPr="00880F44" w:rsidRDefault="00E401A5" w:rsidP="00E401A5">
      <w:pPr>
        <w:spacing w:before="240" w:after="120" w:line="480" w:lineRule="auto"/>
        <w:jc w:val="both"/>
        <w:rPr>
          <w:rFonts w:cstheme="minorHAnsi"/>
          <w:b/>
        </w:rPr>
      </w:pPr>
      <w:r w:rsidRPr="00880F44">
        <w:rPr>
          <w:rFonts w:cstheme="minorHAnsi"/>
          <w:b/>
        </w:rPr>
        <w:t>Results</w:t>
      </w:r>
    </w:p>
    <w:p w14:paraId="3A980CAA" w14:textId="77777777" w:rsidR="00E401A5" w:rsidRPr="00880F44" w:rsidRDefault="00E401A5" w:rsidP="00E401A5">
      <w:pPr>
        <w:spacing w:before="240" w:after="120" w:line="480" w:lineRule="auto"/>
        <w:jc w:val="both"/>
        <w:rPr>
          <w:rFonts w:cstheme="minorHAnsi"/>
          <w:bCs/>
          <w:i/>
          <w:iCs/>
        </w:rPr>
      </w:pPr>
      <w:r w:rsidRPr="00880F44">
        <w:rPr>
          <w:rFonts w:cstheme="minorHAnsi"/>
          <w:bCs/>
          <w:i/>
          <w:iCs/>
        </w:rPr>
        <w:t>Characteristics of mothers and offspring</w:t>
      </w:r>
    </w:p>
    <w:p w14:paraId="4447819C" w14:textId="4CC05C70" w:rsidR="007C586D" w:rsidRPr="009312BA" w:rsidRDefault="002E2CDC" w:rsidP="00E401A5">
      <w:pPr>
        <w:spacing w:before="240" w:after="120" w:line="480" w:lineRule="auto"/>
        <w:jc w:val="both"/>
        <w:rPr>
          <w:rFonts w:cstheme="minorHAnsi"/>
        </w:rPr>
      </w:pPr>
      <w:r w:rsidRPr="009D01AE">
        <w:rPr>
          <w:rFonts w:cstheme="minorHAnsi"/>
        </w:rPr>
        <w:t>242 mothers underwent 3DUS at 11 weeks gestation. Of those, 236 mothers had scan images which captured the entirety of placental tissue, allowing calculation of placental volume, and forming the sample for this study. Figure 1 shows a flowchart, demonstrating how our sample was reached in relation to the wider SWS cohort</w:t>
      </w:r>
      <w:r w:rsidR="00E401A5" w:rsidRPr="009D01AE">
        <w:rPr>
          <w:rFonts w:cstheme="minorHAnsi"/>
        </w:rPr>
        <w:t>.</w:t>
      </w:r>
      <w:r w:rsidR="00E401A5" w:rsidRPr="00880F44">
        <w:rPr>
          <w:rFonts w:cstheme="minorHAnsi"/>
        </w:rPr>
        <w:t xml:space="preserve"> The mothers’ baseline characteristics are summarised in Table 1A. The mean (SD) age of mothers at 11 weeks gestation was 30.7 (3.</w:t>
      </w:r>
      <w:r w:rsidR="00E401A5">
        <w:rPr>
          <w:rFonts w:cstheme="minorHAnsi"/>
        </w:rPr>
        <w:t>8</w:t>
      </w:r>
      <w:r w:rsidR="00E401A5" w:rsidRPr="00880F44">
        <w:rPr>
          <w:rFonts w:cstheme="minorHAnsi"/>
        </w:rPr>
        <w:t>). Their mean (SD) height was 164.</w:t>
      </w:r>
      <w:r w:rsidR="00E401A5">
        <w:rPr>
          <w:rFonts w:cstheme="minorHAnsi"/>
        </w:rPr>
        <w:t>2</w:t>
      </w:r>
      <w:r w:rsidR="00E401A5" w:rsidRPr="00880F44">
        <w:rPr>
          <w:rFonts w:cstheme="minorHAnsi"/>
        </w:rPr>
        <w:t xml:space="preserve"> (6.4) and their median (IQR) BMI pre-pregnancy was 23.6 kg/m</w:t>
      </w:r>
      <w:r w:rsidR="00E401A5" w:rsidRPr="00880F44">
        <w:rPr>
          <w:rFonts w:cstheme="minorHAnsi"/>
          <w:vertAlign w:val="superscript"/>
        </w:rPr>
        <w:t>2</w:t>
      </w:r>
      <w:r w:rsidR="00E401A5" w:rsidRPr="00880F44">
        <w:rPr>
          <w:rFonts w:cstheme="minorHAnsi"/>
        </w:rPr>
        <w:t xml:space="preserve"> (21.</w:t>
      </w:r>
      <w:r w:rsidR="00E401A5">
        <w:rPr>
          <w:rFonts w:cstheme="minorHAnsi"/>
        </w:rPr>
        <w:t>7</w:t>
      </w:r>
      <w:r w:rsidR="00E401A5" w:rsidRPr="00880F44">
        <w:rPr>
          <w:rFonts w:cstheme="minorHAnsi"/>
        </w:rPr>
        <w:t xml:space="preserve">, 26.4). </w:t>
      </w:r>
      <w:r w:rsidR="005518A7" w:rsidRPr="009312BA">
        <w:rPr>
          <w:rFonts w:cstheme="minorHAnsi"/>
        </w:rPr>
        <w:t xml:space="preserve">Compared with mothers of singleton livebirths from the larger SWS cohort, mothers in this sub-study were slightly older (30.7 years vs 29.9 years). Mothers in this sub-study also had a lower Index of Multiple Deprivation (IMD) 2004 (15.7 vs 17.7), indicating that they were less deprived than the </w:t>
      </w:r>
      <w:proofErr w:type="gramStart"/>
      <w:r w:rsidR="005518A7" w:rsidRPr="009312BA">
        <w:rPr>
          <w:rFonts w:cstheme="minorHAnsi"/>
        </w:rPr>
        <w:t>cohort as a whole, and</w:t>
      </w:r>
      <w:proofErr w:type="gramEnd"/>
      <w:r w:rsidR="005518A7" w:rsidRPr="009312BA">
        <w:rPr>
          <w:rFonts w:cstheme="minorHAnsi"/>
        </w:rPr>
        <w:t xml:space="preserve"> the proportion of nulliparous mothers was greater (59.3% vs 50.4%). Fewer mothers in this study smoked before pregnancy (25.4% versus 30.9%) and fewer mothers were smoking at 11 weeks gestation (12.6% versus 16.2%). No clear differences between this study sample and the larger SWS cohort were evident for maternal height, pre-pregnancy BMI, triceps skinfold thickness at 11 weeks’ gestation or walking speed at 11 weeks gestation.</w:t>
      </w:r>
      <w:r w:rsidR="003E1ECA" w:rsidRPr="009312BA">
        <w:rPr>
          <w:rFonts w:cstheme="minorHAnsi"/>
        </w:rPr>
        <w:t xml:space="preserve"> </w:t>
      </w:r>
    </w:p>
    <w:p w14:paraId="502197F8" w14:textId="1BDB74A3" w:rsidR="005518A7" w:rsidRPr="005510D4" w:rsidRDefault="005518A7" w:rsidP="00E401A5">
      <w:pPr>
        <w:spacing w:before="240" w:after="120" w:line="480" w:lineRule="auto"/>
        <w:jc w:val="both"/>
        <w:rPr>
          <w:rFonts w:cstheme="minorHAnsi"/>
          <w:highlight w:val="yellow"/>
        </w:rPr>
      </w:pPr>
      <w:r w:rsidRPr="009312BA">
        <w:rPr>
          <w:rFonts w:cstheme="minorHAnsi"/>
        </w:rPr>
        <w:lastRenderedPageBreak/>
        <w:t>As demonstrated in Table 1B, when compared to the larger SWS cohort, offspring at birth in this sub-study were more likely to be older at DXA scanning (9 days vs 4 days) and have lower BA (107.6</w:t>
      </w:r>
      <w:r w:rsidR="00AC7E23" w:rsidRPr="009312BA">
        <w:rPr>
          <w:rFonts w:cstheme="minorHAnsi"/>
        </w:rPr>
        <w:t xml:space="preserve"> </w:t>
      </w:r>
      <w:r w:rsidRPr="009312BA">
        <w:rPr>
          <w:rFonts w:cstheme="minorHAnsi"/>
        </w:rPr>
        <w:t>cm</w:t>
      </w:r>
      <w:r w:rsidRPr="009312BA">
        <w:rPr>
          <w:rFonts w:cstheme="minorHAnsi"/>
          <w:vertAlign w:val="superscript"/>
        </w:rPr>
        <w:t>2</w:t>
      </w:r>
      <w:r w:rsidRPr="009312BA">
        <w:rPr>
          <w:rFonts w:cstheme="minorHAnsi"/>
        </w:rPr>
        <w:t xml:space="preserve"> vs 117.7 cm</w:t>
      </w:r>
      <w:r w:rsidRPr="009312BA">
        <w:rPr>
          <w:rFonts w:cstheme="minorHAnsi"/>
          <w:vertAlign w:val="superscript"/>
        </w:rPr>
        <w:t>2</w:t>
      </w:r>
      <w:r w:rsidRPr="009312BA">
        <w:rPr>
          <w:rFonts w:cstheme="minorHAnsi"/>
        </w:rPr>
        <w:t>) and lower BMC (56.4 g vs 62.7 g).</w:t>
      </w:r>
      <w:r w:rsidR="005510D4" w:rsidRPr="009312BA">
        <w:rPr>
          <w:rFonts w:cstheme="minorHAnsi"/>
        </w:rPr>
        <w:t xml:space="preserve"> The </w:t>
      </w:r>
      <w:r w:rsidR="007C586D" w:rsidRPr="009312BA">
        <w:rPr>
          <w:rFonts w:cstheme="minorHAnsi"/>
        </w:rPr>
        <w:t xml:space="preserve">full </w:t>
      </w:r>
      <w:r w:rsidR="005510D4" w:rsidRPr="009312BA">
        <w:rPr>
          <w:rFonts w:cstheme="minorHAnsi"/>
        </w:rPr>
        <w:t>characteristics of the 83 offspring (45 boys) assessed at birth; 111</w:t>
      </w:r>
      <w:r w:rsidR="00C45DD6" w:rsidRPr="009312BA">
        <w:rPr>
          <w:rFonts w:cstheme="minorHAnsi"/>
        </w:rPr>
        <w:t xml:space="preserve"> offspring</w:t>
      </w:r>
      <w:r w:rsidR="005510D4" w:rsidRPr="009312BA">
        <w:rPr>
          <w:rFonts w:cstheme="minorHAnsi"/>
        </w:rPr>
        <w:t xml:space="preserve"> (51 boys) assessed at 6 years; and 87 </w:t>
      </w:r>
      <w:r w:rsidR="00C45DD6" w:rsidRPr="009312BA">
        <w:rPr>
          <w:rFonts w:cstheme="minorHAnsi"/>
        </w:rPr>
        <w:t xml:space="preserve">offspring </w:t>
      </w:r>
      <w:r w:rsidR="005510D4" w:rsidRPr="009312BA">
        <w:rPr>
          <w:rFonts w:cstheme="minorHAnsi"/>
        </w:rPr>
        <w:t>(38 boys) at 8 years are presented in Online Supplementary Tables 1A, 1B and 1C respectively.</w:t>
      </w:r>
      <w:r w:rsidR="00A27B9A" w:rsidRPr="009312BA">
        <w:rPr>
          <w:rFonts w:cstheme="minorHAnsi"/>
        </w:rPr>
        <w:t xml:space="preserve"> </w:t>
      </w:r>
      <w:r w:rsidR="00A27B9A" w:rsidRPr="00FE3D7E">
        <w:rPr>
          <w:rFonts w:cstheme="minorHAnsi"/>
        </w:rPr>
        <w:t>The</w:t>
      </w:r>
      <w:r w:rsidR="00DA671C" w:rsidRPr="00FE3D7E">
        <w:rPr>
          <w:rFonts w:cstheme="minorHAnsi"/>
        </w:rPr>
        <w:t>ir</w:t>
      </w:r>
      <w:r w:rsidR="00A27B9A" w:rsidRPr="00FE3D7E">
        <w:rPr>
          <w:rFonts w:cstheme="minorHAnsi"/>
        </w:rPr>
        <w:t xml:space="preserve"> dates of birth ranged between September 2003 and January 2006, while the difference between recruitment and dating scan ranged between 9 months to almost 7 years.</w:t>
      </w:r>
    </w:p>
    <w:p w14:paraId="60A9EE7E" w14:textId="48F3E83F" w:rsidR="004176D1" w:rsidRDefault="00E401A5" w:rsidP="00E401A5">
      <w:pPr>
        <w:spacing w:before="240" w:after="120" w:line="480" w:lineRule="auto"/>
        <w:jc w:val="both"/>
        <w:rPr>
          <w:rFonts w:cstheme="minorHAnsi"/>
        </w:rPr>
      </w:pPr>
      <w:r w:rsidRPr="00880F44">
        <w:rPr>
          <w:rFonts w:cstheme="minorHAnsi"/>
        </w:rPr>
        <w:t xml:space="preserve"> </w:t>
      </w:r>
      <w:r w:rsidR="005B191A" w:rsidRPr="005D6F44">
        <w:rPr>
          <w:rFonts w:cstheme="minorHAnsi"/>
        </w:rPr>
        <w:t>When observing complications of pregnancy within our sample, only 2 mothers (0.9%) developed gestational diabetes, 7 (3.0%) had pre-eclampsia and 11 (4.7%) had a premature delivery (before the 37</w:t>
      </w:r>
      <w:r w:rsidR="005B191A" w:rsidRPr="005D6F44">
        <w:rPr>
          <w:rFonts w:cstheme="minorHAnsi"/>
          <w:vertAlign w:val="superscript"/>
        </w:rPr>
        <w:t>th</w:t>
      </w:r>
      <w:r w:rsidR="005B191A" w:rsidRPr="005D6F44">
        <w:rPr>
          <w:rFonts w:cstheme="minorHAnsi"/>
        </w:rPr>
        <w:t xml:space="preserve"> week of pregnancy).</w:t>
      </w:r>
    </w:p>
    <w:p w14:paraId="5FCD24AC" w14:textId="77777777" w:rsidR="00E401A5" w:rsidRPr="00880F44" w:rsidRDefault="00E401A5" w:rsidP="00E401A5">
      <w:pPr>
        <w:spacing w:before="240" w:after="120" w:line="480" w:lineRule="auto"/>
        <w:jc w:val="both"/>
        <w:rPr>
          <w:rFonts w:cstheme="minorHAnsi"/>
          <w:bCs/>
          <w:i/>
          <w:iCs/>
        </w:rPr>
      </w:pPr>
      <w:proofErr w:type="gramStart"/>
      <w:r>
        <w:rPr>
          <w:rFonts w:cstheme="minorHAnsi"/>
          <w:bCs/>
          <w:i/>
          <w:iCs/>
        </w:rPr>
        <w:t>11 week</w:t>
      </w:r>
      <w:proofErr w:type="gramEnd"/>
      <w:r>
        <w:rPr>
          <w:rFonts w:cstheme="minorHAnsi"/>
          <w:bCs/>
          <w:i/>
          <w:iCs/>
        </w:rPr>
        <w:t xml:space="preserve"> placental volume and</w:t>
      </w:r>
      <w:r w:rsidRPr="00880F44">
        <w:rPr>
          <w:rFonts w:cstheme="minorHAnsi"/>
          <w:bCs/>
          <w:i/>
          <w:iCs/>
        </w:rPr>
        <w:t xml:space="preserve"> DXA bone </w:t>
      </w:r>
      <w:r>
        <w:rPr>
          <w:rFonts w:cstheme="minorHAnsi"/>
          <w:bCs/>
          <w:i/>
          <w:iCs/>
        </w:rPr>
        <w:t>outcomes at birth, 6 years and 8 years</w:t>
      </w:r>
    </w:p>
    <w:p w14:paraId="5C04CF99" w14:textId="7206A03C" w:rsidR="00E401A5" w:rsidRDefault="00E401A5" w:rsidP="00E401A5">
      <w:pPr>
        <w:spacing w:before="240" w:after="120" w:line="480" w:lineRule="auto"/>
        <w:jc w:val="both"/>
        <w:rPr>
          <w:rFonts w:cstheme="minorHAnsi"/>
        </w:rPr>
      </w:pPr>
      <w:r w:rsidRPr="00880F44">
        <w:rPr>
          <w:rFonts w:cstheme="minorHAnsi"/>
        </w:rPr>
        <w:t xml:space="preserve">Table 2 summarises the relationships between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and </w:t>
      </w:r>
      <w:r>
        <w:rPr>
          <w:rFonts w:cstheme="minorHAnsi"/>
        </w:rPr>
        <w:t>DXA</w:t>
      </w:r>
      <w:r w:rsidRPr="00880F44">
        <w:rPr>
          <w:rFonts w:cstheme="minorHAnsi"/>
        </w:rPr>
        <w:t xml:space="preserve"> bone outcomes.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was positively associated with all bone outcomes</w:t>
      </w:r>
      <w:r>
        <w:rPr>
          <w:rFonts w:cstheme="minorHAnsi"/>
        </w:rPr>
        <w:t xml:space="preserve"> at all time points, with associations remaining similar after adjustment. At birth, </w:t>
      </w:r>
      <w:r w:rsidRPr="00880F44">
        <w:rPr>
          <w:rFonts w:cstheme="minorHAnsi"/>
        </w:rPr>
        <w:t xml:space="preserve">the most strongly associated outcomes </w:t>
      </w:r>
      <w:r>
        <w:rPr>
          <w:rFonts w:cstheme="minorHAnsi"/>
        </w:rPr>
        <w:t>were</w:t>
      </w:r>
      <w:r w:rsidRPr="00880F44">
        <w:rPr>
          <w:rFonts w:cstheme="minorHAnsi"/>
        </w:rPr>
        <w:t xml:space="preserve"> BA </w:t>
      </w:r>
      <w:r w:rsidR="003D1B87">
        <w:rPr>
          <w:rFonts w:cstheme="minorHAnsi"/>
        </w:rPr>
        <w:t>(</w:t>
      </w:r>
      <w:r w:rsidRPr="00880F44">
        <w:rPr>
          <w:rFonts w:cstheme="minorHAnsi"/>
        </w:rPr>
        <w:t>β=</w:t>
      </w:r>
      <w:r w:rsidR="000F2045" w:rsidRPr="000F2045">
        <w:rPr>
          <w:rFonts w:cstheme="minorHAnsi"/>
        </w:rPr>
        <w:t xml:space="preserve">0.23 </w:t>
      </w:r>
      <w:r w:rsidR="003A6054">
        <w:rPr>
          <w:rFonts w:cstheme="minorHAnsi"/>
        </w:rPr>
        <w:t>[95%CI=</w:t>
      </w:r>
      <w:r w:rsidR="000F2045" w:rsidRPr="000F2045">
        <w:rPr>
          <w:rFonts w:cstheme="minorHAnsi"/>
        </w:rPr>
        <w:t>0.03, 0.42</w:t>
      </w:r>
      <w:r w:rsidR="003A6054">
        <w:rPr>
          <w:rFonts w:cstheme="minorHAnsi"/>
        </w:rPr>
        <w:t>]</w:t>
      </w:r>
      <w:r w:rsidR="003D1B87">
        <w:rPr>
          <w:rFonts w:cstheme="minorHAnsi"/>
        </w:rPr>
        <w:t>)</w:t>
      </w:r>
      <w:r w:rsidRPr="00880F44">
        <w:rPr>
          <w:rFonts w:cstheme="minorHAnsi"/>
        </w:rPr>
        <w:t xml:space="preserve"> and BMC </w:t>
      </w:r>
      <w:r w:rsidR="003D1B87">
        <w:rPr>
          <w:rFonts w:cstheme="minorHAnsi"/>
        </w:rPr>
        <w:t>(</w:t>
      </w:r>
      <w:r w:rsidRPr="00880F44">
        <w:rPr>
          <w:rFonts w:cstheme="minorHAnsi"/>
        </w:rPr>
        <w:t>β=</w:t>
      </w:r>
      <w:r w:rsidR="003A6054" w:rsidRPr="003A6054">
        <w:rPr>
          <w:rFonts w:cstheme="minorHAnsi"/>
        </w:rPr>
        <w:t xml:space="preserve">0.26 </w:t>
      </w:r>
      <w:r w:rsidR="003A6054">
        <w:rPr>
          <w:rFonts w:cstheme="minorHAnsi"/>
        </w:rPr>
        <w:t>[</w:t>
      </w:r>
      <w:r w:rsidR="003A6054" w:rsidRPr="003A6054">
        <w:rPr>
          <w:rFonts w:cstheme="minorHAnsi"/>
        </w:rPr>
        <w:t>0.06, 0.46</w:t>
      </w:r>
      <w:r w:rsidR="003A6054">
        <w:rPr>
          <w:rFonts w:cstheme="minorHAnsi"/>
        </w:rPr>
        <w:t>]</w:t>
      </w:r>
      <w:r w:rsidR="003D1B87">
        <w:rPr>
          <w:rFonts w:cstheme="minorHAnsi"/>
        </w:rPr>
        <w:t>)</w:t>
      </w:r>
      <w:r w:rsidRPr="00880F44">
        <w:rPr>
          <w:rFonts w:cstheme="minorHAnsi"/>
        </w:rPr>
        <w:t>.</w:t>
      </w:r>
      <w:r>
        <w:rPr>
          <w:rFonts w:cstheme="minorHAnsi"/>
        </w:rPr>
        <w:t xml:space="preserve"> Similar associations were observed for</w:t>
      </w:r>
      <w:r w:rsidRPr="00880F44">
        <w:rPr>
          <w:rFonts w:cstheme="minorHAnsi"/>
        </w:rPr>
        <w:t xml:space="preserve"> </w:t>
      </w:r>
      <w:proofErr w:type="spellStart"/>
      <w:r w:rsidRPr="00880F44">
        <w:rPr>
          <w:rFonts w:cstheme="minorHAnsi"/>
        </w:rPr>
        <w:t>aBMD</w:t>
      </w:r>
      <w:proofErr w:type="spellEnd"/>
      <w:r w:rsidRPr="00880F44">
        <w:rPr>
          <w:rFonts w:cstheme="minorHAnsi"/>
        </w:rPr>
        <w:t xml:space="preserve"> </w:t>
      </w:r>
      <w:r w:rsidR="003D1B87">
        <w:rPr>
          <w:rFonts w:cstheme="minorHAnsi"/>
        </w:rPr>
        <w:t>(</w:t>
      </w:r>
      <w:r w:rsidRPr="00880F44">
        <w:rPr>
          <w:rFonts w:cstheme="minorHAnsi"/>
        </w:rPr>
        <w:t>β=</w:t>
      </w:r>
      <w:r w:rsidR="003A6054" w:rsidRPr="003A6054">
        <w:rPr>
          <w:rFonts w:cstheme="minorHAnsi"/>
        </w:rPr>
        <w:t xml:space="preserve">0.21 </w:t>
      </w:r>
      <w:r w:rsidR="007B6E62">
        <w:rPr>
          <w:rFonts w:cstheme="minorHAnsi"/>
        </w:rPr>
        <w:t>[</w:t>
      </w:r>
      <w:r w:rsidR="003A6054" w:rsidRPr="003A6054">
        <w:rPr>
          <w:rFonts w:cstheme="minorHAnsi"/>
        </w:rPr>
        <w:t>-0.04, 0.47</w:t>
      </w:r>
      <w:r w:rsidR="007B6E62">
        <w:rPr>
          <w:rFonts w:cstheme="minorHAnsi"/>
        </w:rPr>
        <w:t>]</w:t>
      </w:r>
      <w:r w:rsidR="003D1B87">
        <w:rPr>
          <w:rFonts w:cstheme="minorHAnsi"/>
        </w:rPr>
        <w:t>)</w:t>
      </w:r>
      <w:r w:rsidRPr="00880F44">
        <w:rPr>
          <w:rFonts w:cstheme="minorHAnsi"/>
        </w:rPr>
        <w:t xml:space="preserve">. </w:t>
      </w:r>
      <w:r>
        <w:rPr>
          <w:rFonts w:cstheme="minorHAnsi"/>
        </w:rPr>
        <w:t xml:space="preserve">The magnitude of the associations for these three bone outcomes tended to decrease with increasing age (see Figure </w:t>
      </w:r>
      <w:r w:rsidR="003D1B87">
        <w:rPr>
          <w:rFonts w:cstheme="minorHAnsi"/>
        </w:rPr>
        <w:t>2</w:t>
      </w:r>
      <w:r>
        <w:rPr>
          <w:rFonts w:cstheme="minorHAnsi"/>
        </w:rPr>
        <w:t xml:space="preserve">A, B and C). </w:t>
      </w:r>
      <w:proofErr w:type="gramStart"/>
      <w:r>
        <w:rPr>
          <w:rFonts w:cstheme="minorHAnsi"/>
        </w:rPr>
        <w:t>11 week</w:t>
      </w:r>
      <w:proofErr w:type="gramEnd"/>
      <w:r>
        <w:rPr>
          <w:rFonts w:cstheme="minorHAnsi"/>
        </w:rPr>
        <w:t xml:space="preserve"> PV was only weakly associated with </w:t>
      </w:r>
      <w:proofErr w:type="spellStart"/>
      <w:r>
        <w:rPr>
          <w:rFonts w:cstheme="minorHAnsi"/>
        </w:rPr>
        <w:t>scBMC</w:t>
      </w:r>
      <w:proofErr w:type="spellEnd"/>
      <w:r>
        <w:rPr>
          <w:rFonts w:cstheme="minorHAnsi"/>
        </w:rPr>
        <w:t xml:space="preserve"> at birth</w:t>
      </w:r>
      <w:r w:rsidRPr="002860E6">
        <w:rPr>
          <w:rFonts w:cstheme="minorHAnsi"/>
        </w:rPr>
        <w:t xml:space="preserve"> </w:t>
      </w:r>
      <w:r w:rsidR="003D1B87">
        <w:rPr>
          <w:rFonts w:cstheme="minorHAnsi"/>
        </w:rPr>
        <w:t>(</w:t>
      </w:r>
      <w:r w:rsidRPr="00880F44">
        <w:rPr>
          <w:rFonts w:cstheme="minorHAnsi"/>
        </w:rPr>
        <w:t>β=</w:t>
      </w:r>
      <w:r w:rsidR="007B6E62" w:rsidRPr="007B6E62">
        <w:rPr>
          <w:rFonts w:cstheme="minorHAnsi"/>
        </w:rPr>
        <w:t xml:space="preserve">0.07 </w:t>
      </w:r>
      <w:r w:rsidR="007B6E62">
        <w:rPr>
          <w:rFonts w:cstheme="minorHAnsi"/>
        </w:rPr>
        <w:t>[</w:t>
      </w:r>
      <w:r w:rsidR="007B6E62" w:rsidRPr="007B6E62">
        <w:rPr>
          <w:rFonts w:cstheme="minorHAnsi"/>
        </w:rPr>
        <w:t>-0.21, 0.35</w:t>
      </w:r>
      <w:r w:rsidR="007B6E62">
        <w:rPr>
          <w:rFonts w:cstheme="minorHAnsi"/>
        </w:rPr>
        <w:t>]</w:t>
      </w:r>
      <w:r w:rsidR="003D1B87">
        <w:rPr>
          <w:rFonts w:cstheme="minorHAnsi"/>
        </w:rPr>
        <w:t>)</w:t>
      </w:r>
      <w:r>
        <w:rPr>
          <w:rFonts w:cstheme="minorHAnsi"/>
        </w:rPr>
        <w:t xml:space="preserve">. This association tended to strengthen, albeit with modest magnitude, with increasing age (see Figure </w:t>
      </w:r>
      <w:r w:rsidR="003D1B87">
        <w:rPr>
          <w:rFonts w:cstheme="minorHAnsi"/>
        </w:rPr>
        <w:t>2</w:t>
      </w:r>
      <w:r>
        <w:rPr>
          <w:rFonts w:cstheme="minorHAnsi"/>
        </w:rPr>
        <w:t>D).</w:t>
      </w:r>
    </w:p>
    <w:p w14:paraId="3F9CF6C0" w14:textId="18FAE654" w:rsidR="00E401A5" w:rsidRDefault="00E401A5" w:rsidP="00E401A5">
      <w:pPr>
        <w:spacing w:before="240" w:after="120" w:line="480" w:lineRule="auto"/>
        <w:jc w:val="both"/>
        <w:rPr>
          <w:rFonts w:cstheme="minorHAnsi"/>
        </w:rPr>
      </w:pPr>
      <w:r>
        <w:rPr>
          <w:rFonts w:cstheme="minorHAnsi"/>
        </w:rPr>
        <w:t xml:space="preserve">The correlation between </w:t>
      </w:r>
      <w:proofErr w:type="gramStart"/>
      <w:r>
        <w:rPr>
          <w:rFonts w:cstheme="minorHAnsi"/>
        </w:rPr>
        <w:t>11 week</w:t>
      </w:r>
      <w:proofErr w:type="gramEnd"/>
      <w:r>
        <w:rPr>
          <w:rFonts w:cstheme="minorHAnsi"/>
        </w:rPr>
        <w:t xml:space="preserve"> PV and birthweight was 0.2. Adjusting for birthweight either led to attenuation or minimal material alteration of the relationships between </w:t>
      </w:r>
      <w:proofErr w:type="gramStart"/>
      <w:r>
        <w:rPr>
          <w:rFonts w:cstheme="minorHAnsi"/>
        </w:rPr>
        <w:t>11 week</w:t>
      </w:r>
      <w:proofErr w:type="gramEnd"/>
      <w:r>
        <w:rPr>
          <w:rFonts w:cstheme="minorHAnsi"/>
        </w:rPr>
        <w:t xml:space="preserve"> PV and all bone outcomes at all time points, with the exception of </w:t>
      </w:r>
      <w:proofErr w:type="spellStart"/>
      <w:r>
        <w:rPr>
          <w:rFonts w:cstheme="minorHAnsi"/>
        </w:rPr>
        <w:t>scBMC</w:t>
      </w:r>
      <w:proofErr w:type="spellEnd"/>
      <w:r>
        <w:rPr>
          <w:rFonts w:cstheme="minorHAnsi"/>
        </w:rPr>
        <w:t xml:space="preserve"> whose associations were somewhat strengthened after adjustment (see Online Supplementary Table 2).</w:t>
      </w:r>
    </w:p>
    <w:p w14:paraId="6C62DC56" w14:textId="439694F4" w:rsidR="008D561A" w:rsidRPr="001962E4" w:rsidRDefault="008D561A" w:rsidP="00E401A5">
      <w:pPr>
        <w:spacing w:before="240" w:after="120" w:line="480" w:lineRule="auto"/>
        <w:jc w:val="both"/>
        <w:rPr>
          <w:rFonts w:cstheme="minorHAnsi"/>
          <w:i/>
          <w:iCs/>
        </w:rPr>
      </w:pPr>
      <w:r w:rsidRPr="001962E4">
        <w:rPr>
          <w:rFonts w:cstheme="minorHAnsi"/>
          <w:i/>
          <w:iCs/>
        </w:rPr>
        <w:t>Multilevel model</w:t>
      </w:r>
    </w:p>
    <w:p w14:paraId="03B2F93F" w14:textId="3B690429" w:rsidR="00E401A5" w:rsidRPr="00880F44" w:rsidRDefault="008D561A" w:rsidP="00E401A5">
      <w:pPr>
        <w:spacing w:before="240" w:after="120" w:line="480" w:lineRule="auto"/>
        <w:jc w:val="both"/>
        <w:rPr>
          <w:rFonts w:cstheme="minorHAnsi"/>
        </w:rPr>
      </w:pPr>
      <w:r w:rsidRPr="00E83F3C">
        <w:rPr>
          <w:rFonts w:cstheme="minorHAnsi"/>
        </w:rPr>
        <w:lastRenderedPageBreak/>
        <w:t xml:space="preserve">The multilevel model examining the effect of placental volume on </w:t>
      </w:r>
      <w:proofErr w:type="spellStart"/>
      <w:r w:rsidRPr="00E83F3C">
        <w:rPr>
          <w:rFonts w:cstheme="minorHAnsi"/>
        </w:rPr>
        <w:t>scBMC</w:t>
      </w:r>
      <w:proofErr w:type="spellEnd"/>
      <w:r w:rsidRPr="00E83F3C">
        <w:rPr>
          <w:rFonts w:cstheme="minorHAnsi"/>
        </w:rPr>
        <w:t xml:space="preserve"> over time showed that time was not significant if it was either entered as a continuous variable (β=-0.01 [-0.04,</w:t>
      </w:r>
      <w:r w:rsidR="00456E9E" w:rsidRPr="00E83F3C">
        <w:rPr>
          <w:rFonts w:cstheme="minorHAnsi"/>
        </w:rPr>
        <w:t xml:space="preserve"> </w:t>
      </w:r>
      <w:r w:rsidRPr="00E83F3C">
        <w:rPr>
          <w:rFonts w:cstheme="minorHAnsi"/>
        </w:rPr>
        <w:t xml:space="preserve">0.02]), or as a categorical variable when comparing 6 year and 8 year with birth (6 years vs birth: β=-0.06 [-0.31, </w:t>
      </w:r>
      <w:r w:rsidR="00456E9E" w:rsidRPr="00E83F3C">
        <w:rPr>
          <w:rFonts w:cstheme="minorHAnsi"/>
        </w:rPr>
        <w:t xml:space="preserve"> </w:t>
      </w:r>
      <w:r w:rsidRPr="00E83F3C">
        <w:rPr>
          <w:rFonts w:cstheme="minorHAnsi"/>
        </w:rPr>
        <w:t>0.19], 8 years vs birth: β=-0.07 [-0.35, 0.20]).</w:t>
      </w:r>
    </w:p>
    <w:p w14:paraId="0410A308" w14:textId="77777777" w:rsidR="00E401A5" w:rsidRPr="00880F44" w:rsidRDefault="00E401A5" w:rsidP="00E401A5">
      <w:pPr>
        <w:spacing w:before="240" w:after="120" w:line="480" w:lineRule="auto"/>
        <w:jc w:val="both"/>
        <w:rPr>
          <w:rFonts w:cstheme="minorHAnsi"/>
          <w:b/>
        </w:rPr>
      </w:pPr>
      <w:r w:rsidRPr="00880F44">
        <w:rPr>
          <w:rFonts w:cstheme="minorHAnsi"/>
          <w:b/>
        </w:rPr>
        <w:t>Discussion</w:t>
      </w:r>
    </w:p>
    <w:p w14:paraId="0D4B25C7" w14:textId="53A8581F" w:rsidR="00E401A5" w:rsidRPr="00880F44" w:rsidRDefault="00E401A5" w:rsidP="00E401A5">
      <w:pPr>
        <w:spacing w:before="240" w:after="120" w:line="480" w:lineRule="auto"/>
        <w:jc w:val="both"/>
        <w:rPr>
          <w:rFonts w:cstheme="minorHAnsi"/>
        </w:rPr>
      </w:pPr>
      <w:r w:rsidRPr="00880F44">
        <w:rPr>
          <w:rFonts w:cstheme="minorHAnsi"/>
        </w:rPr>
        <w:t xml:space="preserve">To our knowledge, this is the first study to examine the relationship between early pregnancy </w:t>
      </w:r>
      <w:r>
        <w:rPr>
          <w:rFonts w:cstheme="minorHAnsi"/>
        </w:rPr>
        <w:t>placental volume</w:t>
      </w:r>
      <w:r w:rsidRPr="00880F44">
        <w:rPr>
          <w:rFonts w:cstheme="minorHAnsi"/>
        </w:rPr>
        <w:t xml:space="preserve"> and offspring bone measures. We have shown that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is positively associated with neonatal BA and BMC and that these associations are robust when adjusted for maternal factors previously associated with offspring bone mass. In addition, we </w:t>
      </w:r>
      <w:r>
        <w:rPr>
          <w:rFonts w:cstheme="minorHAnsi"/>
        </w:rPr>
        <w:t>observed</w:t>
      </w:r>
      <w:r w:rsidRPr="00880F44">
        <w:rPr>
          <w:rFonts w:cstheme="minorHAnsi"/>
        </w:rPr>
        <w:t xml:space="preserve"> that associations for BA and BMC at birth persist into later childhood at 6 years and 8 years, albeit with attenuated relationships </w:t>
      </w:r>
      <w:r>
        <w:rPr>
          <w:rFonts w:cstheme="minorHAnsi"/>
        </w:rPr>
        <w:t>with increasing age</w:t>
      </w:r>
      <w:r w:rsidRPr="00880F44">
        <w:rPr>
          <w:rFonts w:cstheme="minorHAnsi"/>
        </w:rPr>
        <w:t xml:space="preserve"> (see Figure </w:t>
      </w:r>
      <w:r w:rsidR="00413953">
        <w:rPr>
          <w:rFonts w:cstheme="minorHAnsi"/>
        </w:rPr>
        <w:t>2</w:t>
      </w:r>
      <w:r w:rsidRPr="00880F44">
        <w:rPr>
          <w:rFonts w:cstheme="minorHAnsi"/>
        </w:rPr>
        <w:t xml:space="preserve">A and </w:t>
      </w:r>
      <w:r w:rsidR="00413953">
        <w:rPr>
          <w:rFonts w:cstheme="minorHAnsi"/>
        </w:rPr>
        <w:t>2</w:t>
      </w:r>
      <w:r w:rsidRPr="00880F44">
        <w:rPr>
          <w:rFonts w:cstheme="minorHAnsi"/>
        </w:rPr>
        <w:t>B).</w:t>
      </w:r>
      <w:r>
        <w:rPr>
          <w:rFonts w:cstheme="minorHAnsi"/>
        </w:rPr>
        <w:t xml:space="preserve"> In contrast, we found evidence that size-corrected BMC may be more strongly associated with </w:t>
      </w:r>
      <w:proofErr w:type="gramStart"/>
      <w:r>
        <w:rPr>
          <w:rFonts w:cstheme="minorHAnsi"/>
        </w:rPr>
        <w:t>11 week</w:t>
      </w:r>
      <w:proofErr w:type="gramEnd"/>
      <w:r>
        <w:rPr>
          <w:rFonts w:cstheme="minorHAnsi"/>
        </w:rPr>
        <w:t xml:space="preserve"> PV in older childhood than at birth.</w:t>
      </w:r>
      <w:r w:rsidR="0056724A">
        <w:rPr>
          <w:rFonts w:cstheme="minorHAnsi"/>
        </w:rPr>
        <w:t xml:space="preserve"> </w:t>
      </w:r>
      <w:r w:rsidR="0056724A" w:rsidRPr="00EE7CB5">
        <w:rPr>
          <w:rFonts w:cstheme="minorHAnsi"/>
        </w:rPr>
        <w:t xml:space="preserve">Whilst the observed associations are relatively modest, regression coefficients for all bone outcomes at all time points (excluding </w:t>
      </w:r>
      <w:proofErr w:type="spellStart"/>
      <w:r w:rsidR="0056724A" w:rsidRPr="00EE7CB5">
        <w:rPr>
          <w:rFonts w:cstheme="minorHAnsi"/>
        </w:rPr>
        <w:t>aBMD</w:t>
      </w:r>
      <w:proofErr w:type="spellEnd"/>
      <w:r w:rsidR="0056724A" w:rsidRPr="00EE7CB5">
        <w:rPr>
          <w:rFonts w:cstheme="minorHAnsi"/>
        </w:rPr>
        <w:t xml:space="preserve"> at 8 years) were &gt;0, suggesting a persistent signal for the associations between early pregnancy placental volume and offspring bone metrics in early childhood.</w:t>
      </w:r>
    </w:p>
    <w:p w14:paraId="16F4FBCB" w14:textId="7E4BAF66" w:rsidR="00E401A5" w:rsidRPr="00880F44" w:rsidRDefault="00E401A5" w:rsidP="00E401A5">
      <w:pPr>
        <w:spacing w:before="240" w:after="120" w:line="480" w:lineRule="auto"/>
        <w:jc w:val="both"/>
        <w:rPr>
          <w:rFonts w:cstheme="minorHAnsi"/>
        </w:rPr>
      </w:pPr>
      <w:r w:rsidRPr="00880F44">
        <w:rPr>
          <w:rFonts w:cstheme="minorHAnsi"/>
        </w:rPr>
        <w:t>This study used a</w:t>
      </w:r>
      <w:r>
        <w:rPr>
          <w:rFonts w:cstheme="minorHAnsi"/>
        </w:rPr>
        <w:t xml:space="preserve"> </w:t>
      </w:r>
      <w:r w:rsidRPr="00880F44">
        <w:rPr>
          <w:rFonts w:cstheme="minorHAnsi"/>
        </w:rPr>
        <w:t>well</w:t>
      </w:r>
      <w:r>
        <w:rPr>
          <w:rFonts w:cstheme="minorHAnsi"/>
        </w:rPr>
        <w:t>-</w:t>
      </w:r>
      <w:r w:rsidRPr="00880F44">
        <w:rPr>
          <w:rFonts w:cstheme="minorHAnsi"/>
        </w:rPr>
        <w:t xml:space="preserve">characterised prospective </w:t>
      </w:r>
      <w:r>
        <w:rPr>
          <w:rFonts w:cstheme="minorHAnsi"/>
        </w:rPr>
        <w:t xml:space="preserve">mother-offspring </w:t>
      </w:r>
      <w:r w:rsidRPr="00880F44">
        <w:rPr>
          <w:rFonts w:cstheme="minorHAnsi"/>
        </w:rPr>
        <w:t xml:space="preserve">cohort study, with </w:t>
      </w:r>
      <w:r>
        <w:rPr>
          <w:rFonts w:cstheme="minorHAnsi"/>
        </w:rPr>
        <w:t>“</w:t>
      </w:r>
      <w:r w:rsidRPr="00880F44">
        <w:rPr>
          <w:rFonts w:cstheme="minorHAnsi"/>
        </w:rPr>
        <w:t>gold-standard</w:t>
      </w:r>
      <w:r>
        <w:rPr>
          <w:rFonts w:cstheme="minorHAnsi"/>
        </w:rPr>
        <w:t>”</w:t>
      </w:r>
      <w:r w:rsidRPr="00880F44">
        <w:rPr>
          <w:rFonts w:cstheme="minorHAnsi"/>
        </w:rPr>
        <w:t xml:space="preserve"> measures of placental volume and bone mass. However, several limitations should be considered </w:t>
      </w:r>
      <w:r>
        <w:rPr>
          <w:rFonts w:cstheme="minorHAnsi"/>
        </w:rPr>
        <w:t>in the interpretation of</w:t>
      </w:r>
      <w:r w:rsidRPr="00880F44">
        <w:rPr>
          <w:rFonts w:cstheme="minorHAnsi"/>
        </w:rPr>
        <w:t xml:space="preserve"> our results. </w:t>
      </w:r>
      <w:r w:rsidR="008B37A4" w:rsidRPr="00DA41ED">
        <w:rPr>
          <w:rFonts w:cstheme="minorHAnsi"/>
        </w:rPr>
        <w:t xml:space="preserve">Firstly, our sample was a subset of the larger SWS cohort, and both mothers and offspring differed in several ways from the overall study population, especially </w:t>
      </w:r>
      <w:proofErr w:type="gramStart"/>
      <w:r w:rsidR="008B37A4" w:rsidRPr="00DA41ED">
        <w:rPr>
          <w:rFonts w:cstheme="minorHAnsi"/>
        </w:rPr>
        <w:t>in regards to</w:t>
      </w:r>
      <w:proofErr w:type="gramEnd"/>
      <w:r w:rsidR="008B37A4" w:rsidRPr="00DA41ED">
        <w:rPr>
          <w:rFonts w:cstheme="minorHAnsi"/>
        </w:rPr>
        <w:t xml:space="preserve"> neonatal BA and BMC. Although this may limit the generalisability of our findings, all described observations are in relation to internal comparisons.</w:t>
      </w:r>
      <w:r w:rsidR="008B37A4">
        <w:rPr>
          <w:rFonts w:cstheme="minorHAnsi"/>
        </w:rPr>
        <w:t xml:space="preserve"> </w:t>
      </w:r>
      <w:r w:rsidRPr="00880F44">
        <w:rPr>
          <w:rFonts w:cstheme="minorHAnsi"/>
        </w:rPr>
        <w:t xml:space="preserve">Secondly, DXA scanning of neonates and children is subject to several limitations, due to their lower BMD when compared </w:t>
      </w:r>
      <w:r>
        <w:rPr>
          <w:rFonts w:cstheme="minorHAnsi"/>
        </w:rPr>
        <w:t>with</w:t>
      </w:r>
      <w:r w:rsidRPr="00880F44">
        <w:rPr>
          <w:rFonts w:cstheme="minorHAnsi"/>
        </w:rPr>
        <w:t xml:space="preserve"> adults and the </w:t>
      </w:r>
      <w:r>
        <w:rPr>
          <w:rFonts w:cstheme="minorHAnsi"/>
        </w:rPr>
        <w:t>propensity of younger participants to</w:t>
      </w:r>
      <w:r w:rsidRPr="00880F44">
        <w:rPr>
          <w:rFonts w:cstheme="minorHAnsi"/>
        </w:rPr>
        <w:t xml:space="preserve"> move</w:t>
      </w:r>
      <w:r>
        <w:rPr>
          <w:rFonts w:cstheme="minorHAnsi"/>
        </w:rPr>
        <w:t xml:space="preserve"> during scanning</w:t>
      </w:r>
      <w:r w:rsidRPr="00880F44">
        <w:rPr>
          <w:rFonts w:cstheme="minorHAnsi"/>
        </w:rPr>
        <w:t>. To allow for this, specific paediatric software was used at all three DXA scanning time points which minimises the loss of edge detection</w:t>
      </w:r>
      <w:r>
        <w:rPr>
          <w:rFonts w:cstheme="minorHAnsi"/>
        </w:rPr>
        <w:t xml:space="preserve"> and </w:t>
      </w:r>
      <w:r w:rsidRPr="00880F44">
        <w:rPr>
          <w:rFonts w:cstheme="minorHAnsi"/>
        </w:rPr>
        <w:t xml:space="preserve">images with excessive movement artefacts were excluded from the analysis. </w:t>
      </w:r>
      <w:r>
        <w:rPr>
          <w:rFonts w:cstheme="minorHAnsi"/>
        </w:rPr>
        <w:t xml:space="preserve">Furthermore, </w:t>
      </w:r>
      <w:r>
        <w:rPr>
          <w:rFonts w:cstheme="minorHAnsi"/>
        </w:rPr>
        <w:lastRenderedPageBreak/>
        <w:t>p</w:t>
      </w:r>
      <w:r w:rsidRPr="00880F44">
        <w:rPr>
          <w:rFonts w:cstheme="minorHAnsi"/>
        </w:rPr>
        <w:t xml:space="preserve">revious studies have demonstrated that DXA measurements of bone mass correlate well with whole body bone mineral content in small mammals such as piglets </w:t>
      </w:r>
      <w:r w:rsidRPr="00292B07">
        <w:rPr>
          <w:rFonts w:cstheme="minorHAnsi"/>
        </w:rPr>
        <w:fldChar w:fldCharType="begin"/>
      </w:r>
      <w:r w:rsidR="002B31D7">
        <w:rPr>
          <w:rFonts w:cstheme="minorHAnsi"/>
        </w:rPr>
        <w:instrText xml:space="preserve"> ADDIN EN.CITE &lt;EndNote&gt;&lt;Cite&gt;&lt;Author&gt;Koo&lt;/Author&gt;&lt;Year&gt;1995&lt;/Year&gt;&lt;RecNum&gt;123&lt;/RecNum&gt;&lt;DisplayText&gt;[15]&lt;/DisplayText&gt;&lt;record&gt;&lt;rec-number&gt;123&lt;/rec-number&gt;&lt;foreign-keys&gt;&lt;key app="EN" db-id="tfwvwzxv0zrszlesr085eddvz9vwesewfwsr" timestamp="1569332744"&gt;123&lt;/key&gt;&lt;/foreign-keys&gt;&lt;ref-type name="Journal Article"&gt;17&lt;/ref-type&gt;&lt;contributors&gt;&lt;authors&gt;&lt;author&gt;Koo, Winston WK&lt;/author&gt;&lt;author&gt;Walters, Jocelyn&lt;/author&gt;&lt;author&gt;Bush, Andrew J&lt;/author&gt;&lt;/authors&gt;&lt;/contributors&gt;&lt;titles&gt;&lt;title&gt;Technical considerations of dual‐energy X‐ray absorptiometry‐based bone mineral measurements for pediatric studies&lt;/title&gt;&lt;secondary-title&gt;Journal of Bone and Mineral Research&lt;/secondary-title&gt;&lt;/titles&gt;&lt;periodical&gt;&lt;full-title&gt;Journal of Bone and Mineral Research&lt;/full-title&gt;&lt;/periodical&gt;&lt;pages&gt;1998-2004&lt;/pages&gt;&lt;volume&gt;10&lt;/volume&gt;&lt;number&gt;12&lt;/number&gt;&lt;dates&gt;&lt;year&gt;1995&lt;/year&gt;&lt;/dates&gt;&lt;isbn&gt;0884-0431&lt;/isbn&gt;&lt;urls&gt;&lt;/urls&gt;&lt;/record&gt;&lt;/Cite&gt;&lt;/EndNote&gt;</w:instrText>
      </w:r>
      <w:r w:rsidRPr="00292B07">
        <w:rPr>
          <w:rFonts w:cstheme="minorHAnsi"/>
        </w:rPr>
        <w:fldChar w:fldCharType="separate"/>
      </w:r>
      <w:r w:rsidR="002B31D7">
        <w:rPr>
          <w:rFonts w:cstheme="minorHAnsi"/>
          <w:noProof/>
        </w:rPr>
        <w:t>[15]</w:t>
      </w:r>
      <w:r w:rsidRPr="00292B07">
        <w:rPr>
          <w:rFonts w:cstheme="minorHAnsi"/>
        </w:rPr>
        <w:fldChar w:fldCharType="end"/>
      </w:r>
      <w:r w:rsidRPr="00880F44">
        <w:rPr>
          <w:rFonts w:cstheme="minorHAnsi"/>
        </w:rPr>
        <w:t xml:space="preserve">. It should also be noted that intrauterine ultrasound measurements are prone to variation due to operator dependent factors. However, all measurements were carried out by a single experienced sonographer, </w:t>
      </w:r>
      <w:r>
        <w:rPr>
          <w:rFonts w:cstheme="minorHAnsi"/>
        </w:rPr>
        <w:t>using</w:t>
      </w:r>
      <w:r w:rsidRPr="00880F44">
        <w:rPr>
          <w:rFonts w:cstheme="minorHAnsi"/>
        </w:rPr>
        <w:t xml:space="preserve"> a </w:t>
      </w:r>
      <w:r w:rsidRPr="004810D2">
        <w:rPr>
          <w:rFonts w:cstheme="minorHAnsi"/>
        </w:rPr>
        <w:t>standard protocol.</w:t>
      </w:r>
      <w:r w:rsidRPr="00880F44">
        <w:rPr>
          <w:rFonts w:cstheme="minorHAnsi"/>
        </w:rPr>
        <w:t xml:space="preserve"> </w:t>
      </w:r>
      <w:r w:rsidR="00D30007" w:rsidRPr="00E244B6">
        <w:rPr>
          <w:rFonts w:cstheme="minorHAnsi"/>
        </w:rPr>
        <w:t>Finally, placentas which were not captured in their entirety in 3DUS scans were omitted from the analysis and placental position (which can impact measurement of placental volume) was not recorded during 3DUS scanning, due to difficulties regarding commenting on placental position at this very early stage of pregnancy. If anything, this may have conservatively biased our results, with the associations between very large placentae and offspring bone outcomes not being represented.</w:t>
      </w:r>
    </w:p>
    <w:p w14:paraId="4F6C4C93" w14:textId="00C25A0B" w:rsidR="00E401A5" w:rsidRPr="00880F44" w:rsidRDefault="00E401A5" w:rsidP="00E401A5">
      <w:pPr>
        <w:spacing w:before="240" w:after="120" w:line="480" w:lineRule="auto"/>
        <w:jc w:val="both"/>
        <w:rPr>
          <w:rFonts w:cstheme="minorHAnsi"/>
        </w:rPr>
      </w:pPr>
      <w:r w:rsidRPr="00880F44">
        <w:rPr>
          <w:rFonts w:cstheme="minorHAnsi"/>
        </w:rPr>
        <w:t xml:space="preserve">The data we present here complement our previous findings in the SWS </w:t>
      </w:r>
      <w:r>
        <w:rPr>
          <w:rFonts w:cstheme="minorHAnsi"/>
        </w:rPr>
        <w:t xml:space="preserve">cohort </w:t>
      </w:r>
      <w:r w:rsidRPr="00292B07">
        <w:rPr>
          <w:rFonts w:cstheme="minorHAnsi"/>
        </w:rPr>
        <w:fldChar w:fldCharType="begin"/>
      </w:r>
      <w:r w:rsidR="00564CE2">
        <w:rPr>
          <w:rFonts w:cstheme="minorHAnsi"/>
        </w:rPr>
        <w:instrText xml:space="preserve"> ADDIN EN.CITE &lt;EndNote&gt;&lt;Cite&gt;&lt;Author&gt;Holroyd&lt;/Author&gt;&lt;Year&gt;2012&lt;/Year&gt;&lt;RecNum&gt;2&lt;/RecNum&gt;&lt;DisplayText&gt;[10]&lt;/DisplayText&gt;&lt;record&gt;&lt;rec-number&gt;2&lt;/rec-number&gt;&lt;foreign-keys&gt;&lt;key app="EN" db-id="tfwvwzxv0zrszlesr085eddvz9vwesewfwsr" timestamp="1566574896"&gt;2&lt;/key&gt;&lt;/foreign-keys&gt;&lt;ref-type name="Journal Article"&gt;17&lt;/ref-type&gt;&lt;contributors&gt;&lt;authors&gt;&lt;author&gt;Holroyd, C. R.&lt;/author&gt;&lt;author&gt;Harvey, N. C.&lt;/author&gt;&lt;author&gt;Crozier, S. R.&lt;/author&gt;&lt;author&gt;Winder, N. R.&lt;/author&gt;&lt;author&gt;Mahon, P. A.&lt;/author&gt;&lt;author&gt;Ntani, G.&lt;/author&gt;&lt;author&gt;Godfrey, K. M.&lt;/author&gt;&lt;author&gt;Inskip, H. M.&lt;/author&gt;&lt;author&gt;Cooper, C.&lt;/author&gt;&lt;/authors&gt;&lt;/contributors&gt;&lt;titles&gt;&lt;title&gt;Placental size at 19 weeks predicts offspring bone mass at birth: Findings from the Southampton Women&amp;apos;s Survey&lt;/title&gt;&lt;secondary-title&gt;Placenta&lt;/secondary-title&gt;&lt;/titles&gt;&lt;periodical&gt;&lt;full-title&gt;Placenta&lt;/full-title&gt;&lt;/periodical&gt;&lt;pages&gt;623-629&lt;/pages&gt;&lt;volume&gt;33&lt;/volume&gt;&lt;number&gt;8&lt;/number&gt;&lt;keywords&gt;&lt;keyword&gt;Osteoporosis&lt;/keyword&gt;&lt;keyword&gt;Placenta&lt;/keyword&gt;&lt;keyword&gt;Bone mass&lt;/keyword&gt;&lt;keyword&gt;Bone density&lt;/keyword&gt;&lt;keyword&gt;Ultrasound&lt;/keyword&gt;&lt;/keywords&gt;&lt;dates&gt;&lt;year&gt;2012&lt;/year&gt;&lt;pub-dates&gt;&lt;date&gt;2012/08/01/&lt;/date&gt;&lt;/pub-dates&gt;&lt;/dates&gt;&lt;isbn&gt;0143-4004&lt;/isbn&gt;&lt;urls&gt;&lt;related-urls&gt;&lt;url&gt;http://www.sciencedirect.com/science/article/pii/S0143400412001622&lt;/url&gt;&lt;/related-urls&gt;&lt;/urls&gt;&lt;electronic-resource-num&gt;https://doi.org/10.1016/j.placenta.2012.04.007&lt;/electronic-resource-num&gt;&lt;/record&gt;&lt;/Cite&gt;&lt;/EndNote&gt;</w:instrText>
      </w:r>
      <w:r w:rsidRPr="00292B07">
        <w:rPr>
          <w:rFonts w:cstheme="minorHAnsi"/>
        </w:rPr>
        <w:fldChar w:fldCharType="separate"/>
      </w:r>
      <w:r w:rsidR="00564CE2">
        <w:rPr>
          <w:rFonts w:cstheme="minorHAnsi"/>
          <w:noProof/>
        </w:rPr>
        <w:t>[10]</w:t>
      </w:r>
      <w:r w:rsidRPr="00292B07">
        <w:rPr>
          <w:rFonts w:cstheme="minorHAnsi"/>
        </w:rPr>
        <w:fldChar w:fldCharType="end"/>
      </w:r>
      <w:r w:rsidRPr="00880F44">
        <w:rPr>
          <w:rFonts w:cstheme="minorHAnsi"/>
        </w:rPr>
        <w:t xml:space="preserve">. In </w:t>
      </w:r>
      <w:r>
        <w:rPr>
          <w:rFonts w:cstheme="minorHAnsi"/>
        </w:rPr>
        <w:t>this</w:t>
      </w:r>
      <w:r w:rsidRPr="00880F44">
        <w:rPr>
          <w:rFonts w:cstheme="minorHAnsi"/>
        </w:rPr>
        <w:t xml:space="preserve"> earlier analysis, </w:t>
      </w:r>
      <w:proofErr w:type="gramStart"/>
      <w:r w:rsidRPr="00880F44">
        <w:rPr>
          <w:rFonts w:cstheme="minorHAnsi"/>
        </w:rPr>
        <w:t>19</w:t>
      </w:r>
      <w:r>
        <w:rPr>
          <w:rFonts w:cstheme="minorHAnsi"/>
        </w:rPr>
        <w:t xml:space="preserve"> </w:t>
      </w:r>
      <w:r w:rsidRPr="00880F44">
        <w:rPr>
          <w:rFonts w:cstheme="minorHAnsi"/>
        </w:rPr>
        <w:t>week</w:t>
      </w:r>
      <w:proofErr w:type="gramEnd"/>
      <w:r w:rsidRPr="00880F44">
        <w:rPr>
          <w:rFonts w:cstheme="minorHAnsi"/>
        </w:rPr>
        <w:t xml:space="preserve"> </w:t>
      </w:r>
      <w:r>
        <w:rPr>
          <w:rFonts w:cstheme="minorHAnsi"/>
        </w:rPr>
        <w:t>PV</w:t>
      </w:r>
      <w:r w:rsidRPr="00880F44">
        <w:rPr>
          <w:rFonts w:cstheme="minorHAnsi"/>
        </w:rPr>
        <w:t xml:space="preserve"> was positively associated with neonatal BA and BMC. Similarly, in the present study we have shown that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is also associated with neonatal BA and BMC</w:t>
      </w:r>
      <w:r>
        <w:rPr>
          <w:rFonts w:cstheme="minorHAnsi"/>
        </w:rPr>
        <w:t>,</w:t>
      </w:r>
      <w:r w:rsidRPr="00880F44">
        <w:rPr>
          <w:rFonts w:cstheme="minorHAnsi"/>
        </w:rPr>
        <w:t xml:space="preserve"> but that the associations persist, albeit with reduced magnitude</w:t>
      </w:r>
      <w:r>
        <w:rPr>
          <w:rFonts w:cstheme="minorHAnsi"/>
        </w:rPr>
        <w:t>,</w:t>
      </w:r>
      <w:r w:rsidRPr="00880F44">
        <w:rPr>
          <w:rFonts w:cstheme="minorHAnsi"/>
        </w:rPr>
        <w:t xml:space="preserve"> in relation to outcomes at 6 and 8 years. We have </w:t>
      </w:r>
      <w:r>
        <w:rPr>
          <w:rFonts w:cstheme="minorHAnsi"/>
        </w:rPr>
        <w:t xml:space="preserve">also </w:t>
      </w:r>
      <w:r w:rsidRPr="00880F44">
        <w:rPr>
          <w:rFonts w:cstheme="minorHAnsi"/>
        </w:rPr>
        <w:t xml:space="preserve">previously demonstrated in the ALSPAC cohort that postpartum </w:t>
      </w:r>
      <w:r>
        <w:rPr>
          <w:rFonts w:cstheme="minorHAnsi"/>
        </w:rPr>
        <w:t>PV</w:t>
      </w:r>
      <w:r w:rsidRPr="00880F44">
        <w:rPr>
          <w:rFonts w:cstheme="minorHAnsi"/>
        </w:rPr>
        <w:t xml:space="preserve"> is associated with several offspring bone metrics at 9.9 years of age, which also included BA and BMC </w:t>
      </w:r>
      <w:r w:rsidRPr="00292B07">
        <w:rPr>
          <w:rFonts w:cstheme="minorHAnsi"/>
        </w:rPr>
        <w:fldChar w:fldCharType="begin"/>
      </w:r>
      <w:r w:rsidR="00564CE2">
        <w:rPr>
          <w:rFonts w:cstheme="minorHAnsi"/>
        </w:rPr>
        <w:instrText xml:space="preserve"> ADDIN EN.CITE &lt;EndNote&gt;&lt;Cite&gt;&lt;Author&gt;Holroyd&lt;/Author&gt;&lt;Year&gt;2016&lt;/Year&gt;&lt;RecNum&gt;3&lt;/RecNum&gt;&lt;DisplayText&gt;[11]&lt;/DisplayText&gt;&lt;record&gt;&lt;rec-number&gt;3&lt;/rec-number&gt;&lt;foreign-keys&gt;&lt;key app="EN" db-id="tfwvwzxv0zrszlesr085eddvz9vwesewfwsr" timestamp="1566574983"&gt;3&lt;/key&gt;&lt;/foreign-keys&gt;&lt;ref-type name="Journal Article"&gt;17&lt;/ref-type&gt;&lt;contributors&gt;&lt;authors&gt;&lt;author&gt;Holroyd, Christopher R&lt;/author&gt;&lt;author&gt;Osmond, Clive&lt;/author&gt;&lt;author&gt;Barker, David JP&lt;/author&gt;&lt;author&gt;Ring, Sue M&lt;/author&gt;&lt;author&gt;Lawlor, Debbie A&lt;/author&gt;&lt;author&gt;Tobias, Jon H&lt;/author&gt;&lt;author&gt;Smith, George Davey&lt;/author&gt;&lt;author&gt;Cooper, Cyrus&lt;/author&gt;&lt;author&gt;Harvey, Nicholas C&lt;/author&gt;&lt;/authors&gt;&lt;/contributors&gt;&lt;titles&gt;&lt;title&gt;Placental Size Is Associated Differentially With Postnatal Bone Size and Density&lt;/title&gt;&lt;secondary-title&gt;Journal of Bone and Mineral Research&lt;/secondary-title&gt;&lt;/titles&gt;&lt;periodical&gt;&lt;full-title&gt;Journal of Bone and Mineral Research&lt;/full-title&gt;&lt;/periodical&gt;&lt;pages&gt;1855-1864&lt;/pages&gt;&lt;volume&gt;31&lt;/volume&gt;&lt;number&gt;10&lt;/number&gt;&lt;dates&gt;&lt;year&gt;2016&lt;/year&gt;&lt;/dates&gt;&lt;isbn&gt;0884-0431&lt;/isbn&gt;&lt;urls&gt;&lt;related-urls&gt;&lt;url&gt;https://asbmr.onlinelibrary.wiley.com/doi/abs/10.1002/jbmr.2840&lt;/url&gt;&lt;/related-urls&gt;&lt;/urls&gt;&lt;electronic-resource-num&gt;10.1002/jbmr.2840&lt;/electronic-resource-num&gt;&lt;/record&gt;&lt;/Cite&gt;&lt;/EndNote&gt;</w:instrText>
      </w:r>
      <w:r w:rsidRPr="00292B07">
        <w:rPr>
          <w:rFonts w:cstheme="minorHAnsi"/>
        </w:rPr>
        <w:fldChar w:fldCharType="separate"/>
      </w:r>
      <w:r w:rsidR="00564CE2">
        <w:rPr>
          <w:rFonts w:cstheme="minorHAnsi"/>
          <w:noProof/>
        </w:rPr>
        <w:t>[11]</w:t>
      </w:r>
      <w:r w:rsidRPr="00292B07">
        <w:rPr>
          <w:rFonts w:cstheme="minorHAnsi"/>
        </w:rPr>
        <w:fldChar w:fldCharType="end"/>
      </w:r>
      <w:r w:rsidRPr="00880F44">
        <w:rPr>
          <w:rFonts w:cstheme="minorHAnsi"/>
        </w:rPr>
        <w:t xml:space="preserve">. We found similar positive associations in the present study between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and BMC at a roughly comparable time point (8 years). The general pattern of </w:t>
      </w:r>
      <w:r>
        <w:rPr>
          <w:rFonts w:cstheme="minorHAnsi"/>
        </w:rPr>
        <w:t xml:space="preserve">a </w:t>
      </w:r>
      <w:r w:rsidRPr="00880F44">
        <w:rPr>
          <w:rFonts w:cstheme="minorHAnsi"/>
        </w:rPr>
        <w:t xml:space="preserve">waning magnitude of association for DXA bone measures with increasing offspring age is consistent with the findings in </w:t>
      </w:r>
      <w:r>
        <w:rPr>
          <w:rFonts w:cstheme="minorHAnsi"/>
        </w:rPr>
        <w:t xml:space="preserve">the </w:t>
      </w:r>
      <w:r w:rsidRPr="00880F44">
        <w:rPr>
          <w:rFonts w:cstheme="minorHAnsi"/>
        </w:rPr>
        <w:t>ALSPAC</w:t>
      </w:r>
      <w:r>
        <w:rPr>
          <w:rFonts w:cstheme="minorHAnsi"/>
        </w:rPr>
        <w:t xml:space="preserve"> cohort, which</w:t>
      </w:r>
      <w:r w:rsidRPr="00DE020A">
        <w:rPr>
          <w:rFonts w:cstheme="minorHAnsi"/>
        </w:rPr>
        <w:t xml:space="preserve"> showed attenuation from 9.9 years, though 15.5 years to 17.7 years</w:t>
      </w:r>
      <w:r w:rsidRPr="00880F44">
        <w:rPr>
          <w:rFonts w:cstheme="minorHAnsi"/>
        </w:rPr>
        <w:t>. In contrast, in this earlier study we found evidence that associations with measures of bone from peripheral quantitative computed tomography</w:t>
      </w:r>
      <w:r>
        <w:rPr>
          <w:rFonts w:cstheme="minorHAnsi"/>
        </w:rPr>
        <w:t xml:space="preserve"> (</w:t>
      </w:r>
      <w:proofErr w:type="spellStart"/>
      <w:r>
        <w:rPr>
          <w:rFonts w:cstheme="minorHAnsi"/>
        </w:rPr>
        <w:t>pQCT</w:t>
      </w:r>
      <w:proofErr w:type="spellEnd"/>
      <w:r>
        <w:rPr>
          <w:rFonts w:cstheme="minorHAnsi"/>
        </w:rPr>
        <w:t>)</w:t>
      </w:r>
      <w:r w:rsidRPr="00880F44">
        <w:rPr>
          <w:rFonts w:cstheme="minorHAnsi"/>
        </w:rPr>
        <w:t>, such as tibial cortical density and periosteal circumference,</w:t>
      </w:r>
      <w:r>
        <w:rPr>
          <w:rFonts w:cstheme="minorHAnsi"/>
        </w:rPr>
        <w:t xml:space="preserve"> </w:t>
      </w:r>
      <w:r w:rsidRPr="00880F44">
        <w:rPr>
          <w:rFonts w:cstheme="minorHAnsi"/>
        </w:rPr>
        <w:t xml:space="preserve">persisted </w:t>
      </w:r>
      <w:r>
        <w:rPr>
          <w:rFonts w:cstheme="minorHAnsi"/>
        </w:rPr>
        <w:t xml:space="preserve">during </w:t>
      </w:r>
      <w:r w:rsidRPr="00DE020A">
        <w:rPr>
          <w:rFonts w:cstheme="minorHAnsi"/>
        </w:rPr>
        <w:t>adolescence from 15.5 years to 17.7 years</w:t>
      </w:r>
      <w:r w:rsidRPr="00880F44">
        <w:rPr>
          <w:rFonts w:cstheme="minorHAnsi"/>
        </w:rPr>
        <w:t>, suggesting that placental size is likely to be relevant to</w:t>
      </w:r>
      <w:r>
        <w:rPr>
          <w:rFonts w:cstheme="minorHAnsi"/>
        </w:rPr>
        <w:t xml:space="preserve"> aspects of</w:t>
      </w:r>
      <w:r w:rsidRPr="00880F44">
        <w:rPr>
          <w:rFonts w:cstheme="minorHAnsi"/>
        </w:rPr>
        <w:t xml:space="preserve"> later bone health.</w:t>
      </w:r>
    </w:p>
    <w:p w14:paraId="08C2753A" w14:textId="088E0931" w:rsidR="00E401A5" w:rsidRPr="001B2906" w:rsidRDefault="00E401A5" w:rsidP="00E401A5">
      <w:pPr>
        <w:spacing w:before="240" w:after="120" w:line="480" w:lineRule="auto"/>
        <w:jc w:val="both"/>
        <w:rPr>
          <w:rFonts w:cstheme="minorHAnsi"/>
        </w:rPr>
      </w:pPr>
      <w:r>
        <w:rPr>
          <w:rFonts w:cstheme="minorHAnsi"/>
        </w:rPr>
        <w:t>We</w:t>
      </w:r>
      <w:r w:rsidRPr="00880F44">
        <w:rPr>
          <w:rFonts w:cstheme="minorHAnsi"/>
        </w:rPr>
        <w:t xml:space="preserve"> cannot derive specific mechanistic </w:t>
      </w:r>
      <w:r>
        <w:rPr>
          <w:rFonts w:cstheme="minorHAnsi"/>
        </w:rPr>
        <w:t>conclusions from the present analyses</w:t>
      </w:r>
      <w:r w:rsidRPr="00880F44">
        <w:rPr>
          <w:rFonts w:cstheme="minorHAnsi"/>
        </w:rPr>
        <w:t xml:space="preserve"> and as this was an observational study causality cannot be inferred these data. </w:t>
      </w:r>
      <w:r>
        <w:rPr>
          <w:rFonts w:cstheme="minorHAnsi"/>
        </w:rPr>
        <w:t>P</w:t>
      </w:r>
      <w:r w:rsidRPr="00880F44">
        <w:rPr>
          <w:rFonts w:cstheme="minorHAnsi"/>
        </w:rPr>
        <w:t xml:space="preserve">lacental size has a well-documented </w:t>
      </w:r>
      <w:r w:rsidRPr="00880F44">
        <w:rPr>
          <w:rFonts w:cstheme="minorHAnsi"/>
        </w:rPr>
        <w:lastRenderedPageBreak/>
        <w:t xml:space="preserve">relationship with birthweight, which is perhaps unsurprising as the size of the placenta </w:t>
      </w:r>
      <w:r>
        <w:rPr>
          <w:rFonts w:cstheme="minorHAnsi"/>
        </w:rPr>
        <w:t xml:space="preserve">partly </w:t>
      </w:r>
      <w:r w:rsidRPr="00880F44">
        <w:rPr>
          <w:rFonts w:cstheme="minorHAnsi"/>
        </w:rPr>
        <w:t xml:space="preserve">reflects its ability to transfer nutrients to the </w:t>
      </w:r>
      <w:proofErr w:type="spellStart"/>
      <w:r w:rsidRPr="00880F44">
        <w:rPr>
          <w:rFonts w:cstheme="minorHAnsi"/>
        </w:rPr>
        <w:t>fetus</w:t>
      </w:r>
      <w:proofErr w:type="spellEnd"/>
      <w:r w:rsidRPr="00880F44">
        <w:rPr>
          <w:rFonts w:cstheme="minorHAnsi"/>
        </w:rPr>
        <w:t xml:space="preserve"> </w:t>
      </w:r>
      <w:r w:rsidRPr="00292B07">
        <w:rPr>
          <w:rFonts w:cstheme="minorHAnsi"/>
        </w:rPr>
        <w:fldChar w:fldCharType="begin"/>
      </w:r>
      <w:r w:rsidR="002B31D7">
        <w:rPr>
          <w:rFonts w:cstheme="minorHAnsi"/>
        </w:rPr>
        <w:instrText xml:space="preserve"> ADDIN EN.CITE &lt;EndNote&gt;&lt;Cite&gt;&lt;Author&gt;Fowden&lt;/Author&gt;&lt;Year&gt;2009&lt;/Year&gt;&lt;RecNum&gt;117&lt;/RecNum&gt;&lt;DisplayText&gt;[16]&lt;/DisplayText&gt;&lt;record&gt;&lt;rec-number&gt;117&lt;/rec-number&gt;&lt;foreign-keys&gt;&lt;key app="EN" db-id="tfwvwzxv0zrszlesr085eddvz9vwesewfwsr" timestamp="1567764133"&gt;117&lt;/key&gt;&lt;/foreign-keys&gt;&lt;ref-type name="Journal Article"&gt;17&lt;/ref-type&gt;&lt;contributors&gt;&lt;authors&gt;&lt;author&gt;Fowden, AL&lt;/author&gt;&lt;author&gt;Sferruzzi‐Perri, AN&lt;/author&gt;&lt;author&gt;Coan, PM&lt;/author&gt;&lt;author&gt;Constancia, M&lt;/author&gt;&lt;author&gt;Burton, GJ&lt;/author&gt;&lt;/authors&gt;&lt;/contributors&gt;&lt;titles&gt;&lt;title&gt;Placental efficiency and adaptation: endocrine regulation&lt;/title&gt;&lt;secondary-title&gt;The Journal of physiology&lt;/secondary-title&gt;&lt;/titles&gt;&lt;periodical&gt;&lt;full-title&gt;The Journal of physiology&lt;/full-title&gt;&lt;/periodical&gt;&lt;pages&gt;3459-3472&lt;/pages&gt;&lt;volume&gt;587&lt;/volume&gt;&lt;number&gt;14&lt;/number&gt;&lt;dates&gt;&lt;year&gt;2009&lt;/year&gt;&lt;/dates&gt;&lt;isbn&gt;0022-3751&lt;/isbn&gt;&lt;urls&gt;&lt;/urls&gt;&lt;/record&gt;&lt;/Cite&gt;&lt;/EndNote&gt;</w:instrText>
      </w:r>
      <w:r w:rsidRPr="00292B07">
        <w:rPr>
          <w:rFonts w:cstheme="minorHAnsi"/>
        </w:rPr>
        <w:fldChar w:fldCharType="separate"/>
      </w:r>
      <w:r w:rsidR="002B31D7">
        <w:rPr>
          <w:rFonts w:cstheme="minorHAnsi"/>
          <w:noProof/>
        </w:rPr>
        <w:t>[16]</w:t>
      </w:r>
      <w:r w:rsidRPr="00292B07">
        <w:rPr>
          <w:rFonts w:cstheme="minorHAnsi"/>
        </w:rPr>
        <w:fldChar w:fldCharType="end"/>
      </w:r>
      <w:r w:rsidRPr="00880F44">
        <w:rPr>
          <w:rFonts w:cstheme="minorHAnsi"/>
        </w:rPr>
        <w:t xml:space="preserve">. </w:t>
      </w:r>
      <w:r>
        <w:rPr>
          <w:rFonts w:cstheme="minorHAnsi"/>
        </w:rPr>
        <w:t>Several p</w:t>
      </w:r>
      <w:r w:rsidRPr="00880F44">
        <w:rPr>
          <w:rFonts w:cstheme="minorHAnsi"/>
        </w:rPr>
        <w:t xml:space="preserve">revious studies have </w:t>
      </w:r>
      <w:r>
        <w:rPr>
          <w:rFonts w:cstheme="minorHAnsi"/>
        </w:rPr>
        <w:t xml:space="preserve">documented associations between birthweight and placental volume measured </w:t>
      </w:r>
      <w:r w:rsidRPr="00880F44">
        <w:rPr>
          <w:rFonts w:cstheme="minorHAnsi"/>
        </w:rPr>
        <w:t xml:space="preserve">in early pregnancy </w:t>
      </w:r>
      <w:r w:rsidRPr="00292B07">
        <w:rPr>
          <w:rFonts w:cstheme="minorHAnsi"/>
        </w:rPr>
        <w:fldChar w:fldCharType="begin">
          <w:fldData xml:space="preserve">PEVuZE5vdGU+PENpdGU+PEF1dGhvcj5BbnRzYWtsaXM8L0F1dGhvcj48WWVhcj4yMDExPC9ZZWFy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</w:fldData>
        </w:fldChar>
      </w:r>
      <w:r w:rsidR="002B31D7">
        <w:rPr>
          <w:rFonts w:cstheme="minorHAnsi"/>
        </w:rPr>
        <w:instrText xml:space="preserve"> ADDIN EN.CITE </w:instrText>
      </w:r>
      <w:r w:rsidR="002B31D7">
        <w:rPr>
          <w:rFonts w:cstheme="minorHAnsi"/>
        </w:rPr>
        <w:fldChar w:fldCharType="begin">
          <w:fldData xml:space="preserve">PEVuZE5vdGU+PENpdGU+PEF1dGhvcj5BbnRzYWtsaXM8L0F1dGhvcj48WWVhcj4yMDExPC9ZZWFy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</w:fldData>
        </w:fldChar>
      </w:r>
      <w:r w:rsidR="002B31D7">
        <w:rPr>
          <w:rFonts w:cstheme="minorHAnsi"/>
        </w:rPr>
        <w:instrText xml:space="preserve"> ADDIN EN.CITE.DATA </w:instrText>
      </w:r>
      <w:r w:rsidR="002B31D7">
        <w:rPr>
          <w:rFonts w:cstheme="minorHAnsi"/>
        </w:rPr>
      </w:r>
      <w:r w:rsidR="002B31D7">
        <w:rPr>
          <w:rFonts w:cstheme="minorHAnsi"/>
        </w:rPr>
        <w:fldChar w:fldCharType="end"/>
      </w:r>
      <w:r w:rsidRPr="00292B07">
        <w:rPr>
          <w:rFonts w:cstheme="minorHAnsi"/>
        </w:rPr>
      </w:r>
      <w:r w:rsidRPr="00292B07">
        <w:rPr>
          <w:rFonts w:cstheme="minorHAnsi"/>
        </w:rPr>
        <w:fldChar w:fldCharType="separate"/>
      </w:r>
      <w:r w:rsidR="002B31D7">
        <w:rPr>
          <w:rFonts w:cstheme="minorHAnsi"/>
          <w:noProof/>
        </w:rPr>
        <w:t>[17,18]</w:t>
      </w:r>
      <w:r w:rsidRPr="00292B07">
        <w:rPr>
          <w:rFonts w:cstheme="minorHAnsi"/>
        </w:rPr>
        <w:fldChar w:fldCharType="end"/>
      </w:r>
      <w:r>
        <w:rPr>
          <w:rFonts w:cstheme="minorHAnsi"/>
        </w:rPr>
        <w:t xml:space="preserve">, in later </w:t>
      </w:r>
      <w:r w:rsidRPr="00880F44">
        <w:rPr>
          <w:rFonts w:cstheme="minorHAnsi"/>
        </w:rPr>
        <w:t xml:space="preserve">pregnancy </w:t>
      </w:r>
      <w:r w:rsidRPr="00292B07">
        <w:rPr>
          <w:rFonts w:cstheme="minorHAnsi"/>
        </w:rPr>
        <w:fldChar w:fldCharType="begin">
          <w:fldData xml:space="preserve">PEVuZE5vdGU+PENpdGU+PEF1dGhvcj5LaW5hcmU8L0F1dGhvcj48WWVhcj4yMDAwPC9ZZWFyPjxS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</w:fldData>
        </w:fldChar>
      </w:r>
      <w:r w:rsidR="002B31D7">
        <w:rPr>
          <w:rFonts w:cstheme="minorHAnsi"/>
        </w:rPr>
        <w:instrText xml:space="preserve"> ADDIN EN.CITE </w:instrText>
      </w:r>
      <w:r w:rsidR="002B31D7">
        <w:rPr>
          <w:rFonts w:cstheme="minorHAnsi"/>
        </w:rPr>
        <w:fldChar w:fldCharType="begin">
          <w:fldData xml:space="preserve">PEVuZE5vdGU+PENpdGU+PEF1dGhvcj5LaW5hcmU8L0F1dGhvcj48WWVhcj4yMDAwPC9ZZWFyPjxS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</w:fldData>
        </w:fldChar>
      </w:r>
      <w:r w:rsidR="002B31D7">
        <w:rPr>
          <w:rFonts w:cstheme="minorHAnsi"/>
        </w:rPr>
        <w:instrText xml:space="preserve"> ADDIN EN.CITE.DATA </w:instrText>
      </w:r>
      <w:r w:rsidR="002B31D7">
        <w:rPr>
          <w:rFonts w:cstheme="minorHAnsi"/>
        </w:rPr>
      </w:r>
      <w:r w:rsidR="002B31D7">
        <w:rPr>
          <w:rFonts w:cstheme="minorHAnsi"/>
        </w:rPr>
        <w:fldChar w:fldCharType="end"/>
      </w:r>
      <w:r w:rsidRPr="00292B07">
        <w:rPr>
          <w:rFonts w:cstheme="minorHAnsi"/>
        </w:rPr>
      </w:r>
      <w:r w:rsidRPr="00292B07">
        <w:rPr>
          <w:rFonts w:cstheme="minorHAnsi"/>
        </w:rPr>
        <w:fldChar w:fldCharType="separate"/>
      </w:r>
      <w:r w:rsidR="002B31D7">
        <w:rPr>
          <w:rFonts w:cstheme="minorHAnsi"/>
          <w:noProof/>
        </w:rPr>
        <w:t>[19-22]</w:t>
      </w:r>
      <w:r w:rsidRPr="00292B07">
        <w:rPr>
          <w:rFonts w:cstheme="minorHAnsi"/>
        </w:rPr>
        <w:fldChar w:fldCharType="end"/>
      </w:r>
      <w:r w:rsidRPr="00880F44">
        <w:rPr>
          <w:rFonts w:cstheme="minorHAnsi"/>
        </w:rPr>
        <w:t xml:space="preserve"> </w:t>
      </w:r>
      <w:r>
        <w:rPr>
          <w:rFonts w:cstheme="minorHAnsi"/>
        </w:rPr>
        <w:t>and at delivery</w:t>
      </w:r>
      <w:r w:rsidRPr="00880F44">
        <w:rPr>
          <w:rFonts w:cstheme="minorHAnsi"/>
        </w:rPr>
        <w:t xml:space="preserve"> </w:t>
      </w:r>
      <w:r w:rsidRPr="00292B07">
        <w:rPr>
          <w:rFonts w:cstheme="minorHAnsi"/>
        </w:rPr>
        <w:fldChar w:fldCharType="begin"/>
      </w:r>
      <w:r w:rsidR="002B31D7">
        <w:rPr>
          <w:rFonts w:cstheme="minorHAnsi"/>
        </w:rPr>
        <w:instrText xml:space="preserve"> ADDIN EN.CITE &lt;EndNote&gt;&lt;Cite&gt;&lt;Author&gt;Kabir&lt;/Author&gt;&lt;Year&gt;2007&lt;/Year&gt;&lt;RecNum&gt;104&lt;/RecNum&gt;&lt;DisplayText&gt;[23]&lt;/DisplayText&gt;&lt;record&gt;&lt;rec-number&gt;104&lt;/rec-number&gt;&lt;foreign-keys&gt;&lt;key app="EN" db-id="tfwvwzxv0zrszlesr085eddvz9vwesewfwsr" timestamp="1567519708"&gt;104&lt;/key&gt;&lt;/foreign-keys&gt;&lt;ref-type name="Journal Article"&gt;17&lt;/ref-type&gt;&lt;contributors&gt;&lt;authors&gt;&lt;author&gt;Kabir, N.&lt;/author&gt;&lt;author&gt;Kawser, C. A.&lt;/author&gt;&lt;author&gt;Rahman, F.&lt;/author&gt;&lt;author&gt;Kabir, M. L.&lt;/author&gt;&lt;author&gt;Rahman, A.&lt;/author&gt;&lt;/authors&gt;&lt;/contributors&gt;&lt;auth-address&gt;Institue of Child and Mother Health, Dhaka, Bangladesh.&lt;/auth-address&gt;&lt;titles&gt;&lt;title&gt;The relationship of placental weight with birth weight&lt;/title&gt;&lt;secondary-title&gt;Mymensingh medical journal : MMJ&lt;/secondary-title&gt;&lt;alt-title&gt;Mymensingh Med J&lt;/alt-title&gt;&lt;/titles&gt;&lt;periodical&gt;&lt;full-title&gt;Mymensingh medical journal : MMJ&lt;/full-title&gt;&lt;abbr-1&gt;Mymensingh Med J&lt;/abbr-1&gt;&lt;/periodical&gt;&lt;alt-periodical&gt;&lt;full-title&gt;Mymensingh medical journal : MMJ&lt;/full-title&gt;&lt;abbr-1&gt;Mymensingh Med J&lt;/abbr-1&gt;&lt;/alt-periodical&gt;&lt;pages&gt;177-180&lt;/pages&gt;&lt;volume&gt;16&lt;/volume&gt;&lt;number&gt;2&lt;/number&gt;&lt;keywords&gt;&lt;keyword&gt;Birth Weight&lt;/keyword&gt;&lt;keyword&gt;Infant, Newborn&lt;/keyword&gt;&lt;/keywords&gt;&lt;dates&gt;&lt;year&gt;2007&lt;/year&gt;&lt;pub-dates&gt;&lt;date&gt;2007/07//&lt;/date&gt;&lt;/pub-dates&gt;&lt;/dates&gt;&lt;isbn&gt;1022-4742&lt;/isbn&gt;&lt;accession-num&gt;17703155&lt;/accession-num&gt;&lt;urls&gt;&lt;related-urls&gt;&lt;url&gt;http://europepmc.org/abstract/MED/17703155&lt;/url&gt;&lt;/related-urls&gt;&lt;/urls&gt;&lt;remote-database-name&gt;PubMed&lt;/remote-database-name&gt;&lt;language&gt;eng&lt;/language&gt;&lt;/record&gt;&lt;/Cite&gt;&lt;/EndNote&gt;</w:instrText>
      </w:r>
      <w:r w:rsidRPr="00292B07">
        <w:rPr>
          <w:rFonts w:cstheme="minorHAnsi"/>
        </w:rPr>
        <w:fldChar w:fldCharType="separate"/>
      </w:r>
      <w:r w:rsidR="002B31D7">
        <w:rPr>
          <w:rFonts w:cstheme="minorHAnsi"/>
          <w:noProof/>
        </w:rPr>
        <w:t>[23]</w:t>
      </w:r>
      <w:r w:rsidRPr="00292B07">
        <w:rPr>
          <w:rFonts w:cstheme="minorHAnsi"/>
        </w:rPr>
        <w:fldChar w:fldCharType="end"/>
      </w:r>
      <w:r w:rsidRPr="00880F44">
        <w:rPr>
          <w:rFonts w:cstheme="minorHAnsi"/>
        </w:rPr>
        <w:t>. As bone</w:t>
      </w:r>
      <w:r>
        <w:rPr>
          <w:rFonts w:cstheme="minorHAnsi"/>
        </w:rPr>
        <w:t xml:space="preserve"> contributes </w:t>
      </w:r>
      <w:r w:rsidRPr="00880F44">
        <w:rPr>
          <w:rFonts w:cstheme="minorHAnsi"/>
        </w:rPr>
        <w:t xml:space="preserve">to birthweight, it </w:t>
      </w:r>
      <w:r>
        <w:rPr>
          <w:rFonts w:cstheme="minorHAnsi"/>
        </w:rPr>
        <w:t>is possible that our observed findings simply reflect a larger placenta facilitating greater birthweight and corresponding greater skeletal size</w:t>
      </w:r>
      <w:r w:rsidRPr="00880F44">
        <w:rPr>
          <w:rFonts w:cstheme="minorHAnsi"/>
        </w:rPr>
        <w:t xml:space="preserve">. </w:t>
      </w:r>
      <w:r>
        <w:rPr>
          <w:rFonts w:cstheme="minorHAnsi"/>
        </w:rPr>
        <w:t xml:space="preserve">Indeed, as with PV measured at 19 weeks’ gestation in our previous SWS study, inclusion of birthweight in the present DXA models led to attenuation of the relationships with neonatal bone mass (other than for </w:t>
      </w:r>
      <w:proofErr w:type="spellStart"/>
      <w:r>
        <w:rPr>
          <w:rFonts w:cstheme="minorHAnsi"/>
        </w:rPr>
        <w:t>scBMC</w:t>
      </w:r>
      <w:proofErr w:type="spellEnd"/>
      <w:r>
        <w:rPr>
          <w:rFonts w:cstheme="minorHAnsi"/>
        </w:rPr>
        <w:t xml:space="preserve">), suggesting this may be at least partly the case. However, this adjustment had no material effect on associations with DXA measures at 6 and 8 years, consistent with findings in the ALSPAC cohort </w:t>
      </w:r>
      <w:r w:rsidRPr="00292B07">
        <w:rPr>
          <w:rFonts w:cstheme="minorHAnsi"/>
        </w:rPr>
        <w:fldChar w:fldCharType="begin"/>
      </w:r>
      <w:r w:rsidR="00564CE2">
        <w:rPr>
          <w:rFonts w:cstheme="minorHAnsi"/>
        </w:rPr>
        <w:instrText xml:space="preserve"> ADDIN EN.CITE &lt;EndNote&gt;&lt;Cite&gt;&lt;Author&gt;Holroyd&lt;/Author&gt;&lt;Year&gt;2016&lt;/Year&gt;&lt;RecNum&gt;3&lt;/RecNum&gt;&lt;DisplayText&gt;[11]&lt;/DisplayText&gt;&lt;record&gt;&lt;rec-number&gt;3&lt;/rec-number&gt;&lt;foreign-keys&gt;&lt;key app="EN" db-id="tfwvwzxv0zrszlesr085eddvz9vwesewfwsr" timestamp="1566574983"&gt;3&lt;/key&gt;&lt;/foreign-keys&gt;&lt;ref-type name="Journal Article"&gt;17&lt;/ref-type&gt;&lt;contributors&gt;&lt;authors&gt;&lt;author&gt;Holroyd, Christopher R&lt;/author&gt;&lt;author&gt;Osmond, Clive&lt;/author&gt;&lt;author&gt;Barker, David JP&lt;/author&gt;&lt;author&gt;Ring, Sue M&lt;/author&gt;&lt;author&gt;Lawlor, Debbie A&lt;/author&gt;&lt;author&gt;Tobias, Jon H&lt;/author&gt;&lt;author&gt;Smith, George Davey&lt;/author&gt;&lt;author&gt;Cooper, Cyrus&lt;/author&gt;&lt;author&gt;Harvey, Nicholas C&lt;/author&gt;&lt;/authors&gt;&lt;/contributors&gt;&lt;titles&gt;&lt;title&gt;Placental Size Is Associated Differentially With Postnatal Bone Size and Density&lt;/title&gt;&lt;secondary-title&gt;Journal of Bone and Mineral Research&lt;/secondary-title&gt;&lt;/titles&gt;&lt;periodical&gt;&lt;full-title&gt;Journal of Bone and Mineral Research&lt;/full-title&gt;&lt;/periodical&gt;&lt;pages&gt;1855-1864&lt;/pages&gt;&lt;volume&gt;31&lt;/volume&gt;&lt;number&gt;10&lt;/number&gt;&lt;dates&gt;&lt;year&gt;2016&lt;/year&gt;&lt;/dates&gt;&lt;isbn&gt;0884-0431&lt;/isbn&gt;&lt;urls&gt;&lt;related-urls&gt;&lt;url&gt;https://asbmr.onlinelibrary.wiley.com/doi/abs/10.1002/jbmr.2840&lt;/url&gt;&lt;/related-urls&gt;&lt;/urls&gt;&lt;electronic-resource-num&gt;10.1002/jbmr.2840&lt;/electronic-resource-num&gt;&lt;/record&gt;&lt;/Cite&gt;&lt;/EndNote&gt;</w:instrText>
      </w:r>
      <w:r w:rsidRPr="00292B07">
        <w:rPr>
          <w:rFonts w:cstheme="minorHAnsi"/>
        </w:rPr>
        <w:fldChar w:fldCharType="separate"/>
      </w:r>
      <w:r w:rsidR="00564CE2">
        <w:rPr>
          <w:rFonts w:cstheme="minorHAnsi"/>
          <w:noProof/>
        </w:rPr>
        <w:t>[11]</w:t>
      </w:r>
      <w:r w:rsidRPr="00292B07">
        <w:rPr>
          <w:rFonts w:cstheme="minorHAnsi"/>
        </w:rPr>
        <w:fldChar w:fldCharType="end"/>
      </w:r>
      <w:r>
        <w:rPr>
          <w:rFonts w:cstheme="minorHAnsi"/>
        </w:rPr>
        <w:t xml:space="preserve">, suggesting that, particularly in the longer term, associations </w:t>
      </w:r>
      <w:r w:rsidRPr="001B2906">
        <w:rPr>
          <w:rFonts w:cstheme="minorHAnsi"/>
        </w:rPr>
        <w:t xml:space="preserve">are not fully explained by birthweight. </w:t>
      </w:r>
    </w:p>
    <w:p w14:paraId="2717F309" w14:textId="07B72BBF" w:rsidR="00E401A5" w:rsidRPr="001B2906" w:rsidRDefault="00E401A5" w:rsidP="00E401A5">
      <w:pPr>
        <w:spacing w:before="240" w:after="120" w:line="480" w:lineRule="auto"/>
        <w:jc w:val="both"/>
        <w:rPr>
          <w:rFonts w:cstheme="minorHAnsi"/>
        </w:rPr>
      </w:pPr>
      <w:r w:rsidRPr="001B2906">
        <w:rPr>
          <w:rFonts w:cstheme="minorHAnsi"/>
        </w:rPr>
        <w:t>Whilst it is logical to assume the causal direction of placenta – birthweight – bone, the determinants of birthweight are complex. These include contributions from genotype, maternal pelvis size and the functional capacity per unit volume of the placenta itself. As a result, it may be that placental volume is in part dictated by an opposite sequence of causality, with the genetic and physiological potential for bone density and birthweight contributing to the demand for maternal-</w:t>
      </w:r>
      <w:proofErr w:type="spellStart"/>
      <w:r w:rsidRPr="001B2906">
        <w:rPr>
          <w:rFonts w:cstheme="minorHAnsi"/>
        </w:rPr>
        <w:t>fetal</w:t>
      </w:r>
      <w:proofErr w:type="spellEnd"/>
      <w:r w:rsidRPr="001B2906">
        <w:rPr>
          <w:rFonts w:cstheme="minorHAnsi"/>
        </w:rPr>
        <w:t xml:space="preserve"> nutrient transfer, and subsequently placental development </w:t>
      </w:r>
      <w:r w:rsidRPr="001B2906">
        <w:rPr>
          <w:rFonts w:cstheme="minorHAnsi"/>
        </w:rPr>
        <w:fldChar w:fldCharType="begin">
          <w:fldData xml:space="preserve">PEVuZE5vdGU+PENpdGU+PEF1dGhvcj5DbHluZXM8L0F1dGhvcj48WWVhcj4yMDE4PC9ZZWFyPjxS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Qm9uZSBNaW5lciBSZXM8L2Z1bGwtdGl0bGU+PC9wZXJpb2RpY2FsPjxwYWdlcz4xOTE3LTI1PC9w
YWdlcz48dm9sdW1lPjI5PC92b2x1bWU+PG51bWJlcj45PC9udW1iZXI+PGVkaXRpb24+MjAxNC8w
NS8yODwvZWRpdGlvbj48ZGF0ZXM+PHllYXI+MjAxNDwveWVhcj48cHViLWRhdGVzPjxkYXRlPlNl
cDwvZGF0ZT48L3B1Yi1kYXRlcz48L2RhdGVzPjxpc2JuPjE1MjMtNDY4MSAoRWxlY3Ryb25pYykm
I3hEOzA4ODQtMDQzMSAoTGlua2luZyk8L2lzYm4+PGFjY2Vzc2lvbi1udW0+MjQ4NjE4ODM8L2Fj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ZT48L3JlY29yZD48L0NpdGU+PC9FbmROb3RlPn==
</w:fldData>
        </w:fldChar>
      </w:r>
      <w:r w:rsidR="002B31D7">
        <w:rPr>
          <w:rFonts w:cstheme="minorHAnsi"/>
        </w:rPr>
        <w:instrText xml:space="preserve"> ADDIN EN.CITE </w:instrText>
      </w:r>
      <w:r w:rsidR="002B31D7">
        <w:rPr>
          <w:rFonts w:cstheme="minorHAnsi"/>
        </w:rPr>
        <w:fldChar w:fldCharType="begin">
          <w:fldData xml:space="preserve">PEVuZE5vdGU+PENpdGU+PEF1dGhvcj5DbHluZXM8L0F1dGhvcj48WWVhcj4yMDE4PC9ZZWFyPjxS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Qm9uZSBNaW5lciBSZXM8L2Z1bGwtdGl0bGU+PC9wZXJpb2RpY2FsPjxwYWdlcz4xOTE3LTI1PC9w
YWdlcz48dm9sdW1lPjI5PC92b2x1bWU+PG51bWJlcj45PC9udW1iZXI+PGVkaXRpb24+MjAxNC8w
NS8yODwvZWRpdGlvbj48ZGF0ZXM+PHllYXI+MjAxNDwveWVhcj48cHViLWRhdGVzPjxkYXRlPlNl
cDwvZGF0ZT48L3B1Yi1kYXRlcz48L2RhdGVzPjxpc2JuPjE1MjMtNDY4MSAoRWxlY3Ryb25pYykm
I3hEOzA4ODQtMDQzMSAoTGlua2luZyk8L2lzYm4+PGFjY2Vzc2lvbi1udW0+MjQ4NjE4ODM8L2Fj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ZT48L3JlY29yZD48L0NpdGU+PC9FbmROb3RlPn==
</w:fldData>
        </w:fldChar>
      </w:r>
      <w:r w:rsidR="002B31D7">
        <w:rPr>
          <w:rFonts w:cstheme="minorHAnsi"/>
        </w:rPr>
        <w:instrText xml:space="preserve"> ADDIN EN.CITE.DATA </w:instrText>
      </w:r>
      <w:r w:rsidR="002B31D7">
        <w:rPr>
          <w:rFonts w:cstheme="minorHAnsi"/>
        </w:rPr>
      </w:r>
      <w:r w:rsidR="002B31D7">
        <w:rPr>
          <w:rFonts w:cstheme="minorHAnsi"/>
        </w:rPr>
        <w:fldChar w:fldCharType="end"/>
      </w:r>
      <w:r w:rsidRPr="001B2906">
        <w:rPr>
          <w:rFonts w:cstheme="minorHAnsi"/>
        </w:rPr>
      </w:r>
      <w:r w:rsidRPr="001B2906">
        <w:rPr>
          <w:rFonts w:cstheme="minorHAnsi"/>
        </w:rPr>
        <w:fldChar w:fldCharType="separate"/>
      </w:r>
      <w:r w:rsidR="002B31D7">
        <w:rPr>
          <w:rFonts w:cstheme="minorHAnsi"/>
          <w:noProof/>
        </w:rPr>
        <w:t>[24,25]</w:t>
      </w:r>
      <w:r w:rsidRPr="001B2906">
        <w:rPr>
          <w:rFonts w:cstheme="minorHAnsi"/>
        </w:rPr>
        <w:fldChar w:fldCharType="end"/>
      </w:r>
      <w:r w:rsidRPr="001B2906">
        <w:rPr>
          <w:rFonts w:cstheme="minorHAnsi"/>
        </w:rPr>
        <w:t xml:space="preserve">. Further possible mechanisms might involve the capacity of the placenta to transport calcium and amino acids to the skeleton of the developing </w:t>
      </w:r>
      <w:proofErr w:type="spellStart"/>
      <w:r w:rsidRPr="001B2906">
        <w:rPr>
          <w:rFonts w:cstheme="minorHAnsi"/>
        </w:rPr>
        <w:t>fetus</w:t>
      </w:r>
      <w:proofErr w:type="spellEnd"/>
      <w:r w:rsidRPr="001B2906">
        <w:rPr>
          <w:rFonts w:cstheme="minorHAnsi"/>
        </w:rPr>
        <w:t xml:space="preserve">. Indeed we have previously demonstrated links between activity of placental calcium </w:t>
      </w:r>
      <w:r w:rsidRPr="001B2906">
        <w:rPr>
          <w:rFonts w:cstheme="minorHAnsi"/>
        </w:rPr>
        <w:fldChar w:fldCharType="begin">
          <w:fldData xml:space="preserve">PEVuZE5vdGU+PENpdGU+PEF1dGhvcj5Ib3NraW5nPC9BdXRob3I+PFllYXI+MTk5NjwvWWVhcj48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</w:fldData>
        </w:fldChar>
      </w:r>
      <w:r w:rsidR="002B31D7">
        <w:rPr>
          <w:rFonts w:cstheme="minorHAnsi"/>
        </w:rPr>
        <w:instrText xml:space="preserve"> ADDIN EN.CITE </w:instrText>
      </w:r>
      <w:r w:rsidR="002B31D7">
        <w:rPr>
          <w:rFonts w:cstheme="minorHAnsi"/>
        </w:rPr>
        <w:fldChar w:fldCharType="begin">
          <w:fldData xml:space="preserve">PEVuZE5vdGU+PENpdGU+PEF1dGhvcj5Ib3NraW5nPC9BdXRob3I+PFllYXI+MTk5NjwvWWVhcj48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</w:fldData>
        </w:fldChar>
      </w:r>
      <w:r w:rsidR="002B31D7">
        <w:rPr>
          <w:rFonts w:cstheme="minorHAnsi"/>
        </w:rPr>
        <w:instrText xml:space="preserve"> ADDIN EN.CITE.DATA </w:instrText>
      </w:r>
      <w:r w:rsidR="002B31D7">
        <w:rPr>
          <w:rFonts w:cstheme="minorHAnsi"/>
        </w:rPr>
      </w:r>
      <w:r w:rsidR="002B31D7">
        <w:rPr>
          <w:rFonts w:cstheme="minorHAnsi"/>
        </w:rPr>
        <w:fldChar w:fldCharType="end"/>
      </w:r>
      <w:r w:rsidRPr="001B2906">
        <w:rPr>
          <w:rFonts w:cstheme="minorHAnsi"/>
        </w:rPr>
      </w:r>
      <w:r w:rsidRPr="001B2906">
        <w:rPr>
          <w:rFonts w:cstheme="minorHAnsi"/>
        </w:rPr>
        <w:fldChar w:fldCharType="separate"/>
      </w:r>
      <w:r w:rsidR="002B31D7">
        <w:rPr>
          <w:rFonts w:cstheme="minorHAnsi"/>
          <w:noProof/>
        </w:rPr>
        <w:t>[26-28]</w:t>
      </w:r>
      <w:r w:rsidRPr="001B2906">
        <w:rPr>
          <w:rFonts w:cstheme="minorHAnsi"/>
        </w:rPr>
        <w:fldChar w:fldCharType="end"/>
      </w:r>
      <w:r w:rsidRPr="001B2906">
        <w:rPr>
          <w:rFonts w:cstheme="minorHAnsi"/>
        </w:rPr>
        <w:t xml:space="preserve"> and amino acid transporters </w:t>
      </w:r>
      <w:r w:rsidRPr="001B2906">
        <w:rPr>
          <w:rFonts w:cstheme="minorHAnsi"/>
        </w:rPr>
        <w:fldChar w:fldCharType="begin">
          <w:fldData xml:space="preserve">PEVuZE5vdGU+PENpdGU+PEF1dGhvcj5DZXRpbjwvQXV0aG9yPjxZZWFyPjIwMDM8L1llYXI+PFJl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PC9hbHQtcGVyaW9kaWNhbD48cGFnZXM+ZTAxNDM2NTM8L3BhZ2VzPjx2b2x1bWU+MTA8L3ZvbHVt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</w:fldData>
        </w:fldChar>
      </w:r>
      <w:r w:rsidR="002B31D7">
        <w:rPr>
          <w:rFonts w:cstheme="minorHAnsi"/>
        </w:rPr>
        <w:instrText xml:space="preserve"> ADDIN EN.CITE </w:instrText>
      </w:r>
      <w:r w:rsidR="002B31D7">
        <w:rPr>
          <w:rFonts w:cstheme="minorHAnsi"/>
        </w:rPr>
        <w:fldChar w:fldCharType="begin">
          <w:fldData xml:space="preserve">PEVuZE5vdGU+PENpdGU+PEF1dGhvcj5DZXRpbjwvQXV0aG9yPjxZZWFyPjIwMDM8L1llYXI+PFJl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</w:fldData>
        </w:fldChar>
      </w:r>
      <w:r w:rsidR="002B31D7">
        <w:rPr>
          <w:rFonts w:cstheme="minorHAnsi"/>
        </w:rPr>
        <w:instrText xml:space="preserve"> ADDIN EN.CITE.DATA </w:instrText>
      </w:r>
      <w:r w:rsidR="002B31D7">
        <w:rPr>
          <w:rFonts w:cstheme="minorHAnsi"/>
        </w:rPr>
      </w:r>
      <w:r w:rsidR="002B31D7">
        <w:rPr>
          <w:rFonts w:cstheme="minorHAnsi"/>
        </w:rPr>
        <w:fldChar w:fldCharType="end"/>
      </w:r>
      <w:r w:rsidRPr="001B2906">
        <w:rPr>
          <w:rFonts w:cstheme="minorHAnsi"/>
        </w:rPr>
      </w:r>
      <w:r w:rsidRPr="001B2906">
        <w:rPr>
          <w:rFonts w:cstheme="minorHAnsi"/>
        </w:rPr>
        <w:fldChar w:fldCharType="separate"/>
      </w:r>
      <w:r w:rsidR="002B31D7">
        <w:rPr>
          <w:rFonts w:cstheme="minorHAnsi"/>
          <w:noProof/>
        </w:rPr>
        <w:t>[29-31]</w:t>
      </w:r>
      <w:r w:rsidRPr="001B2906">
        <w:rPr>
          <w:rFonts w:cstheme="minorHAnsi"/>
        </w:rPr>
        <w:fldChar w:fldCharType="end"/>
      </w:r>
      <w:r w:rsidRPr="001B2906">
        <w:rPr>
          <w:rFonts w:cstheme="minorHAnsi"/>
        </w:rPr>
        <w:t xml:space="preserve"> and offspring bone mass and body composition. In this regard, a larger placenta is simply one dimension of potential variation, with transporter density and activity also contributing to foetal growth. Therefore, both the overall size of the placenta, as well as its ability to transport nutrients per unit surface area, are likely to be key variables in determining offspring bone outcomes. </w:t>
      </w:r>
    </w:p>
    <w:p w14:paraId="5CD36640" w14:textId="586E9226" w:rsidR="00E401A5" w:rsidRDefault="00E401A5" w:rsidP="00E401A5">
      <w:pPr>
        <w:spacing w:before="240" w:after="120" w:line="480" w:lineRule="auto"/>
        <w:jc w:val="both"/>
        <w:rPr>
          <w:rFonts w:cstheme="minorHAnsi"/>
        </w:rPr>
      </w:pPr>
      <w:r w:rsidRPr="00880F44">
        <w:rPr>
          <w:rFonts w:cstheme="minorHAnsi"/>
        </w:rPr>
        <w:t xml:space="preserve">Early growth is an important contributor to peak bone mass achieved in young adulthood </w:t>
      </w:r>
      <w:r w:rsidRPr="00292B07">
        <w:rPr>
          <w:rFonts w:cstheme="minorHAnsi"/>
        </w:rPr>
        <w:fldChar w:fldCharType="begin"/>
      </w:r>
      <w:r w:rsidR="00564CE2">
        <w:rPr>
          <w:rFonts w:cstheme="minorHAnsi"/>
        </w:rPr>
        <w:instrText xml:space="preserve"> ADDIN EN.CITE &lt;EndNote&gt;&lt;Cite&gt;&lt;Author&gt;Cooper&lt;/Author&gt;&lt;Year&gt;1995&lt;/Year&gt;&lt;RecNum&gt;115&lt;/RecNum&gt;&lt;DisplayText&gt;[8,9]&lt;/DisplayText&gt;&lt;record&gt;&lt;rec-number&gt;115&lt;/rec-number&gt;&lt;foreign-keys&gt;&lt;key app="EN" db-id="tfwvwzxv0zrszlesr085eddvz9vwesewfwsr" timestamp="1567762776"&gt;115&lt;/key&gt;&lt;/foreign-keys&gt;&lt;ref-type name="Journal Article"&gt;17&lt;/ref-type&gt;&lt;contributors&gt;&lt;authors&gt;&lt;author&gt;Cooper, Cyrus&lt;/author&gt;&lt;author&gt;Cawley, Michael&lt;/author&gt;&lt;author&gt;Bhalla, Ashok&lt;/author&gt;&lt;author&gt;Egger, Peter&lt;/author&gt;&lt;author&gt;Ring, Francis&lt;/author&gt;&lt;author&gt;Morton, Linda&lt;/author&gt;&lt;author&gt;Barker, David&lt;/author&gt;&lt;/authors&gt;&lt;/contributors&gt;&lt;titles&gt;&lt;title&gt;Childhood growth, physical activity, and peak bone mass in women&lt;/title&gt;&lt;secondary-title&gt;Journal of Bone and Mineral Research&lt;/secondary-title&gt;&lt;/titles&gt;&lt;periodical&gt;&lt;full-title&gt;Journal of Bone and Mineral Research&lt;/full-title&gt;&lt;/periodical&gt;&lt;pages&gt;940-947&lt;/pages&gt;&lt;volume&gt;10&lt;/volume&gt;&lt;number&gt;6&lt;/number&gt;&lt;dates&gt;&lt;year&gt;1995&lt;/year&gt;&lt;/dates&gt;&lt;isbn&gt;0884-0431&lt;/isbn&gt;&lt;urls&gt;&lt;/urls&gt;&lt;/record&gt;&lt;/Cite&gt;&lt;Cite&gt;&lt;Author&gt;Dennison&lt;/Author&gt;&lt;Year&gt;2005&lt;/Year&gt;&lt;RecNum&gt;116&lt;/RecNum&gt;&lt;record&gt;&lt;rec-number&gt;116&lt;/rec-number&gt;&lt;foreign-keys&gt;&lt;key app="EN" db-id="tfwvwzxv0zrszlesr085eddvz9vwesewfwsr" timestamp="1567762826"&gt;116&lt;/key&gt;&lt;/foreign-keys&gt;&lt;ref-type name="Journal Article"&gt;17&lt;/ref-type&gt;&lt;contributors&gt;&lt;authors&gt;&lt;author&gt;Dennison, Elaine M&lt;/author&gt;&lt;author&gt;Syddall, Holly E&lt;/author&gt;&lt;author&gt;Sayer, A Aihie&lt;/author&gt;&lt;author&gt;Gilbody, Helen J&lt;/author&gt;&lt;author&gt;Cooper, Cyrus&lt;/author&gt;&lt;/authors&gt;&lt;/contributors&gt;&lt;titles&gt;&lt;title&gt;Birth weight and weight at 1 year are independent determinants of bone mass in the seventh decade: the Hertfordshire cohort study&lt;/title&gt;&lt;secondary-title&gt;Pediatric research&lt;/secondary-title&gt;&lt;/titles&gt;&lt;periodical&gt;&lt;full-title&gt;Pediatric research&lt;/full-title&gt;&lt;/periodical&gt;&lt;pages&gt;582&lt;/pages&gt;&lt;volume&gt;57&lt;/volume&gt;&lt;number&gt;4&lt;/number&gt;&lt;dates&gt;&lt;year&gt;2005&lt;/year&gt;&lt;/dates&gt;&lt;isbn&gt;1530-0447&lt;/isbn&gt;&lt;urls&gt;&lt;/urls&gt;&lt;/record&gt;&lt;/Cite&gt;&lt;/EndNote&gt;</w:instrText>
      </w:r>
      <w:r w:rsidRPr="00292B07">
        <w:rPr>
          <w:rFonts w:cstheme="minorHAnsi"/>
        </w:rPr>
        <w:fldChar w:fldCharType="separate"/>
      </w:r>
      <w:r w:rsidR="00564CE2">
        <w:rPr>
          <w:rFonts w:cstheme="minorHAnsi"/>
          <w:noProof/>
        </w:rPr>
        <w:t>[8,9]</w:t>
      </w:r>
      <w:r w:rsidRPr="00292B07">
        <w:rPr>
          <w:rFonts w:cstheme="minorHAnsi"/>
        </w:rPr>
        <w:fldChar w:fldCharType="end"/>
      </w:r>
      <w:r w:rsidRPr="00880F44">
        <w:rPr>
          <w:rFonts w:cstheme="minorHAnsi"/>
        </w:rPr>
        <w:t xml:space="preserve"> and has implications for the onset of osteoporosis </w:t>
      </w:r>
      <w:r w:rsidRPr="00292B07">
        <w:rPr>
          <w:rFonts w:cstheme="minorHAnsi"/>
        </w:rPr>
        <w:fldChar w:fldCharType="begin"/>
      </w:r>
      <w:r w:rsidR="00564CE2">
        <w:rPr>
          <w:rFonts w:cstheme="minorHAnsi"/>
        </w:rPr>
        <w:instrText xml:space="preserve"> ADDIN EN.CITE &lt;EndNote&gt;&lt;Cite&gt;&lt;Author&gt;Hernandez&lt;/Author&gt;&lt;Year&gt;2003&lt;/Year&gt;&lt;RecNum&gt;14&lt;/RecNum&gt;&lt;DisplayText&gt;[7]&lt;/DisplayText&gt;&lt;record&gt;&lt;rec-number&gt;14&lt;/rec-number&gt;&lt;foreign-keys&gt;&lt;key app="EN" db-id="tfwvwzxv0zrszlesr085eddvz9vwesewfwsr" timestamp="1566896555"&gt;14&lt;/key&gt;&lt;/foreign-keys&gt;&lt;ref-type name="Journal Article"&gt;17&lt;/ref-type&gt;&lt;contributors&gt;&lt;authors&gt;&lt;author&gt;Hernandez, CJ&lt;/author&gt;&lt;author&gt;Beaupre, GS&lt;/author&gt;&lt;author&gt;Carter, DR&lt;/author&gt;&lt;/authors&gt;&lt;/contributors&gt;&lt;titles&gt;&lt;title&gt;A theoretical analysis of the relative influences of peak BMD, age-related bone loss and menopause on the development of osteoporosis&lt;/title&gt;&lt;secondary-title&gt;Osteoporosis international&lt;/secondary-title&gt;&lt;/titles&gt;&lt;periodical&gt;&lt;full-title&gt;Osteoporosis international&lt;/full-title&gt;&lt;/periodical&gt;&lt;pages&gt;843-847&lt;/pages&gt;&lt;volume&gt;14&lt;/volume&gt;&lt;number&gt;10&lt;/number&gt;&lt;dates&gt;&lt;year&gt;2003&lt;/year&gt;&lt;/dates&gt;&lt;isbn&gt;0937-941X&lt;/isbn&gt;&lt;urls&gt;&lt;/urls&gt;&lt;/record&gt;&lt;/Cite&gt;&lt;/EndNote&gt;</w:instrText>
      </w:r>
      <w:r w:rsidRPr="00292B07">
        <w:rPr>
          <w:rFonts w:cstheme="minorHAnsi"/>
        </w:rPr>
        <w:fldChar w:fldCharType="separate"/>
      </w:r>
      <w:r w:rsidR="00564CE2">
        <w:rPr>
          <w:rFonts w:cstheme="minorHAnsi"/>
          <w:noProof/>
        </w:rPr>
        <w:t>[7]</w:t>
      </w:r>
      <w:r w:rsidRPr="00292B07">
        <w:rPr>
          <w:rFonts w:cstheme="minorHAnsi"/>
        </w:rPr>
        <w:fldChar w:fldCharType="end"/>
      </w:r>
      <w:r w:rsidRPr="00880F44">
        <w:rPr>
          <w:rFonts w:cstheme="minorHAnsi"/>
        </w:rPr>
        <w:t xml:space="preserve"> and hip fracture risk </w:t>
      </w:r>
      <w:r w:rsidRPr="00292B07">
        <w:rPr>
          <w:rFonts w:cstheme="minorHAnsi"/>
        </w:rPr>
        <w:fldChar w:fldCharType="begin"/>
      </w:r>
      <w:r w:rsidR="002B31D7">
        <w:rPr>
          <w:rFonts w:cstheme="minorHAnsi"/>
        </w:rPr>
        <w:instrText xml:space="preserve"> ADDIN EN.CITE &lt;EndNote&gt;&lt;Cite&gt;&lt;Author&gt;Cooper&lt;/Author&gt;&lt;Year&gt;2001&lt;/Year&gt;&lt;RecNum&gt;127&lt;/RecNum&gt;&lt;DisplayText&gt;[32]&lt;/DisplayText&gt;&lt;record&gt;&lt;rec-number&gt;127&lt;/rec-number&gt;&lt;foreign-keys&gt;&lt;key app="EN" db-id="tfwvwzxv0zrszlesr085eddvz9vwesewfwsr" timestamp="1571750312"&gt;127&lt;/key&gt;&lt;/foreign-keys&gt;&lt;ref-type name="Journal Article"&gt;17&lt;/ref-type&gt;&lt;contributors&gt;&lt;authors&gt;&lt;author&gt;Cooper, C&lt;/author&gt;&lt;author&gt;Eriksson, Johan G&lt;/author&gt;&lt;author&gt;Forsen, Tom&lt;/author&gt;&lt;author&gt;Osmond, Clive&lt;/author&gt;&lt;author&gt;Tuomilehto, Jaakko&lt;/author&gt;&lt;author&gt;Barker, David JP&lt;/author&gt;&lt;/authors&gt;&lt;/contributors&gt;&lt;titles&gt;&lt;title&gt;Maternal height, childhood growth and risk of hip fracture in later life: a longitudinal study&lt;/title&gt;&lt;secondary-title&gt;Osteoporosis International&lt;/secondary-title&gt;&lt;/titles&gt;&lt;periodical&gt;&lt;full-title&gt;Osteoporosis international&lt;/full-title&gt;&lt;/periodical&gt;&lt;pages&gt;623-629&lt;/pages&gt;&lt;volume&gt;12&lt;/volume&gt;&lt;number&gt;8&lt;/number&gt;&lt;dates&gt;&lt;year&gt;2001&lt;/year&gt;&lt;/dates&gt;&lt;isbn&gt;0937-941X&lt;/isbn&gt;&lt;urls&gt;&lt;/urls&gt;&lt;/record&gt;&lt;/Cite&gt;&lt;/EndNote&gt;</w:instrText>
      </w:r>
      <w:r w:rsidRPr="00292B07">
        <w:rPr>
          <w:rFonts w:cstheme="minorHAnsi"/>
        </w:rPr>
        <w:fldChar w:fldCharType="separate"/>
      </w:r>
      <w:r w:rsidR="002B31D7">
        <w:rPr>
          <w:rFonts w:cstheme="minorHAnsi"/>
          <w:noProof/>
        </w:rPr>
        <w:t>[32]</w:t>
      </w:r>
      <w:r w:rsidRPr="00292B07">
        <w:rPr>
          <w:rFonts w:cstheme="minorHAnsi"/>
        </w:rPr>
        <w:fldChar w:fldCharType="end"/>
      </w:r>
      <w:r w:rsidRPr="00880F44">
        <w:rPr>
          <w:rFonts w:cstheme="minorHAnsi"/>
        </w:rPr>
        <w:t xml:space="preserve"> in later life. In this study</w:t>
      </w:r>
      <w:r>
        <w:rPr>
          <w:rFonts w:cstheme="minorHAnsi"/>
        </w:rPr>
        <w:t>,</w:t>
      </w:r>
      <w:r w:rsidRPr="00880F44">
        <w:rPr>
          <w:rFonts w:cstheme="minorHAnsi"/>
        </w:rPr>
        <w:t xml:space="preserve"> </w:t>
      </w:r>
      <w:r w:rsidRPr="00880F44">
        <w:rPr>
          <w:rFonts w:cstheme="minorHAnsi"/>
        </w:rPr>
        <w:lastRenderedPageBreak/>
        <w:t xml:space="preserve">we found that for every 1 SD increase in </w:t>
      </w:r>
      <w:proofErr w:type="gramStart"/>
      <w:r w:rsidRPr="00880F44">
        <w:rPr>
          <w:rFonts w:cstheme="minorHAnsi"/>
        </w:rPr>
        <w:t>11 week</w:t>
      </w:r>
      <w:proofErr w:type="gramEnd"/>
      <w:r w:rsidRPr="00880F44">
        <w:rPr>
          <w:rFonts w:cstheme="minorHAnsi"/>
        </w:rPr>
        <w:t xml:space="preserve"> </w:t>
      </w:r>
      <w:r>
        <w:rPr>
          <w:rFonts w:cstheme="minorHAnsi"/>
        </w:rPr>
        <w:t>PV</w:t>
      </w:r>
      <w:r w:rsidRPr="00880F44">
        <w:rPr>
          <w:rFonts w:cstheme="minorHAnsi"/>
        </w:rPr>
        <w:t xml:space="preserve"> there is an increase </w:t>
      </w:r>
      <w:r>
        <w:rPr>
          <w:rFonts w:cstheme="minorHAnsi"/>
        </w:rPr>
        <w:t>of 0.26SD in</w:t>
      </w:r>
      <w:r w:rsidRPr="00880F44">
        <w:rPr>
          <w:rFonts w:cstheme="minorHAnsi"/>
        </w:rPr>
        <w:t xml:space="preserve"> neonatal BMC, when fully adjusting for a range of offspring and maternal factors.</w:t>
      </w:r>
      <w:r w:rsidR="00C75713">
        <w:rPr>
          <w:rFonts w:cstheme="minorHAnsi"/>
        </w:rPr>
        <w:t xml:space="preserve"> </w:t>
      </w:r>
      <w:r w:rsidR="00C75713" w:rsidRPr="006422C6">
        <w:rPr>
          <w:rFonts w:cstheme="minorHAnsi"/>
        </w:rPr>
        <w:t xml:space="preserve">Whilst these size-related associations were somewhat attenuated in relation to bone measures at 6 and 8 years, there was, consistent with previous findings </w:t>
      </w:r>
      <w:r w:rsidR="00C75713" w:rsidRPr="006422C6">
        <w:rPr>
          <w:rFonts w:cstheme="minorHAnsi"/>
        </w:rPr>
        <w:fldChar w:fldCharType="begin"/>
      </w:r>
      <w:r w:rsidR="00564CE2" w:rsidRPr="006422C6">
        <w:rPr>
          <w:rFonts w:cstheme="minorHAnsi"/>
        </w:rPr>
        <w:instrText xml:space="preserve"> ADDIN EN.CITE &lt;EndNote&gt;&lt;Cite&gt;&lt;Author&gt;Holroyd&lt;/Author&gt;&lt;Year&gt;2016&lt;/Year&gt;&lt;RecNum&gt;3&lt;/RecNum&gt;&lt;DisplayText&gt;[11]&lt;/DisplayText&gt;&lt;record&gt;&lt;rec-number&gt;3&lt;/rec-number&gt;&lt;foreign-keys&gt;&lt;key app="EN" db-id="tfwvwzxv0zrszlesr085eddvz9vwesewfwsr" timestamp="1566574983"&gt;3&lt;/key&gt;&lt;/foreign-keys&gt;&lt;ref-type name="Journal Article"&gt;17&lt;/ref-type&gt;&lt;contributors&gt;&lt;authors&gt;&lt;author&gt;Holroyd, Christopher R&lt;/author&gt;&lt;author&gt;Osmond, Clive&lt;/author&gt;&lt;author&gt;Barker, David JP&lt;/author&gt;&lt;author&gt;Ring, Sue M&lt;/author&gt;&lt;author&gt;Lawlor, Debbie A&lt;/author&gt;&lt;author&gt;Tobias, Jon H&lt;/author&gt;&lt;author&gt;Smith, George Davey&lt;/author&gt;&lt;author&gt;Cooper, Cyrus&lt;/author&gt;&lt;author&gt;Harvey, Nicholas C&lt;/author&gt;&lt;/authors&gt;&lt;/contributors&gt;&lt;titles&gt;&lt;title&gt;Placental Size Is Associated Differentially With Postnatal Bone Size and Density&lt;/title&gt;&lt;secondary-title&gt;Journal of Bone and Mineral Research&lt;/secondary-title&gt;&lt;/titles&gt;&lt;periodical&gt;&lt;full-title&gt;Journal of Bone and Mineral Research&lt;/full-title&gt;&lt;/periodical&gt;&lt;pages&gt;1855-1864&lt;/pages&gt;&lt;volume&gt;31&lt;/volume&gt;&lt;number&gt;10&lt;/number&gt;&lt;dates&gt;&lt;year&gt;2016&lt;/year&gt;&lt;/dates&gt;&lt;isbn&gt;0884-0431&lt;/isbn&gt;&lt;urls&gt;&lt;related-urls&gt;&lt;url&gt;https://asbmr.onlinelibrary.wiley.com/doi/abs/10.1002/jbmr.2840&lt;/url&gt;&lt;/related-urls&gt;&lt;/urls&gt;&lt;electronic-resource-num&gt;10.1002/jbmr.2840&lt;/electronic-resource-num&gt;&lt;/record&gt;&lt;/Cite&gt;&lt;/EndNote&gt;</w:instrText>
      </w:r>
      <w:r w:rsidR="00C75713" w:rsidRPr="006422C6">
        <w:rPr>
          <w:rFonts w:cstheme="minorHAnsi"/>
        </w:rPr>
        <w:fldChar w:fldCharType="separate"/>
      </w:r>
      <w:r w:rsidR="00564CE2" w:rsidRPr="006422C6">
        <w:rPr>
          <w:rFonts w:cstheme="minorHAnsi"/>
          <w:noProof/>
        </w:rPr>
        <w:t>[11]</w:t>
      </w:r>
      <w:r w:rsidR="00C75713" w:rsidRPr="006422C6">
        <w:rPr>
          <w:rFonts w:cstheme="minorHAnsi"/>
        </w:rPr>
        <w:fldChar w:fldCharType="end"/>
      </w:r>
      <w:r w:rsidR="00C75713" w:rsidRPr="006422C6">
        <w:rPr>
          <w:rFonts w:cstheme="minorHAnsi"/>
        </w:rPr>
        <w:t xml:space="preserve">, evidence to support associations between 11 week PV and </w:t>
      </w:r>
      <w:proofErr w:type="spellStart"/>
      <w:r w:rsidR="00C75713" w:rsidRPr="006422C6">
        <w:rPr>
          <w:rFonts w:cstheme="minorHAnsi"/>
        </w:rPr>
        <w:t>scBMC</w:t>
      </w:r>
      <w:proofErr w:type="spellEnd"/>
      <w:r w:rsidR="00C75713" w:rsidRPr="006422C6">
        <w:rPr>
          <w:rFonts w:cstheme="minorHAnsi"/>
        </w:rPr>
        <w:t xml:space="preserve"> with increasing childhood age. These data suggest a persistent relationship between placental volume, when measured in even the earliest stages of pregnancy, and offspring skeletal development throughout early childhood.</w:t>
      </w:r>
    </w:p>
    <w:p w14:paraId="3506981E" w14:textId="77777777" w:rsidR="00E401A5" w:rsidRPr="00880F44" w:rsidRDefault="00E401A5" w:rsidP="00E401A5">
      <w:pPr>
        <w:spacing w:before="240" w:after="120" w:line="480" w:lineRule="auto"/>
        <w:jc w:val="both"/>
        <w:rPr>
          <w:rFonts w:cstheme="minorHAnsi"/>
        </w:rPr>
      </w:pPr>
    </w:p>
    <w:p w14:paraId="59067BD5" w14:textId="77777777" w:rsidR="00E401A5" w:rsidRPr="00880F44" w:rsidRDefault="00E401A5" w:rsidP="00E401A5">
      <w:pPr>
        <w:spacing w:before="240" w:after="120" w:line="480" w:lineRule="auto"/>
        <w:jc w:val="both"/>
        <w:rPr>
          <w:rFonts w:cstheme="minorHAnsi"/>
          <w:b/>
        </w:rPr>
      </w:pPr>
      <w:r w:rsidRPr="00880F44">
        <w:rPr>
          <w:rFonts w:cstheme="minorHAnsi"/>
          <w:b/>
        </w:rPr>
        <w:t xml:space="preserve">Conclusion </w:t>
      </w:r>
    </w:p>
    <w:p w14:paraId="68C97869" w14:textId="01FFB335" w:rsidR="00E401A5" w:rsidRDefault="00E401A5" w:rsidP="00E401A5">
      <w:pPr>
        <w:spacing w:before="240" w:after="120" w:line="480" w:lineRule="auto"/>
        <w:jc w:val="both"/>
        <w:rPr>
          <w:rFonts w:cstheme="minorHAnsi"/>
        </w:rPr>
      </w:pPr>
      <w:r w:rsidRPr="00880F44">
        <w:rPr>
          <w:rFonts w:cstheme="minorHAnsi"/>
        </w:rPr>
        <w:t xml:space="preserve">We have shown that </w:t>
      </w:r>
      <w:proofErr w:type="gramStart"/>
      <w:r w:rsidRPr="00880F44">
        <w:rPr>
          <w:rFonts w:cstheme="minorHAnsi"/>
        </w:rPr>
        <w:t>11 week</w:t>
      </w:r>
      <w:proofErr w:type="gramEnd"/>
      <w:r w:rsidRPr="00880F44">
        <w:rPr>
          <w:rFonts w:cstheme="minorHAnsi"/>
        </w:rPr>
        <w:t xml:space="preserve"> placental volume is associated with measures of bone size and mineral content at birth, remaining robust after adjusting for a wide range of offspring and maternal factors previously associated with bone outcomes. These associations </w:t>
      </w:r>
      <w:r>
        <w:rPr>
          <w:rFonts w:cstheme="minorHAnsi"/>
        </w:rPr>
        <w:t>were somewhat</w:t>
      </w:r>
      <w:r w:rsidRPr="00880F44">
        <w:rPr>
          <w:rFonts w:cstheme="minorHAnsi"/>
        </w:rPr>
        <w:t xml:space="preserve"> attenuated in older childhood, </w:t>
      </w:r>
      <w:proofErr w:type="gramStart"/>
      <w:r w:rsidRPr="00880F44">
        <w:rPr>
          <w:rFonts w:cstheme="minorHAnsi"/>
        </w:rPr>
        <w:t>with the exception of</w:t>
      </w:r>
      <w:proofErr w:type="gramEnd"/>
      <w:r w:rsidRPr="00880F44">
        <w:rPr>
          <w:rFonts w:cstheme="minorHAnsi"/>
        </w:rPr>
        <w:t xml:space="preserve"> size-corrected bone mineral content, consistent with the pattern </w:t>
      </w:r>
      <w:r>
        <w:rPr>
          <w:rFonts w:cstheme="minorHAnsi"/>
        </w:rPr>
        <w:t xml:space="preserve">for more size-independent bone measures </w:t>
      </w:r>
      <w:r w:rsidRPr="00880F44">
        <w:rPr>
          <w:rFonts w:cstheme="minorHAnsi"/>
        </w:rPr>
        <w:t xml:space="preserve">observed in our ALSPAC </w:t>
      </w:r>
      <w:r>
        <w:rPr>
          <w:rFonts w:cstheme="minorHAnsi"/>
        </w:rPr>
        <w:t xml:space="preserve">cohort </w:t>
      </w:r>
      <w:r w:rsidRPr="00880F44">
        <w:rPr>
          <w:rFonts w:cstheme="minorHAnsi"/>
        </w:rPr>
        <w:t xml:space="preserve">analysis. When this study is </w:t>
      </w:r>
      <w:r>
        <w:rPr>
          <w:rFonts w:cstheme="minorHAnsi"/>
        </w:rPr>
        <w:t>taken</w:t>
      </w:r>
      <w:r w:rsidRPr="00880F44">
        <w:rPr>
          <w:rFonts w:cstheme="minorHAnsi"/>
        </w:rPr>
        <w:t xml:space="preserve"> </w:t>
      </w:r>
      <w:r>
        <w:rPr>
          <w:rFonts w:cstheme="minorHAnsi"/>
        </w:rPr>
        <w:t>together with</w:t>
      </w:r>
      <w:r w:rsidRPr="00880F44">
        <w:rPr>
          <w:rFonts w:cstheme="minorHAnsi"/>
        </w:rPr>
        <w:t xml:space="preserve"> our previous work, greater placental size, measured at several different time points </w:t>
      </w:r>
      <w:r w:rsidR="00564CE2">
        <w:rPr>
          <w:rFonts w:cstheme="minorHAnsi"/>
        </w:rPr>
        <w:t>(</w:t>
      </w:r>
      <w:r w:rsidRPr="00880F44">
        <w:rPr>
          <w:rFonts w:cstheme="minorHAnsi"/>
        </w:rPr>
        <w:t xml:space="preserve">early-pregnancy </w:t>
      </w:r>
      <w:r w:rsidR="00564CE2">
        <w:rPr>
          <w:rFonts w:cstheme="minorHAnsi"/>
        </w:rPr>
        <w:t>[</w:t>
      </w:r>
      <w:r w:rsidRPr="00880F44">
        <w:rPr>
          <w:rFonts w:cstheme="minorHAnsi"/>
        </w:rPr>
        <w:t>11 weeks</w:t>
      </w:r>
      <w:r>
        <w:rPr>
          <w:rFonts w:cstheme="minorHAnsi"/>
        </w:rPr>
        <w:t>’</w:t>
      </w:r>
      <w:r w:rsidRPr="00880F44">
        <w:rPr>
          <w:rFonts w:cstheme="minorHAnsi"/>
        </w:rPr>
        <w:t xml:space="preserve"> gestation</w:t>
      </w:r>
      <w:r w:rsidR="00564CE2">
        <w:rPr>
          <w:rFonts w:cstheme="minorHAnsi"/>
        </w:rPr>
        <w:t>]</w:t>
      </w:r>
      <w:r w:rsidRPr="00880F44">
        <w:rPr>
          <w:rFonts w:cstheme="minorHAnsi"/>
        </w:rPr>
        <w:t xml:space="preserve">, mid-pregnancy </w:t>
      </w:r>
      <w:r w:rsidR="00564CE2">
        <w:rPr>
          <w:rFonts w:cstheme="minorHAnsi"/>
        </w:rPr>
        <w:t>[</w:t>
      </w:r>
      <w:r w:rsidRPr="00880F44">
        <w:rPr>
          <w:rFonts w:cstheme="minorHAnsi"/>
        </w:rPr>
        <w:t>19 weeks</w:t>
      </w:r>
      <w:r>
        <w:rPr>
          <w:rFonts w:cstheme="minorHAnsi"/>
        </w:rPr>
        <w:t>’</w:t>
      </w:r>
      <w:r w:rsidRPr="00880F44">
        <w:rPr>
          <w:rFonts w:cstheme="minorHAnsi"/>
        </w:rPr>
        <w:t xml:space="preserve"> gestation</w:t>
      </w:r>
      <w:r w:rsidR="00564CE2">
        <w:rPr>
          <w:rFonts w:cstheme="minorHAnsi"/>
        </w:rPr>
        <w:t>]</w:t>
      </w:r>
      <w:r w:rsidRPr="00880F44">
        <w:rPr>
          <w:rFonts w:cstheme="minorHAnsi"/>
        </w:rPr>
        <w:t xml:space="preserve"> and </w:t>
      </w:r>
      <w:r>
        <w:rPr>
          <w:rFonts w:cstheme="minorHAnsi"/>
        </w:rPr>
        <w:t>at birth</w:t>
      </w:r>
      <w:r w:rsidR="00564CE2">
        <w:rPr>
          <w:rFonts w:cstheme="minorHAnsi"/>
        </w:rPr>
        <w:t>)</w:t>
      </w:r>
      <w:r w:rsidRPr="00880F44">
        <w:rPr>
          <w:rFonts w:cstheme="minorHAnsi"/>
        </w:rPr>
        <w:t xml:space="preserve"> has now been shown to be associated with improved offspring bone outcomes. These findings provide further support for the importance of the placenta in setting the trajectory of bone accrual in childhood and inform approaches to future mechanistic investigations.</w:t>
      </w:r>
    </w:p>
    <w:p w14:paraId="141D52C7" w14:textId="77777777" w:rsidR="00E401A5" w:rsidRPr="00880F44" w:rsidRDefault="00E401A5" w:rsidP="00E401A5">
      <w:pPr>
        <w:autoSpaceDE w:val="0"/>
        <w:autoSpaceDN w:val="0"/>
        <w:adjustRightInd w:val="0"/>
        <w:spacing w:before="240" w:after="120" w:line="480" w:lineRule="auto"/>
        <w:jc w:val="both"/>
        <w:rPr>
          <w:rFonts w:eastAsia="Times New Roman" w:cstheme="minorHAnsi"/>
          <w:color w:val="000000"/>
        </w:rPr>
      </w:pPr>
    </w:p>
    <w:p w14:paraId="43FD4EB8" w14:textId="77777777" w:rsidR="00E401A5" w:rsidRPr="00880F44" w:rsidRDefault="00E401A5" w:rsidP="00E401A5">
      <w:pPr>
        <w:spacing w:before="240" w:after="120" w:line="480" w:lineRule="auto"/>
        <w:jc w:val="both"/>
        <w:rPr>
          <w:rFonts w:cstheme="minorHAnsi"/>
          <w:b/>
          <w:bCs/>
        </w:rPr>
      </w:pPr>
      <w:r w:rsidRPr="00880F44">
        <w:rPr>
          <w:rFonts w:cstheme="minorHAnsi"/>
          <w:b/>
          <w:bCs/>
        </w:rPr>
        <w:t>Acknowledgements</w:t>
      </w:r>
    </w:p>
    <w:p w14:paraId="67C1CC0C" w14:textId="77777777" w:rsidR="00E401A5" w:rsidRDefault="00E401A5" w:rsidP="00E401A5">
      <w:pPr>
        <w:autoSpaceDE w:val="0"/>
        <w:autoSpaceDN w:val="0"/>
        <w:adjustRightInd w:val="0"/>
        <w:spacing w:before="240" w:after="120" w:line="480" w:lineRule="auto"/>
        <w:jc w:val="both"/>
        <w:rPr>
          <w:rFonts w:eastAsia="Times New Roman" w:cstheme="minorHAnsi"/>
          <w:color w:val="000000"/>
        </w:rPr>
      </w:pPr>
      <w:r w:rsidRPr="00880F44">
        <w:rPr>
          <w:rFonts w:eastAsia="Times New Roman" w:cstheme="minorHAnsi"/>
          <w:color w:val="000000"/>
        </w:rPr>
        <w:t>We thank the administrative staff, research nurses and participants of the SWS for their contributions. S</w:t>
      </w:r>
      <w:r>
        <w:rPr>
          <w:rFonts w:eastAsia="Times New Roman" w:cstheme="minorHAnsi"/>
          <w:color w:val="000000"/>
        </w:rPr>
        <w:t>J</w:t>
      </w:r>
      <w:r w:rsidRPr="00880F44">
        <w:rPr>
          <w:rFonts w:eastAsia="Times New Roman" w:cstheme="minorHAnsi"/>
          <w:color w:val="000000"/>
        </w:rPr>
        <w:t>W, EMC and SD are joint first authors.</w:t>
      </w:r>
      <w:r>
        <w:rPr>
          <w:rFonts w:eastAsia="Times New Roman" w:cstheme="minorHAnsi"/>
          <w:color w:val="000000"/>
        </w:rPr>
        <w:t xml:space="preserve"> CC and NCH are joint senior authors.</w:t>
      </w:r>
    </w:p>
    <w:p w14:paraId="10BDD515" w14:textId="77777777" w:rsidR="00E401A5" w:rsidRDefault="00E401A5" w:rsidP="00E401A5">
      <w:pPr>
        <w:autoSpaceDE w:val="0"/>
        <w:autoSpaceDN w:val="0"/>
        <w:adjustRightInd w:val="0"/>
        <w:spacing w:before="240" w:after="120" w:line="480" w:lineRule="auto"/>
        <w:jc w:val="both"/>
        <w:rPr>
          <w:rFonts w:eastAsia="Times New Roman" w:cstheme="minorHAnsi"/>
          <w:color w:val="000000"/>
        </w:rPr>
      </w:pPr>
    </w:p>
    <w:p w14:paraId="5DA44F9C" w14:textId="77777777" w:rsidR="00E401A5" w:rsidRDefault="00E401A5" w:rsidP="00E401A5">
      <w:pPr>
        <w:autoSpaceDE w:val="0"/>
        <w:autoSpaceDN w:val="0"/>
        <w:adjustRightInd w:val="0"/>
        <w:spacing w:before="240" w:after="120" w:line="480" w:lineRule="auto"/>
        <w:jc w:val="both"/>
        <w:rPr>
          <w:rFonts w:eastAsia="Times New Roman" w:cstheme="minorHAnsi"/>
          <w:b/>
          <w:bCs/>
          <w:color w:val="000000"/>
        </w:rPr>
      </w:pPr>
      <w:r>
        <w:rPr>
          <w:rFonts w:eastAsia="Times New Roman" w:cstheme="minorHAnsi"/>
          <w:b/>
          <w:bCs/>
          <w:color w:val="000000"/>
        </w:rPr>
        <w:t>Funding</w:t>
      </w:r>
    </w:p>
    <w:p w14:paraId="32B97C5D" w14:textId="077E9AC0" w:rsidR="001C4F25" w:rsidRDefault="00E401A5" w:rsidP="00E401A5">
      <w:pPr>
        <w:autoSpaceDE w:val="0"/>
        <w:autoSpaceDN w:val="0"/>
        <w:adjustRightInd w:val="0"/>
        <w:spacing w:before="240" w:after="120" w:line="480" w:lineRule="auto"/>
        <w:jc w:val="both"/>
        <w:rPr>
          <w:rFonts w:eastAsia="Times New Roman" w:cstheme="minorHAnsi"/>
          <w:color w:val="000000"/>
        </w:rPr>
        <w:sectPr w:rsidR="001C4F25" w:rsidSect="00C2141D">
          <w:footerReference w:type="default" r:id="rId8"/>
          <w:footerReference w:type="first" r:id="rId9"/>
          <w:pgSz w:w="11906" w:h="16838"/>
          <w:pgMar w:top="1440" w:right="1440" w:bottom="1440" w:left="1440" w:header="708" w:footer="708" w:gutter="0"/>
          <w:lnNumType w:countBy="1" w:restart="continuous"/>
          <w:cols w:space="708"/>
          <w:titlePg/>
          <w:docGrid w:linePitch="360"/>
        </w:sectPr>
      </w:pPr>
      <w:r>
        <w:rPr>
          <w:rFonts w:eastAsia="Times New Roman" w:cstheme="minorHAnsi"/>
          <w:color w:val="000000"/>
        </w:rPr>
        <w:t xml:space="preserve">This work was supported by grants from Medical Research Council (MRC) [4050502589 (MRC LEU)], Bupa Foundation, British Heart Foundation, National Institute for Health Research (NIHR) Southampton Biomedical Research Centre, University of Southampton and University Hospital Southampton NHS Foundation Trust, and NIHR Oxford Biomedical Research Centre, University of Oxford. EC has been supported by the </w:t>
      </w:r>
      <w:proofErr w:type="spellStart"/>
      <w:r>
        <w:rPr>
          <w:rFonts w:eastAsia="Times New Roman" w:cstheme="minorHAnsi"/>
          <w:color w:val="000000"/>
        </w:rPr>
        <w:t>Wellcome</w:t>
      </w:r>
      <w:proofErr w:type="spellEnd"/>
      <w:r>
        <w:rPr>
          <w:rFonts w:eastAsia="Times New Roman" w:cstheme="minorHAnsi"/>
          <w:color w:val="000000"/>
        </w:rPr>
        <w:t xml:space="preserve"> Trust (201268/Z/16/Z). The work leading to these results was supported by the European Union’s Seventh Framework Programme (FP7/2007–2013), projects </w:t>
      </w:r>
      <w:proofErr w:type="spellStart"/>
      <w:r>
        <w:rPr>
          <w:rFonts w:eastAsia="Times New Roman" w:cstheme="minorHAnsi"/>
          <w:color w:val="000000"/>
        </w:rPr>
        <w:t>EarlyNutrition</w:t>
      </w:r>
      <w:proofErr w:type="spellEnd"/>
      <w:r>
        <w:rPr>
          <w:rFonts w:eastAsia="Times New Roman" w:cstheme="minorHAnsi"/>
          <w:color w:val="000000"/>
        </w:rPr>
        <w:t xml:space="preserve">, ODIN and </w:t>
      </w:r>
      <w:proofErr w:type="spellStart"/>
      <w:r>
        <w:rPr>
          <w:rFonts w:eastAsia="Times New Roman" w:cstheme="minorHAnsi"/>
          <w:color w:val="000000"/>
        </w:rPr>
        <w:t>LifeCycle</w:t>
      </w:r>
      <w:proofErr w:type="spellEnd"/>
      <w:r>
        <w:rPr>
          <w:rFonts w:eastAsia="Times New Roman" w:cstheme="minorHAnsi"/>
          <w:color w:val="000000"/>
        </w:rPr>
        <w:t xml:space="preserve"> under grant agreements numbers 289346, 613977 and 733206, and by the BBSRC (HDHL-Biomarkers, BB/P028179/1), as part of the ALPHABET project, supported by an award made through the ERA-Net on Biomarkers for Nutrition and Health (ERA HDHL), Horizon 2020 grant agreement number 696295.</w:t>
      </w:r>
    </w:p>
    <w:tbl>
      <w:tblPr>
        <w:tblpPr w:leftFromText="180" w:rightFromText="180" w:vertAnchor="text" w:horzAnchor="margin" w:tblpY="229"/>
        <w:tblW w:w="5000" w:type="pct"/>
        <w:tblLook w:val="04A0" w:firstRow="1" w:lastRow="0" w:firstColumn="1" w:lastColumn="0" w:noHBand="0" w:noVBand="1"/>
      </w:tblPr>
      <w:tblGrid>
        <w:gridCol w:w="9026"/>
      </w:tblGrid>
      <w:tr w:rsidR="005A251B" w:rsidRPr="00A5731C" w14:paraId="31FB4AB7" w14:textId="77777777" w:rsidTr="005A251B">
        <w:trPr>
          <w:trHeight w:val="227"/>
        </w:trPr>
        <w:tc>
          <w:tcPr>
            <w:tcW w:w="5000" w:type="pct"/>
            <w:tcBorders>
              <w:top w:val="nil"/>
              <w:left w:val="nil"/>
              <w:right w:val="nil"/>
            </w:tcBorders>
            <w:shd w:val="clear" w:color="auto" w:fill="auto"/>
            <w:noWrap/>
            <w:vAlign w:val="center"/>
          </w:tcPr>
          <w:p w14:paraId="1CFCD8BF" w14:textId="77777777" w:rsidR="005A251B" w:rsidRPr="00A5731C" w:rsidRDefault="005A251B" w:rsidP="005A251B">
            <w:pPr>
              <w:spacing w:after="0" w:line="276" w:lineRule="auto"/>
              <w:rPr>
                <w:rFonts w:eastAsia="Times New Roman" w:cstheme="minorHAnsi"/>
                <w:b/>
                <w:color w:val="000000"/>
                <w:sz w:val="18"/>
                <w:szCs w:val="18"/>
                <w:lang w:eastAsia="en-GB"/>
              </w:rPr>
            </w:pPr>
            <w:r>
              <w:rPr>
                <w:rFonts w:eastAsia="Times New Roman" w:cstheme="minorHAnsi"/>
                <w:b/>
                <w:color w:val="000000"/>
                <w:sz w:val="18"/>
                <w:szCs w:val="18"/>
                <w:lang w:eastAsia="en-GB"/>
              </w:rPr>
              <w:lastRenderedPageBreak/>
              <w:t>Figure 1</w:t>
            </w:r>
          </w:p>
          <w:p w14:paraId="2B13CF0F" w14:textId="77777777" w:rsidR="005A251B" w:rsidRPr="00A5731C" w:rsidRDefault="005A251B" w:rsidP="005A251B">
            <w:pPr>
              <w:spacing w:after="0" w:line="276" w:lineRule="auto"/>
              <w:rPr>
                <w:rFonts w:eastAsia="Times New Roman" w:cstheme="minorHAnsi"/>
                <w:b/>
                <w:color w:val="000000"/>
                <w:sz w:val="18"/>
                <w:szCs w:val="18"/>
                <w:lang w:eastAsia="en-GB"/>
              </w:rPr>
            </w:pPr>
            <w:r>
              <w:rPr>
                <w:rFonts w:eastAsia="Times New Roman" w:cstheme="minorHAnsi"/>
                <w:color w:val="000000"/>
                <w:sz w:val="18"/>
                <w:szCs w:val="18"/>
                <w:lang w:eastAsia="en-GB"/>
              </w:rPr>
              <w:t>Flowchart detailing how study sample was derived from the SWS cohort.</w:t>
            </w:r>
          </w:p>
        </w:tc>
      </w:tr>
      <w:tr w:rsidR="005A251B" w:rsidRPr="00A5731C" w14:paraId="6CE56545" w14:textId="77777777" w:rsidTr="005A251B">
        <w:trPr>
          <w:trHeight w:val="227"/>
        </w:trPr>
        <w:tc>
          <w:tcPr>
            <w:tcW w:w="5000" w:type="pct"/>
            <w:tcBorders>
              <w:top w:val="single" w:sz="8" w:space="0" w:color="000000"/>
              <w:left w:val="nil"/>
              <w:bottom w:val="single" w:sz="8" w:space="0" w:color="000000"/>
              <w:right w:val="nil"/>
            </w:tcBorders>
            <w:shd w:val="clear" w:color="auto" w:fill="auto"/>
            <w:noWrap/>
            <w:vAlign w:val="center"/>
          </w:tcPr>
          <w:p w14:paraId="106E2746" w14:textId="77777777" w:rsidR="005A251B" w:rsidRPr="00A5731C" w:rsidRDefault="005A251B" w:rsidP="005A251B">
            <w:pPr>
              <w:spacing w:after="0" w:line="276" w:lineRule="auto"/>
              <w:jc w:val="center"/>
              <w:rPr>
                <w:rFonts w:eastAsia="Times New Roman" w:cstheme="minorHAnsi"/>
                <w:color w:val="000000"/>
                <w:sz w:val="18"/>
                <w:szCs w:val="18"/>
                <w:lang w:eastAsia="en-GB"/>
              </w:rPr>
            </w:pPr>
            <w:r>
              <w:rPr>
                <w:noProof/>
              </w:rPr>
              <w:drawing>
                <wp:inline distT="0" distB="0" distL="0" distR="0" wp14:anchorId="62F35059" wp14:editId="2B5E421F">
                  <wp:extent cx="5731510" cy="52476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247640"/>
                          </a:xfrm>
                          <a:prstGeom prst="rect">
                            <a:avLst/>
                          </a:prstGeom>
                        </pic:spPr>
                      </pic:pic>
                    </a:graphicData>
                  </a:graphic>
                </wp:inline>
              </w:drawing>
            </w:r>
          </w:p>
        </w:tc>
      </w:tr>
      <w:tr w:rsidR="005A251B" w:rsidRPr="00A5731C" w14:paraId="1D3DB271" w14:textId="77777777" w:rsidTr="005A251B">
        <w:trPr>
          <w:trHeight w:val="227"/>
        </w:trPr>
        <w:tc>
          <w:tcPr>
            <w:tcW w:w="5000" w:type="pct"/>
            <w:tcBorders>
              <w:top w:val="single" w:sz="8" w:space="0" w:color="000000"/>
              <w:left w:val="nil"/>
              <w:right w:val="nil"/>
            </w:tcBorders>
            <w:shd w:val="clear" w:color="auto" w:fill="auto"/>
            <w:noWrap/>
            <w:vAlign w:val="center"/>
          </w:tcPr>
          <w:p w14:paraId="376AF4CA" w14:textId="77777777" w:rsidR="005A251B" w:rsidRPr="00A5731C" w:rsidRDefault="005A251B" w:rsidP="005A251B">
            <w:pPr>
              <w:spacing w:after="0" w:line="276" w:lineRule="auto"/>
              <w:rPr>
                <w:rFonts w:eastAsia="Times New Roman" w:cstheme="minorHAnsi"/>
                <w:color w:val="000000"/>
                <w:sz w:val="18"/>
                <w:szCs w:val="18"/>
                <w:lang w:eastAsia="en-GB"/>
              </w:rPr>
            </w:pPr>
            <w:r w:rsidRPr="00995FFB">
              <w:rPr>
                <w:rFonts w:eastAsia="Times New Roman" w:cstheme="minorHAnsi"/>
                <w:color w:val="000000"/>
                <w:sz w:val="18"/>
                <w:szCs w:val="18"/>
                <w:vertAlign w:val="superscript"/>
                <w:lang w:eastAsia="en-GB"/>
              </w:rPr>
              <w:t>1</w:t>
            </w:r>
            <w:r w:rsidRPr="00995FFB">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Numbers of offspring with</w:t>
            </w:r>
            <w:r w:rsidRPr="00995FFB">
              <w:rPr>
                <w:rFonts w:eastAsia="Times New Roman" w:cstheme="minorHAnsi"/>
                <w:color w:val="000000"/>
                <w:sz w:val="18"/>
                <w:szCs w:val="18"/>
                <w:lang w:eastAsia="en-GB"/>
              </w:rPr>
              <w:t xml:space="preserve"> BMC</w:t>
            </w:r>
            <w:r>
              <w:rPr>
                <w:rFonts w:eastAsia="Times New Roman" w:cstheme="minorHAnsi"/>
                <w:color w:val="000000"/>
                <w:sz w:val="18"/>
                <w:szCs w:val="18"/>
                <w:lang w:eastAsia="en-GB"/>
              </w:rPr>
              <w:t xml:space="preserve"> measurements</w:t>
            </w:r>
            <w:r w:rsidRPr="00995FFB">
              <w:rPr>
                <w:rFonts w:eastAsia="Times New Roman" w:cstheme="minorHAnsi"/>
                <w:color w:val="000000"/>
                <w:sz w:val="18"/>
                <w:szCs w:val="18"/>
                <w:lang w:eastAsia="en-GB"/>
              </w:rPr>
              <w:t>.</w:t>
            </w:r>
          </w:p>
        </w:tc>
      </w:tr>
    </w:tbl>
    <w:p w14:paraId="1DEEA076" w14:textId="77777777" w:rsidR="00B5033D" w:rsidRDefault="00B5033D" w:rsidP="00E401A5">
      <w:pPr>
        <w:autoSpaceDE w:val="0"/>
        <w:autoSpaceDN w:val="0"/>
        <w:adjustRightInd w:val="0"/>
        <w:spacing w:before="240" w:after="120" w:line="480" w:lineRule="auto"/>
        <w:jc w:val="both"/>
        <w:rPr>
          <w:rFonts w:eastAsia="Times New Roman" w:cstheme="minorHAnsi"/>
          <w:color w:val="000000"/>
        </w:rPr>
      </w:pPr>
    </w:p>
    <w:p w14:paraId="038EEA5E" w14:textId="7949C3EF" w:rsidR="00E401A5" w:rsidRPr="0073356A" w:rsidRDefault="00E401A5" w:rsidP="00E401A5">
      <w:pPr>
        <w:autoSpaceDE w:val="0"/>
        <w:autoSpaceDN w:val="0"/>
        <w:adjustRightInd w:val="0"/>
        <w:spacing w:before="240" w:after="120" w:line="480" w:lineRule="auto"/>
        <w:jc w:val="both"/>
        <w:rPr>
          <w:rFonts w:eastAsia="Times New Roman" w:cstheme="minorHAnsi"/>
          <w:color w:val="000000"/>
        </w:rPr>
      </w:pPr>
      <w:r>
        <w:rPr>
          <w:rFonts w:cstheme="minorHAnsi"/>
        </w:rPr>
        <w:br w:type="page"/>
      </w:r>
    </w:p>
    <w:tbl>
      <w:tblPr>
        <w:tblW w:w="5000" w:type="pct"/>
        <w:jc w:val="center"/>
        <w:tblLook w:val="04A0" w:firstRow="1" w:lastRow="0" w:firstColumn="1" w:lastColumn="0" w:noHBand="0" w:noVBand="1"/>
      </w:tblPr>
      <w:tblGrid>
        <w:gridCol w:w="4244"/>
        <w:gridCol w:w="3091"/>
        <w:gridCol w:w="1691"/>
      </w:tblGrid>
      <w:tr w:rsidR="002829E2" w:rsidRPr="00A5731C" w14:paraId="2DB956E1" w14:textId="77777777" w:rsidTr="009E28E6">
        <w:trPr>
          <w:trHeight w:val="227"/>
          <w:jc w:val="center"/>
        </w:trPr>
        <w:tc>
          <w:tcPr>
            <w:tcW w:w="5000" w:type="pct"/>
            <w:gridSpan w:val="3"/>
            <w:tcBorders>
              <w:top w:val="nil"/>
              <w:left w:val="nil"/>
              <w:bottom w:val="single" w:sz="8" w:space="0" w:color="auto"/>
              <w:right w:val="nil"/>
            </w:tcBorders>
            <w:shd w:val="clear" w:color="auto" w:fill="auto"/>
            <w:vAlign w:val="bottom"/>
            <w:hideMark/>
          </w:tcPr>
          <w:p w14:paraId="73200053"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b/>
                <w:bCs/>
                <w:color w:val="000000"/>
                <w:sz w:val="18"/>
                <w:szCs w:val="18"/>
                <w:lang w:eastAsia="en-GB"/>
              </w:rPr>
              <w:lastRenderedPageBreak/>
              <w:t>Table 1</w:t>
            </w:r>
            <w:r w:rsidRPr="00A5731C">
              <w:rPr>
                <w:rFonts w:eastAsia="Times New Roman" w:cstheme="minorHAnsi"/>
                <w:color w:val="000000"/>
                <w:sz w:val="18"/>
                <w:szCs w:val="18"/>
                <w:lang w:eastAsia="en-GB"/>
              </w:rPr>
              <w:br/>
            </w:r>
            <w:r w:rsidRPr="003A69A9">
              <w:rPr>
                <w:rFonts w:eastAsia="Times New Roman" w:cstheme="minorHAnsi"/>
                <w:color w:val="000000"/>
                <w:sz w:val="18"/>
                <w:szCs w:val="18"/>
                <w:lang w:eastAsia="en-GB"/>
              </w:rPr>
              <w:t xml:space="preserve">Characteristics of mothers and neonates compared with </w:t>
            </w:r>
            <w:r>
              <w:rPr>
                <w:rFonts w:eastAsia="Times New Roman" w:cstheme="minorHAnsi"/>
                <w:color w:val="000000"/>
                <w:sz w:val="18"/>
                <w:szCs w:val="18"/>
                <w:lang w:eastAsia="en-GB"/>
              </w:rPr>
              <w:t xml:space="preserve">SWS </w:t>
            </w:r>
            <w:r w:rsidRPr="003A69A9">
              <w:rPr>
                <w:rFonts w:eastAsia="Times New Roman" w:cstheme="minorHAnsi"/>
                <w:color w:val="000000"/>
                <w:sz w:val="18"/>
                <w:szCs w:val="18"/>
                <w:lang w:eastAsia="en-GB"/>
              </w:rPr>
              <w:t xml:space="preserve">singleton </w:t>
            </w:r>
            <w:r>
              <w:rPr>
                <w:rFonts w:eastAsia="Times New Roman" w:cstheme="minorHAnsi"/>
                <w:color w:val="000000"/>
                <w:sz w:val="18"/>
                <w:szCs w:val="18"/>
                <w:lang w:eastAsia="en-GB"/>
              </w:rPr>
              <w:t>livebirths</w:t>
            </w:r>
            <w:r w:rsidRPr="003A69A9">
              <w:rPr>
                <w:rFonts w:eastAsia="Times New Roman" w:cstheme="minorHAnsi"/>
                <w:color w:val="000000"/>
                <w:sz w:val="18"/>
                <w:szCs w:val="18"/>
                <w:lang w:eastAsia="en-GB"/>
              </w:rPr>
              <w:t xml:space="preserve"> not included in th</w:t>
            </w:r>
            <w:r>
              <w:rPr>
                <w:rFonts w:eastAsia="Times New Roman" w:cstheme="minorHAnsi"/>
                <w:color w:val="000000"/>
                <w:sz w:val="18"/>
                <w:szCs w:val="18"/>
                <w:lang w:eastAsia="en-GB"/>
              </w:rPr>
              <w:t>is</w:t>
            </w:r>
            <w:r w:rsidRPr="003A69A9">
              <w:rPr>
                <w:rFonts w:eastAsia="Times New Roman" w:cstheme="minorHAnsi"/>
                <w:color w:val="000000"/>
                <w:sz w:val="18"/>
                <w:szCs w:val="18"/>
                <w:lang w:eastAsia="en-GB"/>
              </w:rPr>
              <w:t xml:space="preserve"> study</w:t>
            </w:r>
            <w:r>
              <w:rPr>
                <w:rFonts w:eastAsia="Times New Roman" w:cstheme="minorHAnsi"/>
                <w:color w:val="000000"/>
                <w:sz w:val="18"/>
                <w:szCs w:val="18"/>
                <w:lang w:eastAsia="en-GB"/>
              </w:rPr>
              <w:t>.</w:t>
            </w:r>
          </w:p>
        </w:tc>
      </w:tr>
      <w:tr w:rsidR="002829E2" w:rsidRPr="00A5731C" w14:paraId="49C4305E" w14:textId="77777777" w:rsidTr="009E28E6">
        <w:trPr>
          <w:trHeight w:val="227"/>
          <w:jc w:val="center"/>
        </w:trPr>
        <w:tc>
          <w:tcPr>
            <w:tcW w:w="5000" w:type="pct"/>
            <w:gridSpan w:val="3"/>
            <w:tcBorders>
              <w:top w:val="single" w:sz="8" w:space="0" w:color="auto"/>
              <w:left w:val="nil"/>
              <w:bottom w:val="single" w:sz="8" w:space="0" w:color="auto"/>
              <w:right w:val="nil"/>
            </w:tcBorders>
            <w:shd w:val="clear" w:color="auto" w:fill="auto"/>
            <w:vAlign w:val="bottom"/>
            <w:hideMark/>
          </w:tcPr>
          <w:p w14:paraId="3A46D0C7"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br/>
              <w:t>A) Maternal characteristics</w:t>
            </w:r>
          </w:p>
        </w:tc>
      </w:tr>
      <w:tr w:rsidR="002829E2" w:rsidRPr="00A5731C" w14:paraId="0256FF87" w14:textId="77777777" w:rsidTr="009E28E6">
        <w:trPr>
          <w:trHeight w:val="227"/>
          <w:jc w:val="center"/>
        </w:trPr>
        <w:tc>
          <w:tcPr>
            <w:tcW w:w="2351" w:type="pct"/>
            <w:tcBorders>
              <w:top w:val="nil"/>
              <w:left w:val="nil"/>
              <w:right w:val="nil"/>
            </w:tcBorders>
            <w:shd w:val="clear" w:color="auto" w:fill="auto"/>
            <w:noWrap/>
            <w:vAlign w:val="bottom"/>
          </w:tcPr>
          <w:p w14:paraId="06806A55" w14:textId="77777777" w:rsidR="002829E2" w:rsidRPr="00A5731C" w:rsidRDefault="002829E2" w:rsidP="009E28E6">
            <w:pPr>
              <w:spacing w:after="0" w:line="276" w:lineRule="auto"/>
              <w:rPr>
                <w:rFonts w:eastAsia="Times New Roman" w:cstheme="minorHAnsi"/>
                <w:color w:val="000000"/>
                <w:sz w:val="18"/>
                <w:szCs w:val="18"/>
                <w:lang w:eastAsia="en-GB"/>
              </w:rPr>
            </w:pPr>
          </w:p>
        </w:tc>
        <w:tc>
          <w:tcPr>
            <w:tcW w:w="1497" w:type="pct"/>
            <w:tcBorders>
              <w:top w:val="nil"/>
              <w:left w:val="nil"/>
              <w:bottom w:val="single" w:sz="4" w:space="0" w:color="auto"/>
              <w:right w:val="nil"/>
            </w:tcBorders>
            <w:shd w:val="clear" w:color="auto" w:fill="auto"/>
            <w:noWrap/>
          </w:tcPr>
          <w:p w14:paraId="077BECBD" w14:textId="77777777" w:rsidR="002829E2" w:rsidRPr="008E6F85" w:rsidRDefault="002829E2" w:rsidP="009E28E6">
            <w:pPr>
              <w:spacing w:after="0" w:line="276" w:lineRule="auto"/>
              <w:rPr>
                <w:bCs/>
                <w:sz w:val="18"/>
                <w:szCs w:val="18"/>
              </w:rPr>
            </w:pPr>
            <w:r>
              <w:rPr>
                <w:bCs/>
                <w:sz w:val="18"/>
                <w:szCs w:val="18"/>
              </w:rPr>
              <w:t>SWS participants not in sample</w:t>
            </w:r>
            <w:r w:rsidRPr="008E6F85">
              <w:rPr>
                <w:bCs/>
                <w:sz w:val="18"/>
                <w:szCs w:val="18"/>
              </w:rPr>
              <w:t xml:space="preserve"> n=2,920</w:t>
            </w:r>
          </w:p>
        </w:tc>
        <w:tc>
          <w:tcPr>
            <w:tcW w:w="1152" w:type="pct"/>
            <w:tcBorders>
              <w:top w:val="nil"/>
              <w:left w:val="nil"/>
              <w:bottom w:val="single" w:sz="4" w:space="0" w:color="auto"/>
              <w:right w:val="nil"/>
            </w:tcBorders>
            <w:shd w:val="clear" w:color="auto" w:fill="auto"/>
            <w:noWrap/>
          </w:tcPr>
          <w:p w14:paraId="3835C86E" w14:textId="77777777" w:rsidR="002829E2" w:rsidRPr="008E6F85" w:rsidRDefault="002829E2" w:rsidP="009E28E6">
            <w:pPr>
              <w:spacing w:after="0" w:line="276" w:lineRule="auto"/>
              <w:rPr>
                <w:bCs/>
                <w:sz w:val="18"/>
                <w:szCs w:val="18"/>
              </w:rPr>
            </w:pPr>
            <w:r>
              <w:rPr>
                <w:bCs/>
                <w:sz w:val="18"/>
                <w:szCs w:val="18"/>
              </w:rPr>
              <w:t>Study sample</w:t>
            </w:r>
            <w:r w:rsidRPr="008E6F85">
              <w:rPr>
                <w:bCs/>
                <w:sz w:val="18"/>
                <w:szCs w:val="18"/>
              </w:rPr>
              <w:t xml:space="preserve"> n=236</w:t>
            </w:r>
          </w:p>
        </w:tc>
      </w:tr>
      <w:tr w:rsidR="002829E2" w:rsidRPr="00A5731C" w14:paraId="7D7CCFD7" w14:textId="77777777" w:rsidTr="009E28E6">
        <w:trPr>
          <w:trHeight w:val="227"/>
          <w:jc w:val="center"/>
        </w:trPr>
        <w:tc>
          <w:tcPr>
            <w:tcW w:w="2351" w:type="pct"/>
            <w:tcBorders>
              <w:left w:val="nil"/>
              <w:bottom w:val="nil"/>
              <w:right w:val="nil"/>
            </w:tcBorders>
            <w:shd w:val="clear" w:color="auto" w:fill="auto"/>
            <w:noWrap/>
            <w:vAlign w:val="bottom"/>
            <w:hideMark/>
          </w:tcPr>
          <w:p w14:paraId="5E95902B"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Maternal age at 11 weeks gestation (years)</w:t>
            </w:r>
          </w:p>
        </w:tc>
        <w:tc>
          <w:tcPr>
            <w:tcW w:w="1497" w:type="pct"/>
            <w:tcBorders>
              <w:top w:val="single" w:sz="4" w:space="0" w:color="auto"/>
              <w:left w:val="nil"/>
              <w:bottom w:val="nil"/>
              <w:right w:val="nil"/>
            </w:tcBorders>
            <w:shd w:val="clear" w:color="auto" w:fill="auto"/>
            <w:noWrap/>
            <w:vAlign w:val="bottom"/>
            <w:hideMark/>
          </w:tcPr>
          <w:p w14:paraId="2AC8AF52"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29.9 (3.7)</w:t>
            </w:r>
          </w:p>
        </w:tc>
        <w:tc>
          <w:tcPr>
            <w:tcW w:w="1152" w:type="pct"/>
            <w:tcBorders>
              <w:top w:val="single" w:sz="4" w:space="0" w:color="auto"/>
              <w:left w:val="nil"/>
              <w:bottom w:val="nil"/>
              <w:right w:val="nil"/>
            </w:tcBorders>
            <w:shd w:val="clear" w:color="auto" w:fill="auto"/>
            <w:noWrap/>
            <w:vAlign w:val="bottom"/>
            <w:hideMark/>
          </w:tcPr>
          <w:p w14:paraId="6FFAA445"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30.7 (3.8)</w:t>
            </w:r>
          </w:p>
        </w:tc>
      </w:tr>
      <w:tr w:rsidR="002829E2" w:rsidRPr="00A5731C" w14:paraId="50B7F612"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383E7726"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Height (cm)</w:t>
            </w:r>
          </w:p>
        </w:tc>
        <w:tc>
          <w:tcPr>
            <w:tcW w:w="1497" w:type="pct"/>
            <w:tcBorders>
              <w:top w:val="nil"/>
              <w:left w:val="nil"/>
              <w:bottom w:val="nil"/>
              <w:right w:val="nil"/>
            </w:tcBorders>
            <w:shd w:val="clear" w:color="auto" w:fill="auto"/>
            <w:noWrap/>
            <w:vAlign w:val="bottom"/>
            <w:hideMark/>
          </w:tcPr>
          <w:p w14:paraId="4F6DB303"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163.1 (6.5)</w:t>
            </w:r>
          </w:p>
        </w:tc>
        <w:tc>
          <w:tcPr>
            <w:tcW w:w="1152" w:type="pct"/>
            <w:tcBorders>
              <w:top w:val="nil"/>
              <w:left w:val="nil"/>
              <w:bottom w:val="nil"/>
              <w:right w:val="nil"/>
            </w:tcBorders>
            <w:shd w:val="clear" w:color="auto" w:fill="auto"/>
            <w:noWrap/>
            <w:vAlign w:val="bottom"/>
            <w:hideMark/>
          </w:tcPr>
          <w:p w14:paraId="3E795B7F"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164.2 (6.4)</w:t>
            </w:r>
          </w:p>
        </w:tc>
      </w:tr>
      <w:tr w:rsidR="002829E2" w:rsidRPr="00A5731C" w14:paraId="576DD5E4"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3C67EFB3" w14:textId="77777777" w:rsidR="002829E2" w:rsidRPr="00A5731C" w:rsidRDefault="002829E2" w:rsidP="009E28E6">
            <w:pPr>
              <w:spacing w:after="0" w:line="276" w:lineRule="auto"/>
              <w:rPr>
                <w:rFonts w:eastAsia="Times New Roman" w:cstheme="minorHAnsi"/>
                <w:color w:val="000000"/>
                <w:sz w:val="18"/>
                <w:szCs w:val="18"/>
                <w:lang w:val="it-IT" w:eastAsia="en-GB"/>
              </w:rPr>
            </w:pPr>
            <w:r w:rsidRPr="00A5731C">
              <w:rPr>
                <w:rFonts w:eastAsia="Times New Roman" w:cstheme="minorHAnsi"/>
                <w:color w:val="000000"/>
                <w:sz w:val="18"/>
                <w:szCs w:val="18"/>
                <w:lang w:val="it-IT" w:eastAsia="en-GB"/>
              </w:rPr>
              <w:t>BMI pre-pregnancy (kg/m</w:t>
            </w:r>
            <w:r w:rsidRPr="00A5731C">
              <w:rPr>
                <w:rFonts w:eastAsia="Times New Roman" w:cstheme="minorHAnsi"/>
                <w:color w:val="000000"/>
                <w:sz w:val="18"/>
                <w:szCs w:val="18"/>
                <w:vertAlign w:val="superscript"/>
                <w:lang w:val="it-IT" w:eastAsia="en-GB"/>
              </w:rPr>
              <w:t>2</w:t>
            </w:r>
            <w:r w:rsidRPr="00A5731C">
              <w:rPr>
                <w:rFonts w:eastAsia="Times New Roman" w:cstheme="minorHAnsi"/>
                <w:color w:val="000000"/>
                <w:sz w:val="18"/>
                <w:szCs w:val="18"/>
                <w:lang w:val="it-IT" w:eastAsia="en-GB"/>
              </w:rPr>
              <w:t>)</w:t>
            </w:r>
          </w:p>
        </w:tc>
        <w:tc>
          <w:tcPr>
            <w:tcW w:w="1497" w:type="pct"/>
            <w:tcBorders>
              <w:top w:val="nil"/>
              <w:left w:val="nil"/>
              <w:bottom w:val="nil"/>
              <w:right w:val="nil"/>
            </w:tcBorders>
            <w:shd w:val="clear" w:color="auto" w:fill="auto"/>
            <w:noWrap/>
            <w:vAlign w:val="bottom"/>
            <w:hideMark/>
          </w:tcPr>
          <w:p w14:paraId="7A6373BA" w14:textId="77777777" w:rsidR="002829E2" w:rsidRPr="001D75FC" w:rsidRDefault="002829E2" w:rsidP="009E28E6">
            <w:pPr>
              <w:spacing w:after="0" w:line="276" w:lineRule="auto"/>
              <w:rPr>
                <w:rFonts w:eastAsia="Times New Roman" w:cstheme="minorHAnsi"/>
                <w:b/>
                <w:color w:val="000000"/>
                <w:sz w:val="18"/>
                <w:szCs w:val="18"/>
                <w:lang w:val="it-IT" w:eastAsia="en-GB"/>
              </w:rPr>
            </w:pPr>
            <w:r w:rsidRPr="001D75FC">
              <w:rPr>
                <w:b/>
                <w:sz w:val="18"/>
                <w:szCs w:val="18"/>
                <w:lang w:val="it-IT"/>
              </w:rPr>
              <w:t>24.2 (21.9,</w:t>
            </w:r>
            <w:r>
              <w:rPr>
                <w:b/>
                <w:sz w:val="18"/>
                <w:szCs w:val="18"/>
                <w:lang w:val="it-IT"/>
              </w:rPr>
              <w:t xml:space="preserve"> </w:t>
            </w:r>
            <w:r w:rsidRPr="001D75FC">
              <w:rPr>
                <w:b/>
                <w:sz w:val="18"/>
                <w:szCs w:val="18"/>
                <w:lang w:val="it-IT"/>
              </w:rPr>
              <w:t>27.5)</w:t>
            </w:r>
          </w:p>
        </w:tc>
        <w:tc>
          <w:tcPr>
            <w:tcW w:w="1152" w:type="pct"/>
            <w:tcBorders>
              <w:top w:val="nil"/>
              <w:left w:val="nil"/>
              <w:bottom w:val="nil"/>
              <w:right w:val="nil"/>
            </w:tcBorders>
            <w:shd w:val="clear" w:color="auto" w:fill="auto"/>
            <w:noWrap/>
            <w:vAlign w:val="bottom"/>
            <w:hideMark/>
          </w:tcPr>
          <w:p w14:paraId="545B8E45"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lang w:val="it-IT"/>
              </w:rPr>
              <w:t>23.6 (21.7,</w:t>
            </w:r>
            <w:r>
              <w:rPr>
                <w:b/>
                <w:sz w:val="18"/>
                <w:szCs w:val="18"/>
                <w:lang w:val="it-IT"/>
              </w:rPr>
              <w:t xml:space="preserve"> </w:t>
            </w:r>
            <w:r w:rsidRPr="001D75FC">
              <w:rPr>
                <w:b/>
                <w:sz w:val="18"/>
                <w:szCs w:val="18"/>
                <w:lang w:val="it-IT"/>
              </w:rPr>
              <w:t>26.5)</w:t>
            </w:r>
          </w:p>
        </w:tc>
      </w:tr>
      <w:tr w:rsidR="002829E2" w:rsidRPr="00A5731C" w14:paraId="6AA34BE7"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2BB36A17"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Triceps skinfold at 11 weeks gestation (mm)</w:t>
            </w:r>
          </w:p>
        </w:tc>
        <w:tc>
          <w:tcPr>
            <w:tcW w:w="1497" w:type="pct"/>
            <w:tcBorders>
              <w:top w:val="nil"/>
              <w:left w:val="nil"/>
              <w:bottom w:val="nil"/>
              <w:right w:val="nil"/>
            </w:tcBorders>
            <w:shd w:val="clear" w:color="auto" w:fill="auto"/>
            <w:noWrap/>
            <w:vAlign w:val="bottom"/>
            <w:hideMark/>
          </w:tcPr>
          <w:p w14:paraId="1CF9BB2A" w14:textId="77777777" w:rsidR="002829E2" w:rsidRPr="00A5731C" w:rsidRDefault="002829E2" w:rsidP="009E28E6">
            <w:pPr>
              <w:spacing w:after="0" w:line="276" w:lineRule="auto"/>
              <w:rPr>
                <w:rFonts w:eastAsia="Times New Roman" w:cstheme="minorHAnsi"/>
                <w:color w:val="000000"/>
                <w:sz w:val="18"/>
                <w:szCs w:val="18"/>
                <w:lang w:eastAsia="en-GB"/>
              </w:rPr>
            </w:pPr>
            <w:r w:rsidRPr="009070FB">
              <w:rPr>
                <w:bCs/>
                <w:sz w:val="18"/>
                <w:szCs w:val="18"/>
              </w:rPr>
              <w:t>20.3 (6.5)</w:t>
            </w:r>
          </w:p>
        </w:tc>
        <w:tc>
          <w:tcPr>
            <w:tcW w:w="1152" w:type="pct"/>
            <w:tcBorders>
              <w:top w:val="nil"/>
              <w:left w:val="nil"/>
              <w:bottom w:val="nil"/>
              <w:right w:val="nil"/>
            </w:tcBorders>
            <w:shd w:val="clear" w:color="auto" w:fill="auto"/>
            <w:noWrap/>
            <w:vAlign w:val="bottom"/>
            <w:hideMark/>
          </w:tcPr>
          <w:p w14:paraId="338E06B0" w14:textId="77777777" w:rsidR="002829E2" w:rsidRPr="00A5731C" w:rsidRDefault="002829E2" w:rsidP="009E28E6">
            <w:pPr>
              <w:spacing w:after="0" w:line="276" w:lineRule="auto"/>
              <w:rPr>
                <w:rFonts w:eastAsia="Times New Roman" w:cstheme="minorHAnsi"/>
                <w:color w:val="000000"/>
                <w:sz w:val="18"/>
                <w:szCs w:val="18"/>
                <w:lang w:eastAsia="en-GB"/>
              </w:rPr>
            </w:pPr>
            <w:r w:rsidRPr="009070FB">
              <w:rPr>
                <w:bCs/>
                <w:sz w:val="18"/>
                <w:szCs w:val="18"/>
              </w:rPr>
              <w:t>20.3 (6.0)</w:t>
            </w:r>
          </w:p>
        </w:tc>
      </w:tr>
      <w:tr w:rsidR="002829E2" w:rsidRPr="00A5731C" w14:paraId="512423E5" w14:textId="77777777" w:rsidTr="009E28E6">
        <w:trPr>
          <w:trHeight w:val="227"/>
          <w:jc w:val="center"/>
        </w:trPr>
        <w:tc>
          <w:tcPr>
            <w:tcW w:w="2351" w:type="pct"/>
            <w:tcBorders>
              <w:top w:val="nil"/>
              <w:left w:val="nil"/>
              <w:bottom w:val="nil"/>
              <w:right w:val="nil"/>
            </w:tcBorders>
            <w:shd w:val="clear" w:color="auto" w:fill="auto"/>
            <w:noWrap/>
            <w:vAlign w:val="bottom"/>
          </w:tcPr>
          <w:p w14:paraId="15A3BF14" w14:textId="77777777" w:rsidR="002829E2" w:rsidRPr="00A5731C" w:rsidRDefault="002829E2" w:rsidP="009E28E6">
            <w:pPr>
              <w:spacing w:after="0" w:line="276" w:lineRule="auto"/>
              <w:rPr>
                <w:rFonts w:eastAsia="Times New Roman" w:cstheme="minorHAnsi"/>
                <w:color w:val="000000"/>
                <w:sz w:val="18"/>
                <w:szCs w:val="18"/>
                <w:lang w:eastAsia="en-GB"/>
              </w:rPr>
            </w:pPr>
            <w:r w:rsidRPr="00D94FD6">
              <w:rPr>
                <w:rFonts w:eastAsia="Times New Roman" w:cstheme="minorHAnsi"/>
                <w:color w:val="000000"/>
                <w:sz w:val="18"/>
                <w:szCs w:val="18"/>
                <w:lang w:eastAsia="en-GB"/>
              </w:rPr>
              <w:t>Non-white ethnicity</w:t>
            </w:r>
          </w:p>
        </w:tc>
        <w:tc>
          <w:tcPr>
            <w:tcW w:w="1497" w:type="pct"/>
            <w:tcBorders>
              <w:top w:val="nil"/>
              <w:left w:val="nil"/>
              <w:bottom w:val="nil"/>
              <w:right w:val="nil"/>
            </w:tcBorders>
            <w:shd w:val="clear" w:color="auto" w:fill="auto"/>
            <w:noWrap/>
            <w:vAlign w:val="bottom"/>
          </w:tcPr>
          <w:p w14:paraId="45E613CB"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138 (4.7)</w:t>
            </w:r>
          </w:p>
        </w:tc>
        <w:tc>
          <w:tcPr>
            <w:tcW w:w="1152" w:type="pct"/>
            <w:tcBorders>
              <w:top w:val="nil"/>
              <w:left w:val="nil"/>
              <w:bottom w:val="nil"/>
              <w:right w:val="nil"/>
            </w:tcBorders>
            <w:shd w:val="clear" w:color="auto" w:fill="auto"/>
            <w:noWrap/>
            <w:vAlign w:val="bottom"/>
          </w:tcPr>
          <w:p w14:paraId="26922F0F"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2 (0.9)</w:t>
            </w:r>
          </w:p>
        </w:tc>
      </w:tr>
      <w:tr w:rsidR="002829E2" w:rsidRPr="00A5731C" w14:paraId="2492E3BB"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7281F309"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Nulliparous</w:t>
            </w:r>
          </w:p>
        </w:tc>
        <w:tc>
          <w:tcPr>
            <w:tcW w:w="1497" w:type="pct"/>
            <w:tcBorders>
              <w:top w:val="nil"/>
              <w:left w:val="nil"/>
              <w:bottom w:val="nil"/>
              <w:right w:val="nil"/>
            </w:tcBorders>
            <w:shd w:val="clear" w:color="auto" w:fill="auto"/>
            <w:noWrap/>
            <w:vAlign w:val="bottom"/>
            <w:hideMark/>
          </w:tcPr>
          <w:p w14:paraId="7E55A138"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1471 (50.4)</w:t>
            </w:r>
          </w:p>
        </w:tc>
        <w:tc>
          <w:tcPr>
            <w:tcW w:w="1152" w:type="pct"/>
            <w:tcBorders>
              <w:top w:val="nil"/>
              <w:left w:val="nil"/>
              <w:bottom w:val="nil"/>
              <w:right w:val="nil"/>
            </w:tcBorders>
            <w:shd w:val="clear" w:color="auto" w:fill="auto"/>
            <w:noWrap/>
            <w:vAlign w:val="bottom"/>
            <w:hideMark/>
          </w:tcPr>
          <w:p w14:paraId="3616D269" w14:textId="77777777" w:rsidR="002829E2" w:rsidRPr="001D75FC" w:rsidRDefault="002829E2" w:rsidP="009E28E6">
            <w:pPr>
              <w:spacing w:after="0" w:line="276" w:lineRule="auto"/>
              <w:rPr>
                <w:rFonts w:eastAsia="Times New Roman" w:cstheme="minorHAnsi"/>
                <w:b/>
                <w:sz w:val="18"/>
                <w:szCs w:val="18"/>
                <w:lang w:eastAsia="en-GB"/>
              </w:rPr>
            </w:pPr>
            <w:r w:rsidRPr="001D75FC">
              <w:rPr>
                <w:b/>
                <w:sz w:val="18"/>
                <w:szCs w:val="18"/>
              </w:rPr>
              <w:t>140 (59.3)</w:t>
            </w:r>
          </w:p>
        </w:tc>
      </w:tr>
      <w:tr w:rsidR="002829E2" w:rsidRPr="00A5731C" w14:paraId="7D459FE1"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323751C1"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Smoking before pregnancy</w:t>
            </w:r>
          </w:p>
        </w:tc>
        <w:tc>
          <w:tcPr>
            <w:tcW w:w="1497" w:type="pct"/>
            <w:tcBorders>
              <w:top w:val="nil"/>
              <w:left w:val="nil"/>
              <w:bottom w:val="nil"/>
              <w:right w:val="nil"/>
            </w:tcBorders>
            <w:shd w:val="clear" w:color="auto" w:fill="auto"/>
            <w:noWrap/>
            <w:vAlign w:val="bottom"/>
            <w:hideMark/>
          </w:tcPr>
          <w:p w14:paraId="0F482445"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819 (28.1)</w:t>
            </w:r>
          </w:p>
        </w:tc>
        <w:tc>
          <w:tcPr>
            <w:tcW w:w="1152" w:type="pct"/>
            <w:tcBorders>
              <w:top w:val="nil"/>
              <w:left w:val="nil"/>
              <w:bottom w:val="nil"/>
              <w:right w:val="nil"/>
            </w:tcBorders>
            <w:shd w:val="clear" w:color="auto" w:fill="auto"/>
            <w:noWrap/>
            <w:vAlign w:val="bottom"/>
            <w:hideMark/>
          </w:tcPr>
          <w:p w14:paraId="5DA425A9" w14:textId="77777777" w:rsidR="002829E2" w:rsidRPr="00A5731C" w:rsidRDefault="002829E2" w:rsidP="009E28E6">
            <w:pPr>
              <w:spacing w:after="0" w:line="276" w:lineRule="auto"/>
              <w:rPr>
                <w:rFonts w:eastAsia="Times New Roman" w:cstheme="minorHAnsi"/>
                <w:sz w:val="18"/>
                <w:szCs w:val="18"/>
                <w:lang w:eastAsia="en-GB"/>
              </w:rPr>
            </w:pPr>
            <w:r>
              <w:rPr>
                <w:bCs/>
                <w:sz w:val="18"/>
                <w:szCs w:val="18"/>
              </w:rPr>
              <w:t>60 (25.4)</w:t>
            </w:r>
          </w:p>
        </w:tc>
      </w:tr>
      <w:tr w:rsidR="002829E2" w:rsidRPr="00A5731C" w14:paraId="002A03AD"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7313729F"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Smoking at 11 weeks gestation</w:t>
            </w:r>
          </w:p>
        </w:tc>
        <w:tc>
          <w:tcPr>
            <w:tcW w:w="1497" w:type="pct"/>
            <w:tcBorders>
              <w:top w:val="nil"/>
              <w:left w:val="nil"/>
              <w:bottom w:val="nil"/>
              <w:right w:val="nil"/>
            </w:tcBorders>
            <w:shd w:val="clear" w:color="auto" w:fill="auto"/>
            <w:noWrap/>
            <w:vAlign w:val="bottom"/>
            <w:hideMark/>
          </w:tcPr>
          <w:p w14:paraId="4C212F94"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411 (16.1)</w:t>
            </w:r>
          </w:p>
        </w:tc>
        <w:tc>
          <w:tcPr>
            <w:tcW w:w="1152" w:type="pct"/>
            <w:tcBorders>
              <w:top w:val="nil"/>
              <w:left w:val="nil"/>
              <w:bottom w:val="nil"/>
              <w:right w:val="nil"/>
            </w:tcBorders>
            <w:shd w:val="clear" w:color="auto" w:fill="auto"/>
            <w:noWrap/>
            <w:vAlign w:val="bottom"/>
            <w:hideMark/>
          </w:tcPr>
          <w:p w14:paraId="302B174F" w14:textId="77777777" w:rsidR="002829E2" w:rsidRPr="00A5731C" w:rsidRDefault="002829E2" w:rsidP="009E28E6">
            <w:pPr>
              <w:spacing w:after="0" w:line="276" w:lineRule="auto"/>
              <w:rPr>
                <w:rFonts w:eastAsia="Times New Roman" w:cstheme="minorHAnsi"/>
                <w:sz w:val="18"/>
                <w:szCs w:val="18"/>
                <w:lang w:eastAsia="en-GB"/>
              </w:rPr>
            </w:pPr>
            <w:r>
              <w:rPr>
                <w:bCs/>
                <w:sz w:val="18"/>
                <w:szCs w:val="18"/>
              </w:rPr>
              <w:t>32 (13.6)</w:t>
            </w:r>
          </w:p>
        </w:tc>
      </w:tr>
      <w:tr w:rsidR="002829E2" w:rsidRPr="00A5731C" w14:paraId="1DBBD1CA"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66DBAC62"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Walking speed at 11 weeks gestation</w:t>
            </w:r>
          </w:p>
        </w:tc>
        <w:tc>
          <w:tcPr>
            <w:tcW w:w="1497" w:type="pct"/>
            <w:tcBorders>
              <w:top w:val="nil"/>
              <w:left w:val="nil"/>
              <w:bottom w:val="nil"/>
              <w:right w:val="nil"/>
            </w:tcBorders>
            <w:shd w:val="clear" w:color="auto" w:fill="auto"/>
            <w:noWrap/>
            <w:vAlign w:val="bottom"/>
            <w:hideMark/>
          </w:tcPr>
          <w:p w14:paraId="14710FB6" w14:textId="77777777" w:rsidR="002829E2" w:rsidRPr="00A5731C" w:rsidRDefault="002829E2" w:rsidP="009E28E6">
            <w:pPr>
              <w:spacing w:after="0" w:line="276" w:lineRule="auto"/>
              <w:rPr>
                <w:rFonts w:eastAsia="Times New Roman" w:cstheme="minorHAnsi"/>
                <w:color w:val="000000"/>
                <w:sz w:val="18"/>
                <w:szCs w:val="18"/>
                <w:lang w:eastAsia="en-GB"/>
              </w:rPr>
            </w:pPr>
          </w:p>
        </w:tc>
        <w:tc>
          <w:tcPr>
            <w:tcW w:w="1152" w:type="pct"/>
            <w:tcBorders>
              <w:top w:val="nil"/>
              <w:left w:val="nil"/>
              <w:bottom w:val="nil"/>
              <w:right w:val="nil"/>
            </w:tcBorders>
            <w:shd w:val="clear" w:color="auto" w:fill="auto"/>
            <w:noWrap/>
            <w:vAlign w:val="bottom"/>
            <w:hideMark/>
          </w:tcPr>
          <w:p w14:paraId="50746E64" w14:textId="77777777" w:rsidR="002829E2" w:rsidRPr="00A5731C" w:rsidRDefault="002829E2" w:rsidP="009E28E6">
            <w:pPr>
              <w:spacing w:after="0" w:line="276" w:lineRule="auto"/>
              <w:rPr>
                <w:rFonts w:eastAsia="Times New Roman" w:cstheme="minorHAnsi"/>
                <w:sz w:val="18"/>
                <w:szCs w:val="18"/>
                <w:lang w:eastAsia="en-GB"/>
              </w:rPr>
            </w:pPr>
          </w:p>
        </w:tc>
      </w:tr>
      <w:tr w:rsidR="002829E2" w:rsidRPr="00A5731C" w14:paraId="09CA637B"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496BF598" w14:textId="77777777" w:rsidR="002829E2" w:rsidRPr="00A5731C" w:rsidRDefault="002829E2" w:rsidP="009E28E6">
            <w:pPr>
              <w:spacing w:after="0" w:line="276" w:lineRule="auto"/>
              <w:ind w:firstLineChars="100" w:firstLine="180"/>
              <w:rPr>
                <w:rFonts w:eastAsia="Times New Roman" w:cstheme="minorHAnsi"/>
                <w:color w:val="000000"/>
                <w:sz w:val="18"/>
                <w:szCs w:val="18"/>
                <w:lang w:eastAsia="en-GB"/>
              </w:rPr>
            </w:pPr>
            <w:r w:rsidRPr="00A5731C">
              <w:rPr>
                <w:rFonts w:eastAsia="Times New Roman" w:cstheme="minorHAnsi"/>
                <w:color w:val="000000"/>
                <w:sz w:val="18"/>
                <w:szCs w:val="18"/>
                <w:lang w:eastAsia="en-GB"/>
              </w:rPr>
              <w:t>Very slow</w:t>
            </w:r>
          </w:p>
        </w:tc>
        <w:tc>
          <w:tcPr>
            <w:tcW w:w="1497" w:type="pct"/>
            <w:tcBorders>
              <w:top w:val="nil"/>
              <w:left w:val="nil"/>
              <w:bottom w:val="nil"/>
              <w:right w:val="nil"/>
            </w:tcBorders>
            <w:shd w:val="clear" w:color="auto" w:fill="auto"/>
            <w:noWrap/>
            <w:vAlign w:val="bottom"/>
            <w:hideMark/>
          </w:tcPr>
          <w:p w14:paraId="4DB99F6F"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21 (1.1)</w:t>
            </w:r>
          </w:p>
        </w:tc>
        <w:tc>
          <w:tcPr>
            <w:tcW w:w="1152" w:type="pct"/>
            <w:tcBorders>
              <w:top w:val="nil"/>
              <w:left w:val="nil"/>
              <w:bottom w:val="nil"/>
              <w:right w:val="nil"/>
            </w:tcBorders>
            <w:shd w:val="clear" w:color="auto" w:fill="auto"/>
            <w:noWrap/>
            <w:vAlign w:val="bottom"/>
            <w:hideMark/>
          </w:tcPr>
          <w:p w14:paraId="65264FA5"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1 (0.4)</w:t>
            </w:r>
          </w:p>
        </w:tc>
      </w:tr>
      <w:tr w:rsidR="002829E2" w:rsidRPr="00A5731C" w14:paraId="6894C64D"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345726CC" w14:textId="77777777" w:rsidR="002829E2" w:rsidRPr="00A5731C" w:rsidRDefault="002829E2" w:rsidP="009E28E6">
            <w:pPr>
              <w:spacing w:after="0" w:line="276" w:lineRule="auto"/>
              <w:ind w:firstLineChars="100" w:firstLine="180"/>
              <w:rPr>
                <w:rFonts w:eastAsia="Times New Roman" w:cstheme="minorHAnsi"/>
                <w:color w:val="000000"/>
                <w:sz w:val="18"/>
                <w:szCs w:val="18"/>
                <w:lang w:eastAsia="en-GB"/>
              </w:rPr>
            </w:pPr>
            <w:r w:rsidRPr="00A5731C">
              <w:rPr>
                <w:rFonts w:eastAsia="Times New Roman" w:cstheme="minorHAnsi"/>
                <w:color w:val="000000"/>
                <w:sz w:val="18"/>
                <w:szCs w:val="18"/>
                <w:lang w:eastAsia="en-GB"/>
              </w:rPr>
              <w:t>Stroll at an easy pace</w:t>
            </w:r>
          </w:p>
        </w:tc>
        <w:tc>
          <w:tcPr>
            <w:tcW w:w="1497" w:type="pct"/>
            <w:tcBorders>
              <w:top w:val="nil"/>
              <w:left w:val="nil"/>
              <w:bottom w:val="nil"/>
              <w:right w:val="nil"/>
            </w:tcBorders>
            <w:shd w:val="clear" w:color="auto" w:fill="auto"/>
            <w:noWrap/>
            <w:vAlign w:val="bottom"/>
            <w:hideMark/>
          </w:tcPr>
          <w:p w14:paraId="0E783408"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288 (14.5)</w:t>
            </w:r>
          </w:p>
        </w:tc>
        <w:tc>
          <w:tcPr>
            <w:tcW w:w="1152" w:type="pct"/>
            <w:tcBorders>
              <w:top w:val="nil"/>
              <w:left w:val="nil"/>
              <w:bottom w:val="nil"/>
              <w:right w:val="nil"/>
            </w:tcBorders>
            <w:shd w:val="clear" w:color="auto" w:fill="auto"/>
            <w:noWrap/>
            <w:vAlign w:val="bottom"/>
            <w:hideMark/>
          </w:tcPr>
          <w:p w14:paraId="3470DB2B"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39 (17.0)</w:t>
            </w:r>
          </w:p>
        </w:tc>
      </w:tr>
      <w:tr w:rsidR="002829E2" w:rsidRPr="00A5731C" w14:paraId="087DD4C7"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2E887554" w14:textId="77777777" w:rsidR="002829E2" w:rsidRPr="00A5731C" w:rsidRDefault="002829E2" w:rsidP="009E28E6">
            <w:pPr>
              <w:spacing w:after="0" w:line="276" w:lineRule="auto"/>
              <w:ind w:firstLineChars="100" w:firstLine="180"/>
              <w:rPr>
                <w:rFonts w:eastAsia="Times New Roman" w:cstheme="minorHAnsi"/>
                <w:color w:val="000000"/>
                <w:sz w:val="18"/>
                <w:szCs w:val="18"/>
                <w:lang w:eastAsia="en-GB"/>
              </w:rPr>
            </w:pPr>
            <w:r w:rsidRPr="00A5731C">
              <w:rPr>
                <w:rFonts w:eastAsia="Times New Roman" w:cstheme="minorHAnsi"/>
                <w:color w:val="000000"/>
                <w:sz w:val="18"/>
                <w:szCs w:val="18"/>
                <w:lang w:eastAsia="en-GB"/>
              </w:rPr>
              <w:t>Normal speed</w:t>
            </w:r>
          </w:p>
        </w:tc>
        <w:tc>
          <w:tcPr>
            <w:tcW w:w="1497" w:type="pct"/>
            <w:tcBorders>
              <w:top w:val="nil"/>
              <w:left w:val="nil"/>
              <w:bottom w:val="nil"/>
              <w:right w:val="nil"/>
            </w:tcBorders>
            <w:shd w:val="clear" w:color="auto" w:fill="auto"/>
            <w:noWrap/>
            <w:vAlign w:val="bottom"/>
            <w:hideMark/>
          </w:tcPr>
          <w:p w14:paraId="4409ECEF" w14:textId="77777777" w:rsidR="002829E2" w:rsidRPr="00A5731C" w:rsidRDefault="002829E2" w:rsidP="009E28E6">
            <w:pPr>
              <w:spacing w:after="0" w:line="276" w:lineRule="auto"/>
              <w:rPr>
                <w:rFonts w:eastAsia="Times New Roman" w:cstheme="minorHAnsi"/>
                <w:color w:val="000000"/>
                <w:sz w:val="18"/>
                <w:szCs w:val="18"/>
                <w:lang w:eastAsia="en-GB"/>
              </w:rPr>
            </w:pPr>
            <w:r w:rsidRPr="00EC402D">
              <w:rPr>
                <w:bCs/>
                <w:sz w:val="18"/>
                <w:szCs w:val="18"/>
              </w:rPr>
              <w:t>1041 (52.3)</w:t>
            </w:r>
          </w:p>
        </w:tc>
        <w:tc>
          <w:tcPr>
            <w:tcW w:w="1152" w:type="pct"/>
            <w:tcBorders>
              <w:top w:val="nil"/>
              <w:left w:val="nil"/>
              <w:bottom w:val="nil"/>
              <w:right w:val="nil"/>
            </w:tcBorders>
            <w:shd w:val="clear" w:color="auto" w:fill="auto"/>
            <w:noWrap/>
            <w:vAlign w:val="bottom"/>
            <w:hideMark/>
          </w:tcPr>
          <w:p w14:paraId="4BD3695C"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112 (48.9)</w:t>
            </w:r>
          </w:p>
        </w:tc>
      </w:tr>
      <w:tr w:rsidR="002829E2" w:rsidRPr="00A5731C" w14:paraId="6F644104"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5E588E6A" w14:textId="77777777" w:rsidR="002829E2" w:rsidRPr="00A5731C" w:rsidRDefault="002829E2" w:rsidP="009E28E6">
            <w:pPr>
              <w:spacing w:after="0" w:line="276" w:lineRule="auto"/>
              <w:ind w:firstLineChars="100" w:firstLine="180"/>
              <w:rPr>
                <w:rFonts w:eastAsia="Times New Roman" w:cstheme="minorHAnsi"/>
                <w:color w:val="000000"/>
                <w:sz w:val="18"/>
                <w:szCs w:val="18"/>
                <w:lang w:eastAsia="en-GB"/>
              </w:rPr>
            </w:pPr>
            <w:r w:rsidRPr="00A5731C">
              <w:rPr>
                <w:rFonts w:eastAsia="Times New Roman" w:cstheme="minorHAnsi"/>
                <w:color w:val="000000"/>
                <w:sz w:val="18"/>
                <w:szCs w:val="18"/>
                <w:lang w:eastAsia="en-GB"/>
              </w:rPr>
              <w:t>Fairly brisk</w:t>
            </w:r>
          </w:p>
        </w:tc>
        <w:tc>
          <w:tcPr>
            <w:tcW w:w="1497" w:type="pct"/>
            <w:tcBorders>
              <w:top w:val="nil"/>
              <w:left w:val="nil"/>
              <w:bottom w:val="nil"/>
              <w:right w:val="nil"/>
            </w:tcBorders>
            <w:shd w:val="clear" w:color="auto" w:fill="auto"/>
            <w:noWrap/>
            <w:vAlign w:val="bottom"/>
            <w:hideMark/>
          </w:tcPr>
          <w:p w14:paraId="065C5439" w14:textId="77777777" w:rsidR="002829E2" w:rsidRPr="00A5731C" w:rsidRDefault="002829E2" w:rsidP="009E28E6">
            <w:pPr>
              <w:spacing w:after="0" w:line="276" w:lineRule="auto"/>
              <w:rPr>
                <w:rFonts w:eastAsia="Times New Roman" w:cstheme="minorHAnsi"/>
                <w:color w:val="000000"/>
                <w:sz w:val="18"/>
                <w:szCs w:val="18"/>
                <w:lang w:eastAsia="en-GB"/>
              </w:rPr>
            </w:pPr>
            <w:r w:rsidRPr="00EC402D">
              <w:rPr>
                <w:bCs/>
                <w:sz w:val="18"/>
                <w:szCs w:val="18"/>
              </w:rPr>
              <w:t>585 (29.4)</w:t>
            </w:r>
          </w:p>
        </w:tc>
        <w:tc>
          <w:tcPr>
            <w:tcW w:w="1152" w:type="pct"/>
            <w:tcBorders>
              <w:top w:val="nil"/>
              <w:left w:val="nil"/>
              <w:bottom w:val="nil"/>
              <w:right w:val="nil"/>
            </w:tcBorders>
            <w:shd w:val="clear" w:color="auto" w:fill="auto"/>
            <w:noWrap/>
            <w:vAlign w:val="bottom"/>
            <w:hideMark/>
          </w:tcPr>
          <w:p w14:paraId="1F17CEC6"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73 (31.9)</w:t>
            </w:r>
          </w:p>
        </w:tc>
      </w:tr>
      <w:tr w:rsidR="002829E2" w:rsidRPr="00A5731C" w14:paraId="754C70A2"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741F3468" w14:textId="77777777" w:rsidR="002829E2" w:rsidRPr="00A5731C" w:rsidRDefault="002829E2" w:rsidP="009E28E6">
            <w:pPr>
              <w:spacing w:after="0" w:line="276" w:lineRule="auto"/>
              <w:ind w:firstLineChars="100" w:firstLine="180"/>
              <w:rPr>
                <w:rFonts w:eastAsia="Times New Roman" w:cstheme="minorHAnsi"/>
                <w:color w:val="000000"/>
                <w:sz w:val="18"/>
                <w:szCs w:val="18"/>
                <w:lang w:eastAsia="en-GB"/>
              </w:rPr>
            </w:pPr>
            <w:r w:rsidRPr="00A5731C">
              <w:rPr>
                <w:rFonts w:eastAsia="Times New Roman" w:cstheme="minorHAnsi"/>
                <w:color w:val="000000"/>
                <w:sz w:val="18"/>
                <w:szCs w:val="18"/>
                <w:lang w:eastAsia="en-GB"/>
              </w:rPr>
              <w:t>Fast</w:t>
            </w:r>
          </w:p>
        </w:tc>
        <w:tc>
          <w:tcPr>
            <w:tcW w:w="1497" w:type="pct"/>
            <w:tcBorders>
              <w:top w:val="nil"/>
              <w:left w:val="nil"/>
              <w:bottom w:val="nil"/>
              <w:right w:val="nil"/>
            </w:tcBorders>
            <w:shd w:val="clear" w:color="auto" w:fill="auto"/>
            <w:noWrap/>
            <w:vAlign w:val="bottom"/>
            <w:hideMark/>
          </w:tcPr>
          <w:p w14:paraId="6C2A60A8" w14:textId="77777777" w:rsidR="002829E2" w:rsidRPr="00A5731C" w:rsidRDefault="002829E2" w:rsidP="009E28E6">
            <w:pPr>
              <w:spacing w:after="0" w:line="276" w:lineRule="auto"/>
              <w:rPr>
                <w:rFonts w:eastAsia="Times New Roman" w:cstheme="minorHAnsi"/>
                <w:color w:val="000000"/>
                <w:sz w:val="18"/>
                <w:szCs w:val="18"/>
                <w:lang w:eastAsia="en-GB"/>
              </w:rPr>
            </w:pPr>
            <w:r w:rsidRPr="00EC402D">
              <w:rPr>
                <w:bCs/>
                <w:sz w:val="18"/>
                <w:szCs w:val="18"/>
              </w:rPr>
              <w:t>56 (2.8)</w:t>
            </w:r>
          </w:p>
        </w:tc>
        <w:tc>
          <w:tcPr>
            <w:tcW w:w="1152" w:type="pct"/>
            <w:tcBorders>
              <w:top w:val="nil"/>
              <w:left w:val="nil"/>
              <w:bottom w:val="nil"/>
              <w:right w:val="nil"/>
            </w:tcBorders>
            <w:shd w:val="clear" w:color="auto" w:fill="auto"/>
            <w:noWrap/>
            <w:vAlign w:val="bottom"/>
            <w:hideMark/>
          </w:tcPr>
          <w:p w14:paraId="30CAF602"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4 (1.8)</w:t>
            </w:r>
          </w:p>
        </w:tc>
      </w:tr>
      <w:tr w:rsidR="002829E2" w:rsidRPr="00A5731C" w14:paraId="3CA317ED"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1089E2C0"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Serum 25(OH) Vitamin D at 11 weeks gestation (nmol/l)</w:t>
            </w:r>
          </w:p>
        </w:tc>
        <w:tc>
          <w:tcPr>
            <w:tcW w:w="1497" w:type="pct"/>
            <w:tcBorders>
              <w:top w:val="nil"/>
              <w:left w:val="nil"/>
              <w:bottom w:val="nil"/>
              <w:right w:val="nil"/>
            </w:tcBorders>
            <w:shd w:val="clear" w:color="auto" w:fill="auto"/>
            <w:noWrap/>
            <w:vAlign w:val="bottom"/>
            <w:hideMark/>
          </w:tcPr>
          <w:p w14:paraId="14CCA8CF" w14:textId="77777777" w:rsidR="002829E2" w:rsidRPr="00A5731C" w:rsidRDefault="002829E2" w:rsidP="009E28E6">
            <w:pPr>
              <w:spacing w:after="0" w:line="276" w:lineRule="auto"/>
              <w:rPr>
                <w:rFonts w:eastAsia="Times New Roman" w:cstheme="minorHAnsi"/>
                <w:color w:val="000000"/>
                <w:sz w:val="18"/>
                <w:szCs w:val="18"/>
                <w:lang w:eastAsia="en-GB"/>
              </w:rPr>
            </w:pPr>
            <w:r w:rsidRPr="009070FB">
              <w:rPr>
                <w:bCs/>
                <w:sz w:val="18"/>
                <w:szCs w:val="18"/>
              </w:rPr>
              <w:t>62.0 (25.6)</w:t>
            </w:r>
          </w:p>
        </w:tc>
        <w:tc>
          <w:tcPr>
            <w:tcW w:w="1152" w:type="pct"/>
            <w:tcBorders>
              <w:top w:val="nil"/>
              <w:left w:val="nil"/>
              <w:bottom w:val="nil"/>
              <w:right w:val="nil"/>
            </w:tcBorders>
            <w:shd w:val="clear" w:color="auto" w:fill="auto"/>
            <w:noWrap/>
            <w:vAlign w:val="bottom"/>
            <w:hideMark/>
          </w:tcPr>
          <w:p w14:paraId="0A74C480" w14:textId="77777777" w:rsidR="002829E2" w:rsidRPr="00A5731C" w:rsidRDefault="002829E2" w:rsidP="009E28E6">
            <w:pPr>
              <w:spacing w:after="0" w:line="276" w:lineRule="auto"/>
              <w:rPr>
                <w:rFonts w:eastAsia="Times New Roman" w:cstheme="minorHAnsi"/>
                <w:color w:val="000000"/>
                <w:sz w:val="18"/>
                <w:szCs w:val="18"/>
                <w:lang w:eastAsia="en-GB"/>
              </w:rPr>
            </w:pPr>
            <w:r w:rsidRPr="009070FB">
              <w:rPr>
                <w:bCs/>
                <w:sz w:val="18"/>
                <w:szCs w:val="18"/>
              </w:rPr>
              <w:t>65.8 (25.9)</w:t>
            </w:r>
          </w:p>
        </w:tc>
      </w:tr>
      <w:tr w:rsidR="002829E2" w:rsidRPr="00A5731C" w14:paraId="17E6B565"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57D9A621"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Index of Multiple Deprivation 2004</w:t>
            </w:r>
          </w:p>
        </w:tc>
        <w:tc>
          <w:tcPr>
            <w:tcW w:w="1497" w:type="pct"/>
            <w:tcBorders>
              <w:top w:val="nil"/>
              <w:left w:val="nil"/>
              <w:bottom w:val="nil"/>
              <w:right w:val="nil"/>
            </w:tcBorders>
            <w:shd w:val="clear" w:color="auto" w:fill="auto"/>
            <w:noWrap/>
            <w:vAlign w:val="bottom"/>
            <w:hideMark/>
          </w:tcPr>
          <w:p w14:paraId="53C72152"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17.7 (9.7,</w:t>
            </w:r>
            <w:r>
              <w:rPr>
                <w:b/>
                <w:sz w:val="18"/>
                <w:szCs w:val="18"/>
              </w:rPr>
              <w:t xml:space="preserve"> </w:t>
            </w:r>
            <w:r w:rsidRPr="001D75FC">
              <w:rPr>
                <w:b/>
                <w:sz w:val="18"/>
                <w:szCs w:val="18"/>
              </w:rPr>
              <w:t>27.6)</w:t>
            </w:r>
          </w:p>
        </w:tc>
        <w:tc>
          <w:tcPr>
            <w:tcW w:w="1152" w:type="pct"/>
            <w:tcBorders>
              <w:top w:val="nil"/>
              <w:left w:val="nil"/>
              <w:bottom w:val="nil"/>
              <w:right w:val="nil"/>
            </w:tcBorders>
            <w:shd w:val="clear" w:color="auto" w:fill="auto"/>
            <w:noWrap/>
            <w:vAlign w:val="bottom"/>
            <w:hideMark/>
          </w:tcPr>
          <w:p w14:paraId="19561EC2"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15.7 (9.2,</w:t>
            </w:r>
            <w:r>
              <w:rPr>
                <w:b/>
                <w:sz w:val="18"/>
                <w:szCs w:val="18"/>
              </w:rPr>
              <w:t xml:space="preserve"> </w:t>
            </w:r>
            <w:r w:rsidRPr="001D75FC">
              <w:rPr>
                <w:b/>
                <w:sz w:val="18"/>
                <w:szCs w:val="18"/>
              </w:rPr>
              <w:t>23.4)</w:t>
            </w:r>
          </w:p>
        </w:tc>
      </w:tr>
      <w:tr w:rsidR="002829E2" w:rsidRPr="00A5731C" w14:paraId="5A5D441B" w14:textId="77777777" w:rsidTr="009E28E6">
        <w:trPr>
          <w:trHeight w:val="227"/>
          <w:jc w:val="center"/>
        </w:trPr>
        <w:tc>
          <w:tcPr>
            <w:tcW w:w="2351" w:type="pct"/>
            <w:tcBorders>
              <w:top w:val="nil"/>
              <w:left w:val="nil"/>
              <w:bottom w:val="single" w:sz="8" w:space="0" w:color="auto"/>
              <w:right w:val="nil"/>
            </w:tcBorders>
            <w:shd w:val="clear" w:color="auto" w:fill="auto"/>
            <w:noWrap/>
            <w:vAlign w:val="bottom"/>
            <w:hideMark/>
          </w:tcPr>
          <w:p w14:paraId="08C9B105"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Placental volume at 11 weeks gestation,</w:t>
            </w:r>
          </w:p>
          <w:p w14:paraId="3C98D1AD"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corrected for gestational age (cm</w:t>
            </w:r>
            <w:r w:rsidRPr="00A5731C">
              <w:rPr>
                <w:rFonts w:eastAsia="Times New Roman" w:cstheme="minorHAnsi"/>
                <w:color w:val="000000"/>
                <w:sz w:val="18"/>
                <w:szCs w:val="18"/>
                <w:vertAlign w:val="superscript"/>
                <w:lang w:eastAsia="en-GB"/>
              </w:rPr>
              <w:t>3</w:t>
            </w:r>
            <w:r w:rsidRPr="00A5731C">
              <w:rPr>
                <w:rFonts w:eastAsia="Times New Roman" w:cstheme="minorHAnsi"/>
                <w:color w:val="000000"/>
                <w:sz w:val="18"/>
                <w:szCs w:val="18"/>
                <w:lang w:eastAsia="en-GB"/>
              </w:rPr>
              <w:t>)</w:t>
            </w:r>
          </w:p>
        </w:tc>
        <w:tc>
          <w:tcPr>
            <w:tcW w:w="1497" w:type="pct"/>
            <w:tcBorders>
              <w:top w:val="nil"/>
              <w:left w:val="nil"/>
              <w:bottom w:val="single" w:sz="8" w:space="0" w:color="auto"/>
              <w:right w:val="nil"/>
            </w:tcBorders>
            <w:shd w:val="clear" w:color="auto" w:fill="auto"/>
            <w:noWrap/>
            <w:vAlign w:val="bottom"/>
            <w:hideMark/>
          </w:tcPr>
          <w:p w14:paraId="4DB0B0EA"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w:t>
            </w:r>
          </w:p>
        </w:tc>
        <w:tc>
          <w:tcPr>
            <w:tcW w:w="1152" w:type="pct"/>
            <w:tcBorders>
              <w:top w:val="nil"/>
              <w:left w:val="nil"/>
              <w:bottom w:val="single" w:sz="8" w:space="0" w:color="auto"/>
              <w:right w:val="nil"/>
            </w:tcBorders>
            <w:shd w:val="clear" w:color="auto" w:fill="auto"/>
            <w:noWrap/>
            <w:vAlign w:val="bottom"/>
            <w:hideMark/>
          </w:tcPr>
          <w:p w14:paraId="0E7FDD66" w14:textId="68EC92B2" w:rsidR="002829E2" w:rsidRPr="00A5731C" w:rsidRDefault="007D64FF" w:rsidP="009E28E6">
            <w:pPr>
              <w:spacing w:after="0" w:line="276" w:lineRule="auto"/>
              <w:rPr>
                <w:rFonts w:eastAsia="Times New Roman" w:cstheme="minorHAnsi"/>
                <w:color w:val="000000"/>
                <w:sz w:val="18"/>
                <w:szCs w:val="18"/>
                <w:lang w:eastAsia="en-GB"/>
              </w:rPr>
            </w:pPr>
            <w:r w:rsidRPr="007D64FF">
              <w:rPr>
                <w:bCs/>
                <w:sz w:val="18"/>
                <w:szCs w:val="18"/>
              </w:rPr>
              <w:t>40.2 (31.2, 50.2)</w:t>
            </w:r>
          </w:p>
        </w:tc>
      </w:tr>
      <w:tr w:rsidR="002829E2" w:rsidRPr="00A5731C" w14:paraId="7EA3B0BB" w14:textId="77777777" w:rsidTr="009E28E6">
        <w:trPr>
          <w:trHeight w:val="227"/>
          <w:jc w:val="center"/>
        </w:trPr>
        <w:tc>
          <w:tcPr>
            <w:tcW w:w="5000" w:type="pct"/>
            <w:gridSpan w:val="3"/>
            <w:tcBorders>
              <w:top w:val="single" w:sz="8" w:space="0" w:color="auto"/>
              <w:left w:val="nil"/>
              <w:bottom w:val="single" w:sz="8" w:space="0" w:color="auto"/>
              <w:right w:val="nil"/>
            </w:tcBorders>
            <w:shd w:val="clear" w:color="auto" w:fill="auto"/>
            <w:vAlign w:val="bottom"/>
            <w:hideMark/>
          </w:tcPr>
          <w:p w14:paraId="470AA689" w14:textId="77777777" w:rsidR="002829E2" w:rsidRPr="00A5731C" w:rsidRDefault="002829E2" w:rsidP="009E28E6">
            <w:pPr>
              <w:spacing w:after="0" w:line="276" w:lineRule="auto"/>
              <w:rPr>
                <w:rFonts w:eastAsia="Times New Roman" w:cstheme="minorHAnsi"/>
                <w:color w:val="000000"/>
                <w:sz w:val="18"/>
                <w:szCs w:val="18"/>
                <w:vertAlign w:val="superscript"/>
                <w:lang w:eastAsia="en-GB"/>
              </w:rPr>
            </w:pPr>
            <w:r w:rsidRPr="00A5731C">
              <w:rPr>
                <w:rFonts w:eastAsia="Times New Roman" w:cstheme="minorHAnsi"/>
                <w:color w:val="000000"/>
                <w:sz w:val="18"/>
                <w:szCs w:val="18"/>
                <w:lang w:eastAsia="en-GB"/>
              </w:rPr>
              <w:br/>
              <w:t>B) Neonatal DXA characteristics</w:t>
            </w:r>
          </w:p>
        </w:tc>
      </w:tr>
      <w:tr w:rsidR="002829E2" w:rsidRPr="00A5731C" w14:paraId="12D1797C"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68BFE367" w14:textId="77777777" w:rsidR="002829E2" w:rsidRPr="00A5731C" w:rsidRDefault="002829E2" w:rsidP="009E28E6">
            <w:pPr>
              <w:spacing w:after="0" w:line="276" w:lineRule="auto"/>
              <w:rPr>
                <w:rFonts w:eastAsia="Times New Roman" w:cstheme="minorHAnsi"/>
                <w:color w:val="000000"/>
                <w:sz w:val="18"/>
                <w:szCs w:val="18"/>
                <w:lang w:eastAsia="en-GB"/>
              </w:rPr>
            </w:pPr>
          </w:p>
        </w:tc>
        <w:tc>
          <w:tcPr>
            <w:tcW w:w="1497" w:type="pct"/>
            <w:tcBorders>
              <w:top w:val="nil"/>
              <w:left w:val="nil"/>
              <w:bottom w:val="single" w:sz="8" w:space="0" w:color="auto"/>
              <w:right w:val="nil"/>
            </w:tcBorders>
            <w:shd w:val="clear" w:color="auto" w:fill="auto"/>
            <w:noWrap/>
            <w:hideMark/>
          </w:tcPr>
          <w:p w14:paraId="2483CECC"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SWS participants not in sample</w:t>
            </w:r>
            <w:r w:rsidRPr="008E6F85">
              <w:rPr>
                <w:bCs/>
                <w:sz w:val="18"/>
                <w:szCs w:val="18"/>
              </w:rPr>
              <w:t xml:space="preserve"> </w:t>
            </w:r>
            <w:r>
              <w:rPr>
                <w:bCs/>
                <w:sz w:val="18"/>
                <w:szCs w:val="18"/>
              </w:rPr>
              <w:t>n=917</w:t>
            </w:r>
          </w:p>
        </w:tc>
        <w:tc>
          <w:tcPr>
            <w:tcW w:w="1152" w:type="pct"/>
            <w:tcBorders>
              <w:top w:val="nil"/>
              <w:left w:val="nil"/>
              <w:bottom w:val="single" w:sz="8" w:space="0" w:color="auto"/>
              <w:right w:val="nil"/>
            </w:tcBorders>
            <w:shd w:val="clear" w:color="auto" w:fill="auto"/>
            <w:noWrap/>
            <w:hideMark/>
          </w:tcPr>
          <w:p w14:paraId="6FA11C8E"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Study sample</w:t>
            </w:r>
            <w:r w:rsidRPr="008E6F85">
              <w:rPr>
                <w:bCs/>
                <w:sz w:val="18"/>
                <w:szCs w:val="18"/>
              </w:rPr>
              <w:t xml:space="preserve"> </w:t>
            </w:r>
            <w:r>
              <w:rPr>
                <w:bCs/>
                <w:sz w:val="18"/>
                <w:szCs w:val="18"/>
              </w:rPr>
              <w:t xml:space="preserve">n=83 </w:t>
            </w:r>
            <w:r w:rsidRPr="004D3E50">
              <w:rPr>
                <w:bCs/>
                <w:sz w:val="18"/>
                <w:szCs w:val="18"/>
                <w:vertAlign w:val="superscript"/>
              </w:rPr>
              <w:t>1</w:t>
            </w:r>
          </w:p>
        </w:tc>
      </w:tr>
      <w:tr w:rsidR="002829E2" w:rsidRPr="00A5731C" w14:paraId="0C365CDD"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092E544E"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 xml:space="preserve">Gestational age at </w:t>
            </w:r>
            <w:proofErr w:type="gramStart"/>
            <w:r w:rsidRPr="00A5731C">
              <w:rPr>
                <w:rFonts w:eastAsia="Times New Roman" w:cstheme="minorHAnsi"/>
                <w:color w:val="000000"/>
                <w:sz w:val="18"/>
                <w:szCs w:val="18"/>
                <w:lang w:eastAsia="en-GB"/>
              </w:rPr>
              <w:t>11 week</w:t>
            </w:r>
            <w:proofErr w:type="gramEnd"/>
            <w:r w:rsidRPr="00A5731C">
              <w:rPr>
                <w:rFonts w:eastAsia="Times New Roman" w:cstheme="minorHAnsi"/>
                <w:color w:val="000000"/>
                <w:sz w:val="18"/>
                <w:szCs w:val="18"/>
                <w:lang w:eastAsia="en-GB"/>
              </w:rPr>
              <w:t xml:space="preserve"> 3DUS scan (weeks)</w:t>
            </w:r>
          </w:p>
        </w:tc>
        <w:tc>
          <w:tcPr>
            <w:tcW w:w="1497" w:type="pct"/>
            <w:tcBorders>
              <w:top w:val="nil"/>
              <w:left w:val="nil"/>
              <w:bottom w:val="nil"/>
              <w:right w:val="nil"/>
            </w:tcBorders>
            <w:shd w:val="clear" w:color="auto" w:fill="auto"/>
            <w:noWrap/>
            <w:vAlign w:val="bottom"/>
          </w:tcPr>
          <w:p w14:paraId="5164E809"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w:t>
            </w:r>
          </w:p>
        </w:tc>
        <w:tc>
          <w:tcPr>
            <w:tcW w:w="1152" w:type="pct"/>
            <w:tcBorders>
              <w:top w:val="nil"/>
              <w:left w:val="nil"/>
              <w:bottom w:val="nil"/>
              <w:right w:val="nil"/>
            </w:tcBorders>
            <w:shd w:val="clear" w:color="auto" w:fill="auto"/>
            <w:noWrap/>
            <w:vAlign w:val="bottom"/>
          </w:tcPr>
          <w:p w14:paraId="272687D9"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11.8 (0.6)</w:t>
            </w:r>
          </w:p>
        </w:tc>
      </w:tr>
      <w:tr w:rsidR="002829E2" w:rsidRPr="00A5731C" w14:paraId="3B54EC06"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1C953346"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Gestational age at birth (weeks)</w:t>
            </w:r>
          </w:p>
        </w:tc>
        <w:tc>
          <w:tcPr>
            <w:tcW w:w="1497" w:type="pct"/>
            <w:tcBorders>
              <w:top w:val="nil"/>
              <w:left w:val="nil"/>
              <w:bottom w:val="nil"/>
              <w:right w:val="nil"/>
            </w:tcBorders>
            <w:shd w:val="clear" w:color="auto" w:fill="auto"/>
            <w:noWrap/>
            <w:vAlign w:val="bottom"/>
          </w:tcPr>
          <w:p w14:paraId="22DCC59F"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40.2 (39.2, 41.1)</w:t>
            </w:r>
          </w:p>
        </w:tc>
        <w:tc>
          <w:tcPr>
            <w:tcW w:w="1152" w:type="pct"/>
            <w:tcBorders>
              <w:top w:val="nil"/>
              <w:left w:val="nil"/>
              <w:bottom w:val="nil"/>
              <w:right w:val="nil"/>
            </w:tcBorders>
            <w:shd w:val="clear" w:color="auto" w:fill="auto"/>
            <w:noWrap/>
            <w:vAlign w:val="bottom"/>
          </w:tcPr>
          <w:p w14:paraId="0A96194A"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39.9 (38.9, 40.9)</w:t>
            </w:r>
          </w:p>
        </w:tc>
      </w:tr>
      <w:tr w:rsidR="002829E2" w:rsidRPr="00A5731C" w14:paraId="502ADA2B"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43EF683D"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Birth weight (g)</w:t>
            </w:r>
          </w:p>
        </w:tc>
        <w:tc>
          <w:tcPr>
            <w:tcW w:w="1497" w:type="pct"/>
            <w:tcBorders>
              <w:top w:val="nil"/>
              <w:left w:val="nil"/>
              <w:bottom w:val="nil"/>
              <w:right w:val="nil"/>
            </w:tcBorders>
            <w:shd w:val="clear" w:color="auto" w:fill="auto"/>
            <w:noWrap/>
            <w:vAlign w:val="bottom"/>
          </w:tcPr>
          <w:p w14:paraId="527EBFA1"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3511.8 (504.9)</w:t>
            </w:r>
          </w:p>
        </w:tc>
        <w:tc>
          <w:tcPr>
            <w:tcW w:w="1152" w:type="pct"/>
            <w:tcBorders>
              <w:top w:val="nil"/>
              <w:left w:val="nil"/>
              <w:bottom w:val="nil"/>
              <w:right w:val="nil"/>
            </w:tcBorders>
            <w:shd w:val="clear" w:color="auto" w:fill="auto"/>
            <w:noWrap/>
            <w:vAlign w:val="bottom"/>
          </w:tcPr>
          <w:p w14:paraId="638A6AAA"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3427.9 (471.9)</w:t>
            </w:r>
          </w:p>
        </w:tc>
      </w:tr>
      <w:tr w:rsidR="002829E2" w:rsidRPr="00A5731C" w14:paraId="3B30911E"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1700785E"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Birth crown-heel length (cm)</w:t>
            </w:r>
          </w:p>
        </w:tc>
        <w:tc>
          <w:tcPr>
            <w:tcW w:w="1497" w:type="pct"/>
            <w:tcBorders>
              <w:top w:val="nil"/>
              <w:left w:val="nil"/>
              <w:bottom w:val="nil"/>
              <w:right w:val="nil"/>
            </w:tcBorders>
            <w:shd w:val="clear" w:color="auto" w:fill="auto"/>
            <w:noWrap/>
            <w:vAlign w:val="bottom"/>
          </w:tcPr>
          <w:p w14:paraId="08167256"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50.0 (2.1)</w:t>
            </w:r>
          </w:p>
        </w:tc>
        <w:tc>
          <w:tcPr>
            <w:tcW w:w="1152" w:type="pct"/>
            <w:tcBorders>
              <w:top w:val="nil"/>
              <w:left w:val="nil"/>
              <w:bottom w:val="nil"/>
              <w:right w:val="nil"/>
            </w:tcBorders>
            <w:shd w:val="clear" w:color="auto" w:fill="auto"/>
            <w:noWrap/>
            <w:vAlign w:val="bottom"/>
          </w:tcPr>
          <w:p w14:paraId="602D0BF5"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49.6 (2.0)</w:t>
            </w:r>
          </w:p>
        </w:tc>
      </w:tr>
      <w:tr w:rsidR="002829E2" w:rsidRPr="00A5731C" w14:paraId="1487F351"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513C00F1"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Age (days)</w:t>
            </w:r>
          </w:p>
        </w:tc>
        <w:tc>
          <w:tcPr>
            <w:tcW w:w="1497" w:type="pct"/>
            <w:tcBorders>
              <w:top w:val="nil"/>
              <w:left w:val="nil"/>
              <w:bottom w:val="nil"/>
              <w:right w:val="nil"/>
            </w:tcBorders>
            <w:shd w:val="clear" w:color="auto" w:fill="auto"/>
            <w:noWrap/>
            <w:vAlign w:val="bottom"/>
          </w:tcPr>
          <w:p w14:paraId="05FCFD9D"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4.0 (2.0,</w:t>
            </w:r>
            <w:r>
              <w:rPr>
                <w:b/>
                <w:sz w:val="18"/>
                <w:szCs w:val="18"/>
              </w:rPr>
              <w:t xml:space="preserve"> </w:t>
            </w:r>
            <w:r w:rsidRPr="001D75FC">
              <w:rPr>
                <w:b/>
                <w:sz w:val="18"/>
                <w:szCs w:val="18"/>
              </w:rPr>
              <w:t>11.0)</w:t>
            </w:r>
          </w:p>
        </w:tc>
        <w:tc>
          <w:tcPr>
            <w:tcW w:w="1152" w:type="pct"/>
            <w:tcBorders>
              <w:top w:val="nil"/>
              <w:left w:val="nil"/>
              <w:bottom w:val="nil"/>
              <w:right w:val="nil"/>
            </w:tcBorders>
            <w:shd w:val="clear" w:color="auto" w:fill="auto"/>
            <w:noWrap/>
            <w:vAlign w:val="bottom"/>
          </w:tcPr>
          <w:p w14:paraId="559A1E44"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9.0 (2.0,</w:t>
            </w:r>
            <w:r>
              <w:rPr>
                <w:b/>
                <w:sz w:val="18"/>
                <w:szCs w:val="18"/>
              </w:rPr>
              <w:t xml:space="preserve"> </w:t>
            </w:r>
            <w:r w:rsidRPr="001D75FC">
              <w:rPr>
                <w:b/>
                <w:sz w:val="18"/>
                <w:szCs w:val="18"/>
              </w:rPr>
              <w:t>12.0)</w:t>
            </w:r>
          </w:p>
        </w:tc>
      </w:tr>
      <w:tr w:rsidR="002829E2" w:rsidRPr="00A5731C" w14:paraId="6936BDE7"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3E8E3162" w14:textId="77777777" w:rsidR="002829E2" w:rsidRPr="00A5731C" w:rsidRDefault="002829E2" w:rsidP="009E28E6">
            <w:pPr>
              <w:spacing w:after="0" w:line="276" w:lineRule="auto"/>
              <w:rPr>
                <w:rFonts w:eastAsia="Times New Roman" w:cstheme="minorHAnsi"/>
                <w:color w:val="000000"/>
                <w:sz w:val="18"/>
                <w:szCs w:val="18"/>
                <w:vertAlign w:val="superscript"/>
                <w:lang w:eastAsia="en-GB"/>
              </w:rPr>
            </w:pPr>
            <w:r w:rsidRPr="00A5731C">
              <w:rPr>
                <w:rFonts w:eastAsia="Times New Roman" w:cstheme="minorHAnsi"/>
                <w:color w:val="000000"/>
                <w:sz w:val="18"/>
                <w:szCs w:val="18"/>
                <w:lang w:eastAsia="en-GB"/>
              </w:rPr>
              <w:t>BA (cm</w:t>
            </w:r>
            <w:r w:rsidRPr="00A5731C">
              <w:rPr>
                <w:rFonts w:eastAsia="Times New Roman" w:cstheme="minorHAnsi"/>
                <w:color w:val="000000"/>
                <w:sz w:val="18"/>
                <w:szCs w:val="18"/>
                <w:vertAlign w:val="superscript"/>
                <w:lang w:eastAsia="en-GB"/>
              </w:rPr>
              <w:t>2</w:t>
            </w:r>
            <w:r w:rsidRPr="00A5731C">
              <w:rPr>
                <w:rFonts w:eastAsia="Times New Roman" w:cstheme="minorHAnsi"/>
                <w:color w:val="000000"/>
                <w:sz w:val="18"/>
                <w:szCs w:val="18"/>
                <w:lang w:eastAsia="en-GB"/>
              </w:rPr>
              <w:t xml:space="preserve">) </w:t>
            </w:r>
            <w:r w:rsidRPr="00A5731C">
              <w:rPr>
                <w:rFonts w:eastAsia="Times New Roman" w:cstheme="minorHAnsi"/>
                <w:color w:val="000000"/>
                <w:sz w:val="18"/>
                <w:szCs w:val="18"/>
                <w:vertAlign w:val="superscript"/>
                <w:lang w:eastAsia="en-GB"/>
              </w:rPr>
              <w:t>2</w:t>
            </w:r>
          </w:p>
        </w:tc>
        <w:tc>
          <w:tcPr>
            <w:tcW w:w="1497" w:type="pct"/>
            <w:tcBorders>
              <w:top w:val="nil"/>
              <w:left w:val="nil"/>
              <w:bottom w:val="nil"/>
              <w:right w:val="nil"/>
            </w:tcBorders>
            <w:shd w:val="clear" w:color="auto" w:fill="auto"/>
            <w:noWrap/>
            <w:vAlign w:val="bottom"/>
          </w:tcPr>
          <w:p w14:paraId="700956F6"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117.7 (26.4)</w:t>
            </w:r>
          </w:p>
        </w:tc>
        <w:tc>
          <w:tcPr>
            <w:tcW w:w="1152" w:type="pct"/>
            <w:tcBorders>
              <w:top w:val="nil"/>
              <w:left w:val="nil"/>
              <w:bottom w:val="nil"/>
              <w:right w:val="nil"/>
            </w:tcBorders>
            <w:shd w:val="clear" w:color="auto" w:fill="auto"/>
            <w:noWrap/>
            <w:vAlign w:val="bottom"/>
          </w:tcPr>
          <w:p w14:paraId="315A1DD2"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107.6 (24.9)</w:t>
            </w:r>
          </w:p>
        </w:tc>
      </w:tr>
      <w:tr w:rsidR="002829E2" w:rsidRPr="00A5731C" w14:paraId="0BE2419B"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74204518" w14:textId="77777777" w:rsidR="002829E2" w:rsidRPr="00A5731C" w:rsidRDefault="002829E2" w:rsidP="009E28E6">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BMC (</w:t>
            </w:r>
            <w:proofErr w:type="gramStart"/>
            <w:r w:rsidRPr="00A5731C">
              <w:rPr>
                <w:rFonts w:eastAsia="Times New Roman" w:cstheme="minorHAnsi"/>
                <w:color w:val="000000"/>
                <w:sz w:val="18"/>
                <w:szCs w:val="18"/>
                <w:lang w:eastAsia="en-GB"/>
              </w:rPr>
              <w:t>g)</w:t>
            </w:r>
            <w:r w:rsidRPr="00A5731C">
              <w:rPr>
                <w:rFonts w:eastAsia="Times New Roman" w:cstheme="minorHAnsi"/>
                <w:color w:val="000000"/>
                <w:sz w:val="18"/>
                <w:szCs w:val="18"/>
                <w:vertAlign w:val="superscript"/>
                <w:lang w:eastAsia="en-GB"/>
              </w:rPr>
              <w:t xml:space="preserve">  2</w:t>
            </w:r>
            <w:proofErr w:type="gramEnd"/>
          </w:p>
        </w:tc>
        <w:tc>
          <w:tcPr>
            <w:tcW w:w="1497" w:type="pct"/>
            <w:tcBorders>
              <w:top w:val="nil"/>
              <w:left w:val="nil"/>
              <w:bottom w:val="nil"/>
              <w:right w:val="nil"/>
            </w:tcBorders>
            <w:shd w:val="clear" w:color="auto" w:fill="auto"/>
            <w:noWrap/>
            <w:vAlign w:val="bottom"/>
          </w:tcPr>
          <w:p w14:paraId="1507A56E"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62.7 (16.0)</w:t>
            </w:r>
          </w:p>
        </w:tc>
        <w:tc>
          <w:tcPr>
            <w:tcW w:w="1152" w:type="pct"/>
            <w:tcBorders>
              <w:top w:val="nil"/>
              <w:left w:val="nil"/>
              <w:bottom w:val="nil"/>
              <w:right w:val="nil"/>
            </w:tcBorders>
            <w:shd w:val="clear" w:color="auto" w:fill="auto"/>
            <w:noWrap/>
            <w:vAlign w:val="bottom"/>
          </w:tcPr>
          <w:p w14:paraId="61621C3D"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56.4 (14.8)</w:t>
            </w:r>
          </w:p>
        </w:tc>
      </w:tr>
      <w:tr w:rsidR="002829E2" w:rsidRPr="00A5731C" w14:paraId="3AC7B0EF" w14:textId="77777777" w:rsidTr="009E28E6">
        <w:trPr>
          <w:trHeight w:val="227"/>
          <w:jc w:val="center"/>
        </w:trPr>
        <w:tc>
          <w:tcPr>
            <w:tcW w:w="2351" w:type="pct"/>
            <w:tcBorders>
              <w:top w:val="nil"/>
              <w:left w:val="nil"/>
              <w:bottom w:val="nil"/>
              <w:right w:val="nil"/>
            </w:tcBorders>
            <w:shd w:val="clear" w:color="auto" w:fill="auto"/>
            <w:noWrap/>
            <w:vAlign w:val="bottom"/>
            <w:hideMark/>
          </w:tcPr>
          <w:p w14:paraId="01FB8AF0" w14:textId="77777777" w:rsidR="002829E2" w:rsidRPr="00A5731C" w:rsidRDefault="002829E2" w:rsidP="009E28E6">
            <w:pPr>
              <w:spacing w:after="0" w:line="276" w:lineRule="auto"/>
              <w:rPr>
                <w:rFonts w:eastAsia="Times New Roman" w:cstheme="minorHAnsi"/>
                <w:color w:val="000000"/>
                <w:sz w:val="18"/>
                <w:szCs w:val="18"/>
                <w:lang w:eastAsia="en-GB"/>
              </w:rPr>
            </w:pPr>
            <w:proofErr w:type="spellStart"/>
            <w:r w:rsidRPr="00A5731C">
              <w:rPr>
                <w:rFonts w:eastAsia="Times New Roman" w:cstheme="minorHAnsi"/>
                <w:color w:val="000000"/>
                <w:sz w:val="18"/>
                <w:szCs w:val="18"/>
                <w:lang w:eastAsia="en-GB"/>
              </w:rPr>
              <w:t>aBMD</w:t>
            </w:r>
            <w:proofErr w:type="spellEnd"/>
            <w:r w:rsidRPr="00A5731C">
              <w:rPr>
                <w:rFonts w:eastAsia="Times New Roman" w:cstheme="minorHAnsi"/>
                <w:color w:val="000000"/>
                <w:sz w:val="18"/>
                <w:szCs w:val="18"/>
                <w:lang w:eastAsia="en-GB"/>
              </w:rPr>
              <w:t xml:space="preserve"> (g/cm</w:t>
            </w:r>
            <w:r w:rsidRPr="00A5731C">
              <w:rPr>
                <w:rFonts w:eastAsia="Times New Roman" w:cstheme="minorHAnsi"/>
                <w:color w:val="000000"/>
                <w:sz w:val="18"/>
                <w:szCs w:val="18"/>
                <w:vertAlign w:val="superscript"/>
                <w:lang w:eastAsia="en-GB"/>
              </w:rPr>
              <w:t>2</w:t>
            </w:r>
            <w:r w:rsidRPr="00A5731C">
              <w:rPr>
                <w:rFonts w:eastAsia="Times New Roman" w:cstheme="minorHAnsi"/>
                <w:color w:val="000000"/>
                <w:sz w:val="18"/>
                <w:szCs w:val="18"/>
                <w:lang w:eastAsia="en-GB"/>
              </w:rPr>
              <w:t xml:space="preserve">) </w:t>
            </w:r>
            <w:r w:rsidRPr="00A5731C">
              <w:rPr>
                <w:rFonts w:eastAsia="Times New Roman" w:cstheme="minorHAnsi"/>
                <w:color w:val="000000"/>
                <w:sz w:val="18"/>
                <w:szCs w:val="18"/>
                <w:vertAlign w:val="superscript"/>
                <w:lang w:eastAsia="en-GB"/>
              </w:rPr>
              <w:t>2</w:t>
            </w:r>
          </w:p>
        </w:tc>
        <w:tc>
          <w:tcPr>
            <w:tcW w:w="1497" w:type="pct"/>
            <w:tcBorders>
              <w:top w:val="nil"/>
              <w:left w:val="nil"/>
              <w:bottom w:val="nil"/>
              <w:right w:val="nil"/>
            </w:tcBorders>
            <w:shd w:val="clear" w:color="auto" w:fill="auto"/>
            <w:noWrap/>
            <w:vAlign w:val="bottom"/>
          </w:tcPr>
          <w:p w14:paraId="2A0DD26F"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0.5 (0.0)</w:t>
            </w:r>
          </w:p>
        </w:tc>
        <w:tc>
          <w:tcPr>
            <w:tcW w:w="1152" w:type="pct"/>
            <w:tcBorders>
              <w:top w:val="nil"/>
              <w:left w:val="nil"/>
              <w:bottom w:val="nil"/>
              <w:right w:val="nil"/>
            </w:tcBorders>
            <w:shd w:val="clear" w:color="auto" w:fill="auto"/>
            <w:noWrap/>
            <w:vAlign w:val="bottom"/>
          </w:tcPr>
          <w:p w14:paraId="6F4EBD79" w14:textId="77777777" w:rsidR="002829E2" w:rsidRPr="001D75FC" w:rsidRDefault="002829E2" w:rsidP="009E28E6">
            <w:pPr>
              <w:spacing w:after="0" w:line="276" w:lineRule="auto"/>
              <w:rPr>
                <w:rFonts w:eastAsia="Times New Roman" w:cstheme="minorHAnsi"/>
                <w:b/>
                <w:color w:val="000000"/>
                <w:sz w:val="18"/>
                <w:szCs w:val="18"/>
                <w:lang w:eastAsia="en-GB"/>
              </w:rPr>
            </w:pPr>
            <w:r w:rsidRPr="001D75FC">
              <w:rPr>
                <w:b/>
                <w:sz w:val="18"/>
                <w:szCs w:val="18"/>
              </w:rPr>
              <w:t>0.5 (0.0)</w:t>
            </w:r>
          </w:p>
        </w:tc>
      </w:tr>
      <w:tr w:rsidR="002829E2" w:rsidRPr="00A5731C" w14:paraId="4534873A" w14:textId="77777777" w:rsidTr="009E28E6">
        <w:trPr>
          <w:trHeight w:val="227"/>
          <w:jc w:val="center"/>
        </w:trPr>
        <w:tc>
          <w:tcPr>
            <w:tcW w:w="2351" w:type="pct"/>
            <w:tcBorders>
              <w:top w:val="nil"/>
              <w:left w:val="nil"/>
              <w:bottom w:val="single" w:sz="8" w:space="0" w:color="auto"/>
              <w:right w:val="nil"/>
            </w:tcBorders>
            <w:shd w:val="clear" w:color="auto" w:fill="auto"/>
            <w:noWrap/>
            <w:vAlign w:val="bottom"/>
            <w:hideMark/>
          </w:tcPr>
          <w:p w14:paraId="19DBA2E8" w14:textId="77777777" w:rsidR="002829E2" w:rsidRPr="00A5731C" w:rsidRDefault="002829E2" w:rsidP="009E28E6">
            <w:pPr>
              <w:spacing w:after="0" w:line="276" w:lineRule="auto"/>
              <w:rPr>
                <w:rFonts w:eastAsia="Times New Roman" w:cstheme="minorHAnsi"/>
                <w:color w:val="000000"/>
                <w:sz w:val="18"/>
                <w:szCs w:val="18"/>
                <w:lang w:eastAsia="en-GB"/>
              </w:rPr>
            </w:pPr>
            <w:proofErr w:type="spellStart"/>
            <w:r w:rsidRPr="00A5731C">
              <w:rPr>
                <w:rFonts w:eastAsia="Times New Roman" w:cstheme="minorHAnsi"/>
                <w:color w:val="000000"/>
                <w:sz w:val="18"/>
                <w:szCs w:val="18"/>
                <w:lang w:eastAsia="en-GB"/>
              </w:rPr>
              <w:t>scBMC</w:t>
            </w:r>
            <w:proofErr w:type="spellEnd"/>
            <w:r w:rsidRPr="00A5731C">
              <w:rPr>
                <w:rFonts w:eastAsia="Times New Roman" w:cstheme="minorHAnsi"/>
                <w:color w:val="000000"/>
                <w:sz w:val="18"/>
                <w:szCs w:val="18"/>
                <w:lang w:eastAsia="en-GB"/>
              </w:rPr>
              <w:t xml:space="preserve"> (g) </w:t>
            </w:r>
            <w:r w:rsidRPr="00A5731C">
              <w:rPr>
                <w:rFonts w:eastAsia="Times New Roman" w:cstheme="minorHAnsi"/>
                <w:color w:val="000000"/>
                <w:sz w:val="18"/>
                <w:szCs w:val="18"/>
                <w:vertAlign w:val="superscript"/>
                <w:lang w:eastAsia="en-GB"/>
              </w:rPr>
              <w:t>2</w:t>
            </w:r>
          </w:p>
        </w:tc>
        <w:tc>
          <w:tcPr>
            <w:tcW w:w="1497" w:type="pct"/>
            <w:tcBorders>
              <w:top w:val="nil"/>
              <w:left w:val="nil"/>
              <w:bottom w:val="single" w:sz="8" w:space="0" w:color="auto"/>
              <w:right w:val="nil"/>
            </w:tcBorders>
            <w:shd w:val="clear" w:color="auto" w:fill="auto"/>
            <w:noWrap/>
            <w:vAlign w:val="bottom"/>
          </w:tcPr>
          <w:p w14:paraId="1A056F35"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62.1 (2.9)</w:t>
            </w:r>
          </w:p>
        </w:tc>
        <w:tc>
          <w:tcPr>
            <w:tcW w:w="1152" w:type="pct"/>
            <w:tcBorders>
              <w:top w:val="nil"/>
              <w:left w:val="nil"/>
              <w:bottom w:val="nil"/>
              <w:right w:val="nil"/>
            </w:tcBorders>
            <w:shd w:val="clear" w:color="auto" w:fill="auto"/>
            <w:noWrap/>
            <w:vAlign w:val="bottom"/>
          </w:tcPr>
          <w:p w14:paraId="5D87FE52" w14:textId="77777777" w:rsidR="002829E2" w:rsidRPr="00A5731C" w:rsidRDefault="002829E2" w:rsidP="009E28E6">
            <w:pPr>
              <w:spacing w:after="0" w:line="276" w:lineRule="auto"/>
              <w:rPr>
                <w:rFonts w:eastAsia="Times New Roman" w:cstheme="minorHAnsi"/>
                <w:color w:val="000000"/>
                <w:sz w:val="18"/>
                <w:szCs w:val="18"/>
                <w:lang w:eastAsia="en-GB"/>
              </w:rPr>
            </w:pPr>
            <w:r>
              <w:rPr>
                <w:bCs/>
                <w:sz w:val="18"/>
                <w:szCs w:val="18"/>
              </w:rPr>
              <w:t>62.2 (2.5)</w:t>
            </w:r>
          </w:p>
        </w:tc>
      </w:tr>
      <w:tr w:rsidR="002829E2" w:rsidRPr="00A5731C" w14:paraId="4EAE16F8" w14:textId="77777777" w:rsidTr="009E28E6">
        <w:trPr>
          <w:trHeight w:val="227"/>
          <w:jc w:val="center"/>
        </w:trPr>
        <w:tc>
          <w:tcPr>
            <w:tcW w:w="5000" w:type="pct"/>
            <w:gridSpan w:val="3"/>
            <w:tcBorders>
              <w:top w:val="single" w:sz="8" w:space="0" w:color="auto"/>
              <w:left w:val="nil"/>
              <w:right w:val="nil"/>
            </w:tcBorders>
            <w:shd w:val="clear" w:color="auto" w:fill="auto"/>
            <w:noWrap/>
            <w:vAlign w:val="bottom"/>
          </w:tcPr>
          <w:p w14:paraId="0B348414" w14:textId="77777777" w:rsidR="002829E2" w:rsidRPr="00A5731C" w:rsidRDefault="002829E2" w:rsidP="009E28E6">
            <w:pPr>
              <w:spacing w:after="0" w:line="276" w:lineRule="auto"/>
              <w:rPr>
                <w:rFonts w:eastAsia="Times New Roman" w:cstheme="minorHAnsi"/>
                <w:bCs/>
                <w:color w:val="000000"/>
                <w:sz w:val="18"/>
                <w:szCs w:val="18"/>
                <w:lang w:eastAsia="en-GB"/>
              </w:rPr>
            </w:pPr>
            <w:r w:rsidRPr="00A5731C">
              <w:rPr>
                <w:rFonts w:eastAsia="Times New Roman" w:cstheme="minorHAnsi"/>
                <w:bCs/>
                <w:color w:val="000000"/>
                <w:sz w:val="18"/>
                <w:szCs w:val="18"/>
                <w:lang w:eastAsia="en-GB"/>
              </w:rPr>
              <w:t xml:space="preserve">Data are mean (SD), median (IQR) or number (%). </w:t>
            </w:r>
            <w:r>
              <w:rPr>
                <w:rFonts w:eastAsia="Times New Roman" w:cstheme="minorHAnsi"/>
                <w:bCs/>
                <w:color w:val="000000"/>
                <w:sz w:val="18"/>
                <w:szCs w:val="18"/>
                <w:lang w:eastAsia="en-GB"/>
              </w:rPr>
              <w:t xml:space="preserve">Bold text denotes </w:t>
            </w:r>
            <w:r w:rsidRPr="00CF16DE">
              <w:rPr>
                <w:rFonts w:eastAsia="Times New Roman" w:cstheme="minorHAnsi"/>
                <w:bCs/>
                <w:i/>
                <w:iCs/>
                <w:color w:val="000000"/>
                <w:sz w:val="18"/>
                <w:szCs w:val="18"/>
                <w:lang w:eastAsia="en-GB"/>
              </w:rPr>
              <w:t>p</w:t>
            </w:r>
            <w:r>
              <w:rPr>
                <w:rFonts w:eastAsia="Times New Roman" w:cstheme="minorHAnsi"/>
                <w:bCs/>
                <w:color w:val="000000"/>
                <w:sz w:val="18"/>
                <w:szCs w:val="18"/>
                <w:lang w:eastAsia="en-GB"/>
              </w:rPr>
              <w:t xml:space="preserve"> value &lt;0.05.</w:t>
            </w:r>
          </w:p>
          <w:p w14:paraId="78BBBC18" w14:textId="77777777" w:rsidR="002829E2" w:rsidRPr="00A5731C" w:rsidRDefault="002829E2" w:rsidP="009E28E6">
            <w:pPr>
              <w:spacing w:after="0" w:line="276" w:lineRule="auto"/>
              <w:rPr>
                <w:rFonts w:eastAsia="Times New Roman" w:cstheme="minorHAnsi"/>
                <w:bCs/>
                <w:color w:val="000000"/>
                <w:sz w:val="18"/>
                <w:szCs w:val="18"/>
                <w:lang w:eastAsia="en-GB"/>
              </w:rPr>
            </w:pPr>
          </w:p>
          <w:p w14:paraId="552BD3D6" w14:textId="77777777" w:rsidR="002829E2" w:rsidRPr="00A5731C" w:rsidRDefault="002829E2" w:rsidP="009E28E6">
            <w:pPr>
              <w:spacing w:after="0" w:line="276" w:lineRule="auto"/>
              <w:rPr>
                <w:rFonts w:eastAsia="Times New Roman" w:cstheme="minorHAnsi"/>
                <w:bCs/>
                <w:color w:val="000000"/>
                <w:sz w:val="18"/>
                <w:szCs w:val="18"/>
                <w:lang w:eastAsia="en-GB"/>
              </w:rPr>
            </w:pPr>
            <w:r w:rsidRPr="00A5731C">
              <w:rPr>
                <w:rFonts w:eastAsia="Times New Roman" w:cstheme="minorHAnsi"/>
                <w:bCs/>
                <w:color w:val="000000"/>
                <w:sz w:val="18"/>
                <w:szCs w:val="18"/>
                <w:vertAlign w:val="superscript"/>
                <w:lang w:eastAsia="en-GB"/>
              </w:rPr>
              <w:t>1</w:t>
            </w:r>
            <w:r w:rsidRPr="00A5731C">
              <w:rPr>
                <w:rFonts w:eastAsia="Times New Roman" w:cstheme="minorHAnsi"/>
                <w:bCs/>
                <w:color w:val="000000"/>
                <w:sz w:val="18"/>
                <w:szCs w:val="18"/>
                <w:lang w:eastAsia="en-GB"/>
              </w:rPr>
              <w:t xml:space="preserve"> Characteristics are based on offspring with data on neonatal BMC.</w:t>
            </w:r>
          </w:p>
          <w:p w14:paraId="0D6AA0F9" w14:textId="66E3CDE9" w:rsidR="002829E2" w:rsidRPr="00A5731C" w:rsidRDefault="002829E2" w:rsidP="009E28E6">
            <w:pPr>
              <w:spacing w:after="0" w:line="276" w:lineRule="auto"/>
              <w:rPr>
                <w:rFonts w:eastAsia="Times New Roman" w:cstheme="minorHAnsi"/>
                <w:bCs/>
                <w:color w:val="000000"/>
                <w:sz w:val="18"/>
                <w:szCs w:val="18"/>
                <w:lang w:eastAsia="en-GB"/>
              </w:rPr>
            </w:pPr>
            <w:r w:rsidRPr="00A5731C">
              <w:rPr>
                <w:rFonts w:eastAsia="Times New Roman" w:cstheme="minorHAnsi"/>
                <w:color w:val="000000"/>
                <w:sz w:val="18"/>
                <w:szCs w:val="18"/>
                <w:vertAlign w:val="superscript"/>
                <w:lang w:eastAsia="en-GB"/>
              </w:rPr>
              <w:t>2</w:t>
            </w:r>
            <w:r>
              <w:rPr>
                <w:rFonts w:eastAsia="Times New Roman" w:cstheme="minorHAnsi"/>
                <w:color w:val="000000"/>
                <w:sz w:val="18"/>
                <w:szCs w:val="18"/>
                <w:vertAlign w:val="superscript"/>
                <w:lang w:eastAsia="en-GB"/>
              </w:rPr>
              <w:t xml:space="preserve"> </w:t>
            </w:r>
            <w:r w:rsidR="00FF082F" w:rsidRPr="00A5731C">
              <w:rPr>
                <w:rFonts w:ascii="Calibri" w:eastAsia="Times New Roman" w:hAnsi="Calibri" w:cs="Calibri"/>
                <w:color w:val="000000"/>
                <w:sz w:val="18"/>
                <w:szCs w:val="18"/>
                <w:lang w:eastAsia="en-GB"/>
              </w:rPr>
              <w:t>Outcomes are whole body measurement</w:t>
            </w:r>
            <w:r w:rsidR="00D16707">
              <w:rPr>
                <w:rFonts w:ascii="Calibri" w:eastAsia="Times New Roman" w:hAnsi="Calibri" w:cs="Calibri"/>
                <w:color w:val="000000"/>
                <w:sz w:val="18"/>
                <w:szCs w:val="18"/>
                <w:lang w:eastAsia="en-GB"/>
              </w:rPr>
              <w:t>.</w:t>
            </w:r>
          </w:p>
        </w:tc>
      </w:tr>
    </w:tbl>
    <w:p w14:paraId="1FB076A2" w14:textId="77777777" w:rsidR="00E401A5" w:rsidRPr="00D94D93" w:rsidRDefault="00E401A5" w:rsidP="00E401A5">
      <w:pPr>
        <w:rPr>
          <w:rFonts w:cstheme="minorHAnsi"/>
        </w:rPr>
      </w:pPr>
    </w:p>
    <w:p w14:paraId="359C4DFB" w14:textId="77777777" w:rsidR="00E401A5" w:rsidRDefault="00E401A5" w:rsidP="00E401A5">
      <w:pPr>
        <w:rPr>
          <w:rFonts w:cstheme="minorHAnsi"/>
        </w:rPr>
      </w:pPr>
    </w:p>
    <w:p w14:paraId="48685A4B" w14:textId="77777777" w:rsidR="00E401A5" w:rsidRDefault="00E401A5" w:rsidP="00E401A5">
      <w:pPr>
        <w:rPr>
          <w:rFonts w:cstheme="minorHAnsi"/>
        </w:rPr>
      </w:pPr>
    </w:p>
    <w:p w14:paraId="665CCD5B" w14:textId="77777777" w:rsidR="00E401A5" w:rsidRDefault="00E401A5" w:rsidP="00E401A5">
      <w:pPr>
        <w:rPr>
          <w:rFonts w:cstheme="minorHAnsi"/>
        </w:rPr>
      </w:pPr>
    </w:p>
    <w:p w14:paraId="113EFB4C" w14:textId="77777777" w:rsidR="00E401A5" w:rsidRDefault="00E401A5" w:rsidP="00E401A5">
      <w:pPr>
        <w:rPr>
          <w:rFonts w:cstheme="minorHAnsi"/>
        </w:rPr>
      </w:pPr>
    </w:p>
    <w:p w14:paraId="383B40EA" w14:textId="77777777" w:rsidR="00E401A5" w:rsidRDefault="00E401A5" w:rsidP="00E401A5">
      <w:pPr>
        <w:rPr>
          <w:rFonts w:cstheme="minorHAnsi"/>
        </w:rPr>
      </w:pPr>
    </w:p>
    <w:p w14:paraId="32E5B21B" w14:textId="77777777" w:rsidR="00E401A5" w:rsidRPr="00D94D93" w:rsidRDefault="00E401A5" w:rsidP="00E401A5">
      <w:pPr>
        <w:rPr>
          <w:rFonts w:cstheme="minorHAnsi"/>
        </w:rPr>
      </w:pPr>
    </w:p>
    <w:tbl>
      <w:tblPr>
        <w:tblW w:w="0" w:type="auto"/>
        <w:tblLook w:val="04A0" w:firstRow="1" w:lastRow="0" w:firstColumn="1" w:lastColumn="0" w:noHBand="0" w:noVBand="1"/>
      </w:tblPr>
      <w:tblGrid>
        <w:gridCol w:w="1500"/>
        <w:gridCol w:w="931"/>
        <w:gridCol w:w="2566"/>
        <w:gridCol w:w="497"/>
        <w:gridCol w:w="931"/>
        <w:gridCol w:w="2601"/>
      </w:tblGrid>
      <w:tr w:rsidR="00514546" w:rsidRPr="001548F5" w14:paraId="653DC5F0" w14:textId="77777777" w:rsidTr="00A3709D">
        <w:trPr>
          <w:trHeight w:val="227"/>
        </w:trPr>
        <w:tc>
          <w:tcPr>
            <w:tcW w:w="0" w:type="auto"/>
            <w:gridSpan w:val="6"/>
            <w:tcBorders>
              <w:bottom w:val="single" w:sz="8" w:space="0" w:color="auto"/>
            </w:tcBorders>
            <w:shd w:val="clear" w:color="auto" w:fill="auto"/>
            <w:noWrap/>
            <w:vAlign w:val="bottom"/>
            <w:hideMark/>
          </w:tcPr>
          <w:p w14:paraId="5783B39E" w14:textId="77777777" w:rsidR="00514546" w:rsidRPr="001548F5" w:rsidRDefault="00514546" w:rsidP="00A3709D">
            <w:pPr>
              <w:spacing w:after="0" w:line="276" w:lineRule="auto"/>
              <w:rPr>
                <w:rFonts w:ascii="Times New Roman" w:eastAsia="Times New Roman" w:hAnsi="Times New Roman" w:cs="Times New Roman"/>
                <w:sz w:val="18"/>
                <w:szCs w:val="18"/>
                <w:lang w:eastAsia="en-GB"/>
              </w:rPr>
            </w:pPr>
            <w:r w:rsidRPr="001548F5">
              <w:rPr>
                <w:rFonts w:ascii="Calibri" w:eastAsia="Times New Roman" w:hAnsi="Calibri" w:cs="Calibri"/>
                <w:b/>
                <w:bCs/>
                <w:color w:val="000000"/>
                <w:sz w:val="18"/>
                <w:szCs w:val="18"/>
                <w:lang w:eastAsia="en-GB"/>
              </w:rPr>
              <w:lastRenderedPageBreak/>
              <w:t>Table 2</w:t>
            </w:r>
          </w:p>
          <w:p w14:paraId="728EA430" w14:textId="77777777" w:rsidR="00514546" w:rsidRPr="001548F5" w:rsidRDefault="00514546" w:rsidP="00A3709D">
            <w:pPr>
              <w:spacing w:after="0" w:line="276" w:lineRule="auto"/>
              <w:rPr>
                <w:rFonts w:ascii="Times New Roman" w:eastAsia="Times New Roman" w:hAnsi="Times New Roman" w:cs="Times New Roman"/>
                <w:sz w:val="18"/>
                <w:szCs w:val="18"/>
                <w:lang w:eastAsia="en-GB"/>
              </w:rPr>
            </w:pPr>
            <w:proofErr w:type="gramStart"/>
            <w:r w:rsidRPr="001548F5">
              <w:rPr>
                <w:rFonts w:ascii="Calibri" w:eastAsia="Times New Roman" w:hAnsi="Calibri" w:cs="Calibri"/>
                <w:color w:val="000000"/>
                <w:sz w:val="18"/>
                <w:szCs w:val="18"/>
                <w:lang w:eastAsia="en-GB"/>
              </w:rPr>
              <w:t>11 week</w:t>
            </w:r>
            <w:proofErr w:type="gramEnd"/>
            <w:r w:rsidRPr="001548F5">
              <w:rPr>
                <w:rFonts w:ascii="Calibri" w:eastAsia="Times New Roman" w:hAnsi="Calibri" w:cs="Calibri"/>
                <w:color w:val="000000"/>
                <w:sz w:val="18"/>
                <w:szCs w:val="18"/>
                <w:lang w:eastAsia="en-GB"/>
              </w:rPr>
              <w:t xml:space="preserve"> placental volume (SD, pre-adjusted for</w:t>
            </w:r>
            <w:r w:rsidRPr="001548F5">
              <w:t xml:space="preserve"> </w:t>
            </w:r>
            <w:r w:rsidRPr="001548F5">
              <w:rPr>
                <w:rFonts w:ascii="Calibri" w:eastAsia="Times New Roman" w:hAnsi="Calibri" w:cs="Calibri"/>
                <w:color w:val="000000"/>
                <w:sz w:val="18"/>
                <w:szCs w:val="18"/>
                <w:lang w:eastAsia="en-GB"/>
              </w:rPr>
              <w:t>gestational age at 11 week 3DUS scan) and bone outcomes at birth, 6 years and 8 years.</w:t>
            </w:r>
          </w:p>
        </w:tc>
      </w:tr>
      <w:tr w:rsidR="00514546" w:rsidRPr="001548F5" w14:paraId="246DE282" w14:textId="77777777" w:rsidTr="00A3709D">
        <w:trPr>
          <w:trHeight w:val="227"/>
        </w:trPr>
        <w:tc>
          <w:tcPr>
            <w:tcW w:w="0" w:type="auto"/>
            <w:gridSpan w:val="6"/>
            <w:tcBorders>
              <w:top w:val="single" w:sz="8" w:space="0" w:color="auto"/>
              <w:bottom w:val="single" w:sz="8" w:space="0" w:color="auto"/>
            </w:tcBorders>
            <w:shd w:val="clear" w:color="auto" w:fill="auto"/>
            <w:noWrap/>
            <w:vAlign w:val="bottom"/>
            <w:hideMark/>
          </w:tcPr>
          <w:p w14:paraId="0DDF75D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p w14:paraId="50B7561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A) BA (SD)</w:t>
            </w:r>
          </w:p>
        </w:tc>
      </w:tr>
      <w:tr w:rsidR="00D819AF" w:rsidRPr="001548F5" w14:paraId="772DB4AD" w14:textId="77777777" w:rsidTr="00A3709D">
        <w:trPr>
          <w:trHeight w:val="227"/>
        </w:trPr>
        <w:tc>
          <w:tcPr>
            <w:tcW w:w="0" w:type="auto"/>
            <w:tcBorders>
              <w:top w:val="single" w:sz="8" w:space="0" w:color="auto"/>
            </w:tcBorders>
            <w:shd w:val="clear" w:color="auto" w:fill="auto"/>
            <w:noWrap/>
            <w:vAlign w:val="bottom"/>
            <w:hideMark/>
          </w:tcPr>
          <w:p w14:paraId="26975345"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166240D5"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Unadjusted</w:t>
            </w:r>
          </w:p>
        </w:tc>
        <w:tc>
          <w:tcPr>
            <w:tcW w:w="0" w:type="auto"/>
            <w:tcBorders>
              <w:top w:val="single" w:sz="8" w:space="0" w:color="auto"/>
              <w:bottom w:val="single" w:sz="8" w:space="0" w:color="auto"/>
            </w:tcBorders>
            <w:shd w:val="clear" w:color="auto" w:fill="auto"/>
            <w:noWrap/>
            <w:vAlign w:val="bottom"/>
            <w:hideMark/>
          </w:tcPr>
          <w:p w14:paraId="525DD8C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755273B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Adjusted </w:t>
            </w:r>
            <w:r w:rsidRPr="001548F5">
              <w:rPr>
                <w:rFonts w:ascii="Calibri" w:eastAsia="Times New Roman" w:hAnsi="Calibri" w:cs="Calibri"/>
                <w:color w:val="000000"/>
                <w:sz w:val="18"/>
                <w:szCs w:val="18"/>
                <w:vertAlign w:val="superscript"/>
                <w:lang w:eastAsia="en-GB"/>
              </w:rPr>
              <w:t>3</w:t>
            </w:r>
          </w:p>
        </w:tc>
      </w:tr>
      <w:tr w:rsidR="00D819AF" w:rsidRPr="001548F5" w14:paraId="0CC9BE03" w14:textId="77777777" w:rsidTr="00A3709D">
        <w:trPr>
          <w:trHeight w:val="227"/>
        </w:trPr>
        <w:tc>
          <w:tcPr>
            <w:tcW w:w="0" w:type="auto"/>
            <w:shd w:val="clear" w:color="auto" w:fill="auto"/>
            <w:noWrap/>
            <w:vAlign w:val="bottom"/>
            <w:hideMark/>
          </w:tcPr>
          <w:p w14:paraId="2F794D7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5B9D37AD"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396DCE3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c>
          <w:tcPr>
            <w:tcW w:w="0" w:type="auto"/>
            <w:tcBorders>
              <w:top w:val="single" w:sz="8" w:space="0" w:color="auto"/>
              <w:bottom w:val="single" w:sz="8" w:space="0" w:color="auto"/>
            </w:tcBorders>
            <w:shd w:val="clear" w:color="auto" w:fill="auto"/>
            <w:noWrap/>
            <w:vAlign w:val="bottom"/>
            <w:hideMark/>
          </w:tcPr>
          <w:p w14:paraId="448C590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573FA3CD"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3F7BD5E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r>
      <w:tr w:rsidR="00D819AF" w:rsidRPr="001548F5" w14:paraId="5313818D" w14:textId="77777777" w:rsidTr="00A3709D">
        <w:trPr>
          <w:trHeight w:val="227"/>
        </w:trPr>
        <w:tc>
          <w:tcPr>
            <w:tcW w:w="0" w:type="auto"/>
            <w:shd w:val="clear" w:color="auto" w:fill="auto"/>
            <w:noWrap/>
            <w:vAlign w:val="bottom"/>
            <w:hideMark/>
          </w:tcPr>
          <w:p w14:paraId="328B2A52" w14:textId="77777777" w:rsidR="00514546" w:rsidRPr="001548F5" w:rsidRDefault="00514546" w:rsidP="00A3709D">
            <w:pPr>
              <w:spacing w:after="0" w:line="276" w:lineRule="auto"/>
              <w:rPr>
                <w:rFonts w:ascii="Calibri" w:eastAsia="Times New Roman" w:hAnsi="Calibri" w:cs="Calibri"/>
                <w:color w:val="000000"/>
                <w:sz w:val="18"/>
                <w:szCs w:val="18"/>
                <w:vertAlign w:val="superscript"/>
                <w:lang w:eastAsia="en-GB"/>
              </w:rPr>
            </w:pPr>
            <w:r w:rsidRPr="001548F5">
              <w:rPr>
                <w:rFonts w:ascii="Calibri" w:eastAsia="Times New Roman" w:hAnsi="Calibri" w:cs="Calibri"/>
                <w:color w:val="000000"/>
                <w:sz w:val="18"/>
                <w:szCs w:val="18"/>
                <w:lang w:eastAsia="en-GB"/>
              </w:rPr>
              <w:t xml:space="preserve">Birth </w:t>
            </w:r>
            <w:r w:rsidRPr="001548F5">
              <w:rPr>
                <w:rFonts w:ascii="Calibri" w:eastAsia="Times New Roman" w:hAnsi="Calibri" w:cs="Calibri"/>
                <w:color w:val="000000"/>
                <w:sz w:val="18"/>
                <w:szCs w:val="18"/>
                <w:vertAlign w:val="superscript"/>
                <w:lang w:eastAsia="en-GB"/>
              </w:rPr>
              <w:t>1</w:t>
            </w:r>
          </w:p>
        </w:tc>
        <w:tc>
          <w:tcPr>
            <w:tcW w:w="0" w:type="auto"/>
            <w:tcBorders>
              <w:top w:val="single" w:sz="8" w:space="0" w:color="auto"/>
            </w:tcBorders>
            <w:shd w:val="clear" w:color="auto" w:fill="auto"/>
            <w:noWrap/>
            <w:vAlign w:val="bottom"/>
            <w:hideMark/>
          </w:tcPr>
          <w:p w14:paraId="1FE34C3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83</w:t>
            </w:r>
          </w:p>
        </w:tc>
        <w:tc>
          <w:tcPr>
            <w:tcW w:w="0" w:type="auto"/>
            <w:tcBorders>
              <w:top w:val="single" w:sz="8" w:space="0" w:color="auto"/>
            </w:tcBorders>
            <w:shd w:val="clear" w:color="auto" w:fill="auto"/>
            <w:noWrap/>
            <w:vAlign w:val="bottom"/>
            <w:hideMark/>
          </w:tcPr>
          <w:p w14:paraId="6DF02F0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0.20 (-0.05, 0.45)</w:t>
            </w:r>
          </w:p>
        </w:tc>
        <w:tc>
          <w:tcPr>
            <w:tcW w:w="0" w:type="auto"/>
            <w:tcBorders>
              <w:top w:val="single" w:sz="8" w:space="0" w:color="auto"/>
            </w:tcBorders>
            <w:shd w:val="clear" w:color="auto" w:fill="auto"/>
            <w:noWrap/>
            <w:vAlign w:val="bottom"/>
            <w:hideMark/>
          </w:tcPr>
          <w:p w14:paraId="3247FC5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tcBorders>
            <w:shd w:val="clear" w:color="auto" w:fill="auto"/>
            <w:noWrap/>
            <w:vAlign w:val="bottom"/>
            <w:hideMark/>
          </w:tcPr>
          <w:p w14:paraId="0EA8CB2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80</w:t>
            </w:r>
          </w:p>
        </w:tc>
        <w:tc>
          <w:tcPr>
            <w:tcW w:w="0" w:type="auto"/>
            <w:tcBorders>
              <w:top w:val="single" w:sz="8" w:space="0" w:color="auto"/>
            </w:tcBorders>
            <w:shd w:val="clear" w:color="auto" w:fill="auto"/>
            <w:noWrap/>
            <w:vAlign w:val="bottom"/>
            <w:hideMark/>
          </w:tcPr>
          <w:p w14:paraId="7C869BC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0.23 (0.03, </w:t>
            </w:r>
            <w:proofErr w:type="gramStart"/>
            <w:r w:rsidRPr="001548F5">
              <w:rPr>
                <w:rFonts w:ascii="Calibri" w:eastAsia="Times New Roman" w:hAnsi="Calibri" w:cs="Calibri"/>
                <w:color w:val="000000"/>
                <w:sz w:val="18"/>
                <w:szCs w:val="18"/>
                <w:lang w:eastAsia="en-GB"/>
              </w:rPr>
              <w:t>0.42)*</w:t>
            </w:r>
            <w:proofErr w:type="gramEnd"/>
          </w:p>
        </w:tc>
      </w:tr>
      <w:tr w:rsidR="00D819AF" w:rsidRPr="001548F5" w14:paraId="07ECD567" w14:textId="77777777" w:rsidTr="00A3709D">
        <w:trPr>
          <w:trHeight w:val="227"/>
        </w:trPr>
        <w:tc>
          <w:tcPr>
            <w:tcW w:w="0" w:type="auto"/>
            <w:shd w:val="clear" w:color="auto" w:fill="auto"/>
            <w:noWrap/>
            <w:vAlign w:val="bottom"/>
            <w:hideMark/>
          </w:tcPr>
          <w:p w14:paraId="2E5DF117" w14:textId="77777777" w:rsidR="00514546" w:rsidRPr="001548F5" w:rsidRDefault="00514546" w:rsidP="00A3709D">
            <w:pPr>
              <w:spacing w:after="0" w:line="276" w:lineRule="auto"/>
              <w:rPr>
                <w:rFonts w:ascii="Calibri" w:eastAsia="Times New Roman" w:hAnsi="Calibri" w:cs="Calibri"/>
                <w:color w:val="000000"/>
                <w:sz w:val="18"/>
                <w:szCs w:val="18"/>
                <w:vertAlign w:val="superscript"/>
                <w:lang w:eastAsia="en-GB"/>
              </w:rPr>
            </w:pPr>
            <w:r w:rsidRPr="001548F5">
              <w:rPr>
                <w:rFonts w:ascii="Calibri" w:eastAsia="Times New Roman" w:hAnsi="Calibri" w:cs="Calibri"/>
                <w:color w:val="000000"/>
                <w:sz w:val="18"/>
                <w:szCs w:val="18"/>
                <w:lang w:eastAsia="en-GB"/>
              </w:rPr>
              <w:t xml:space="preserve">6 years </w:t>
            </w:r>
            <w:r w:rsidRPr="001548F5">
              <w:rPr>
                <w:rFonts w:ascii="Calibri" w:eastAsia="Times New Roman" w:hAnsi="Calibri" w:cs="Calibri"/>
                <w:color w:val="000000"/>
                <w:sz w:val="18"/>
                <w:szCs w:val="18"/>
                <w:vertAlign w:val="superscript"/>
                <w:lang w:eastAsia="en-GB"/>
              </w:rPr>
              <w:t>2</w:t>
            </w:r>
          </w:p>
        </w:tc>
        <w:tc>
          <w:tcPr>
            <w:tcW w:w="0" w:type="auto"/>
            <w:shd w:val="clear" w:color="auto" w:fill="auto"/>
            <w:noWrap/>
            <w:vAlign w:val="bottom"/>
            <w:hideMark/>
          </w:tcPr>
          <w:p w14:paraId="64F6C44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111</w:t>
            </w:r>
          </w:p>
        </w:tc>
        <w:tc>
          <w:tcPr>
            <w:tcW w:w="0" w:type="auto"/>
            <w:shd w:val="clear" w:color="auto" w:fill="auto"/>
            <w:noWrap/>
            <w:vAlign w:val="bottom"/>
            <w:hideMark/>
          </w:tcPr>
          <w:p w14:paraId="69D528E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0.18 (-0.01, 0.38)</w:t>
            </w:r>
          </w:p>
        </w:tc>
        <w:tc>
          <w:tcPr>
            <w:tcW w:w="0" w:type="auto"/>
            <w:shd w:val="clear" w:color="auto" w:fill="auto"/>
            <w:noWrap/>
            <w:vAlign w:val="bottom"/>
            <w:hideMark/>
          </w:tcPr>
          <w:p w14:paraId="318F97A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shd w:val="clear" w:color="auto" w:fill="auto"/>
            <w:noWrap/>
            <w:vAlign w:val="bottom"/>
            <w:hideMark/>
          </w:tcPr>
          <w:p w14:paraId="6CB9210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110</w:t>
            </w:r>
          </w:p>
        </w:tc>
        <w:tc>
          <w:tcPr>
            <w:tcW w:w="0" w:type="auto"/>
            <w:shd w:val="clear" w:color="auto" w:fill="auto"/>
            <w:noWrap/>
            <w:vAlign w:val="bottom"/>
            <w:hideMark/>
          </w:tcPr>
          <w:p w14:paraId="1534069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0.17 (-0.01, 0.36)</w:t>
            </w:r>
          </w:p>
        </w:tc>
      </w:tr>
      <w:tr w:rsidR="00D819AF" w:rsidRPr="001548F5" w14:paraId="59D116DB" w14:textId="77777777" w:rsidTr="00A3709D">
        <w:trPr>
          <w:trHeight w:val="227"/>
        </w:trPr>
        <w:tc>
          <w:tcPr>
            <w:tcW w:w="0" w:type="auto"/>
            <w:tcBorders>
              <w:bottom w:val="single" w:sz="8" w:space="0" w:color="auto"/>
            </w:tcBorders>
            <w:shd w:val="clear" w:color="auto" w:fill="auto"/>
            <w:noWrap/>
            <w:vAlign w:val="bottom"/>
            <w:hideMark/>
          </w:tcPr>
          <w:p w14:paraId="23C37309" w14:textId="77777777" w:rsidR="00514546" w:rsidRPr="001548F5" w:rsidRDefault="00514546" w:rsidP="00A3709D">
            <w:pPr>
              <w:spacing w:after="0" w:line="276" w:lineRule="auto"/>
              <w:rPr>
                <w:rFonts w:ascii="Calibri" w:eastAsia="Times New Roman" w:hAnsi="Calibri" w:cs="Calibri"/>
                <w:color w:val="000000"/>
                <w:sz w:val="18"/>
                <w:szCs w:val="18"/>
                <w:vertAlign w:val="superscript"/>
                <w:lang w:eastAsia="en-GB"/>
              </w:rPr>
            </w:pPr>
            <w:r w:rsidRPr="001548F5">
              <w:rPr>
                <w:rFonts w:ascii="Calibri" w:eastAsia="Times New Roman" w:hAnsi="Calibri" w:cs="Calibri"/>
                <w:color w:val="000000"/>
                <w:sz w:val="18"/>
                <w:szCs w:val="18"/>
                <w:lang w:eastAsia="en-GB"/>
              </w:rPr>
              <w:t xml:space="preserve">8 years </w:t>
            </w:r>
            <w:r w:rsidRPr="001548F5">
              <w:rPr>
                <w:rFonts w:ascii="Calibri" w:eastAsia="Times New Roman" w:hAnsi="Calibri" w:cs="Calibri"/>
                <w:color w:val="000000"/>
                <w:sz w:val="18"/>
                <w:szCs w:val="18"/>
                <w:vertAlign w:val="superscript"/>
                <w:lang w:eastAsia="en-GB"/>
              </w:rPr>
              <w:t>2</w:t>
            </w:r>
          </w:p>
        </w:tc>
        <w:tc>
          <w:tcPr>
            <w:tcW w:w="0" w:type="auto"/>
            <w:tcBorders>
              <w:bottom w:val="single" w:sz="8" w:space="0" w:color="auto"/>
            </w:tcBorders>
            <w:shd w:val="clear" w:color="auto" w:fill="auto"/>
            <w:noWrap/>
            <w:vAlign w:val="bottom"/>
            <w:hideMark/>
          </w:tcPr>
          <w:p w14:paraId="1C20F6F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87</w:t>
            </w:r>
          </w:p>
        </w:tc>
        <w:tc>
          <w:tcPr>
            <w:tcW w:w="0" w:type="auto"/>
            <w:tcBorders>
              <w:bottom w:val="single" w:sz="8" w:space="0" w:color="auto"/>
            </w:tcBorders>
            <w:shd w:val="clear" w:color="auto" w:fill="auto"/>
            <w:noWrap/>
            <w:vAlign w:val="bottom"/>
            <w:hideMark/>
          </w:tcPr>
          <w:p w14:paraId="37AF1B4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0.10 (-0.10, 0.31)</w:t>
            </w:r>
          </w:p>
        </w:tc>
        <w:tc>
          <w:tcPr>
            <w:tcW w:w="0" w:type="auto"/>
            <w:tcBorders>
              <w:bottom w:val="single" w:sz="8" w:space="0" w:color="auto"/>
            </w:tcBorders>
            <w:shd w:val="clear" w:color="auto" w:fill="auto"/>
            <w:noWrap/>
            <w:vAlign w:val="bottom"/>
            <w:hideMark/>
          </w:tcPr>
          <w:p w14:paraId="53B6397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bottom w:val="single" w:sz="8" w:space="0" w:color="auto"/>
            </w:tcBorders>
            <w:shd w:val="clear" w:color="auto" w:fill="auto"/>
            <w:noWrap/>
            <w:vAlign w:val="bottom"/>
            <w:hideMark/>
          </w:tcPr>
          <w:p w14:paraId="10C6D5A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85</w:t>
            </w:r>
          </w:p>
        </w:tc>
        <w:tc>
          <w:tcPr>
            <w:tcW w:w="0" w:type="auto"/>
            <w:tcBorders>
              <w:bottom w:val="single" w:sz="8" w:space="0" w:color="auto"/>
            </w:tcBorders>
            <w:shd w:val="clear" w:color="auto" w:fill="auto"/>
            <w:noWrap/>
            <w:vAlign w:val="bottom"/>
            <w:hideMark/>
          </w:tcPr>
          <w:p w14:paraId="36FE6E0F"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0.13 (-0.09, 0.36)</w:t>
            </w:r>
          </w:p>
        </w:tc>
      </w:tr>
      <w:tr w:rsidR="00514546" w:rsidRPr="001548F5" w14:paraId="4A4DFC86" w14:textId="77777777" w:rsidTr="00A3709D">
        <w:trPr>
          <w:trHeight w:val="227"/>
        </w:trPr>
        <w:tc>
          <w:tcPr>
            <w:tcW w:w="0" w:type="auto"/>
            <w:gridSpan w:val="6"/>
            <w:tcBorders>
              <w:top w:val="single" w:sz="8" w:space="0" w:color="auto"/>
            </w:tcBorders>
            <w:shd w:val="clear" w:color="auto" w:fill="auto"/>
            <w:noWrap/>
            <w:vAlign w:val="bottom"/>
            <w:hideMark/>
          </w:tcPr>
          <w:p w14:paraId="4566AE7E"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p w14:paraId="0F40F6F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B) BMC (SD)</w:t>
            </w:r>
          </w:p>
        </w:tc>
      </w:tr>
      <w:tr w:rsidR="00D819AF" w:rsidRPr="001548F5" w14:paraId="32CC7B8C" w14:textId="77777777" w:rsidTr="00A3709D">
        <w:trPr>
          <w:trHeight w:val="227"/>
        </w:trPr>
        <w:tc>
          <w:tcPr>
            <w:tcW w:w="0" w:type="auto"/>
            <w:tcBorders>
              <w:top w:val="single" w:sz="8" w:space="0" w:color="auto"/>
            </w:tcBorders>
            <w:shd w:val="clear" w:color="auto" w:fill="auto"/>
            <w:noWrap/>
            <w:vAlign w:val="bottom"/>
            <w:hideMark/>
          </w:tcPr>
          <w:p w14:paraId="2CDD886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49C5DA1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Unadjusted</w:t>
            </w:r>
          </w:p>
        </w:tc>
        <w:tc>
          <w:tcPr>
            <w:tcW w:w="0" w:type="auto"/>
            <w:tcBorders>
              <w:top w:val="single" w:sz="8" w:space="0" w:color="auto"/>
              <w:bottom w:val="single" w:sz="8" w:space="0" w:color="auto"/>
            </w:tcBorders>
            <w:shd w:val="clear" w:color="auto" w:fill="auto"/>
            <w:noWrap/>
            <w:vAlign w:val="bottom"/>
            <w:hideMark/>
          </w:tcPr>
          <w:p w14:paraId="464B761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57FD7DB5"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Adjusted </w:t>
            </w:r>
            <w:r w:rsidRPr="001548F5">
              <w:rPr>
                <w:rFonts w:ascii="Calibri" w:eastAsia="Times New Roman" w:hAnsi="Calibri" w:cs="Calibri"/>
                <w:color w:val="000000"/>
                <w:sz w:val="18"/>
                <w:szCs w:val="18"/>
                <w:vertAlign w:val="superscript"/>
                <w:lang w:eastAsia="en-GB"/>
              </w:rPr>
              <w:t>3</w:t>
            </w:r>
          </w:p>
        </w:tc>
      </w:tr>
      <w:tr w:rsidR="00D819AF" w:rsidRPr="001548F5" w14:paraId="5E851B44" w14:textId="77777777" w:rsidTr="00A3709D">
        <w:trPr>
          <w:trHeight w:val="227"/>
        </w:trPr>
        <w:tc>
          <w:tcPr>
            <w:tcW w:w="0" w:type="auto"/>
            <w:shd w:val="clear" w:color="auto" w:fill="auto"/>
            <w:noWrap/>
            <w:vAlign w:val="bottom"/>
            <w:hideMark/>
          </w:tcPr>
          <w:p w14:paraId="69AC67D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1617EBD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2EBE3C1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c>
          <w:tcPr>
            <w:tcW w:w="0" w:type="auto"/>
            <w:tcBorders>
              <w:top w:val="single" w:sz="8" w:space="0" w:color="auto"/>
              <w:bottom w:val="single" w:sz="8" w:space="0" w:color="auto"/>
            </w:tcBorders>
            <w:shd w:val="clear" w:color="auto" w:fill="auto"/>
            <w:noWrap/>
            <w:vAlign w:val="bottom"/>
            <w:hideMark/>
          </w:tcPr>
          <w:p w14:paraId="53141AA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454FE39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24DA1C8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r>
      <w:tr w:rsidR="00D819AF" w:rsidRPr="001548F5" w14:paraId="6A9822FA" w14:textId="77777777" w:rsidTr="00A3709D">
        <w:trPr>
          <w:trHeight w:val="227"/>
        </w:trPr>
        <w:tc>
          <w:tcPr>
            <w:tcW w:w="0" w:type="auto"/>
            <w:shd w:val="clear" w:color="auto" w:fill="auto"/>
            <w:noWrap/>
            <w:vAlign w:val="bottom"/>
            <w:hideMark/>
          </w:tcPr>
          <w:p w14:paraId="3373F0B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Birth </w:t>
            </w:r>
            <w:r w:rsidRPr="001548F5">
              <w:rPr>
                <w:rFonts w:ascii="Calibri" w:eastAsia="Times New Roman" w:hAnsi="Calibri" w:cs="Calibri"/>
                <w:color w:val="000000"/>
                <w:sz w:val="18"/>
                <w:szCs w:val="18"/>
                <w:vertAlign w:val="superscript"/>
                <w:lang w:eastAsia="en-GB"/>
              </w:rPr>
              <w:t>1</w:t>
            </w:r>
          </w:p>
        </w:tc>
        <w:tc>
          <w:tcPr>
            <w:tcW w:w="0" w:type="auto"/>
            <w:tcBorders>
              <w:top w:val="single" w:sz="8" w:space="0" w:color="auto"/>
            </w:tcBorders>
            <w:shd w:val="clear" w:color="auto" w:fill="auto"/>
            <w:noWrap/>
            <w:vAlign w:val="bottom"/>
            <w:hideMark/>
          </w:tcPr>
          <w:p w14:paraId="01E5B33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83</w:t>
            </w:r>
          </w:p>
        </w:tc>
        <w:tc>
          <w:tcPr>
            <w:tcW w:w="0" w:type="auto"/>
            <w:tcBorders>
              <w:top w:val="single" w:sz="8" w:space="0" w:color="auto"/>
            </w:tcBorders>
            <w:shd w:val="clear" w:color="auto" w:fill="auto"/>
            <w:noWrap/>
            <w:vAlign w:val="bottom"/>
            <w:hideMark/>
          </w:tcPr>
          <w:p w14:paraId="6418CA3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0.23 (-0.02, 0.48)</w:t>
            </w:r>
          </w:p>
        </w:tc>
        <w:tc>
          <w:tcPr>
            <w:tcW w:w="0" w:type="auto"/>
            <w:tcBorders>
              <w:top w:val="single" w:sz="8" w:space="0" w:color="auto"/>
            </w:tcBorders>
            <w:shd w:val="clear" w:color="auto" w:fill="auto"/>
            <w:noWrap/>
            <w:vAlign w:val="bottom"/>
            <w:hideMark/>
          </w:tcPr>
          <w:p w14:paraId="2612E1F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tcBorders>
            <w:shd w:val="clear" w:color="auto" w:fill="auto"/>
            <w:noWrap/>
            <w:vAlign w:val="bottom"/>
            <w:hideMark/>
          </w:tcPr>
          <w:p w14:paraId="3D73E23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80</w:t>
            </w:r>
          </w:p>
        </w:tc>
        <w:tc>
          <w:tcPr>
            <w:tcW w:w="0" w:type="auto"/>
            <w:tcBorders>
              <w:top w:val="single" w:sz="8" w:space="0" w:color="auto"/>
            </w:tcBorders>
            <w:shd w:val="clear" w:color="auto" w:fill="auto"/>
            <w:noWrap/>
            <w:vAlign w:val="bottom"/>
            <w:hideMark/>
          </w:tcPr>
          <w:p w14:paraId="21B9A91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0.26 (0.06, </w:t>
            </w:r>
            <w:proofErr w:type="gramStart"/>
            <w:r w:rsidRPr="001548F5">
              <w:rPr>
                <w:rFonts w:ascii="Calibri" w:eastAsia="Times New Roman" w:hAnsi="Calibri" w:cs="Calibri"/>
                <w:color w:val="000000"/>
                <w:sz w:val="18"/>
                <w:szCs w:val="18"/>
                <w:lang w:eastAsia="en-GB"/>
              </w:rPr>
              <w:t>0.46)*</w:t>
            </w:r>
            <w:proofErr w:type="gramEnd"/>
          </w:p>
        </w:tc>
      </w:tr>
      <w:tr w:rsidR="00D819AF" w:rsidRPr="001548F5" w14:paraId="4FED1475" w14:textId="77777777" w:rsidTr="00A3709D">
        <w:trPr>
          <w:trHeight w:val="227"/>
        </w:trPr>
        <w:tc>
          <w:tcPr>
            <w:tcW w:w="0" w:type="auto"/>
            <w:shd w:val="clear" w:color="auto" w:fill="auto"/>
            <w:noWrap/>
            <w:vAlign w:val="bottom"/>
            <w:hideMark/>
          </w:tcPr>
          <w:p w14:paraId="6982D24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6 years </w:t>
            </w:r>
            <w:r w:rsidRPr="001548F5">
              <w:rPr>
                <w:rFonts w:ascii="Calibri" w:eastAsia="Times New Roman" w:hAnsi="Calibri" w:cs="Calibri"/>
                <w:color w:val="000000"/>
                <w:sz w:val="18"/>
                <w:szCs w:val="18"/>
                <w:vertAlign w:val="superscript"/>
                <w:lang w:eastAsia="en-GB"/>
              </w:rPr>
              <w:t>2</w:t>
            </w:r>
          </w:p>
        </w:tc>
        <w:tc>
          <w:tcPr>
            <w:tcW w:w="0" w:type="auto"/>
            <w:shd w:val="clear" w:color="auto" w:fill="auto"/>
            <w:noWrap/>
            <w:vAlign w:val="bottom"/>
            <w:hideMark/>
          </w:tcPr>
          <w:p w14:paraId="5ACA82A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111</w:t>
            </w:r>
          </w:p>
        </w:tc>
        <w:tc>
          <w:tcPr>
            <w:tcW w:w="0" w:type="auto"/>
            <w:shd w:val="clear" w:color="auto" w:fill="auto"/>
            <w:noWrap/>
            <w:vAlign w:val="bottom"/>
            <w:hideMark/>
          </w:tcPr>
          <w:p w14:paraId="260320B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0.24 (0.05, </w:t>
            </w:r>
            <w:proofErr w:type="gramStart"/>
            <w:r w:rsidRPr="001548F5">
              <w:rPr>
                <w:rFonts w:ascii="Calibri" w:eastAsia="Times New Roman" w:hAnsi="Calibri" w:cs="Calibri"/>
                <w:color w:val="000000"/>
                <w:sz w:val="18"/>
                <w:szCs w:val="18"/>
                <w:lang w:eastAsia="en-GB"/>
              </w:rPr>
              <w:t>0.43)*</w:t>
            </w:r>
            <w:proofErr w:type="gramEnd"/>
          </w:p>
        </w:tc>
        <w:tc>
          <w:tcPr>
            <w:tcW w:w="0" w:type="auto"/>
            <w:shd w:val="clear" w:color="auto" w:fill="auto"/>
            <w:noWrap/>
            <w:vAlign w:val="bottom"/>
            <w:hideMark/>
          </w:tcPr>
          <w:p w14:paraId="610B542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shd w:val="clear" w:color="auto" w:fill="auto"/>
            <w:noWrap/>
            <w:vAlign w:val="bottom"/>
            <w:hideMark/>
          </w:tcPr>
          <w:p w14:paraId="0AA8ABDF"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110</w:t>
            </w:r>
          </w:p>
        </w:tc>
        <w:tc>
          <w:tcPr>
            <w:tcW w:w="0" w:type="auto"/>
            <w:shd w:val="clear" w:color="auto" w:fill="auto"/>
            <w:noWrap/>
            <w:vAlign w:val="bottom"/>
            <w:hideMark/>
          </w:tcPr>
          <w:p w14:paraId="03D650F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0.20 (0.02, </w:t>
            </w:r>
            <w:proofErr w:type="gramStart"/>
            <w:r w:rsidRPr="001548F5">
              <w:rPr>
                <w:rFonts w:ascii="Calibri" w:eastAsia="Times New Roman" w:hAnsi="Calibri" w:cs="Calibri"/>
                <w:color w:val="000000"/>
                <w:sz w:val="18"/>
                <w:szCs w:val="18"/>
                <w:lang w:eastAsia="en-GB"/>
              </w:rPr>
              <w:t>0.39)*</w:t>
            </w:r>
            <w:proofErr w:type="gramEnd"/>
          </w:p>
        </w:tc>
      </w:tr>
      <w:tr w:rsidR="00D819AF" w:rsidRPr="001548F5" w14:paraId="5D774B79" w14:textId="77777777" w:rsidTr="00A3709D">
        <w:trPr>
          <w:trHeight w:val="227"/>
        </w:trPr>
        <w:tc>
          <w:tcPr>
            <w:tcW w:w="0" w:type="auto"/>
            <w:tcBorders>
              <w:bottom w:val="single" w:sz="8" w:space="0" w:color="auto"/>
            </w:tcBorders>
            <w:shd w:val="clear" w:color="auto" w:fill="auto"/>
            <w:noWrap/>
            <w:vAlign w:val="bottom"/>
            <w:hideMark/>
          </w:tcPr>
          <w:p w14:paraId="5536A89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8 years </w:t>
            </w:r>
            <w:r w:rsidRPr="001548F5">
              <w:rPr>
                <w:rFonts w:ascii="Calibri" w:eastAsia="Times New Roman" w:hAnsi="Calibri" w:cs="Calibri"/>
                <w:color w:val="000000"/>
                <w:sz w:val="18"/>
                <w:szCs w:val="18"/>
                <w:vertAlign w:val="superscript"/>
                <w:lang w:eastAsia="en-GB"/>
              </w:rPr>
              <w:t>2</w:t>
            </w:r>
          </w:p>
        </w:tc>
        <w:tc>
          <w:tcPr>
            <w:tcW w:w="0" w:type="auto"/>
            <w:tcBorders>
              <w:bottom w:val="single" w:sz="8" w:space="0" w:color="auto"/>
            </w:tcBorders>
            <w:shd w:val="clear" w:color="auto" w:fill="auto"/>
            <w:noWrap/>
            <w:vAlign w:val="bottom"/>
            <w:hideMark/>
          </w:tcPr>
          <w:p w14:paraId="2CEE8BC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87</w:t>
            </w:r>
          </w:p>
        </w:tc>
        <w:tc>
          <w:tcPr>
            <w:tcW w:w="0" w:type="auto"/>
            <w:tcBorders>
              <w:bottom w:val="single" w:sz="8" w:space="0" w:color="auto"/>
            </w:tcBorders>
            <w:shd w:val="clear" w:color="auto" w:fill="auto"/>
            <w:noWrap/>
            <w:vAlign w:val="bottom"/>
            <w:hideMark/>
          </w:tcPr>
          <w:p w14:paraId="567488B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0.17 (-0.04, 0.38)</w:t>
            </w:r>
          </w:p>
        </w:tc>
        <w:tc>
          <w:tcPr>
            <w:tcW w:w="0" w:type="auto"/>
            <w:tcBorders>
              <w:bottom w:val="single" w:sz="8" w:space="0" w:color="auto"/>
            </w:tcBorders>
            <w:shd w:val="clear" w:color="auto" w:fill="auto"/>
            <w:noWrap/>
            <w:vAlign w:val="bottom"/>
            <w:hideMark/>
          </w:tcPr>
          <w:p w14:paraId="4FACA16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bottom w:val="single" w:sz="8" w:space="0" w:color="auto"/>
            </w:tcBorders>
            <w:shd w:val="clear" w:color="auto" w:fill="auto"/>
            <w:noWrap/>
            <w:vAlign w:val="bottom"/>
            <w:hideMark/>
          </w:tcPr>
          <w:p w14:paraId="2CB8C19D"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85</w:t>
            </w:r>
          </w:p>
        </w:tc>
        <w:tc>
          <w:tcPr>
            <w:tcW w:w="0" w:type="auto"/>
            <w:tcBorders>
              <w:bottom w:val="single" w:sz="8" w:space="0" w:color="auto"/>
            </w:tcBorders>
            <w:shd w:val="clear" w:color="auto" w:fill="auto"/>
            <w:noWrap/>
            <w:vAlign w:val="bottom"/>
            <w:hideMark/>
          </w:tcPr>
          <w:p w14:paraId="46E86BA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0.14 (-0.08, 0.35)</w:t>
            </w:r>
          </w:p>
        </w:tc>
      </w:tr>
      <w:tr w:rsidR="00514546" w:rsidRPr="001548F5" w14:paraId="701BC3E7" w14:textId="77777777" w:rsidTr="00A3709D">
        <w:trPr>
          <w:trHeight w:val="227"/>
        </w:trPr>
        <w:tc>
          <w:tcPr>
            <w:tcW w:w="0" w:type="auto"/>
            <w:gridSpan w:val="6"/>
            <w:tcBorders>
              <w:top w:val="single" w:sz="8" w:space="0" w:color="auto"/>
              <w:bottom w:val="single" w:sz="8" w:space="0" w:color="auto"/>
            </w:tcBorders>
            <w:shd w:val="clear" w:color="auto" w:fill="auto"/>
            <w:noWrap/>
            <w:vAlign w:val="bottom"/>
            <w:hideMark/>
          </w:tcPr>
          <w:p w14:paraId="44973E5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p w14:paraId="793E8FB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C) </w:t>
            </w:r>
            <w:proofErr w:type="spellStart"/>
            <w:r w:rsidRPr="001548F5">
              <w:rPr>
                <w:rFonts w:ascii="Calibri" w:eastAsia="Times New Roman" w:hAnsi="Calibri" w:cs="Calibri"/>
                <w:color w:val="000000"/>
                <w:sz w:val="18"/>
                <w:szCs w:val="18"/>
                <w:lang w:eastAsia="en-GB"/>
              </w:rPr>
              <w:t>aBMD</w:t>
            </w:r>
            <w:proofErr w:type="spellEnd"/>
            <w:r w:rsidRPr="001548F5">
              <w:rPr>
                <w:rFonts w:ascii="Calibri" w:eastAsia="Times New Roman" w:hAnsi="Calibri" w:cs="Calibri"/>
                <w:color w:val="000000"/>
                <w:sz w:val="18"/>
                <w:szCs w:val="18"/>
                <w:lang w:eastAsia="en-GB"/>
              </w:rPr>
              <w:t xml:space="preserve"> (SD)</w:t>
            </w:r>
          </w:p>
        </w:tc>
      </w:tr>
      <w:tr w:rsidR="00D819AF" w:rsidRPr="001548F5" w14:paraId="70F06DC4" w14:textId="77777777" w:rsidTr="00A3709D">
        <w:trPr>
          <w:trHeight w:val="227"/>
        </w:trPr>
        <w:tc>
          <w:tcPr>
            <w:tcW w:w="0" w:type="auto"/>
            <w:tcBorders>
              <w:top w:val="single" w:sz="8" w:space="0" w:color="auto"/>
            </w:tcBorders>
            <w:shd w:val="clear" w:color="auto" w:fill="auto"/>
            <w:noWrap/>
            <w:vAlign w:val="bottom"/>
            <w:hideMark/>
          </w:tcPr>
          <w:p w14:paraId="74377B1D"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0F7AEDA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Unadjusted</w:t>
            </w:r>
          </w:p>
        </w:tc>
        <w:tc>
          <w:tcPr>
            <w:tcW w:w="0" w:type="auto"/>
            <w:tcBorders>
              <w:top w:val="single" w:sz="8" w:space="0" w:color="auto"/>
              <w:bottom w:val="single" w:sz="8" w:space="0" w:color="auto"/>
            </w:tcBorders>
            <w:shd w:val="clear" w:color="auto" w:fill="auto"/>
            <w:noWrap/>
            <w:vAlign w:val="bottom"/>
            <w:hideMark/>
          </w:tcPr>
          <w:p w14:paraId="79FC5C6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6172173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Adjusted </w:t>
            </w:r>
            <w:r w:rsidRPr="001548F5">
              <w:rPr>
                <w:rFonts w:ascii="Calibri" w:eastAsia="Times New Roman" w:hAnsi="Calibri" w:cs="Calibri"/>
                <w:color w:val="000000"/>
                <w:sz w:val="18"/>
                <w:szCs w:val="18"/>
                <w:vertAlign w:val="superscript"/>
                <w:lang w:eastAsia="en-GB"/>
              </w:rPr>
              <w:t>3</w:t>
            </w:r>
          </w:p>
        </w:tc>
      </w:tr>
      <w:tr w:rsidR="00D819AF" w:rsidRPr="001548F5" w14:paraId="32A48C5B" w14:textId="77777777" w:rsidTr="00A3709D">
        <w:trPr>
          <w:trHeight w:val="227"/>
        </w:trPr>
        <w:tc>
          <w:tcPr>
            <w:tcW w:w="0" w:type="auto"/>
            <w:shd w:val="clear" w:color="auto" w:fill="auto"/>
            <w:noWrap/>
            <w:vAlign w:val="bottom"/>
            <w:hideMark/>
          </w:tcPr>
          <w:p w14:paraId="52AFF688"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4391A2D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4520C70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c>
          <w:tcPr>
            <w:tcW w:w="0" w:type="auto"/>
            <w:tcBorders>
              <w:top w:val="single" w:sz="8" w:space="0" w:color="auto"/>
              <w:bottom w:val="single" w:sz="8" w:space="0" w:color="auto"/>
            </w:tcBorders>
            <w:shd w:val="clear" w:color="auto" w:fill="auto"/>
            <w:noWrap/>
            <w:vAlign w:val="bottom"/>
            <w:hideMark/>
          </w:tcPr>
          <w:p w14:paraId="157F545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50D38BC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5EA6735C"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r>
      <w:tr w:rsidR="00D819AF" w:rsidRPr="001548F5" w14:paraId="0393E9EB" w14:textId="77777777" w:rsidTr="00A3709D">
        <w:trPr>
          <w:trHeight w:val="227"/>
        </w:trPr>
        <w:tc>
          <w:tcPr>
            <w:tcW w:w="0" w:type="auto"/>
            <w:shd w:val="clear" w:color="auto" w:fill="auto"/>
            <w:noWrap/>
            <w:vAlign w:val="bottom"/>
            <w:hideMark/>
          </w:tcPr>
          <w:p w14:paraId="6DA9432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Birth </w:t>
            </w:r>
            <w:r w:rsidRPr="001548F5">
              <w:rPr>
                <w:rFonts w:ascii="Calibri" w:eastAsia="Times New Roman" w:hAnsi="Calibri" w:cs="Calibri"/>
                <w:color w:val="000000"/>
                <w:sz w:val="18"/>
                <w:szCs w:val="18"/>
                <w:vertAlign w:val="superscript"/>
                <w:lang w:eastAsia="en-GB"/>
              </w:rPr>
              <w:t>1</w:t>
            </w:r>
          </w:p>
        </w:tc>
        <w:tc>
          <w:tcPr>
            <w:tcW w:w="0" w:type="auto"/>
            <w:tcBorders>
              <w:top w:val="single" w:sz="8" w:space="0" w:color="auto"/>
            </w:tcBorders>
            <w:shd w:val="clear" w:color="auto" w:fill="auto"/>
            <w:noWrap/>
            <w:vAlign w:val="bottom"/>
            <w:hideMark/>
          </w:tcPr>
          <w:p w14:paraId="1182A6BC"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83</w:t>
            </w:r>
          </w:p>
        </w:tc>
        <w:tc>
          <w:tcPr>
            <w:tcW w:w="0" w:type="auto"/>
            <w:tcBorders>
              <w:top w:val="single" w:sz="8" w:space="0" w:color="auto"/>
            </w:tcBorders>
            <w:shd w:val="clear" w:color="auto" w:fill="auto"/>
            <w:noWrap/>
            <w:vAlign w:val="bottom"/>
            <w:hideMark/>
          </w:tcPr>
          <w:p w14:paraId="5C43332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0.16 (-0.09, 0.41)</w:t>
            </w:r>
          </w:p>
        </w:tc>
        <w:tc>
          <w:tcPr>
            <w:tcW w:w="0" w:type="auto"/>
            <w:tcBorders>
              <w:top w:val="single" w:sz="8" w:space="0" w:color="auto"/>
            </w:tcBorders>
            <w:shd w:val="clear" w:color="auto" w:fill="auto"/>
            <w:noWrap/>
            <w:vAlign w:val="bottom"/>
            <w:hideMark/>
          </w:tcPr>
          <w:p w14:paraId="190ECD4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tcBorders>
            <w:shd w:val="clear" w:color="auto" w:fill="auto"/>
            <w:noWrap/>
            <w:vAlign w:val="bottom"/>
            <w:hideMark/>
          </w:tcPr>
          <w:p w14:paraId="67E6737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80</w:t>
            </w:r>
          </w:p>
        </w:tc>
        <w:tc>
          <w:tcPr>
            <w:tcW w:w="0" w:type="auto"/>
            <w:tcBorders>
              <w:top w:val="single" w:sz="8" w:space="0" w:color="auto"/>
            </w:tcBorders>
            <w:shd w:val="clear" w:color="auto" w:fill="auto"/>
            <w:noWrap/>
            <w:vAlign w:val="bottom"/>
            <w:hideMark/>
          </w:tcPr>
          <w:p w14:paraId="0EE85F1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0.21 (-0.04, 0.47)</w:t>
            </w:r>
          </w:p>
        </w:tc>
      </w:tr>
      <w:tr w:rsidR="00D819AF" w:rsidRPr="001548F5" w14:paraId="74B6A1CF" w14:textId="77777777" w:rsidTr="00A3709D">
        <w:trPr>
          <w:trHeight w:val="227"/>
        </w:trPr>
        <w:tc>
          <w:tcPr>
            <w:tcW w:w="0" w:type="auto"/>
            <w:shd w:val="clear" w:color="auto" w:fill="auto"/>
            <w:noWrap/>
            <w:vAlign w:val="bottom"/>
            <w:hideMark/>
          </w:tcPr>
          <w:p w14:paraId="5C818E9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6 years </w:t>
            </w:r>
            <w:r w:rsidRPr="001548F5">
              <w:rPr>
                <w:rFonts w:ascii="Calibri" w:eastAsia="Times New Roman" w:hAnsi="Calibri" w:cs="Calibri"/>
                <w:color w:val="000000"/>
                <w:sz w:val="18"/>
                <w:szCs w:val="18"/>
                <w:vertAlign w:val="superscript"/>
                <w:lang w:eastAsia="en-GB"/>
              </w:rPr>
              <w:t>2</w:t>
            </w:r>
          </w:p>
        </w:tc>
        <w:tc>
          <w:tcPr>
            <w:tcW w:w="0" w:type="auto"/>
            <w:shd w:val="clear" w:color="auto" w:fill="auto"/>
            <w:noWrap/>
            <w:vAlign w:val="bottom"/>
            <w:hideMark/>
          </w:tcPr>
          <w:p w14:paraId="71476BB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111</w:t>
            </w:r>
          </w:p>
        </w:tc>
        <w:tc>
          <w:tcPr>
            <w:tcW w:w="0" w:type="auto"/>
            <w:shd w:val="clear" w:color="auto" w:fill="auto"/>
            <w:noWrap/>
            <w:vAlign w:val="bottom"/>
            <w:hideMark/>
          </w:tcPr>
          <w:p w14:paraId="5BFBAB1C"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0.23 (0.04, </w:t>
            </w:r>
            <w:proofErr w:type="gramStart"/>
            <w:r w:rsidRPr="001548F5">
              <w:rPr>
                <w:rFonts w:ascii="Calibri" w:eastAsia="Times New Roman" w:hAnsi="Calibri" w:cs="Calibri"/>
                <w:color w:val="000000"/>
                <w:sz w:val="18"/>
                <w:szCs w:val="18"/>
                <w:lang w:eastAsia="en-GB"/>
              </w:rPr>
              <w:t>0.42)*</w:t>
            </w:r>
            <w:proofErr w:type="gramEnd"/>
          </w:p>
        </w:tc>
        <w:tc>
          <w:tcPr>
            <w:tcW w:w="0" w:type="auto"/>
            <w:shd w:val="clear" w:color="auto" w:fill="auto"/>
            <w:noWrap/>
            <w:vAlign w:val="bottom"/>
            <w:hideMark/>
          </w:tcPr>
          <w:p w14:paraId="60E03F6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shd w:val="clear" w:color="auto" w:fill="auto"/>
            <w:noWrap/>
            <w:vAlign w:val="bottom"/>
            <w:hideMark/>
          </w:tcPr>
          <w:p w14:paraId="15ECC09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110</w:t>
            </w:r>
          </w:p>
        </w:tc>
        <w:tc>
          <w:tcPr>
            <w:tcW w:w="0" w:type="auto"/>
            <w:shd w:val="clear" w:color="auto" w:fill="auto"/>
            <w:noWrap/>
            <w:vAlign w:val="bottom"/>
            <w:hideMark/>
          </w:tcPr>
          <w:p w14:paraId="36A50B7E"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0.19 (-0.01, 0.38)</w:t>
            </w:r>
          </w:p>
        </w:tc>
      </w:tr>
      <w:tr w:rsidR="00D819AF" w:rsidRPr="001548F5" w14:paraId="7F259CA4" w14:textId="77777777" w:rsidTr="00A3709D">
        <w:trPr>
          <w:trHeight w:val="227"/>
        </w:trPr>
        <w:tc>
          <w:tcPr>
            <w:tcW w:w="0" w:type="auto"/>
            <w:tcBorders>
              <w:bottom w:val="single" w:sz="8" w:space="0" w:color="auto"/>
            </w:tcBorders>
            <w:shd w:val="clear" w:color="auto" w:fill="auto"/>
            <w:noWrap/>
            <w:vAlign w:val="bottom"/>
            <w:hideMark/>
          </w:tcPr>
          <w:p w14:paraId="1D6A758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8 years </w:t>
            </w:r>
            <w:r w:rsidRPr="001548F5">
              <w:rPr>
                <w:rFonts w:ascii="Calibri" w:eastAsia="Times New Roman" w:hAnsi="Calibri" w:cs="Calibri"/>
                <w:color w:val="000000"/>
                <w:sz w:val="18"/>
                <w:szCs w:val="18"/>
                <w:vertAlign w:val="superscript"/>
                <w:lang w:eastAsia="en-GB"/>
              </w:rPr>
              <w:t>2</w:t>
            </w:r>
          </w:p>
        </w:tc>
        <w:tc>
          <w:tcPr>
            <w:tcW w:w="0" w:type="auto"/>
            <w:tcBorders>
              <w:bottom w:val="single" w:sz="8" w:space="0" w:color="auto"/>
            </w:tcBorders>
            <w:shd w:val="clear" w:color="auto" w:fill="auto"/>
            <w:noWrap/>
            <w:vAlign w:val="bottom"/>
            <w:hideMark/>
          </w:tcPr>
          <w:p w14:paraId="182B116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87</w:t>
            </w:r>
          </w:p>
        </w:tc>
        <w:tc>
          <w:tcPr>
            <w:tcW w:w="0" w:type="auto"/>
            <w:tcBorders>
              <w:bottom w:val="single" w:sz="8" w:space="0" w:color="auto"/>
            </w:tcBorders>
            <w:shd w:val="clear" w:color="auto" w:fill="auto"/>
            <w:noWrap/>
            <w:vAlign w:val="bottom"/>
            <w:hideMark/>
          </w:tcPr>
          <w:p w14:paraId="4747B56C"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0.10 (-0.10, 0.31)</w:t>
            </w:r>
          </w:p>
        </w:tc>
        <w:tc>
          <w:tcPr>
            <w:tcW w:w="0" w:type="auto"/>
            <w:tcBorders>
              <w:bottom w:val="single" w:sz="8" w:space="0" w:color="auto"/>
            </w:tcBorders>
            <w:shd w:val="clear" w:color="auto" w:fill="auto"/>
            <w:noWrap/>
            <w:vAlign w:val="bottom"/>
            <w:hideMark/>
          </w:tcPr>
          <w:p w14:paraId="2507C6A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bottom w:val="single" w:sz="8" w:space="0" w:color="auto"/>
            </w:tcBorders>
            <w:shd w:val="clear" w:color="auto" w:fill="auto"/>
            <w:noWrap/>
            <w:vAlign w:val="bottom"/>
            <w:hideMark/>
          </w:tcPr>
          <w:p w14:paraId="365BD28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85</w:t>
            </w:r>
          </w:p>
        </w:tc>
        <w:tc>
          <w:tcPr>
            <w:tcW w:w="0" w:type="auto"/>
            <w:shd w:val="clear" w:color="auto" w:fill="auto"/>
            <w:noWrap/>
            <w:vAlign w:val="bottom"/>
            <w:hideMark/>
          </w:tcPr>
          <w:p w14:paraId="7BA835D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-0.00 (-0.22, 0.22)</w:t>
            </w:r>
          </w:p>
        </w:tc>
      </w:tr>
      <w:tr w:rsidR="00514546" w:rsidRPr="001548F5" w14:paraId="7C7960A5" w14:textId="77777777" w:rsidTr="00A3709D">
        <w:trPr>
          <w:trHeight w:val="227"/>
        </w:trPr>
        <w:tc>
          <w:tcPr>
            <w:tcW w:w="0" w:type="auto"/>
            <w:gridSpan w:val="6"/>
            <w:tcBorders>
              <w:top w:val="single" w:sz="8" w:space="0" w:color="auto"/>
            </w:tcBorders>
            <w:shd w:val="clear" w:color="auto" w:fill="auto"/>
            <w:noWrap/>
            <w:vAlign w:val="bottom"/>
            <w:hideMark/>
          </w:tcPr>
          <w:p w14:paraId="60F73A6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p w14:paraId="0787B6B8"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D) </w:t>
            </w:r>
            <w:proofErr w:type="spellStart"/>
            <w:r w:rsidRPr="001548F5">
              <w:rPr>
                <w:rFonts w:ascii="Calibri" w:eastAsia="Times New Roman" w:hAnsi="Calibri" w:cs="Calibri"/>
                <w:color w:val="000000"/>
                <w:sz w:val="18"/>
                <w:szCs w:val="18"/>
                <w:lang w:eastAsia="en-GB"/>
              </w:rPr>
              <w:t>scBMC</w:t>
            </w:r>
            <w:proofErr w:type="spellEnd"/>
            <w:r w:rsidRPr="001548F5">
              <w:rPr>
                <w:rFonts w:ascii="Calibri" w:eastAsia="Times New Roman" w:hAnsi="Calibri" w:cs="Calibri"/>
                <w:color w:val="000000"/>
                <w:sz w:val="18"/>
                <w:szCs w:val="18"/>
                <w:lang w:eastAsia="en-GB"/>
              </w:rPr>
              <w:t xml:space="preserve"> (SD)</w:t>
            </w:r>
          </w:p>
        </w:tc>
      </w:tr>
      <w:tr w:rsidR="00D819AF" w:rsidRPr="001548F5" w14:paraId="68DF8EB4" w14:textId="77777777" w:rsidTr="00A3709D">
        <w:trPr>
          <w:trHeight w:val="227"/>
        </w:trPr>
        <w:tc>
          <w:tcPr>
            <w:tcW w:w="0" w:type="auto"/>
            <w:tcBorders>
              <w:top w:val="single" w:sz="8" w:space="0" w:color="auto"/>
            </w:tcBorders>
            <w:shd w:val="clear" w:color="auto" w:fill="auto"/>
            <w:noWrap/>
            <w:vAlign w:val="bottom"/>
            <w:hideMark/>
          </w:tcPr>
          <w:p w14:paraId="577D95CC"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tcBorders>
            <w:shd w:val="clear" w:color="auto" w:fill="auto"/>
            <w:noWrap/>
            <w:vAlign w:val="bottom"/>
            <w:hideMark/>
          </w:tcPr>
          <w:p w14:paraId="07E896B1"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Unadjusted</w:t>
            </w:r>
          </w:p>
        </w:tc>
        <w:tc>
          <w:tcPr>
            <w:tcW w:w="0" w:type="auto"/>
            <w:tcBorders>
              <w:top w:val="single" w:sz="8" w:space="0" w:color="auto"/>
              <w:bottom w:val="single" w:sz="8" w:space="0" w:color="auto"/>
            </w:tcBorders>
            <w:shd w:val="clear" w:color="auto" w:fill="auto"/>
            <w:noWrap/>
            <w:vAlign w:val="bottom"/>
            <w:hideMark/>
          </w:tcPr>
          <w:p w14:paraId="00E9C72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gridSpan w:val="2"/>
            <w:tcBorders>
              <w:top w:val="single" w:sz="8" w:space="0" w:color="auto"/>
              <w:bottom w:val="single" w:sz="8" w:space="0" w:color="auto"/>
            </w:tcBorders>
            <w:shd w:val="clear" w:color="auto" w:fill="auto"/>
            <w:noWrap/>
            <w:vAlign w:val="bottom"/>
            <w:hideMark/>
          </w:tcPr>
          <w:p w14:paraId="2389647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Adjusted </w:t>
            </w:r>
            <w:r w:rsidRPr="001548F5">
              <w:rPr>
                <w:rFonts w:ascii="Calibri" w:eastAsia="Times New Roman" w:hAnsi="Calibri" w:cs="Calibri"/>
                <w:color w:val="000000"/>
                <w:sz w:val="18"/>
                <w:szCs w:val="18"/>
                <w:vertAlign w:val="superscript"/>
                <w:lang w:eastAsia="en-GB"/>
              </w:rPr>
              <w:t>3</w:t>
            </w:r>
          </w:p>
        </w:tc>
      </w:tr>
      <w:tr w:rsidR="00D819AF" w:rsidRPr="001548F5" w14:paraId="174F4F78" w14:textId="77777777" w:rsidTr="00A3709D">
        <w:trPr>
          <w:trHeight w:val="227"/>
        </w:trPr>
        <w:tc>
          <w:tcPr>
            <w:tcW w:w="0" w:type="auto"/>
            <w:shd w:val="clear" w:color="auto" w:fill="auto"/>
            <w:noWrap/>
            <w:vAlign w:val="bottom"/>
            <w:hideMark/>
          </w:tcPr>
          <w:p w14:paraId="63728F8E"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3CFA1BFE"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6210BE35"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c>
          <w:tcPr>
            <w:tcW w:w="0" w:type="auto"/>
            <w:tcBorders>
              <w:top w:val="single" w:sz="8" w:space="0" w:color="auto"/>
              <w:bottom w:val="single" w:sz="8" w:space="0" w:color="auto"/>
            </w:tcBorders>
            <w:shd w:val="clear" w:color="auto" w:fill="auto"/>
            <w:noWrap/>
            <w:vAlign w:val="bottom"/>
            <w:hideMark/>
          </w:tcPr>
          <w:p w14:paraId="375DD66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bottom w:val="single" w:sz="8" w:space="0" w:color="auto"/>
            </w:tcBorders>
            <w:shd w:val="clear" w:color="auto" w:fill="auto"/>
            <w:noWrap/>
            <w:vAlign w:val="bottom"/>
            <w:hideMark/>
          </w:tcPr>
          <w:p w14:paraId="25F76E3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n</w:t>
            </w:r>
          </w:p>
        </w:tc>
        <w:tc>
          <w:tcPr>
            <w:tcW w:w="0" w:type="auto"/>
            <w:tcBorders>
              <w:top w:val="single" w:sz="8" w:space="0" w:color="auto"/>
              <w:bottom w:val="single" w:sz="8" w:space="0" w:color="auto"/>
            </w:tcBorders>
            <w:shd w:val="clear" w:color="auto" w:fill="auto"/>
            <w:noWrap/>
            <w:vAlign w:val="bottom"/>
            <w:hideMark/>
          </w:tcPr>
          <w:p w14:paraId="204BCEF5"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β (95% CI)</w:t>
            </w:r>
          </w:p>
        </w:tc>
      </w:tr>
      <w:tr w:rsidR="00D819AF" w:rsidRPr="001548F5" w14:paraId="4D15851E" w14:textId="77777777" w:rsidTr="00A3709D">
        <w:trPr>
          <w:trHeight w:val="227"/>
        </w:trPr>
        <w:tc>
          <w:tcPr>
            <w:tcW w:w="0" w:type="auto"/>
            <w:shd w:val="clear" w:color="auto" w:fill="auto"/>
            <w:noWrap/>
            <w:vAlign w:val="bottom"/>
            <w:hideMark/>
          </w:tcPr>
          <w:p w14:paraId="58A8667D"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Birth </w:t>
            </w:r>
            <w:r w:rsidRPr="001548F5">
              <w:rPr>
                <w:rFonts w:ascii="Calibri" w:eastAsia="Times New Roman" w:hAnsi="Calibri" w:cs="Calibri"/>
                <w:color w:val="000000"/>
                <w:sz w:val="18"/>
                <w:szCs w:val="18"/>
                <w:vertAlign w:val="superscript"/>
                <w:lang w:eastAsia="en-GB"/>
              </w:rPr>
              <w:t>1</w:t>
            </w:r>
          </w:p>
        </w:tc>
        <w:tc>
          <w:tcPr>
            <w:tcW w:w="0" w:type="auto"/>
            <w:tcBorders>
              <w:top w:val="single" w:sz="8" w:space="0" w:color="auto"/>
            </w:tcBorders>
            <w:shd w:val="clear" w:color="auto" w:fill="auto"/>
            <w:noWrap/>
            <w:vAlign w:val="bottom"/>
            <w:hideMark/>
          </w:tcPr>
          <w:p w14:paraId="4F70B694"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81</w:t>
            </w:r>
          </w:p>
        </w:tc>
        <w:tc>
          <w:tcPr>
            <w:tcW w:w="0" w:type="auto"/>
            <w:tcBorders>
              <w:top w:val="single" w:sz="8" w:space="0" w:color="auto"/>
            </w:tcBorders>
            <w:shd w:val="clear" w:color="auto" w:fill="auto"/>
            <w:noWrap/>
            <w:vAlign w:val="bottom"/>
            <w:hideMark/>
          </w:tcPr>
          <w:p w14:paraId="32193E8F"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0.05 (-0.20, 0.31)</w:t>
            </w:r>
          </w:p>
        </w:tc>
        <w:tc>
          <w:tcPr>
            <w:tcW w:w="0" w:type="auto"/>
            <w:tcBorders>
              <w:top w:val="single" w:sz="8" w:space="0" w:color="auto"/>
            </w:tcBorders>
            <w:shd w:val="clear" w:color="auto" w:fill="auto"/>
            <w:noWrap/>
            <w:vAlign w:val="bottom"/>
            <w:hideMark/>
          </w:tcPr>
          <w:p w14:paraId="0D81B1EB"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top w:val="single" w:sz="8" w:space="0" w:color="auto"/>
            </w:tcBorders>
            <w:shd w:val="clear" w:color="auto" w:fill="auto"/>
            <w:noWrap/>
            <w:vAlign w:val="bottom"/>
            <w:hideMark/>
          </w:tcPr>
          <w:p w14:paraId="4393402A"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78</w:t>
            </w:r>
          </w:p>
        </w:tc>
        <w:tc>
          <w:tcPr>
            <w:tcW w:w="0" w:type="auto"/>
            <w:tcBorders>
              <w:top w:val="single" w:sz="8" w:space="0" w:color="auto"/>
            </w:tcBorders>
            <w:shd w:val="clear" w:color="auto" w:fill="auto"/>
            <w:noWrap/>
            <w:vAlign w:val="bottom"/>
            <w:hideMark/>
          </w:tcPr>
          <w:p w14:paraId="03116327"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bookmarkStart w:id="1" w:name="_Hlk45121375"/>
            <w:r w:rsidRPr="001548F5">
              <w:rPr>
                <w:rFonts w:ascii="Calibri" w:eastAsia="Times New Roman" w:hAnsi="Calibri" w:cs="Calibri"/>
                <w:color w:val="000000"/>
                <w:sz w:val="18"/>
                <w:szCs w:val="18"/>
                <w:lang w:eastAsia="en-GB"/>
              </w:rPr>
              <w:t>0.07 (-0.21, 0.35)</w:t>
            </w:r>
            <w:bookmarkEnd w:id="1"/>
          </w:p>
        </w:tc>
      </w:tr>
      <w:tr w:rsidR="00D819AF" w:rsidRPr="001548F5" w14:paraId="7D75A071" w14:textId="77777777" w:rsidTr="00A3709D">
        <w:trPr>
          <w:trHeight w:val="227"/>
        </w:trPr>
        <w:tc>
          <w:tcPr>
            <w:tcW w:w="0" w:type="auto"/>
            <w:shd w:val="clear" w:color="auto" w:fill="auto"/>
            <w:noWrap/>
            <w:vAlign w:val="bottom"/>
            <w:hideMark/>
          </w:tcPr>
          <w:p w14:paraId="4DA0A159"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6 years </w:t>
            </w:r>
            <w:r w:rsidRPr="001548F5">
              <w:rPr>
                <w:rFonts w:ascii="Calibri" w:eastAsia="Times New Roman" w:hAnsi="Calibri" w:cs="Calibri"/>
                <w:color w:val="000000"/>
                <w:sz w:val="18"/>
                <w:szCs w:val="18"/>
                <w:vertAlign w:val="superscript"/>
                <w:lang w:eastAsia="en-GB"/>
              </w:rPr>
              <w:t>2</w:t>
            </w:r>
          </w:p>
        </w:tc>
        <w:tc>
          <w:tcPr>
            <w:tcW w:w="0" w:type="auto"/>
            <w:shd w:val="clear" w:color="auto" w:fill="auto"/>
            <w:noWrap/>
            <w:vAlign w:val="bottom"/>
            <w:hideMark/>
          </w:tcPr>
          <w:p w14:paraId="265AAED2"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108</w:t>
            </w:r>
          </w:p>
        </w:tc>
        <w:tc>
          <w:tcPr>
            <w:tcW w:w="0" w:type="auto"/>
            <w:shd w:val="clear" w:color="auto" w:fill="auto"/>
            <w:noWrap/>
            <w:vAlign w:val="bottom"/>
            <w:hideMark/>
          </w:tcPr>
          <w:p w14:paraId="7FF17FCF"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0.14 (-0.05, 0.34)</w:t>
            </w:r>
          </w:p>
        </w:tc>
        <w:tc>
          <w:tcPr>
            <w:tcW w:w="0" w:type="auto"/>
            <w:shd w:val="clear" w:color="auto" w:fill="auto"/>
            <w:noWrap/>
            <w:vAlign w:val="bottom"/>
            <w:hideMark/>
          </w:tcPr>
          <w:p w14:paraId="6EC11A0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shd w:val="clear" w:color="auto" w:fill="auto"/>
            <w:noWrap/>
            <w:vAlign w:val="bottom"/>
            <w:hideMark/>
          </w:tcPr>
          <w:p w14:paraId="010FE20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107</w:t>
            </w:r>
          </w:p>
        </w:tc>
        <w:tc>
          <w:tcPr>
            <w:tcW w:w="0" w:type="auto"/>
            <w:shd w:val="clear" w:color="auto" w:fill="auto"/>
            <w:noWrap/>
            <w:vAlign w:val="bottom"/>
            <w:hideMark/>
          </w:tcPr>
          <w:p w14:paraId="595DC5AF"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0.13 (-0.08, 0.34)</w:t>
            </w:r>
          </w:p>
        </w:tc>
      </w:tr>
      <w:tr w:rsidR="00D819AF" w:rsidRPr="001548F5" w14:paraId="3747F09F" w14:textId="77777777" w:rsidTr="00A3709D">
        <w:trPr>
          <w:trHeight w:val="227"/>
        </w:trPr>
        <w:tc>
          <w:tcPr>
            <w:tcW w:w="0" w:type="auto"/>
            <w:tcBorders>
              <w:bottom w:val="single" w:sz="8" w:space="0" w:color="auto"/>
            </w:tcBorders>
            <w:shd w:val="clear" w:color="auto" w:fill="auto"/>
            <w:noWrap/>
            <w:vAlign w:val="bottom"/>
            <w:hideMark/>
          </w:tcPr>
          <w:p w14:paraId="2498FA80"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 xml:space="preserve">8 years </w:t>
            </w:r>
            <w:r w:rsidRPr="001548F5">
              <w:rPr>
                <w:rFonts w:ascii="Calibri" w:eastAsia="Times New Roman" w:hAnsi="Calibri" w:cs="Calibri"/>
                <w:color w:val="000000"/>
                <w:sz w:val="18"/>
                <w:szCs w:val="18"/>
                <w:vertAlign w:val="superscript"/>
                <w:lang w:eastAsia="en-GB"/>
              </w:rPr>
              <w:t>2</w:t>
            </w:r>
          </w:p>
        </w:tc>
        <w:tc>
          <w:tcPr>
            <w:tcW w:w="0" w:type="auto"/>
            <w:tcBorders>
              <w:bottom w:val="single" w:sz="8" w:space="0" w:color="auto"/>
            </w:tcBorders>
            <w:shd w:val="clear" w:color="auto" w:fill="auto"/>
            <w:noWrap/>
            <w:vAlign w:val="bottom"/>
            <w:hideMark/>
          </w:tcPr>
          <w:p w14:paraId="1BCEC64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72</w:t>
            </w:r>
          </w:p>
        </w:tc>
        <w:tc>
          <w:tcPr>
            <w:tcW w:w="0" w:type="auto"/>
            <w:tcBorders>
              <w:bottom w:val="single" w:sz="8" w:space="0" w:color="auto"/>
            </w:tcBorders>
            <w:shd w:val="clear" w:color="auto" w:fill="auto"/>
            <w:noWrap/>
            <w:vAlign w:val="bottom"/>
            <w:hideMark/>
          </w:tcPr>
          <w:p w14:paraId="6698AFEF"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0.18 (-0.04, 0.41)</w:t>
            </w:r>
          </w:p>
        </w:tc>
        <w:tc>
          <w:tcPr>
            <w:tcW w:w="0" w:type="auto"/>
            <w:tcBorders>
              <w:bottom w:val="single" w:sz="8" w:space="0" w:color="auto"/>
            </w:tcBorders>
            <w:shd w:val="clear" w:color="auto" w:fill="auto"/>
            <w:noWrap/>
            <w:vAlign w:val="bottom"/>
            <w:hideMark/>
          </w:tcPr>
          <w:p w14:paraId="0AA25B7D"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tc>
        <w:tc>
          <w:tcPr>
            <w:tcW w:w="0" w:type="auto"/>
            <w:tcBorders>
              <w:bottom w:val="single" w:sz="8" w:space="0" w:color="auto"/>
            </w:tcBorders>
            <w:shd w:val="clear" w:color="auto" w:fill="auto"/>
            <w:noWrap/>
            <w:vAlign w:val="bottom"/>
            <w:hideMark/>
          </w:tcPr>
          <w:p w14:paraId="119C80F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71</w:t>
            </w:r>
          </w:p>
        </w:tc>
        <w:tc>
          <w:tcPr>
            <w:tcW w:w="0" w:type="auto"/>
            <w:tcBorders>
              <w:bottom w:val="single" w:sz="8" w:space="0" w:color="auto"/>
            </w:tcBorders>
            <w:shd w:val="clear" w:color="auto" w:fill="auto"/>
            <w:noWrap/>
            <w:vAlign w:val="bottom"/>
            <w:hideMark/>
          </w:tcPr>
          <w:p w14:paraId="3C0C19D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0.19 (-0.05, 0.43)</w:t>
            </w:r>
          </w:p>
        </w:tc>
      </w:tr>
      <w:tr w:rsidR="00514546" w:rsidRPr="00A5731C" w14:paraId="21BFAFCA" w14:textId="77777777" w:rsidTr="00A3709D">
        <w:trPr>
          <w:trHeight w:val="227"/>
        </w:trPr>
        <w:tc>
          <w:tcPr>
            <w:tcW w:w="0" w:type="auto"/>
            <w:gridSpan w:val="6"/>
            <w:tcBorders>
              <w:top w:val="single" w:sz="8" w:space="0" w:color="auto"/>
            </w:tcBorders>
            <w:shd w:val="clear" w:color="auto" w:fill="auto"/>
            <w:noWrap/>
            <w:vAlign w:val="bottom"/>
            <w:hideMark/>
          </w:tcPr>
          <w:p w14:paraId="5DE6E158"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lang w:eastAsia="en-GB"/>
              </w:rPr>
              <w:t>Table shows regression coefficient (95% confidence interval) from univariable and multivariable linear regression analyses. Asterisk denotes 95%CI which do not include zero.</w:t>
            </w:r>
          </w:p>
          <w:p w14:paraId="7D5FE826"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p>
          <w:p w14:paraId="6359EB52" w14:textId="64C699A4" w:rsidR="00514546" w:rsidRPr="001548F5" w:rsidRDefault="00514546" w:rsidP="00A3709D">
            <w:pPr>
              <w:spacing w:after="0" w:line="276" w:lineRule="auto"/>
              <w:rPr>
                <w:rFonts w:ascii="Times New Roman" w:eastAsia="Times New Roman" w:hAnsi="Times New Roman" w:cs="Times New Roman"/>
                <w:sz w:val="18"/>
                <w:szCs w:val="18"/>
                <w:lang w:eastAsia="en-GB"/>
              </w:rPr>
            </w:pPr>
            <w:r w:rsidRPr="001548F5">
              <w:rPr>
                <w:rFonts w:ascii="Calibri" w:eastAsia="Times New Roman" w:hAnsi="Calibri" w:cs="Calibri"/>
                <w:color w:val="000000"/>
                <w:sz w:val="18"/>
                <w:szCs w:val="18"/>
                <w:vertAlign w:val="superscript"/>
                <w:lang w:eastAsia="en-GB"/>
              </w:rPr>
              <w:t>1</w:t>
            </w:r>
            <w:r w:rsidRPr="001548F5">
              <w:rPr>
                <w:rFonts w:ascii="Calibri" w:eastAsia="Times New Roman" w:hAnsi="Calibri" w:cs="Calibri"/>
                <w:color w:val="000000"/>
                <w:sz w:val="18"/>
                <w:szCs w:val="18"/>
                <w:lang w:eastAsia="en-GB"/>
              </w:rPr>
              <w:t xml:space="preserve"> </w:t>
            </w:r>
            <w:r w:rsidR="002E63B8" w:rsidRPr="002E63B8">
              <w:rPr>
                <w:rFonts w:ascii="Calibri" w:eastAsia="Times New Roman" w:hAnsi="Calibri" w:cs="Calibri"/>
                <w:color w:val="000000"/>
                <w:sz w:val="18"/>
                <w:szCs w:val="18"/>
                <w:lang w:eastAsia="en-GB"/>
              </w:rPr>
              <w:t>Outcomes are whole body measurements</w:t>
            </w:r>
            <w:r w:rsidR="00D16707">
              <w:rPr>
                <w:rFonts w:ascii="Calibri" w:eastAsia="Times New Roman" w:hAnsi="Calibri" w:cs="Calibri"/>
                <w:color w:val="000000"/>
                <w:sz w:val="18"/>
                <w:szCs w:val="18"/>
                <w:lang w:eastAsia="en-GB"/>
              </w:rPr>
              <w:t>.</w:t>
            </w:r>
          </w:p>
          <w:p w14:paraId="0BA589D3" w14:textId="77777777" w:rsidR="00514546" w:rsidRPr="001548F5"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vertAlign w:val="superscript"/>
                <w:lang w:eastAsia="en-GB"/>
              </w:rPr>
              <w:t>2</w:t>
            </w:r>
            <w:r w:rsidRPr="001548F5">
              <w:rPr>
                <w:rFonts w:ascii="Calibri" w:eastAsia="Times New Roman" w:hAnsi="Calibri" w:cs="Calibri"/>
                <w:color w:val="000000"/>
                <w:sz w:val="18"/>
                <w:szCs w:val="18"/>
                <w:lang w:eastAsia="en-GB"/>
              </w:rPr>
              <w:t xml:space="preserve"> Outcomes are whole body measurements, without heads.</w:t>
            </w:r>
          </w:p>
          <w:p w14:paraId="68A51FBE" w14:textId="1FDF1F29" w:rsidR="00514546" w:rsidRPr="00A5731C" w:rsidRDefault="00514546" w:rsidP="00A3709D">
            <w:pPr>
              <w:spacing w:after="0" w:line="276" w:lineRule="auto"/>
              <w:rPr>
                <w:rFonts w:ascii="Calibri" w:eastAsia="Times New Roman" w:hAnsi="Calibri" w:cs="Calibri"/>
                <w:color w:val="000000"/>
                <w:sz w:val="18"/>
                <w:szCs w:val="18"/>
                <w:lang w:eastAsia="en-GB"/>
              </w:rPr>
            </w:pPr>
            <w:r w:rsidRPr="001548F5">
              <w:rPr>
                <w:rFonts w:ascii="Calibri" w:eastAsia="Times New Roman" w:hAnsi="Calibri" w:cs="Calibri"/>
                <w:color w:val="000000"/>
                <w:sz w:val="18"/>
                <w:szCs w:val="18"/>
                <w:vertAlign w:val="superscript"/>
                <w:lang w:eastAsia="en-GB"/>
              </w:rPr>
              <w:t xml:space="preserve">3 </w:t>
            </w:r>
            <w:r w:rsidRPr="001548F5">
              <w:rPr>
                <w:rFonts w:ascii="Calibri" w:eastAsia="Times New Roman" w:hAnsi="Calibri" w:cs="Calibri"/>
                <w:color w:val="000000"/>
                <w:sz w:val="18"/>
                <w:szCs w:val="18"/>
                <w:lang w:eastAsia="en-GB"/>
              </w:rPr>
              <w:t>Adjusted for maternal age, smoking status, triceps skinfold thickness, walking speed (all measured at 11 weeks gestation), maternal height and parity (measured at study recruitment) and offspring sex and age at DXA assessment.</w:t>
            </w:r>
            <w:r w:rsidRPr="00A5731C">
              <w:rPr>
                <w:rFonts w:ascii="Calibri" w:eastAsia="Times New Roman" w:hAnsi="Calibri" w:cs="Calibri"/>
                <w:color w:val="000000"/>
                <w:sz w:val="18"/>
                <w:szCs w:val="18"/>
                <w:lang w:eastAsia="en-GB"/>
              </w:rPr>
              <w:t xml:space="preserve"> </w:t>
            </w:r>
            <w:r w:rsidR="00D819AF">
              <w:rPr>
                <w:rFonts w:ascii="Calibri" w:eastAsia="Times New Roman" w:hAnsi="Calibri" w:cs="Calibri"/>
                <w:color w:val="000000"/>
                <w:sz w:val="18"/>
                <w:szCs w:val="18"/>
                <w:lang w:eastAsia="en-GB"/>
              </w:rPr>
              <w:t xml:space="preserve">Neonatal outcomes are additional adjusted for gestational age at delivery. </w:t>
            </w:r>
          </w:p>
        </w:tc>
      </w:tr>
    </w:tbl>
    <w:p w14:paraId="30EE7679" w14:textId="77777777" w:rsidR="00E401A5" w:rsidRPr="00D94D93" w:rsidRDefault="00E401A5" w:rsidP="00E401A5">
      <w:pPr>
        <w:rPr>
          <w:rFonts w:cstheme="minorHAnsi"/>
        </w:rPr>
      </w:pPr>
    </w:p>
    <w:p w14:paraId="4743D06E" w14:textId="77777777" w:rsidR="00E401A5" w:rsidRPr="00D94D93" w:rsidRDefault="00E401A5" w:rsidP="00E401A5">
      <w:pPr>
        <w:rPr>
          <w:rFonts w:cstheme="minorHAnsi"/>
        </w:rPr>
      </w:pPr>
    </w:p>
    <w:p w14:paraId="0F9FE8F3" w14:textId="77777777" w:rsidR="00E401A5" w:rsidRDefault="00E401A5" w:rsidP="00E401A5">
      <w:pPr>
        <w:rPr>
          <w:rFonts w:cstheme="minorHAnsi"/>
        </w:rPr>
      </w:pPr>
    </w:p>
    <w:p w14:paraId="04B875B7" w14:textId="77777777" w:rsidR="00E401A5" w:rsidRDefault="00E401A5" w:rsidP="00E401A5">
      <w:pPr>
        <w:rPr>
          <w:rFonts w:cstheme="minorHAnsi"/>
        </w:rPr>
      </w:pPr>
    </w:p>
    <w:p w14:paraId="3388B33D" w14:textId="667F62F0" w:rsidR="00E401A5" w:rsidRDefault="00E401A5" w:rsidP="00E401A5">
      <w:pPr>
        <w:rPr>
          <w:rFonts w:cstheme="minorHAnsi"/>
        </w:rPr>
      </w:pPr>
    </w:p>
    <w:p w14:paraId="40039057" w14:textId="77777777" w:rsidR="002E63B8" w:rsidRPr="00D94D93" w:rsidRDefault="002E63B8" w:rsidP="00E401A5">
      <w:pPr>
        <w:rPr>
          <w:rFonts w:cstheme="minorHAnsi"/>
        </w:rPr>
      </w:pPr>
    </w:p>
    <w:p w14:paraId="1E51091F" w14:textId="77777777" w:rsidR="00E401A5" w:rsidRPr="00D94D93" w:rsidRDefault="00E401A5" w:rsidP="00E401A5">
      <w:pPr>
        <w:rPr>
          <w:rFonts w:cstheme="minorHAnsi"/>
        </w:rPr>
      </w:pPr>
    </w:p>
    <w:p w14:paraId="25D7BB90" w14:textId="77777777" w:rsidR="00E401A5" w:rsidRPr="00D94D93" w:rsidRDefault="00E401A5" w:rsidP="00E401A5">
      <w:pPr>
        <w:rPr>
          <w:rFonts w:cstheme="minorHAnsi"/>
        </w:rPr>
      </w:pPr>
    </w:p>
    <w:p w14:paraId="604339DC" w14:textId="77777777" w:rsidR="00E401A5" w:rsidRDefault="00E401A5" w:rsidP="00E401A5">
      <w:pPr>
        <w:spacing w:line="259" w:lineRule="auto"/>
        <w:rPr>
          <w:rFonts w:cstheme="minorHAnsi"/>
        </w:rPr>
      </w:pPr>
    </w:p>
    <w:tbl>
      <w:tblPr>
        <w:tblW w:w="5000" w:type="pct"/>
        <w:tblLook w:val="04A0" w:firstRow="1" w:lastRow="0" w:firstColumn="1" w:lastColumn="0" w:noHBand="0" w:noVBand="1"/>
      </w:tblPr>
      <w:tblGrid>
        <w:gridCol w:w="9026"/>
      </w:tblGrid>
      <w:tr w:rsidR="00E401A5" w:rsidRPr="00A5731C" w14:paraId="6201F5DB" w14:textId="77777777" w:rsidTr="00CB2D13">
        <w:trPr>
          <w:trHeight w:val="227"/>
        </w:trPr>
        <w:tc>
          <w:tcPr>
            <w:tcW w:w="5000" w:type="pct"/>
            <w:tcBorders>
              <w:top w:val="nil"/>
              <w:left w:val="nil"/>
              <w:bottom w:val="single" w:sz="8" w:space="0" w:color="auto"/>
              <w:right w:val="nil"/>
            </w:tcBorders>
            <w:shd w:val="clear" w:color="auto" w:fill="auto"/>
            <w:noWrap/>
            <w:vAlign w:val="center"/>
          </w:tcPr>
          <w:p w14:paraId="0E0F8FC1" w14:textId="5B37BFCC" w:rsidR="00E401A5" w:rsidRPr="00A5731C" w:rsidRDefault="00E401A5" w:rsidP="00CB2D13">
            <w:pPr>
              <w:spacing w:after="0" w:line="276" w:lineRule="auto"/>
              <w:rPr>
                <w:rFonts w:eastAsia="Times New Roman" w:cstheme="minorHAnsi"/>
                <w:b/>
                <w:color w:val="000000"/>
                <w:sz w:val="18"/>
                <w:szCs w:val="18"/>
                <w:lang w:eastAsia="en-GB"/>
              </w:rPr>
            </w:pPr>
            <w:r w:rsidRPr="00A5731C">
              <w:rPr>
                <w:rFonts w:eastAsia="Times New Roman" w:cstheme="minorHAnsi"/>
                <w:b/>
                <w:color w:val="000000"/>
                <w:sz w:val="18"/>
                <w:szCs w:val="18"/>
                <w:lang w:eastAsia="en-GB"/>
              </w:rPr>
              <w:t xml:space="preserve">Figure </w:t>
            </w:r>
            <w:r w:rsidR="001C4F25">
              <w:rPr>
                <w:rFonts w:eastAsia="Times New Roman" w:cstheme="minorHAnsi"/>
                <w:b/>
                <w:color w:val="000000"/>
                <w:sz w:val="18"/>
                <w:szCs w:val="18"/>
                <w:lang w:eastAsia="en-GB"/>
              </w:rPr>
              <w:t>2</w:t>
            </w:r>
          </w:p>
          <w:p w14:paraId="060AA8FF" w14:textId="77777777" w:rsidR="00E401A5" w:rsidRPr="00A5731C" w:rsidRDefault="00E401A5" w:rsidP="00CB2D13">
            <w:pPr>
              <w:spacing w:after="0" w:line="276" w:lineRule="auto"/>
              <w:rPr>
                <w:rFonts w:eastAsia="Times New Roman" w:cstheme="minorHAnsi"/>
                <w:b/>
                <w:color w:val="000000"/>
                <w:sz w:val="18"/>
                <w:szCs w:val="18"/>
                <w:lang w:eastAsia="en-GB"/>
              </w:rPr>
            </w:pPr>
            <w:proofErr w:type="gramStart"/>
            <w:r w:rsidRPr="00A5731C">
              <w:rPr>
                <w:rFonts w:eastAsia="Times New Roman" w:cstheme="minorHAnsi"/>
                <w:color w:val="000000"/>
                <w:sz w:val="18"/>
                <w:szCs w:val="18"/>
                <w:lang w:eastAsia="en-GB"/>
              </w:rPr>
              <w:t>11 week</w:t>
            </w:r>
            <w:proofErr w:type="gramEnd"/>
            <w:r w:rsidRPr="00A5731C">
              <w:rPr>
                <w:rFonts w:eastAsia="Times New Roman" w:cstheme="minorHAnsi"/>
                <w:color w:val="000000"/>
                <w:sz w:val="18"/>
                <w:szCs w:val="18"/>
                <w:lang w:eastAsia="en-GB"/>
              </w:rPr>
              <w:t xml:space="preserve"> placental volume (</w:t>
            </w:r>
            <w:r w:rsidRPr="00A5731C">
              <w:rPr>
                <w:rFonts w:ascii="Calibri" w:eastAsia="Times New Roman" w:hAnsi="Calibri" w:cs="Calibri"/>
                <w:color w:val="000000"/>
                <w:sz w:val="18"/>
                <w:szCs w:val="18"/>
                <w:lang w:eastAsia="en-GB"/>
              </w:rPr>
              <w:t xml:space="preserve">SD, </w:t>
            </w:r>
            <w:r>
              <w:rPr>
                <w:rFonts w:ascii="Calibri" w:eastAsia="Times New Roman" w:hAnsi="Calibri" w:cs="Calibri"/>
                <w:color w:val="000000"/>
                <w:sz w:val="18"/>
                <w:szCs w:val="18"/>
                <w:lang w:eastAsia="en-GB"/>
              </w:rPr>
              <w:t>pre-</w:t>
            </w:r>
            <w:r w:rsidRPr="00A5731C">
              <w:rPr>
                <w:rFonts w:ascii="Calibri" w:eastAsia="Times New Roman" w:hAnsi="Calibri" w:cs="Calibri"/>
                <w:color w:val="000000"/>
                <w:sz w:val="18"/>
                <w:szCs w:val="18"/>
                <w:lang w:eastAsia="en-GB"/>
              </w:rPr>
              <w:t>adjusted for</w:t>
            </w:r>
            <w:r>
              <w:t xml:space="preserve"> </w:t>
            </w:r>
            <w:r w:rsidRPr="00D064D9">
              <w:rPr>
                <w:rFonts w:ascii="Calibri" w:eastAsia="Times New Roman" w:hAnsi="Calibri" w:cs="Calibri"/>
                <w:color w:val="000000"/>
                <w:sz w:val="18"/>
                <w:szCs w:val="18"/>
                <w:lang w:eastAsia="en-GB"/>
              </w:rPr>
              <w:t>gestational age at 11 week 3DUS scan</w:t>
            </w:r>
            <w:r w:rsidRPr="00A5731C">
              <w:rPr>
                <w:rFonts w:eastAsia="Times New Roman" w:cstheme="minorHAnsi"/>
                <w:color w:val="000000"/>
                <w:sz w:val="18"/>
                <w:szCs w:val="18"/>
                <w:lang w:eastAsia="en-GB"/>
              </w:rPr>
              <w:t>) and bone outcomes at birth, 6 years and 8 years (</w:t>
            </w:r>
            <w:r>
              <w:rPr>
                <w:rFonts w:eastAsia="Times New Roman" w:cstheme="minorHAnsi"/>
                <w:color w:val="000000"/>
                <w:sz w:val="18"/>
                <w:szCs w:val="18"/>
                <w:lang w:eastAsia="en-GB"/>
              </w:rPr>
              <w:t>adjusted</w:t>
            </w:r>
            <w:r w:rsidRPr="00A5731C">
              <w:rPr>
                <w:rFonts w:eastAsia="Times New Roman" w:cstheme="minorHAnsi"/>
                <w:color w:val="000000"/>
                <w:sz w:val="18"/>
                <w:szCs w:val="18"/>
                <w:lang w:eastAsia="en-GB"/>
              </w:rPr>
              <w:t xml:space="preserve"> models).</w:t>
            </w:r>
          </w:p>
        </w:tc>
      </w:tr>
      <w:tr w:rsidR="00E401A5" w:rsidRPr="00A5731C" w14:paraId="777EBD2C" w14:textId="77777777" w:rsidTr="00CB2D13">
        <w:trPr>
          <w:trHeight w:val="227"/>
        </w:trPr>
        <w:tc>
          <w:tcPr>
            <w:tcW w:w="5000" w:type="pct"/>
            <w:tcBorders>
              <w:top w:val="single" w:sz="8" w:space="0" w:color="auto"/>
              <w:left w:val="nil"/>
              <w:bottom w:val="single" w:sz="8" w:space="0" w:color="auto"/>
              <w:right w:val="nil"/>
            </w:tcBorders>
            <w:shd w:val="clear" w:color="auto" w:fill="auto"/>
            <w:noWrap/>
            <w:vAlign w:val="center"/>
          </w:tcPr>
          <w:p w14:paraId="0041CDBF" w14:textId="77777777" w:rsidR="00E401A5" w:rsidRPr="00A5731C" w:rsidRDefault="00E401A5" w:rsidP="00CB2D13">
            <w:pPr>
              <w:spacing w:after="0" w:line="276" w:lineRule="auto"/>
              <w:rPr>
                <w:rFonts w:eastAsia="Times New Roman" w:cstheme="minorHAnsi"/>
                <w:color w:val="000000"/>
                <w:sz w:val="18"/>
                <w:szCs w:val="18"/>
                <w:lang w:eastAsia="en-GB"/>
              </w:rPr>
            </w:pPr>
            <w:r w:rsidRPr="00A5731C">
              <w:rPr>
                <w:rFonts w:cstheme="minorHAnsi"/>
                <w:noProof/>
                <w:sz w:val="18"/>
                <w:szCs w:val="18"/>
                <w:lang w:eastAsia="en-GB"/>
              </w:rPr>
              <w:drawing>
                <wp:inline distT="0" distB="0" distL="0" distR="0" wp14:anchorId="6A41AA52" wp14:editId="74300159">
                  <wp:extent cx="2700000" cy="2700000"/>
                  <wp:effectExtent l="0" t="0" r="5715" b="5715"/>
                  <wp:docPr id="6" name="Chart 6">
                    <a:extLst xmlns:a="http://schemas.openxmlformats.org/drawingml/2006/main">
                      <a:ext uri="{FF2B5EF4-FFF2-40B4-BE49-F238E27FC236}">
                        <a16:creationId xmlns:a16="http://schemas.microsoft.com/office/drawing/2014/main" id="{44BC090F-623E-44C1-98DD-AB680EC51C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5731C">
              <w:rPr>
                <w:rFonts w:cstheme="minorHAnsi"/>
                <w:noProof/>
                <w:sz w:val="18"/>
                <w:szCs w:val="18"/>
                <w:lang w:eastAsia="en-GB"/>
              </w:rPr>
              <w:drawing>
                <wp:inline distT="0" distB="0" distL="0" distR="0" wp14:anchorId="70B0B34F" wp14:editId="45DBC0D4">
                  <wp:extent cx="2700000" cy="2700000"/>
                  <wp:effectExtent l="0" t="0" r="5715" b="5715"/>
                  <wp:docPr id="2" name="Chart 2">
                    <a:extLst xmlns:a="http://schemas.openxmlformats.org/drawingml/2006/main">
                      <a:ext uri="{FF2B5EF4-FFF2-40B4-BE49-F238E27FC236}">
                        <a16:creationId xmlns:a16="http://schemas.microsoft.com/office/drawing/2014/main" id="{1A460582-1483-434A-A6B2-126F1ED53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5731C">
              <w:rPr>
                <w:rFonts w:cstheme="minorHAnsi"/>
                <w:noProof/>
                <w:sz w:val="18"/>
                <w:szCs w:val="18"/>
                <w:lang w:eastAsia="en-GB"/>
              </w:rPr>
              <w:drawing>
                <wp:inline distT="0" distB="0" distL="0" distR="0" wp14:anchorId="1A816AD9" wp14:editId="71ECB489">
                  <wp:extent cx="2700000" cy="2700000"/>
                  <wp:effectExtent l="0" t="0" r="5715" b="5715"/>
                  <wp:docPr id="3" name="Chart 3">
                    <a:extLst xmlns:a="http://schemas.openxmlformats.org/drawingml/2006/main">
                      <a:ext uri="{FF2B5EF4-FFF2-40B4-BE49-F238E27FC236}">
                        <a16:creationId xmlns:a16="http://schemas.microsoft.com/office/drawing/2014/main" id="{55749352-24A2-4ADC-B709-C0A7BB2F4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5731C">
              <w:rPr>
                <w:rFonts w:cstheme="minorHAnsi"/>
                <w:noProof/>
                <w:sz w:val="18"/>
                <w:szCs w:val="18"/>
                <w:lang w:eastAsia="en-GB"/>
              </w:rPr>
              <w:drawing>
                <wp:inline distT="0" distB="0" distL="0" distR="0" wp14:anchorId="20D6E455" wp14:editId="6F024E64">
                  <wp:extent cx="2700000" cy="2700000"/>
                  <wp:effectExtent l="0" t="0" r="5715" b="5715"/>
                  <wp:docPr id="4" name="Chart 4">
                    <a:extLst xmlns:a="http://schemas.openxmlformats.org/drawingml/2006/main">
                      <a:ext uri="{FF2B5EF4-FFF2-40B4-BE49-F238E27FC236}">
                        <a16:creationId xmlns:a16="http://schemas.microsoft.com/office/drawing/2014/main" id="{D210D8A7-2A8C-40FE-B7DB-0AC00C9478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401A5" w:rsidRPr="00A5731C" w14:paraId="76A92FCE" w14:textId="77777777" w:rsidTr="00CB2D13">
        <w:trPr>
          <w:trHeight w:val="227"/>
        </w:trPr>
        <w:tc>
          <w:tcPr>
            <w:tcW w:w="5000" w:type="pct"/>
            <w:tcBorders>
              <w:top w:val="single" w:sz="8" w:space="0" w:color="auto"/>
              <w:left w:val="nil"/>
              <w:right w:val="nil"/>
            </w:tcBorders>
            <w:shd w:val="clear" w:color="auto" w:fill="auto"/>
            <w:noWrap/>
            <w:vAlign w:val="center"/>
          </w:tcPr>
          <w:p w14:paraId="542C484E" w14:textId="50B5CA44" w:rsidR="00E401A5" w:rsidRPr="00A5731C" w:rsidRDefault="00E401A5" w:rsidP="00CB2D13">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lang w:eastAsia="en-GB"/>
              </w:rPr>
              <w:t xml:space="preserve">Data are regression coefficients (95% confidence interval) </w:t>
            </w:r>
            <w:r w:rsidR="00D819AF">
              <w:rPr>
                <w:rFonts w:eastAsia="Times New Roman" w:cstheme="minorHAnsi"/>
                <w:color w:val="000000"/>
                <w:sz w:val="18"/>
                <w:szCs w:val="18"/>
                <w:lang w:eastAsia="en-GB"/>
              </w:rPr>
              <w:t>a</w:t>
            </w:r>
            <w:r w:rsidR="00D819AF" w:rsidRPr="001548F5">
              <w:rPr>
                <w:rFonts w:ascii="Calibri" w:eastAsia="Times New Roman" w:hAnsi="Calibri" w:cs="Calibri"/>
                <w:color w:val="000000"/>
                <w:sz w:val="18"/>
                <w:szCs w:val="18"/>
                <w:lang w:eastAsia="en-GB"/>
              </w:rPr>
              <w:t>djusted for maternal age, smoking status, triceps skinfold thickness, walking speed (all measured at 11 weeks gestation), maternal height and parity (measured at study recruitment) and offspring sex and age at DXA assessment.</w:t>
            </w:r>
            <w:r w:rsidR="00D819AF" w:rsidRPr="00A5731C">
              <w:rPr>
                <w:rFonts w:ascii="Calibri" w:eastAsia="Times New Roman" w:hAnsi="Calibri" w:cs="Calibri"/>
                <w:color w:val="000000"/>
                <w:sz w:val="18"/>
                <w:szCs w:val="18"/>
                <w:lang w:eastAsia="en-GB"/>
              </w:rPr>
              <w:t xml:space="preserve"> </w:t>
            </w:r>
            <w:r w:rsidR="00D819AF">
              <w:rPr>
                <w:rFonts w:ascii="Calibri" w:eastAsia="Times New Roman" w:hAnsi="Calibri" w:cs="Calibri"/>
                <w:color w:val="000000"/>
                <w:sz w:val="18"/>
                <w:szCs w:val="18"/>
                <w:lang w:eastAsia="en-GB"/>
              </w:rPr>
              <w:t>Neonatal outcomes are additional adjusted for gestational age at delivery.</w:t>
            </w:r>
          </w:p>
          <w:p w14:paraId="41DEC236" w14:textId="77777777" w:rsidR="00E401A5" w:rsidRPr="00A5731C" w:rsidRDefault="00E401A5" w:rsidP="00CB2D13">
            <w:pPr>
              <w:spacing w:after="0" w:line="276" w:lineRule="auto"/>
              <w:rPr>
                <w:rFonts w:eastAsia="Times New Roman" w:cstheme="minorHAnsi"/>
                <w:color w:val="000000"/>
                <w:sz w:val="18"/>
                <w:szCs w:val="18"/>
                <w:lang w:eastAsia="en-GB"/>
              </w:rPr>
            </w:pPr>
          </w:p>
          <w:p w14:paraId="19CD5E59" w14:textId="027D2E80" w:rsidR="00E401A5" w:rsidRPr="00A5731C" w:rsidRDefault="00E401A5" w:rsidP="00CB2D13">
            <w:pPr>
              <w:spacing w:after="0" w:line="276" w:lineRule="auto"/>
              <w:rPr>
                <w:rFonts w:eastAsia="Times New Roman" w:cstheme="minorHAnsi"/>
                <w:color w:val="000000"/>
                <w:sz w:val="18"/>
                <w:szCs w:val="18"/>
                <w:lang w:eastAsia="en-GB"/>
              </w:rPr>
            </w:pPr>
            <w:r w:rsidRPr="00A5731C">
              <w:rPr>
                <w:rFonts w:eastAsia="Times New Roman" w:cstheme="minorHAnsi"/>
                <w:color w:val="000000"/>
                <w:sz w:val="18"/>
                <w:szCs w:val="18"/>
                <w:vertAlign w:val="superscript"/>
                <w:lang w:eastAsia="en-GB"/>
              </w:rPr>
              <w:t>1</w:t>
            </w:r>
            <w:r w:rsidRPr="00A5731C">
              <w:rPr>
                <w:rFonts w:eastAsia="Times New Roman" w:cstheme="minorHAnsi"/>
                <w:color w:val="000000"/>
                <w:sz w:val="18"/>
                <w:szCs w:val="18"/>
                <w:lang w:eastAsia="en-GB"/>
              </w:rPr>
              <w:t xml:space="preserve"> Outcomes are whole body measurements for neonatal data and </w:t>
            </w:r>
            <w:proofErr w:type="gramStart"/>
            <w:r w:rsidRPr="00A5731C">
              <w:rPr>
                <w:rFonts w:eastAsia="Times New Roman" w:cstheme="minorHAnsi"/>
                <w:color w:val="000000"/>
                <w:sz w:val="18"/>
                <w:szCs w:val="18"/>
                <w:lang w:eastAsia="en-GB"/>
              </w:rPr>
              <w:t>whole body</w:t>
            </w:r>
            <w:proofErr w:type="gramEnd"/>
            <w:r w:rsidRPr="00A5731C">
              <w:rPr>
                <w:rFonts w:eastAsia="Times New Roman" w:cstheme="minorHAnsi"/>
                <w:color w:val="000000"/>
                <w:sz w:val="18"/>
                <w:szCs w:val="18"/>
                <w:lang w:eastAsia="en-GB"/>
              </w:rPr>
              <w:t xml:space="preserve"> measurements, without heads, for 6 year data and 8 year data.</w:t>
            </w:r>
          </w:p>
        </w:tc>
      </w:tr>
    </w:tbl>
    <w:p w14:paraId="539BE9DF" w14:textId="77777777" w:rsidR="00E401A5" w:rsidRPr="00D94D93" w:rsidRDefault="00E401A5" w:rsidP="00E401A5">
      <w:pPr>
        <w:rPr>
          <w:rFonts w:cstheme="minorHAnsi"/>
        </w:rPr>
      </w:pPr>
    </w:p>
    <w:p w14:paraId="1F67E98E" w14:textId="77777777" w:rsidR="00E401A5" w:rsidRPr="00D94D93" w:rsidRDefault="00E401A5" w:rsidP="00E401A5">
      <w:pPr>
        <w:rPr>
          <w:rFonts w:cstheme="minorHAnsi"/>
        </w:rPr>
      </w:pPr>
    </w:p>
    <w:p w14:paraId="7077A262" w14:textId="77777777" w:rsidR="00E401A5" w:rsidRPr="00D94D93" w:rsidRDefault="00E401A5" w:rsidP="00E401A5">
      <w:pPr>
        <w:rPr>
          <w:rFonts w:cstheme="minorHAnsi"/>
        </w:rPr>
      </w:pPr>
    </w:p>
    <w:p w14:paraId="389D737A" w14:textId="77777777" w:rsidR="00E401A5" w:rsidRPr="00D94D93" w:rsidRDefault="00E401A5" w:rsidP="00E401A5">
      <w:pPr>
        <w:rPr>
          <w:rFonts w:cstheme="minorHAnsi"/>
        </w:rPr>
      </w:pPr>
    </w:p>
    <w:p w14:paraId="5924EA17" w14:textId="77777777" w:rsidR="00E401A5" w:rsidRPr="00D94D93" w:rsidRDefault="00E401A5" w:rsidP="00E401A5">
      <w:pPr>
        <w:rPr>
          <w:rFonts w:cstheme="minorHAnsi"/>
        </w:rPr>
      </w:pPr>
    </w:p>
    <w:p w14:paraId="78354E1E" w14:textId="77777777" w:rsidR="00E401A5" w:rsidRPr="00D94D93" w:rsidRDefault="00E401A5" w:rsidP="00E401A5">
      <w:pPr>
        <w:rPr>
          <w:rFonts w:cstheme="minorHAnsi"/>
          <w:b/>
          <w:bCs/>
        </w:rPr>
      </w:pPr>
      <w:r w:rsidRPr="00D94D93">
        <w:rPr>
          <w:rFonts w:cstheme="minorHAnsi"/>
          <w:b/>
          <w:bCs/>
        </w:rPr>
        <w:lastRenderedPageBreak/>
        <w:t>References</w:t>
      </w:r>
    </w:p>
    <w:p w14:paraId="060D059E" w14:textId="16BB2D09" w:rsidR="00766EA5" w:rsidRPr="00766EA5" w:rsidRDefault="00E401A5" w:rsidP="00766EA5">
      <w:pPr>
        <w:pStyle w:val="EndNoteBibliography"/>
        <w:spacing w:after="240"/>
      </w:pPr>
      <w:r w:rsidRPr="00D94D93">
        <w:rPr>
          <w:rFonts w:asciiTheme="minorHAnsi" w:hAnsiTheme="minorHAnsi" w:cstheme="minorHAnsi"/>
        </w:rPr>
        <w:fldChar w:fldCharType="begin"/>
      </w:r>
      <w:r w:rsidRPr="00D94D93">
        <w:rPr>
          <w:rFonts w:asciiTheme="minorHAnsi" w:hAnsiTheme="minorHAnsi" w:cstheme="minorHAnsi"/>
        </w:rPr>
        <w:instrText xml:space="preserve"> ADDIN EN.REFLIST </w:instrText>
      </w:r>
      <w:r w:rsidRPr="00D94D93">
        <w:rPr>
          <w:rFonts w:asciiTheme="minorHAnsi" w:hAnsiTheme="minorHAnsi" w:cstheme="minorHAnsi"/>
        </w:rPr>
        <w:fldChar w:fldCharType="separate"/>
      </w:r>
      <w:r w:rsidR="00766EA5" w:rsidRPr="00766EA5">
        <w:t>1. Huppertz B, Burton G, Cross JC, Kingdom JCP (2006) Placental Morphology: From Molecule to Mother – A Dedication to Peter Kaufmann – A Review. Placenta 27:3-8. doi:</w:t>
      </w:r>
      <w:hyperlink r:id="rId15" w:history="1">
        <w:r w:rsidR="00766EA5" w:rsidRPr="00766EA5">
          <w:rPr>
            <w:rStyle w:val="Hyperlink"/>
          </w:rPr>
          <w:t>https://doi.org/10.1016/j.placenta.2006.01.007</w:t>
        </w:r>
      </w:hyperlink>
    </w:p>
    <w:p w14:paraId="38846E6D" w14:textId="77777777" w:rsidR="00766EA5" w:rsidRPr="00766EA5" w:rsidRDefault="00766EA5" w:rsidP="00766EA5">
      <w:pPr>
        <w:pStyle w:val="EndNoteBibliography"/>
        <w:spacing w:after="240"/>
      </w:pPr>
      <w:r w:rsidRPr="00766EA5">
        <w:t>2. Barker DJP, Thornburg KL, Osmond C, Kajantie E, Eriksson JG (2010) The surface area of the placenta and hypertension in the offspring in later life. Int J Dev Biol 54 (2-3):525-530. doi:10.1387/ijdb.082760db</w:t>
      </w:r>
    </w:p>
    <w:p w14:paraId="4BBFE2FF" w14:textId="77777777" w:rsidR="00766EA5" w:rsidRPr="00766EA5" w:rsidRDefault="00766EA5" w:rsidP="00766EA5">
      <w:pPr>
        <w:pStyle w:val="EndNoteBibliography"/>
        <w:spacing w:after="240"/>
      </w:pPr>
      <w:r w:rsidRPr="00766EA5">
        <w:t>3. Thornburg K, O'tierney P, Louey S (2010) The placenta is a programming agent for cardiovascular disease. Placenta 31:S54-S59</w:t>
      </w:r>
    </w:p>
    <w:p w14:paraId="51DC2402" w14:textId="77777777" w:rsidR="00766EA5" w:rsidRPr="00766EA5" w:rsidRDefault="00766EA5" w:rsidP="00766EA5">
      <w:pPr>
        <w:pStyle w:val="EndNoteBibliography"/>
        <w:spacing w:after="240"/>
      </w:pPr>
      <w:r w:rsidRPr="00766EA5">
        <w:t>4. Eriksson J, Forsen T, Tuomilehto J, Osmond C, Barker D (2000) Fetal and childhood growth and hypertension in adult life. Hypertension 36 (5):790-794</w:t>
      </w:r>
    </w:p>
    <w:p w14:paraId="288DE96C" w14:textId="77777777" w:rsidR="00766EA5" w:rsidRPr="00766EA5" w:rsidRDefault="00766EA5" w:rsidP="00766EA5">
      <w:pPr>
        <w:pStyle w:val="EndNoteBibliography"/>
        <w:spacing w:after="240"/>
      </w:pPr>
      <w:r w:rsidRPr="00766EA5">
        <w:t>5. Kim S-M, Moon Y-W, Lim S-J, Yoon B-K, Min Y-K, Lee D-Y, Park Y-S (2012) Prediction of survival, second fracture, and functional recovery following the first hip fracture surgery in elderly patients. Bone 50 (6):1343-1350</w:t>
      </w:r>
    </w:p>
    <w:p w14:paraId="0CC76E2F" w14:textId="77777777" w:rsidR="00766EA5" w:rsidRPr="00766EA5" w:rsidRDefault="00766EA5" w:rsidP="00766EA5">
      <w:pPr>
        <w:pStyle w:val="EndNoteBibliography"/>
        <w:spacing w:after="240"/>
      </w:pPr>
      <w:r w:rsidRPr="00766EA5">
        <w:t>6. Abrahamsen B, Van Staa T, Ariely R, Olson M, Cooper C (2009) Excess mortality following hip fracture: a systematic epidemiological review. Osteoporosis international 20 (10):1633-1650</w:t>
      </w:r>
    </w:p>
    <w:p w14:paraId="539AF67E" w14:textId="77777777" w:rsidR="00766EA5" w:rsidRPr="00766EA5" w:rsidRDefault="00766EA5" w:rsidP="00766EA5">
      <w:pPr>
        <w:pStyle w:val="EndNoteBibliography"/>
        <w:spacing w:after="240"/>
      </w:pPr>
      <w:r w:rsidRPr="00766EA5">
        <w:t>7. Hernandez C, Beaupre G, Carter D (2003) A theoretical analysis of the relative influences of peak BMD, age-related bone loss and menopause on the development of osteoporosis. Osteoporosis international 14 (10):843-847</w:t>
      </w:r>
    </w:p>
    <w:p w14:paraId="45906159" w14:textId="77777777" w:rsidR="00766EA5" w:rsidRPr="00766EA5" w:rsidRDefault="00766EA5" w:rsidP="00766EA5">
      <w:pPr>
        <w:pStyle w:val="EndNoteBibliography"/>
        <w:spacing w:after="240"/>
      </w:pPr>
      <w:r w:rsidRPr="00766EA5">
        <w:t>8. Cooper C, Cawley M, Bhalla A, Egger P, Ring F, Morton L, Barker D (1995) Childhood growth, physical activity, and peak bone mass in women. Journal of Bone and Mineral Research 10 (6):940-947</w:t>
      </w:r>
    </w:p>
    <w:p w14:paraId="6C84B915" w14:textId="77777777" w:rsidR="00766EA5" w:rsidRPr="00766EA5" w:rsidRDefault="00766EA5" w:rsidP="00766EA5">
      <w:pPr>
        <w:pStyle w:val="EndNoteBibliography"/>
        <w:spacing w:after="240"/>
      </w:pPr>
      <w:r w:rsidRPr="00766EA5">
        <w:t>9. Dennison EM, Syddall HE, Sayer AA, Gilbody HJ, Cooper C (2005) Birth weight and weight at 1 year are independent determinants of bone mass in the seventh decade: the Hertfordshire cohort study. Pediatric research 57 (4):582</w:t>
      </w:r>
    </w:p>
    <w:p w14:paraId="74A217B4" w14:textId="1C3617F1" w:rsidR="00766EA5" w:rsidRPr="00766EA5" w:rsidRDefault="00766EA5" w:rsidP="00766EA5">
      <w:pPr>
        <w:pStyle w:val="EndNoteBibliography"/>
        <w:spacing w:after="240"/>
      </w:pPr>
      <w:r w:rsidRPr="00766EA5">
        <w:t>10. Holroyd CR, Harvey NC, Crozier SR, Winder NR, Mahon PA, Ntani G, Godfrey KM, Inskip HM, Cooper C (2012) Placental size at 19 weeks predicts offspring bone mass at birth: Findings from the Southampton Women's Survey. Placenta 33 (8):623-629. doi:</w:t>
      </w:r>
      <w:hyperlink r:id="rId16" w:history="1">
        <w:r w:rsidRPr="00766EA5">
          <w:rPr>
            <w:rStyle w:val="Hyperlink"/>
          </w:rPr>
          <w:t>https://doi.org/10.1016/j.placenta.2012.04.007</w:t>
        </w:r>
      </w:hyperlink>
    </w:p>
    <w:p w14:paraId="14CC3D0B" w14:textId="77777777" w:rsidR="00766EA5" w:rsidRPr="00766EA5" w:rsidRDefault="00766EA5" w:rsidP="00766EA5">
      <w:pPr>
        <w:pStyle w:val="EndNoteBibliography"/>
        <w:spacing w:after="240"/>
      </w:pPr>
      <w:r w:rsidRPr="00766EA5">
        <w:t>11. Holroyd CR, Osmond C, Barker DJ, Ring SM, Lawlor DA, Tobias JH, Smith GD, Cooper C, Harvey NC (2016) Placental Size Is Associated Differentially With Postnatal Bone Size and Density. Journal of Bone and Mineral Research 31 (10):1855-1864. doi:10.1002/jbmr.2840</w:t>
      </w:r>
    </w:p>
    <w:p w14:paraId="23F205FD" w14:textId="77777777" w:rsidR="00766EA5" w:rsidRPr="00766EA5" w:rsidRDefault="00766EA5" w:rsidP="00766EA5">
      <w:pPr>
        <w:pStyle w:val="EndNoteBibliography"/>
        <w:spacing w:after="240"/>
      </w:pPr>
      <w:r w:rsidRPr="00766EA5">
        <w:t>12. Inskip HM, Group atSS, Godfrey KM, Group atSS, Robinson SM, Group atSS, Law CM, Group atSS, Barker DJ, Group atSS, Cooper C, Group atSS (2005) Cohort profile: The Southampton Women's Survey. International Journal of Epidemiology 35 (1):42-48. doi:10.1093/ije/dyi202</w:t>
      </w:r>
    </w:p>
    <w:p w14:paraId="6C7F5A08" w14:textId="77777777" w:rsidR="00766EA5" w:rsidRPr="00766EA5" w:rsidRDefault="00766EA5" w:rsidP="00766EA5">
      <w:pPr>
        <w:pStyle w:val="EndNoteBibliography"/>
        <w:spacing w:after="240"/>
      </w:pPr>
      <w:r w:rsidRPr="00766EA5">
        <w:t>13. Pike KC, Crozier SR, Lucas JSA, Inskip HM, Robinson S, Southampton Women's Survey Study G, Roberts G, Godfrey KM (2010) Patterns of fetal and infant growth are related to atopy and wheezing disorders at age 3 years. Thorax 65 (12):1099-1106. doi:10.1136/thx.2010.134742</w:t>
      </w:r>
    </w:p>
    <w:p w14:paraId="630AD9A5" w14:textId="77777777" w:rsidR="00766EA5" w:rsidRPr="00766EA5" w:rsidRDefault="00766EA5" w:rsidP="00766EA5">
      <w:pPr>
        <w:pStyle w:val="EndNoteBibliography"/>
        <w:spacing w:after="240"/>
      </w:pPr>
      <w:r w:rsidRPr="00766EA5">
        <w:t xml:space="preserve">14. Armitage P, Berry G, Matthews JNS (2008) Statistical methods in medical research. John Wiley &amp; Sons, </w:t>
      </w:r>
    </w:p>
    <w:p w14:paraId="3A1E6BDB" w14:textId="77777777" w:rsidR="00766EA5" w:rsidRPr="00766EA5" w:rsidRDefault="00766EA5" w:rsidP="00766EA5">
      <w:pPr>
        <w:pStyle w:val="EndNoteBibliography"/>
        <w:spacing w:after="240"/>
      </w:pPr>
      <w:r w:rsidRPr="00766EA5">
        <w:lastRenderedPageBreak/>
        <w:t>15. Koo WW, Walters J, Bush AJ (1995) Technical considerations of dual‐energy X‐ray absorptiometry‐based bone mineral measurements for pediatric studies. Journal of Bone and Mineral Research 10 (12):1998-2004</w:t>
      </w:r>
    </w:p>
    <w:p w14:paraId="75FEC999" w14:textId="77777777" w:rsidR="00766EA5" w:rsidRPr="00766EA5" w:rsidRDefault="00766EA5" w:rsidP="00766EA5">
      <w:pPr>
        <w:pStyle w:val="EndNoteBibliography"/>
        <w:spacing w:after="240"/>
      </w:pPr>
      <w:r w:rsidRPr="00766EA5">
        <w:t>16. Fowden A, Sferruzzi‐Perri A, Coan P, Constancia M, Burton G (2009) Placental efficiency and adaptation: endocrine regulation. The Journal of physiology 587 (14):3459-3472</w:t>
      </w:r>
    </w:p>
    <w:p w14:paraId="4C54ABB8" w14:textId="77777777" w:rsidR="00766EA5" w:rsidRPr="00766EA5" w:rsidRDefault="00766EA5" w:rsidP="00766EA5">
      <w:pPr>
        <w:pStyle w:val="EndNoteBibliography"/>
        <w:spacing w:after="240"/>
      </w:pPr>
      <w:r w:rsidRPr="00766EA5">
        <w:t>17. Antsaklis A, Anastasakis E, Komita O, Theodora M, Hiridis P, Daskalakis G (2011) First trimester 3D volumetry. Association of the gestational volumes with the birth weight. The Journal of Maternal-Fetal &amp; Neonatal Medicine 24 (8):1055-1059</w:t>
      </w:r>
    </w:p>
    <w:p w14:paraId="78A2B208" w14:textId="01B31C64" w:rsidR="00766EA5" w:rsidRPr="00766EA5" w:rsidRDefault="00766EA5" w:rsidP="00766EA5">
      <w:pPr>
        <w:pStyle w:val="EndNoteBibliography"/>
        <w:spacing w:after="240"/>
      </w:pPr>
      <w:r w:rsidRPr="00766EA5">
        <w:t>18. Effendi M, Demers S, Giguère Y, Forest JC, Brassard N, Girard M, Gouin K, Bujold E (2014) Association between first-trimester placental volume and birth weight. Placenta 35 (2):99-102. doi:</w:t>
      </w:r>
      <w:hyperlink r:id="rId17" w:history="1">
        <w:r w:rsidRPr="00766EA5">
          <w:rPr>
            <w:rStyle w:val="Hyperlink"/>
          </w:rPr>
          <w:t>https://doi.org/10.1016/j.placenta.2013.11.015</w:t>
        </w:r>
      </w:hyperlink>
    </w:p>
    <w:p w14:paraId="2E2FB5AB" w14:textId="77777777" w:rsidR="00766EA5" w:rsidRPr="00766EA5" w:rsidRDefault="00766EA5" w:rsidP="00766EA5">
      <w:pPr>
        <w:pStyle w:val="EndNoteBibliography"/>
        <w:spacing w:after="240"/>
      </w:pPr>
      <w:r w:rsidRPr="00766EA5">
        <w:t>19. Kinare AS, Natekar AS, Chinchwadkar MC, Yajnik CS, Coyaji KJ, Fall CH, Howe DT (2000) Low midpregnancy placental volume in rural Indian women: A cause for low birth weight? American journal of obstetrics and gynecology 182 (2):443-448</w:t>
      </w:r>
    </w:p>
    <w:p w14:paraId="2B6D009C" w14:textId="0BBE9E54" w:rsidR="00766EA5" w:rsidRPr="00766EA5" w:rsidRDefault="00766EA5" w:rsidP="00766EA5">
      <w:pPr>
        <w:pStyle w:val="EndNoteBibliography"/>
        <w:spacing w:after="240"/>
      </w:pPr>
      <w:r w:rsidRPr="00766EA5">
        <w:t>20. Thame M, Osmond C, Wilks R, Bennett FI, Forrester TE (2001) Second-trimester placental volume and infant size at birth. Obstetrics &amp; Gynecology 98 (2):279-283. doi:</w:t>
      </w:r>
      <w:hyperlink r:id="rId18" w:history="1">
        <w:r w:rsidRPr="00766EA5">
          <w:rPr>
            <w:rStyle w:val="Hyperlink"/>
          </w:rPr>
          <w:t>https://doi.org/10.1016/S0029-7844(01)01414-4</w:t>
        </w:r>
      </w:hyperlink>
    </w:p>
    <w:p w14:paraId="3A730C14" w14:textId="4C08B6E7" w:rsidR="00766EA5" w:rsidRPr="00766EA5" w:rsidRDefault="00766EA5" w:rsidP="00766EA5">
      <w:pPr>
        <w:pStyle w:val="EndNoteBibliography"/>
        <w:spacing w:after="240"/>
      </w:pPr>
      <w:r w:rsidRPr="00766EA5">
        <w:t>21. Wolf H, Oosting H, Treffers PE (1989) Second-trimester placental volume measurement by ultrasound: Prediction of fetal outcome. American Journal of Obstetrics and Gynecology 160 (1):121-126. doi:</w:t>
      </w:r>
      <w:hyperlink r:id="rId19" w:history="1">
        <w:r w:rsidRPr="00766EA5">
          <w:rPr>
            <w:rStyle w:val="Hyperlink"/>
          </w:rPr>
          <w:t>https://doi.org/10.1016/0002-9378(89)90102-6</w:t>
        </w:r>
      </w:hyperlink>
    </w:p>
    <w:p w14:paraId="2CB79DD2" w14:textId="77777777" w:rsidR="00766EA5" w:rsidRPr="00766EA5" w:rsidRDefault="00766EA5" w:rsidP="00766EA5">
      <w:pPr>
        <w:pStyle w:val="EndNoteBibliography"/>
        <w:spacing w:after="240"/>
      </w:pPr>
      <w:r w:rsidRPr="00766EA5">
        <w:t>22. Clapp JF, Rizk KH, Appleby-Wineberg SK, Crass JR (1995) Second-Trimester Placental Volumes Predict Birth Weight at Term. Journal of the Society for Gynecologic Investigation 2 (1):19-22. doi:10.1177/107155769500200104</w:t>
      </w:r>
    </w:p>
    <w:p w14:paraId="2B48507A" w14:textId="77777777" w:rsidR="00766EA5" w:rsidRPr="00766EA5" w:rsidRDefault="00766EA5" w:rsidP="00766EA5">
      <w:pPr>
        <w:pStyle w:val="EndNoteBibliography"/>
        <w:spacing w:after="240"/>
      </w:pPr>
      <w:r w:rsidRPr="00766EA5">
        <w:t>23. Kabir N, Kawser CA, Rahman F, Kabir ML, Rahman A (2007) The relationship of placental weight with birth weight. Mymensingh Med J 16 (2):177-180</w:t>
      </w:r>
    </w:p>
    <w:p w14:paraId="3A9FAF85" w14:textId="77777777" w:rsidR="00766EA5" w:rsidRPr="00766EA5" w:rsidRDefault="00766EA5" w:rsidP="00766EA5">
      <w:pPr>
        <w:pStyle w:val="EndNoteBibliography"/>
        <w:spacing w:after="240"/>
      </w:pPr>
      <w:r w:rsidRPr="00766EA5">
        <w:t>24. Clynes MA, Harvey NC, Dennison EM (2018) Early growth, bone development and risk of adult fracture. In: Harvey N, Cooper C (eds) Osteoporosis: A lifecourse epidemiology approach to skeletal health. CRC Press, Boca Raton, pp 33-42</w:t>
      </w:r>
    </w:p>
    <w:p w14:paraId="4D22A307" w14:textId="77777777" w:rsidR="00766EA5" w:rsidRPr="00766EA5" w:rsidRDefault="00766EA5" w:rsidP="00766EA5">
      <w:pPr>
        <w:pStyle w:val="EndNoteBibliography"/>
        <w:spacing w:after="240"/>
      </w:pPr>
      <w:r w:rsidRPr="00766EA5">
        <w:t>25. Harvey N, Dennison E, Cooper C (2014) Osteoporosis: a lifecourse approach. J Bone Miner Res 29 (9):1917-1925. doi:10.1002/jbmr.2286</w:t>
      </w:r>
    </w:p>
    <w:p w14:paraId="1FEFC925" w14:textId="77777777" w:rsidR="00766EA5" w:rsidRPr="00766EA5" w:rsidRDefault="00766EA5" w:rsidP="00766EA5">
      <w:pPr>
        <w:pStyle w:val="EndNoteBibliography"/>
        <w:spacing w:after="240"/>
      </w:pPr>
      <w:r w:rsidRPr="00766EA5">
        <w:t>26. Hosking D (1996) Calcium homeostasis in pregnancy. Clinical endocrinology 45 (1):1-6</w:t>
      </w:r>
    </w:p>
    <w:p w14:paraId="3A15845E" w14:textId="77777777" w:rsidR="00766EA5" w:rsidRPr="00766EA5" w:rsidRDefault="00766EA5" w:rsidP="00766EA5">
      <w:pPr>
        <w:pStyle w:val="EndNoteBibliography"/>
        <w:spacing w:after="240"/>
      </w:pPr>
      <w:r w:rsidRPr="00766EA5">
        <w:t>27. Belkacemi L, Bédard I, Simoneau L, Lafond J (2005) Calcium channels, transporters and exchangers in placenta: a review. Cell calcium 37 (1):1-8</w:t>
      </w:r>
    </w:p>
    <w:p w14:paraId="3D775785" w14:textId="77777777" w:rsidR="00766EA5" w:rsidRPr="00766EA5" w:rsidRDefault="00766EA5" w:rsidP="00766EA5">
      <w:pPr>
        <w:pStyle w:val="EndNoteBibliography"/>
        <w:spacing w:after="240"/>
      </w:pPr>
      <w:r w:rsidRPr="00766EA5">
        <w:t>28. Martin R, Harvey N, Crozier S, Poole J, Javaid M, Dennison E, Inskip H, Hanson M, Godfrey K, Cooper C (2007) Placental calcium transporter (PMCA3) gene expression predicts intrauterine bone mineral accrual. Bone 40 (5):1203-1208</w:t>
      </w:r>
    </w:p>
    <w:p w14:paraId="42203C1E" w14:textId="77777777" w:rsidR="00766EA5" w:rsidRPr="00766EA5" w:rsidRDefault="00766EA5" w:rsidP="00766EA5">
      <w:pPr>
        <w:pStyle w:val="EndNoteBibliography"/>
        <w:spacing w:after="240"/>
      </w:pPr>
      <w:r w:rsidRPr="00766EA5">
        <w:t>29. Cetin I (2003) Placental transport of amino acids in normal and growth-restricted pregnancies. European Journal of Obstetrics &amp; Gynecology and Reproductive Biology 110:S50-S54</w:t>
      </w:r>
    </w:p>
    <w:p w14:paraId="5DB5E171" w14:textId="77777777" w:rsidR="00766EA5" w:rsidRPr="00766EA5" w:rsidRDefault="00766EA5" w:rsidP="00766EA5">
      <w:pPr>
        <w:pStyle w:val="EndNoteBibliography"/>
        <w:spacing w:after="240"/>
      </w:pPr>
      <w:r w:rsidRPr="00766EA5">
        <w:lastRenderedPageBreak/>
        <w:t>30. Cleal JK, Day PE, Simner CL, Barton SJ, Mahon PA, Inskip HM, Godfrey KM, Hanson MA, Cooper C, Lewis RM, Harvey NC (2015) Placental amino acid transport may be regulated by maternal vitamin D and vitamin D-binding protein: results from the Southampton Women's Survey. Br J Nutr 113 (12):1903-1910. doi:10.1017/s0007114515001178</w:t>
      </w:r>
    </w:p>
    <w:p w14:paraId="4AA58AE2" w14:textId="77777777" w:rsidR="00766EA5" w:rsidRPr="00766EA5" w:rsidRDefault="00766EA5" w:rsidP="00766EA5">
      <w:pPr>
        <w:pStyle w:val="EndNoteBibliography"/>
        <w:spacing w:after="240"/>
      </w:pPr>
      <w:r w:rsidRPr="00766EA5">
        <w:t>31. Day PE, Ntani G, Crozier SR, Mahon PA, Inskip HM, Cooper C, Harvey NC, Godfrey KM, Hanson MA, Lewis RM, Cleal JK (2015) Maternal Factors Are Associated with the Expression of Placental Genes Involved in Amino Acid Metabolism and Transport. PloS one 10 (12):e0143653. doi:10.1371/journal.pone.0143653</w:t>
      </w:r>
    </w:p>
    <w:p w14:paraId="3973BC1F" w14:textId="77777777" w:rsidR="00766EA5" w:rsidRPr="00766EA5" w:rsidRDefault="00766EA5" w:rsidP="00766EA5">
      <w:pPr>
        <w:pStyle w:val="EndNoteBibliography"/>
      </w:pPr>
      <w:r w:rsidRPr="00766EA5">
        <w:t>32. Cooper C, Eriksson JG, Forsen T, Osmond C, Tuomilehto J, Barker DJ (2001) Maternal height, childhood growth and risk of hip fracture in later life: a longitudinal study. Osteoporosis International 12 (8):623-629</w:t>
      </w:r>
    </w:p>
    <w:p w14:paraId="4E1A83DE" w14:textId="35708A3B" w:rsidR="00E401A5" w:rsidRPr="00D94D93" w:rsidRDefault="00E401A5" w:rsidP="00E401A5">
      <w:pPr>
        <w:spacing w:line="360" w:lineRule="auto"/>
        <w:rPr>
          <w:rFonts w:cstheme="minorHAnsi"/>
        </w:rPr>
      </w:pPr>
      <w:r w:rsidRPr="00D94D93">
        <w:rPr>
          <w:rFonts w:cstheme="minorHAnsi"/>
        </w:rPr>
        <w:fldChar w:fldCharType="end"/>
      </w:r>
    </w:p>
    <w:p w14:paraId="365A836E" w14:textId="189CB99C" w:rsidR="00F332AE" w:rsidRDefault="00F332AE"/>
    <w:sectPr w:rsidR="00F332AE" w:rsidSect="000F33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AAF7" w14:textId="77777777" w:rsidR="00171C2D" w:rsidRDefault="00171C2D">
      <w:pPr>
        <w:spacing w:after="0" w:line="240" w:lineRule="auto"/>
      </w:pPr>
      <w:r>
        <w:separator/>
      </w:r>
    </w:p>
  </w:endnote>
  <w:endnote w:type="continuationSeparator" w:id="0">
    <w:p w14:paraId="3EAF06D7" w14:textId="77777777" w:rsidR="00171C2D" w:rsidRDefault="0017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978757"/>
      <w:docPartObj>
        <w:docPartGallery w:val="Page Numbers (Bottom of Page)"/>
        <w:docPartUnique/>
      </w:docPartObj>
    </w:sdtPr>
    <w:sdtEndPr>
      <w:rPr>
        <w:noProof/>
      </w:rPr>
    </w:sdtEndPr>
    <w:sdtContent>
      <w:p w14:paraId="46865767" w14:textId="77777777" w:rsidR="001B2906" w:rsidRDefault="00E40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3D4AC" w14:textId="77777777" w:rsidR="001B2906" w:rsidRDefault="00171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756F" w14:textId="77777777" w:rsidR="00C2141D" w:rsidRPr="00C2141D" w:rsidRDefault="00E401A5" w:rsidP="00C2141D">
    <w:pPr>
      <w:spacing w:after="0" w:line="240" w:lineRule="auto"/>
      <w:jc w:val="both"/>
      <w:rPr>
        <w:rFonts w:cstheme="minorHAnsi"/>
        <w:b/>
        <w:bCs/>
        <w:sz w:val="18"/>
        <w:szCs w:val="18"/>
      </w:rPr>
    </w:pPr>
    <w:r w:rsidRPr="00C2141D">
      <w:rPr>
        <w:rFonts w:cstheme="minorHAnsi"/>
        <w:b/>
        <w:bCs/>
        <w:sz w:val="18"/>
        <w:szCs w:val="18"/>
      </w:rPr>
      <w:t>Abbreviations</w:t>
    </w:r>
  </w:p>
  <w:p w14:paraId="430916B7" w14:textId="77777777" w:rsidR="00C2141D" w:rsidRPr="00C2141D" w:rsidRDefault="00E401A5" w:rsidP="00C2141D">
    <w:pPr>
      <w:spacing w:after="0" w:line="240" w:lineRule="auto"/>
      <w:jc w:val="both"/>
      <w:rPr>
        <w:rFonts w:cstheme="minorHAnsi"/>
        <w:sz w:val="20"/>
        <w:szCs w:val="20"/>
      </w:rPr>
    </w:pPr>
    <w:proofErr w:type="spellStart"/>
    <w:r w:rsidRPr="00C2141D">
      <w:rPr>
        <w:rFonts w:cstheme="minorHAnsi"/>
        <w:sz w:val="20"/>
        <w:szCs w:val="20"/>
      </w:rPr>
      <w:t>DOHaD</w:t>
    </w:r>
    <w:proofErr w:type="spellEnd"/>
    <w:r w:rsidRPr="00C2141D">
      <w:rPr>
        <w:rFonts w:cstheme="minorHAnsi"/>
        <w:sz w:val="20"/>
        <w:szCs w:val="20"/>
      </w:rPr>
      <w:t xml:space="preserve">: developmental origins of health and disease, PBM: peak bone mass, PV: placental volume, SWS: Southampton Women’s Survey, ALSPAC: Avon Longitudinal Study of Parents and Children, 3DUS: 3D ultrasound scanning, DXA: dual-energy X-ray absorptiometry, BA: bone area, BMC: bone mineral content, </w:t>
    </w:r>
    <w:proofErr w:type="spellStart"/>
    <w:r w:rsidRPr="00C2141D">
      <w:rPr>
        <w:rFonts w:cstheme="minorHAnsi"/>
        <w:sz w:val="20"/>
        <w:szCs w:val="20"/>
      </w:rPr>
      <w:t>aBMD</w:t>
    </w:r>
    <w:proofErr w:type="spellEnd"/>
    <w:r w:rsidRPr="00C2141D">
      <w:rPr>
        <w:rFonts w:cstheme="minorHAnsi"/>
        <w:sz w:val="20"/>
        <w:szCs w:val="20"/>
      </w:rPr>
      <w:t xml:space="preserve">: areal bone mineral density, </w:t>
    </w:r>
    <w:proofErr w:type="spellStart"/>
    <w:r w:rsidRPr="00C2141D">
      <w:rPr>
        <w:rFonts w:cstheme="minorHAnsi"/>
        <w:sz w:val="20"/>
        <w:szCs w:val="20"/>
      </w:rPr>
      <w:t>scBMC</w:t>
    </w:r>
    <w:proofErr w:type="spellEnd"/>
    <w:r w:rsidRPr="00C2141D">
      <w:rPr>
        <w:rFonts w:cstheme="minorHAnsi"/>
        <w:sz w:val="20"/>
        <w:szCs w:val="20"/>
      </w:rPr>
      <w:t>: size-corrected bone mineral density, DAG: directed acyclic graph, IMD: index of multiple deprivation, PMCA: plasma membrane calcium-dependent ATPases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A1E97" w14:textId="77777777" w:rsidR="00171C2D" w:rsidRDefault="00171C2D">
      <w:pPr>
        <w:spacing w:after="0" w:line="240" w:lineRule="auto"/>
      </w:pPr>
      <w:r>
        <w:separator/>
      </w:r>
    </w:p>
  </w:footnote>
  <w:footnote w:type="continuationSeparator" w:id="0">
    <w:p w14:paraId="770B9F92" w14:textId="77777777" w:rsidR="00171C2D" w:rsidRDefault="00171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CF4"/>
    <w:multiLevelType w:val="hybridMultilevel"/>
    <w:tmpl w:val="7A66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D1BFA"/>
    <w:multiLevelType w:val="hybridMultilevel"/>
    <w:tmpl w:val="ED42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D5F0B"/>
    <w:multiLevelType w:val="hybridMultilevel"/>
    <w:tmpl w:val="C852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C3011"/>
    <w:multiLevelType w:val="hybridMultilevel"/>
    <w:tmpl w:val="7780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97132"/>
    <w:multiLevelType w:val="hybridMultilevel"/>
    <w:tmpl w:val="C58C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562F0"/>
    <w:multiLevelType w:val="hybridMultilevel"/>
    <w:tmpl w:val="AB127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963E2"/>
    <w:multiLevelType w:val="hybridMultilevel"/>
    <w:tmpl w:val="5EE4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F0462"/>
    <w:multiLevelType w:val="hybridMultilevel"/>
    <w:tmpl w:val="9FF0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320F3"/>
    <w:multiLevelType w:val="hybridMultilevel"/>
    <w:tmpl w:val="7DE2D6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3D646CFA"/>
    <w:multiLevelType w:val="hybridMultilevel"/>
    <w:tmpl w:val="2974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529F0"/>
    <w:multiLevelType w:val="hybridMultilevel"/>
    <w:tmpl w:val="2B04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05E80"/>
    <w:multiLevelType w:val="hybridMultilevel"/>
    <w:tmpl w:val="194CD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884B56"/>
    <w:multiLevelType w:val="hybridMultilevel"/>
    <w:tmpl w:val="A890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D49"/>
    <w:multiLevelType w:val="hybridMultilevel"/>
    <w:tmpl w:val="A0F8E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5CD815EC"/>
    <w:multiLevelType w:val="hybridMultilevel"/>
    <w:tmpl w:val="82A0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80352"/>
    <w:multiLevelType w:val="hybridMultilevel"/>
    <w:tmpl w:val="090EC7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53726A"/>
    <w:multiLevelType w:val="hybridMultilevel"/>
    <w:tmpl w:val="C0981EC0"/>
    <w:lvl w:ilvl="0" w:tplc="F8EC0860">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6"/>
  </w:num>
  <w:num w:numId="5">
    <w:abstractNumId w:val="10"/>
  </w:num>
  <w:num w:numId="6">
    <w:abstractNumId w:val="2"/>
  </w:num>
  <w:num w:numId="7">
    <w:abstractNumId w:val="9"/>
  </w:num>
  <w:num w:numId="8">
    <w:abstractNumId w:val="14"/>
  </w:num>
  <w:num w:numId="9">
    <w:abstractNumId w:val="5"/>
  </w:num>
  <w:num w:numId="10">
    <w:abstractNumId w:val="0"/>
  </w:num>
  <w:num w:numId="11">
    <w:abstractNumId w:val="16"/>
  </w:num>
  <w:num w:numId="12">
    <w:abstractNumId w:val="3"/>
  </w:num>
  <w:num w:numId="13">
    <w:abstractNumId w:val="8"/>
  </w:num>
  <w:num w:numId="14">
    <w:abstractNumId w:val="13"/>
  </w:num>
  <w:num w:numId="15">
    <w:abstractNumId w:val="1"/>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5fastwfz2pwz5ie2ft150fpfr05wp0x5darr&quot;&gt;My EndNote Library-Converted&lt;record-ids&gt;&lt;item&gt;224&lt;/item&gt;&lt;/record-ids&gt;&lt;/item&gt;&lt;/Libraries&gt;"/>
  </w:docVars>
  <w:rsids>
    <w:rsidRoot w:val="007009FD"/>
    <w:rsid w:val="00035D4A"/>
    <w:rsid w:val="000503B5"/>
    <w:rsid w:val="000A36E8"/>
    <w:rsid w:val="000C7382"/>
    <w:rsid w:val="000F2045"/>
    <w:rsid w:val="000F3355"/>
    <w:rsid w:val="000F472F"/>
    <w:rsid w:val="00145C51"/>
    <w:rsid w:val="00152701"/>
    <w:rsid w:val="001548F5"/>
    <w:rsid w:val="00154C38"/>
    <w:rsid w:val="00157A98"/>
    <w:rsid w:val="00171C2D"/>
    <w:rsid w:val="00175CE1"/>
    <w:rsid w:val="001962E4"/>
    <w:rsid w:val="001C4F25"/>
    <w:rsid w:val="00256F7A"/>
    <w:rsid w:val="002829E2"/>
    <w:rsid w:val="002A6D34"/>
    <w:rsid w:val="002B31D7"/>
    <w:rsid w:val="002E2CDC"/>
    <w:rsid w:val="002E63B8"/>
    <w:rsid w:val="003A6054"/>
    <w:rsid w:val="003D1B87"/>
    <w:rsid w:val="003D5D87"/>
    <w:rsid w:val="003E1ECA"/>
    <w:rsid w:val="00413953"/>
    <w:rsid w:val="004176D1"/>
    <w:rsid w:val="00421CC7"/>
    <w:rsid w:val="004311FB"/>
    <w:rsid w:val="004475BC"/>
    <w:rsid w:val="004514E5"/>
    <w:rsid w:val="00456E9E"/>
    <w:rsid w:val="00491961"/>
    <w:rsid w:val="00514546"/>
    <w:rsid w:val="005510D4"/>
    <w:rsid w:val="005518A7"/>
    <w:rsid w:val="00564CE2"/>
    <w:rsid w:val="0056724A"/>
    <w:rsid w:val="005767F7"/>
    <w:rsid w:val="005A251B"/>
    <w:rsid w:val="005B191A"/>
    <w:rsid w:val="005D6F44"/>
    <w:rsid w:val="005E11D7"/>
    <w:rsid w:val="005F5881"/>
    <w:rsid w:val="006422C6"/>
    <w:rsid w:val="006A3BA9"/>
    <w:rsid w:val="007009FD"/>
    <w:rsid w:val="00766EA5"/>
    <w:rsid w:val="007A1659"/>
    <w:rsid w:val="007A4387"/>
    <w:rsid w:val="007A4448"/>
    <w:rsid w:val="007B6E62"/>
    <w:rsid w:val="007C586D"/>
    <w:rsid w:val="007D1473"/>
    <w:rsid w:val="007D64FF"/>
    <w:rsid w:val="007F529A"/>
    <w:rsid w:val="00821DD2"/>
    <w:rsid w:val="00850134"/>
    <w:rsid w:val="008B37A4"/>
    <w:rsid w:val="008B54E1"/>
    <w:rsid w:val="008D0ED5"/>
    <w:rsid w:val="008D561A"/>
    <w:rsid w:val="008E0C81"/>
    <w:rsid w:val="009312BA"/>
    <w:rsid w:val="00963D78"/>
    <w:rsid w:val="009D01AE"/>
    <w:rsid w:val="00A27B9A"/>
    <w:rsid w:val="00A356E8"/>
    <w:rsid w:val="00A938A8"/>
    <w:rsid w:val="00AA1821"/>
    <w:rsid w:val="00AC2632"/>
    <w:rsid w:val="00AC7E23"/>
    <w:rsid w:val="00B16997"/>
    <w:rsid w:val="00B20F16"/>
    <w:rsid w:val="00B5033D"/>
    <w:rsid w:val="00BF1B36"/>
    <w:rsid w:val="00C21063"/>
    <w:rsid w:val="00C45DD6"/>
    <w:rsid w:val="00C67A13"/>
    <w:rsid w:val="00C75713"/>
    <w:rsid w:val="00C873A7"/>
    <w:rsid w:val="00CF1E01"/>
    <w:rsid w:val="00D16707"/>
    <w:rsid w:val="00D26BE7"/>
    <w:rsid w:val="00D30007"/>
    <w:rsid w:val="00D819AF"/>
    <w:rsid w:val="00DA41ED"/>
    <w:rsid w:val="00DA671C"/>
    <w:rsid w:val="00E22E2F"/>
    <w:rsid w:val="00E244B6"/>
    <w:rsid w:val="00E401A5"/>
    <w:rsid w:val="00E83204"/>
    <w:rsid w:val="00E83F3C"/>
    <w:rsid w:val="00EC5870"/>
    <w:rsid w:val="00ED1238"/>
    <w:rsid w:val="00EE6E78"/>
    <w:rsid w:val="00EE7CB5"/>
    <w:rsid w:val="00F332AE"/>
    <w:rsid w:val="00FE3D7E"/>
    <w:rsid w:val="00FF082F"/>
    <w:rsid w:val="00FF7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5987"/>
  <w15:chartTrackingRefBased/>
  <w15:docId w15:val="{55735378-F6F7-466A-BA79-5F4DDFA8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1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A5"/>
    <w:pPr>
      <w:ind w:left="720"/>
      <w:contextualSpacing/>
    </w:pPr>
  </w:style>
  <w:style w:type="character" w:styleId="Hyperlink">
    <w:name w:val="Hyperlink"/>
    <w:basedOn w:val="DefaultParagraphFont"/>
    <w:uiPriority w:val="99"/>
    <w:unhideWhenUsed/>
    <w:rsid w:val="00E401A5"/>
    <w:rPr>
      <w:color w:val="0000FF"/>
      <w:u w:val="single"/>
    </w:rPr>
  </w:style>
  <w:style w:type="paragraph" w:customStyle="1" w:styleId="EndNoteBibliographyTitle">
    <w:name w:val="EndNote Bibliography Title"/>
    <w:basedOn w:val="Normal"/>
    <w:link w:val="EndNoteBibliographyTitleChar"/>
    <w:rsid w:val="00E401A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401A5"/>
    <w:rPr>
      <w:rFonts w:ascii="Calibri" w:hAnsi="Calibri" w:cs="Calibri"/>
      <w:noProof/>
      <w:lang w:val="en-US"/>
    </w:rPr>
  </w:style>
  <w:style w:type="paragraph" w:customStyle="1" w:styleId="EndNoteBibliography">
    <w:name w:val="EndNote Bibliography"/>
    <w:basedOn w:val="Normal"/>
    <w:link w:val="EndNoteBibliographyChar"/>
    <w:rsid w:val="00E401A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E401A5"/>
    <w:rPr>
      <w:rFonts w:ascii="Calibri" w:hAnsi="Calibri" w:cs="Calibri"/>
      <w:noProof/>
      <w:lang w:val="en-US"/>
    </w:rPr>
  </w:style>
  <w:style w:type="paragraph" w:styleId="BalloonText">
    <w:name w:val="Balloon Text"/>
    <w:basedOn w:val="Normal"/>
    <w:link w:val="BalloonTextChar"/>
    <w:uiPriority w:val="99"/>
    <w:semiHidden/>
    <w:unhideWhenUsed/>
    <w:rsid w:val="00E4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1A5"/>
    <w:rPr>
      <w:rFonts w:ascii="Segoe UI" w:hAnsi="Segoe UI" w:cs="Segoe UI"/>
      <w:sz w:val="18"/>
      <w:szCs w:val="18"/>
    </w:rPr>
  </w:style>
  <w:style w:type="table" w:styleId="TableGrid">
    <w:name w:val="Table Grid"/>
    <w:basedOn w:val="TableNormal"/>
    <w:uiPriority w:val="39"/>
    <w:rsid w:val="00E4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401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401A5"/>
    <w:rPr>
      <w:sz w:val="16"/>
      <w:szCs w:val="16"/>
    </w:rPr>
  </w:style>
  <w:style w:type="paragraph" w:styleId="CommentText">
    <w:name w:val="annotation text"/>
    <w:basedOn w:val="Normal"/>
    <w:link w:val="CommentTextChar"/>
    <w:uiPriority w:val="99"/>
    <w:semiHidden/>
    <w:unhideWhenUsed/>
    <w:rsid w:val="00E401A5"/>
    <w:pPr>
      <w:spacing w:line="240" w:lineRule="auto"/>
    </w:pPr>
    <w:rPr>
      <w:sz w:val="20"/>
      <w:szCs w:val="20"/>
    </w:rPr>
  </w:style>
  <w:style w:type="character" w:customStyle="1" w:styleId="CommentTextChar">
    <w:name w:val="Comment Text Char"/>
    <w:basedOn w:val="DefaultParagraphFont"/>
    <w:link w:val="CommentText"/>
    <w:uiPriority w:val="99"/>
    <w:semiHidden/>
    <w:rsid w:val="00E401A5"/>
    <w:rPr>
      <w:sz w:val="20"/>
      <w:szCs w:val="20"/>
    </w:rPr>
  </w:style>
  <w:style w:type="paragraph" w:styleId="CommentSubject">
    <w:name w:val="annotation subject"/>
    <w:basedOn w:val="CommentText"/>
    <w:next w:val="CommentText"/>
    <w:link w:val="CommentSubjectChar"/>
    <w:uiPriority w:val="99"/>
    <w:semiHidden/>
    <w:unhideWhenUsed/>
    <w:rsid w:val="00E401A5"/>
    <w:rPr>
      <w:b/>
      <w:bCs/>
    </w:rPr>
  </w:style>
  <w:style w:type="character" w:customStyle="1" w:styleId="CommentSubjectChar">
    <w:name w:val="Comment Subject Char"/>
    <w:basedOn w:val="CommentTextChar"/>
    <w:link w:val="CommentSubject"/>
    <w:uiPriority w:val="99"/>
    <w:semiHidden/>
    <w:rsid w:val="00E401A5"/>
    <w:rPr>
      <w:b/>
      <w:bCs/>
      <w:sz w:val="20"/>
      <w:szCs w:val="20"/>
    </w:rPr>
  </w:style>
  <w:style w:type="paragraph" w:styleId="Header">
    <w:name w:val="header"/>
    <w:basedOn w:val="Normal"/>
    <w:link w:val="HeaderChar"/>
    <w:uiPriority w:val="99"/>
    <w:unhideWhenUsed/>
    <w:rsid w:val="00E40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1A5"/>
  </w:style>
  <w:style w:type="paragraph" w:styleId="Footer">
    <w:name w:val="footer"/>
    <w:basedOn w:val="Normal"/>
    <w:link w:val="FooterChar"/>
    <w:uiPriority w:val="99"/>
    <w:unhideWhenUsed/>
    <w:rsid w:val="00E40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1A5"/>
  </w:style>
  <w:style w:type="character" w:customStyle="1" w:styleId="UnresolvedMention1">
    <w:name w:val="Unresolved Mention1"/>
    <w:basedOn w:val="DefaultParagraphFont"/>
    <w:uiPriority w:val="99"/>
    <w:semiHidden/>
    <w:unhideWhenUsed/>
    <w:rsid w:val="00E401A5"/>
    <w:rPr>
      <w:color w:val="605E5C"/>
      <w:shd w:val="clear" w:color="auto" w:fill="E1DFDD"/>
    </w:rPr>
  </w:style>
  <w:style w:type="paragraph" w:styleId="Revision">
    <w:name w:val="Revision"/>
    <w:hidden/>
    <w:uiPriority w:val="99"/>
    <w:semiHidden/>
    <w:rsid w:val="00E401A5"/>
    <w:pPr>
      <w:spacing w:after="0" w:line="240" w:lineRule="auto"/>
    </w:pPr>
  </w:style>
  <w:style w:type="character" w:styleId="UnresolvedMention">
    <w:name w:val="Unresolved Mention"/>
    <w:basedOn w:val="DefaultParagraphFont"/>
    <w:uiPriority w:val="99"/>
    <w:semiHidden/>
    <w:unhideWhenUsed/>
    <w:rsid w:val="00E401A5"/>
    <w:rPr>
      <w:color w:val="605E5C"/>
      <w:shd w:val="clear" w:color="auto" w:fill="E1DFDD"/>
    </w:rPr>
  </w:style>
  <w:style w:type="character" w:styleId="LineNumber">
    <w:name w:val="line number"/>
    <w:basedOn w:val="DefaultParagraphFont"/>
    <w:uiPriority w:val="99"/>
    <w:semiHidden/>
    <w:unhideWhenUsed/>
    <w:rsid w:val="00E401A5"/>
  </w:style>
  <w:style w:type="character" w:styleId="Emphasis">
    <w:name w:val="Emphasis"/>
    <w:basedOn w:val="DefaultParagraphFont"/>
    <w:uiPriority w:val="20"/>
    <w:qFormat/>
    <w:rsid w:val="00E401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s://doi.org/10.1016/S0029-7844(01)01414-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agitty.net" TargetMode="External"/><Relationship Id="rId12" Type="http://schemas.openxmlformats.org/officeDocument/2006/relationships/chart" Target="charts/chart2.xml"/><Relationship Id="rId17" Type="http://schemas.openxmlformats.org/officeDocument/2006/relationships/hyperlink" Target="https://doi.org/10.1016/j.placenta.2013.11.015" TargetMode="External"/><Relationship Id="rId2" Type="http://schemas.openxmlformats.org/officeDocument/2006/relationships/styles" Target="styles.xml"/><Relationship Id="rId16" Type="http://schemas.openxmlformats.org/officeDocument/2006/relationships/hyperlink" Target="https://doi.org/10.1016/j.placenta.2012.04.00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1016/j.placenta.2006.01.007" TargetMode="External"/><Relationship Id="rId10" Type="http://schemas.openxmlformats.org/officeDocument/2006/relationships/image" Target="media/image1.png"/><Relationship Id="rId19" Type="http://schemas.openxmlformats.org/officeDocument/2006/relationships/hyperlink" Target="https://doi.org/10.1016/0002-9378(89)90102-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E:\AFP\Placental%20Volume%20Project\Final%20Model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FP\Placental%20Volume%20Project\Final%20Model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AFP\Placental%20Volume%20Project\Final%20Model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AFP\Placental%20Volume%20Project\Final%20Model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A) BA </a:t>
            </a:r>
            <a:r>
              <a:rPr lang="en-GB" baseline="30000"/>
              <a:t>1</a:t>
            </a:r>
            <a:r>
              <a:rPr lang="en-GB"/>
              <a:t> (SD)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tockChart>
        <c:ser>
          <c:idx val="0"/>
          <c:order val="0"/>
          <c:tx>
            <c:strRef>
              <c:f>Sheet1!$B$2</c:f>
              <c:strCache>
                <c:ptCount val="1"/>
                <c:pt idx="0">
                  <c:v>Beta</c:v>
                </c:pt>
              </c:strCache>
            </c:strRef>
          </c:tx>
          <c:spPr>
            <a:ln w="19050" cap="rnd">
              <a:noFill/>
              <a:round/>
            </a:ln>
            <a:effectLst/>
          </c:spPr>
          <c:marker>
            <c:symbol val="circle"/>
            <c:size val="5"/>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Neonatal</c:v>
                </c:pt>
                <c:pt idx="1">
                  <c:v>6 year</c:v>
                </c:pt>
                <c:pt idx="2">
                  <c:v>8 year</c:v>
                </c:pt>
              </c:strCache>
            </c:strRef>
          </c:cat>
          <c:val>
            <c:numRef>
              <c:f>Sheet1!$B$3:$B$5</c:f>
              <c:numCache>
                <c:formatCode>0.00</c:formatCode>
                <c:ptCount val="3"/>
                <c:pt idx="0">
                  <c:v>0.22</c:v>
                </c:pt>
                <c:pt idx="1">
                  <c:v>0.17</c:v>
                </c:pt>
                <c:pt idx="2">
                  <c:v>0.13</c:v>
                </c:pt>
              </c:numCache>
            </c:numRef>
          </c:val>
          <c:smooth val="0"/>
          <c:extLst>
            <c:ext xmlns:c16="http://schemas.microsoft.com/office/drawing/2014/chart" uri="{C3380CC4-5D6E-409C-BE32-E72D297353CC}">
              <c16:uniqueId val="{00000000-14BB-4C85-B968-3E8DB1F874B8}"/>
            </c:ext>
          </c:extLst>
        </c:ser>
        <c:ser>
          <c:idx val="1"/>
          <c:order val="1"/>
          <c:tx>
            <c:strRef>
              <c:f>Sheet1!$C$2</c:f>
              <c:strCache>
                <c:ptCount val="1"/>
                <c:pt idx="0">
                  <c:v>Upper</c:v>
                </c:pt>
              </c:strCache>
            </c:strRef>
          </c:tx>
          <c:spPr>
            <a:ln w="19050" cap="rnd">
              <a:noFill/>
              <a:round/>
            </a:ln>
            <a:effectLst/>
          </c:spPr>
          <c:marker>
            <c:symbol val="dash"/>
            <c:size val="5"/>
            <c:spPr>
              <a:solidFill>
                <a:schemeClr val="tx1"/>
              </a:solidFill>
              <a:ln w="9525">
                <a:noFill/>
              </a:ln>
              <a:effectLst/>
            </c:spPr>
          </c:marker>
          <c:dLbls>
            <c:delete val="1"/>
          </c:dLbls>
          <c:cat>
            <c:strRef>
              <c:f>Sheet1!$A$3:$A$5</c:f>
              <c:strCache>
                <c:ptCount val="3"/>
                <c:pt idx="0">
                  <c:v>Neonatal</c:v>
                </c:pt>
                <c:pt idx="1">
                  <c:v>6 year</c:v>
                </c:pt>
                <c:pt idx="2">
                  <c:v>8 year</c:v>
                </c:pt>
              </c:strCache>
            </c:strRef>
          </c:cat>
          <c:val>
            <c:numRef>
              <c:f>Sheet1!$C$3:$C$5</c:f>
              <c:numCache>
                <c:formatCode>0.00</c:formatCode>
                <c:ptCount val="3"/>
                <c:pt idx="0">
                  <c:v>0.42</c:v>
                </c:pt>
                <c:pt idx="1">
                  <c:v>0.36</c:v>
                </c:pt>
                <c:pt idx="2">
                  <c:v>0.36</c:v>
                </c:pt>
              </c:numCache>
            </c:numRef>
          </c:val>
          <c:smooth val="0"/>
          <c:extLst>
            <c:ext xmlns:c16="http://schemas.microsoft.com/office/drawing/2014/chart" uri="{C3380CC4-5D6E-409C-BE32-E72D297353CC}">
              <c16:uniqueId val="{00000001-14BB-4C85-B968-3E8DB1F874B8}"/>
            </c:ext>
          </c:extLst>
        </c:ser>
        <c:ser>
          <c:idx val="2"/>
          <c:order val="2"/>
          <c:tx>
            <c:strRef>
              <c:f>Sheet1!$D$2</c:f>
              <c:strCache>
                <c:ptCount val="1"/>
                <c:pt idx="0">
                  <c:v>Lower</c:v>
                </c:pt>
              </c:strCache>
            </c:strRef>
          </c:tx>
          <c:spPr>
            <a:ln w="19050" cap="rnd">
              <a:noFill/>
              <a:round/>
            </a:ln>
            <a:effectLst/>
          </c:spPr>
          <c:marker>
            <c:symbol val="dash"/>
            <c:size val="5"/>
            <c:spPr>
              <a:solidFill>
                <a:schemeClr val="tx1"/>
              </a:solidFill>
              <a:ln w="9525">
                <a:noFill/>
              </a:ln>
              <a:effectLst/>
            </c:spPr>
          </c:marker>
          <c:dLbls>
            <c:delete val="1"/>
          </c:dLbls>
          <c:cat>
            <c:strRef>
              <c:f>Sheet1!$A$3:$A$5</c:f>
              <c:strCache>
                <c:ptCount val="3"/>
                <c:pt idx="0">
                  <c:v>Neonatal</c:v>
                </c:pt>
                <c:pt idx="1">
                  <c:v>6 year</c:v>
                </c:pt>
                <c:pt idx="2">
                  <c:v>8 year</c:v>
                </c:pt>
              </c:strCache>
            </c:strRef>
          </c:cat>
          <c:val>
            <c:numRef>
              <c:f>Sheet1!$D$3:$D$5</c:f>
              <c:numCache>
                <c:formatCode>0.00</c:formatCode>
                <c:ptCount val="3"/>
                <c:pt idx="0">
                  <c:v>0.03</c:v>
                </c:pt>
                <c:pt idx="1">
                  <c:v>-0.01</c:v>
                </c:pt>
                <c:pt idx="2">
                  <c:v>-0.09</c:v>
                </c:pt>
              </c:numCache>
            </c:numRef>
          </c:val>
          <c:smooth val="0"/>
          <c:extLst>
            <c:ext xmlns:c16="http://schemas.microsoft.com/office/drawing/2014/chart" uri="{C3380CC4-5D6E-409C-BE32-E72D297353CC}">
              <c16:uniqueId val="{00000002-14BB-4C85-B968-3E8DB1F874B8}"/>
            </c:ext>
          </c:extLst>
        </c:ser>
        <c:dLbls>
          <c:showLegendKey val="0"/>
          <c:showVal val="1"/>
          <c:showCatName val="0"/>
          <c:showSerName val="0"/>
          <c:showPercent val="0"/>
          <c:showBubbleSize val="0"/>
        </c:dLbls>
        <c:hiLowLines>
          <c:spPr>
            <a:ln w="9525" cap="flat" cmpd="sng" algn="ctr">
              <a:solidFill>
                <a:schemeClr val="tx1">
                  <a:lumMod val="75000"/>
                  <a:lumOff val="25000"/>
                </a:schemeClr>
              </a:solidFill>
              <a:round/>
            </a:ln>
            <a:effectLst/>
          </c:spPr>
        </c:hiLowLines>
        <c:axId val="515764072"/>
        <c:axId val="515760544"/>
      </c:stockChart>
      <c:catAx>
        <c:axId val="5157640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5760544"/>
        <c:crosses val="autoZero"/>
        <c:auto val="1"/>
        <c:lblAlgn val="ctr"/>
        <c:lblOffset val="100"/>
        <c:noMultiLvlLbl val="0"/>
      </c:catAx>
      <c:valAx>
        <c:axId val="5157605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l-GR"/>
                  <a:t>β (95% </a:t>
                </a:r>
                <a:r>
                  <a:rPr lang="en-US"/>
                  <a:t>CI)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5764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B) BMC </a:t>
            </a:r>
            <a:r>
              <a:rPr lang="en-GB" sz="1400" b="0" i="0" u="none" strike="noStrike" baseline="30000">
                <a:effectLst/>
              </a:rPr>
              <a:t>1</a:t>
            </a:r>
            <a:r>
              <a:rPr lang="en-GB" sz="1400" b="0" i="0" u="none" strike="noStrike" baseline="0">
                <a:effectLst/>
              </a:rPr>
              <a:t> </a:t>
            </a:r>
            <a:r>
              <a:rPr lang="en-GB"/>
              <a:t>(SD)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tockChart>
        <c:ser>
          <c:idx val="0"/>
          <c:order val="0"/>
          <c:tx>
            <c:strRef>
              <c:f>Sheet1!$G$2</c:f>
              <c:strCache>
                <c:ptCount val="1"/>
                <c:pt idx="0">
                  <c:v>Beta</c:v>
                </c:pt>
              </c:strCache>
            </c:strRef>
          </c:tx>
          <c:spPr>
            <a:ln w="19050" cap="rnd">
              <a:noFill/>
              <a:round/>
            </a:ln>
            <a:effectLst/>
          </c:spPr>
          <c:marker>
            <c:symbol val="circle"/>
            <c:size val="5"/>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Sheet1!$F$3:$F$5</c:f>
              <c:strCache>
                <c:ptCount val="3"/>
                <c:pt idx="0">
                  <c:v>Neonatal</c:v>
                </c:pt>
                <c:pt idx="1">
                  <c:v>6 year</c:v>
                </c:pt>
                <c:pt idx="2">
                  <c:v>8 year</c:v>
                </c:pt>
              </c:strCache>
            </c:strRef>
          </c:cat>
          <c:val>
            <c:numRef>
              <c:f>Sheet1!$G$3:$G$5</c:f>
              <c:numCache>
                <c:formatCode>0.00</c:formatCode>
                <c:ptCount val="3"/>
                <c:pt idx="0">
                  <c:v>0.26</c:v>
                </c:pt>
                <c:pt idx="1">
                  <c:v>0.2</c:v>
                </c:pt>
                <c:pt idx="2">
                  <c:v>0.14000000000000001</c:v>
                </c:pt>
              </c:numCache>
            </c:numRef>
          </c:val>
          <c:smooth val="0"/>
          <c:extLst>
            <c:ext xmlns:c16="http://schemas.microsoft.com/office/drawing/2014/chart" uri="{C3380CC4-5D6E-409C-BE32-E72D297353CC}">
              <c16:uniqueId val="{00000000-B3B9-416B-A4C5-CFB79A5BF20F}"/>
            </c:ext>
          </c:extLst>
        </c:ser>
        <c:ser>
          <c:idx val="1"/>
          <c:order val="1"/>
          <c:tx>
            <c:strRef>
              <c:f>Sheet1!$H$2</c:f>
              <c:strCache>
                <c:ptCount val="1"/>
                <c:pt idx="0">
                  <c:v>Lower</c:v>
                </c:pt>
              </c:strCache>
            </c:strRef>
          </c:tx>
          <c:spPr>
            <a:ln w="19050" cap="rnd">
              <a:noFill/>
              <a:round/>
            </a:ln>
            <a:effectLst/>
          </c:spPr>
          <c:marker>
            <c:symbol val="dash"/>
            <c:size val="5"/>
            <c:spPr>
              <a:solidFill>
                <a:schemeClr val="tx1"/>
              </a:solidFill>
              <a:ln w="9525">
                <a:noFill/>
              </a:ln>
              <a:effectLst/>
            </c:spPr>
          </c:marker>
          <c:dLbls>
            <c:delete val="1"/>
          </c:dLbls>
          <c:cat>
            <c:strRef>
              <c:f>Sheet1!$F$3:$F$5</c:f>
              <c:strCache>
                <c:ptCount val="3"/>
                <c:pt idx="0">
                  <c:v>Neonatal</c:v>
                </c:pt>
                <c:pt idx="1">
                  <c:v>6 year</c:v>
                </c:pt>
                <c:pt idx="2">
                  <c:v>8 year</c:v>
                </c:pt>
              </c:strCache>
            </c:strRef>
          </c:cat>
          <c:val>
            <c:numRef>
              <c:f>Sheet1!$H$3:$H$5</c:f>
              <c:numCache>
                <c:formatCode>0.00</c:formatCode>
                <c:ptCount val="3"/>
                <c:pt idx="0">
                  <c:v>0.06</c:v>
                </c:pt>
                <c:pt idx="1">
                  <c:v>0.02</c:v>
                </c:pt>
                <c:pt idx="2">
                  <c:v>-0.08</c:v>
                </c:pt>
              </c:numCache>
            </c:numRef>
          </c:val>
          <c:smooth val="0"/>
          <c:extLst>
            <c:ext xmlns:c16="http://schemas.microsoft.com/office/drawing/2014/chart" uri="{C3380CC4-5D6E-409C-BE32-E72D297353CC}">
              <c16:uniqueId val="{00000001-B3B9-416B-A4C5-CFB79A5BF20F}"/>
            </c:ext>
          </c:extLst>
        </c:ser>
        <c:ser>
          <c:idx val="2"/>
          <c:order val="2"/>
          <c:tx>
            <c:strRef>
              <c:f>Sheet1!$I$2</c:f>
              <c:strCache>
                <c:ptCount val="1"/>
                <c:pt idx="0">
                  <c:v>Upper</c:v>
                </c:pt>
              </c:strCache>
            </c:strRef>
          </c:tx>
          <c:spPr>
            <a:ln w="19050" cap="rnd">
              <a:noFill/>
              <a:round/>
            </a:ln>
            <a:effectLst/>
          </c:spPr>
          <c:marker>
            <c:symbol val="dash"/>
            <c:size val="5"/>
            <c:spPr>
              <a:solidFill>
                <a:schemeClr val="tx1"/>
              </a:solidFill>
              <a:ln w="9525">
                <a:noFill/>
              </a:ln>
              <a:effectLst/>
            </c:spPr>
          </c:marker>
          <c:dLbls>
            <c:delete val="1"/>
          </c:dLbls>
          <c:cat>
            <c:strRef>
              <c:f>Sheet1!$F$3:$F$5</c:f>
              <c:strCache>
                <c:ptCount val="3"/>
                <c:pt idx="0">
                  <c:v>Neonatal</c:v>
                </c:pt>
                <c:pt idx="1">
                  <c:v>6 year</c:v>
                </c:pt>
                <c:pt idx="2">
                  <c:v>8 year</c:v>
                </c:pt>
              </c:strCache>
            </c:strRef>
          </c:cat>
          <c:val>
            <c:numRef>
              <c:f>Sheet1!$I$3:$I$5</c:f>
              <c:numCache>
                <c:formatCode>0.00</c:formatCode>
                <c:ptCount val="3"/>
                <c:pt idx="0">
                  <c:v>0.46</c:v>
                </c:pt>
                <c:pt idx="1">
                  <c:v>0.39</c:v>
                </c:pt>
                <c:pt idx="2">
                  <c:v>0.35</c:v>
                </c:pt>
              </c:numCache>
            </c:numRef>
          </c:val>
          <c:smooth val="0"/>
          <c:extLst>
            <c:ext xmlns:c16="http://schemas.microsoft.com/office/drawing/2014/chart" uri="{C3380CC4-5D6E-409C-BE32-E72D297353CC}">
              <c16:uniqueId val="{00000002-B3B9-416B-A4C5-CFB79A5BF20F}"/>
            </c:ext>
          </c:extLst>
        </c:ser>
        <c:dLbls>
          <c:showLegendKey val="0"/>
          <c:showVal val="1"/>
          <c:showCatName val="0"/>
          <c:showSerName val="0"/>
          <c:showPercent val="0"/>
          <c:showBubbleSize val="0"/>
        </c:dLbls>
        <c:hiLowLines>
          <c:spPr>
            <a:ln w="9525" cap="flat" cmpd="sng" algn="ctr">
              <a:solidFill>
                <a:schemeClr val="tx1">
                  <a:lumMod val="75000"/>
                  <a:lumOff val="25000"/>
                </a:schemeClr>
              </a:solidFill>
              <a:round/>
            </a:ln>
            <a:effectLst/>
          </c:spPr>
        </c:hiLowLines>
        <c:axId val="517950512"/>
        <c:axId val="517948552"/>
      </c:stockChart>
      <c:catAx>
        <c:axId val="5179505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000" b="0" i="0" baseline="0">
                    <a:effectLst/>
                  </a:rPr>
                  <a:t>Age</a:t>
                </a:r>
                <a:endParaRPr lang="en-GB"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7948552"/>
        <c:crosses val="autoZero"/>
        <c:auto val="1"/>
        <c:lblAlgn val="ctr"/>
        <c:lblOffset val="100"/>
        <c:noMultiLvlLbl val="0"/>
      </c:catAx>
      <c:valAx>
        <c:axId val="5179485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l-GR"/>
                  <a:t>β (95% </a:t>
                </a:r>
                <a:r>
                  <a:rPr lang="en-US"/>
                  <a:t>CI)</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795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C) aBMD </a:t>
            </a:r>
            <a:r>
              <a:rPr lang="en-GB" sz="1400" b="0" i="0" u="none" strike="noStrike" baseline="30000">
                <a:effectLst/>
              </a:rPr>
              <a:t>1</a:t>
            </a:r>
            <a:r>
              <a:rPr lang="en-GB"/>
              <a:t> (SD)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tockChart>
        <c:ser>
          <c:idx val="0"/>
          <c:order val="0"/>
          <c:tx>
            <c:strRef>
              <c:f>Sheet1!$L$2</c:f>
              <c:strCache>
                <c:ptCount val="1"/>
                <c:pt idx="0">
                  <c:v>Beta</c:v>
                </c:pt>
              </c:strCache>
            </c:strRef>
          </c:tx>
          <c:spPr>
            <a:ln w="19050" cap="rnd">
              <a:noFill/>
              <a:round/>
            </a:ln>
            <a:effectLst/>
          </c:spPr>
          <c:marker>
            <c:symbol val="circle"/>
            <c:size val="5"/>
            <c:spPr>
              <a:solidFill>
                <a:schemeClr val="tx1"/>
              </a:solidFill>
              <a:ln w="9525">
                <a:noFill/>
              </a:ln>
              <a:effectLst/>
            </c:spPr>
          </c:marker>
          <c:dLbls>
            <c:dLbl>
              <c:idx val="2"/>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r>
                      <a:rPr lang="en-US"/>
                      <a:t>0.00</a:t>
                    </a:r>
                  </a:p>
                </c:rich>
              </c:tx>
              <c:numFmt formatCode="#,##0.00_ ;\-#,##0.0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D2-4E8A-AE6C-1050CED2D3E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Sheet1!$K$3:$K$5</c:f>
              <c:strCache>
                <c:ptCount val="3"/>
                <c:pt idx="0">
                  <c:v>Neonatal</c:v>
                </c:pt>
                <c:pt idx="1">
                  <c:v>6 year</c:v>
                </c:pt>
                <c:pt idx="2">
                  <c:v>8 year</c:v>
                </c:pt>
              </c:strCache>
            </c:strRef>
          </c:cat>
          <c:val>
            <c:numRef>
              <c:f>Sheet1!$L$3:$L$5</c:f>
              <c:numCache>
                <c:formatCode>General</c:formatCode>
                <c:ptCount val="3"/>
                <c:pt idx="0">
                  <c:v>0.21</c:v>
                </c:pt>
                <c:pt idx="1">
                  <c:v>0.19</c:v>
                </c:pt>
                <c:pt idx="2" formatCode="0.00">
                  <c:v>0</c:v>
                </c:pt>
              </c:numCache>
            </c:numRef>
          </c:val>
          <c:smooth val="0"/>
          <c:extLst>
            <c:ext xmlns:c16="http://schemas.microsoft.com/office/drawing/2014/chart" uri="{C3380CC4-5D6E-409C-BE32-E72D297353CC}">
              <c16:uniqueId val="{00000001-89D2-4E8A-AE6C-1050CED2D3EF}"/>
            </c:ext>
          </c:extLst>
        </c:ser>
        <c:ser>
          <c:idx val="1"/>
          <c:order val="1"/>
          <c:tx>
            <c:strRef>
              <c:f>Sheet1!$M$2</c:f>
              <c:strCache>
                <c:ptCount val="1"/>
                <c:pt idx="0">
                  <c:v>Lower</c:v>
                </c:pt>
              </c:strCache>
            </c:strRef>
          </c:tx>
          <c:spPr>
            <a:ln w="19050" cap="rnd">
              <a:noFill/>
              <a:round/>
            </a:ln>
            <a:effectLst/>
          </c:spPr>
          <c:marker>
            <c:symbol val="dash"/>
            <c:size val="5"/>
            <c:spPr>
              <a:solidFill>
                <a:schemeClr val="tx1"/>
              </a:solidFill>
              <a:ln w="9525">
                <a:noFill/>
              </a:ln>
              <a:effectLst/>
            </c:spPr>
          </c:marker>
          <c:dLbls>
            <c:delete val="1"/>
          </c:dLbls>
          <c:cat>
            <c:strRef>
              <c:f>Sheet1!$K$3:$K$5</c:f>
              <c:strCache>
                <c:ptCount val="3"/>
                <c:pt idx="0">
                  <c:v>Neonatal</c:v>
                </c:pt>
                <c:pt idx="1">
                  <c:v>6 year</c:v>
                </c:pt>
                <c:pt idx="2">
                  <c:v>8 year</c:v>
                </c:pt>
              </c:strCache>
            </c:strRef>
          </c:cat>
          <c:val>
            <c:numRef>
              <c:f>Sheet1!$M$3:$M$5</c:f>
              <c:numCache>
                <c:formatCode>General</c:formatCode>
                <c:ptCount val="3"/>
                <c:pt idx="0">
                  <c:v>-0.04</c:v>
                </c:pt>
                <c:pt idx="1">
                  <c:v>-0.01</c:v>
                </c:pt>
                <c:pt idx="2">
                  <c:v>-0.22</c:v>
                </c:pt>
              </c:numCache>
            </c:numRef>
          </c:val>
          <c:smooth val="0"/>
          <c:extLst>
            <c:ext xmlns:c16="http://schemas.microsoft.com/office/drawing/2014/chart" uri="{C3380CC4-5D6E-409C-BE32-E72D297353CC}">
              <c16:uniqueId val="{00000002-89D2-4E8A-AE6C-1050CED2D3EF}"/>
            </c:ext>
          </c:extLst>
        </c:ser>
        <c:ser>
          <c:idx val="2"/>
          <c:order val="2"/>
          <c:tx>
            <c:strRef>
              <c:f>Sheet1!$N$2</c:f>
              <c:strCache>
                <c:ptCount val="1"/>
                <c:pt idx="0">
                  <c:v>Upper</c:v>
                </c:pt>
              </c:strCache>
            </c:strRef>
          </c:tx>
          <c:spPr>
            <a:ln w="19050" cap="rnd">
              <a:noFill/>
              <a:round/>
            </a:ln>
            <a:effectLst/>
          </c:spPr>
          <c:marker>
            <c:symbol val="dash"/>
            <c:size val="5"/>
            <c:spPr>
              <a:solidFill>
                <a:schemeClr val="tx1"/>
              </a:solidFill>
              <a:ln w="9525">
                <a:noFill/>
              </a:ln>
              <a:effectLst/>
            </c:spPr>
          </c:marker>
          <c:dLbls>
            <c:delete val="1"/>
          </c:dLbls>
          <c:cat>
            <c:strRef>
              <c:f>Sheet1!$K$3:$K$5</c:f>
              <c:strCache>
                <c:ptCount val="3"/>
                <c:pt idx="0">
                  <c:v>Neonatal</c:v>
                </c:pt>
                <c:pt idx="1">
                  <c:v>6 year</c:v>
                </c:pt>
                <c:pt idx="2">
                  <c:v>8 year</c:v>
                </c:pt>
              </c:strCache>
            </c:strRef>
          </c:cat>
          <c:val>
            <c:numRef>
              <c:f>Sheet1!$N$3:$N$5</c:f>
              <c:numCache>
                <c:formatCode>General</c:formatCode>
                <c:ptCount val="3"/>
                <c:pt idx="0">
                  <c:v>0.47</c:v>
                </c:pt>
                <c:pt idx="1">
                  <c:v>0.38</c:v>
                </c:pt>
                <c:pt idx="2">
                  <c:v>0.21</c:v>
                </c:pt>
              </c:numCache>
            </c:numRef>
          </c:val>
          <c:smooth val="0"/>
          <c:extLst>
            <c:ext xmlns:c16="http://schemas.microsoft.com/office/drawing/2014/chart" uri="{C3380CC4-5D6E-409C-BE32-E72D297353CC}">
              <c16:uniqueId val="{00000003-89D2-4E8A-AE6C-1050CED2D3EF}"/>
            </c:ext>
          </c:extLst>
        </c:ser>
        <c:dLbls>
          <c:showLegendKey val="0"/>
          <c:showVal val="1"/>
          <c:showCatName val="0"/>
          <c:showSerName val="0"/>
          <c:showPercent val="0"/>
          <c:showBubbleSize val="0"/>
        </c:dLbls>
        <c:hiLowLines>
          <c:spPr>
            <a:ln w="9525" cap="flat" cmpd="sng" algn="ctr">
              <a:solidFill>
                <a:schemeClr val="tx1">
                  <a:lumMod val="75000"/>
                  <a:lumOff val="25000"/>
                </a:schemeClr>
              </a:solidFill>
              <a:round/>
            </a:ln>
            <a:effectLst/>
          </c:spPr>
        </c:hiLowLines>
        <c:axId val="517949336"/>
        <c:axId val="517948944"/>
      </c:stockChart>
      <c:catAx>
        <c:axId val="5179493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7948944"/>
        <c:crosses val="autoZero"/>
        <c:auto val="1"/>
        <c:lblAlgn val="ctr"/>
        <c:lblOffset val="100"/>
        <c:noMultiLvlLbl val="0"/>
      </c:catAx>
      <c:valAx>
        <c:axId val="517948944"/>
        <c:scaling>
          <c:orientation val="minMax"/>
          <c:max val="0.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l-GR" sz="1000" b="0" i="0" baseline="0">
                    <a:effectLst/>
                  </a:rPr>
                  <a:t>β (95% </a:t>
                </a:r>
                <a:r>
                  <a:rPr lang="en-US" sz="1000" b="0" i="0" baseline="0">
                    <a:effectLst/>
                  </a:rPr>
                  <a:t>CI)</a:t>
                </a:r>
                <a:endParaRPr lang="en-GB"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7949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D) scBMC </a:t>
            </a:r>
            <a:r>
              <a:rPr lang="en-GB" sz="1400" b="0" i="0" u="none" strike="noStrike" baseline="30000">
                <a:effectLst/>
              </a:rPr>
              <a:t>1</a:t>
            </a:r>
            <a:r>
              <a:rPr lang="en-GB" sz="1400" b="0" i="0" u="none" strike="noStrike" baseline="0">
                <a:effectLst/>
              </a:rPr>
              <a:t> </a:t>
            </a:r>
            <a:r>
              <a:rPr lang="en-GB"/>
              <a:t>(SD)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tockChart>
        <c:ser>
          <c:idx val="0"/>
          <c:order val="0"/>
          <c:tx>
            <c:strRef>
              <c:f>Sheet1!$Q$2</c:f>
              <c:strCache>
                <c:ptCount val="1"/>
                <c:pt idx="0">
                  <c:v>Beta</c:v>
                </c:pt>
              </c:strCache>
            </c:strRef>
          </c:tx>
          <c:spPr>
            <a:ln w="19050" cap="rnd">
              <a:noFill/>
              <a:round/>
            </a:ln>
            <a:effectLst/>
          </c:spPr>
          <c:marker>
            <c:symbol val="circle"/>
            <c:size val="5"/>
            <c:spPr>
              <a:solidFill>
                <a:sysClr val="windowText" lastClr="00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Sheet1!$P$3:$P$5</c:f>
              <c:strCache>
                <c:ptCount val="3"/>
                <c:pt idx="0">
                  <c:v>Neonatal</c:v>
                </c:pt>
                <c:pt idx="1">
                  <c:v>6 year</c:v>
                </c:pt>
                <c:pt idx="2">
                  <c:v>8 year</c:v>
                </c:pt>
              </c:strCache>
            </c:strRef>
          </c:cat>
          <c:val>
            <c:numRef>
              <c:f>Sheet1!$Q$3:$Q$5</c:f>
              <c:numCache>
                <c:formatCode>General</c:formatCode>
                <c:ptCount val="3"/>
                <c:pt idx="0">
                  <c:v>7.0000000000000007E-2</c:v>
                </c:pt>
                <c:pt idx="1">
                  <c:v>0.13</c:v>
                </c:pt>
                <c:pt idx="2">
                  <c:v>0.19</c:v>
                </c:pt>
              </c:numCache>
            </c:numRef>
          </c:val>
          <c:smooth val="0"/>
          <c:extLst>
            <c:ext xmlns:c16="http://schemas.microsoft.com/office/drawing/2014/chart" uri="{C3380CC4-5D6E-409C-BE32-E72D297353CC}">
              <c16:uniqueId val="{00000000-B768-4372-96C7-574AC4C49369}"/>
            </c:ext>
          </c:extLst>
        </c:ser>
        <c:ser>
          <c:idx val="1"/>
          <c:order val="1"/>
          <c:tx>
            <c:strRef>
              <c:f>Sheet1!$R$2</c:f>
              <c:strCache>
                <c:ptCount val="1"/>
                <c:pt idx="0">
                  <c:v>Lower</c:v>
                </c:pt>
              </c:strCache>
            </c:strRef>
          </c:tx>
          <c:spPr>
            <a:ln w="19050" cap="rnd">
              <a:noFill/>
              <a:round/>
            </a:ln>
            <a:effectLst/>
          </c:spPr>
          <c:marker>
            <c:symbol val="dash"/>
            <c:size val="5"/>
            <c:spPr>
              <a:solidFill>
                <a:schemeClr val="tx1"/>
              </a:solidFill>
              <a:ln w="9525">
                <a:noFill/>
              </a:ln>
              <a:effectLst/>
            </c:spPr>
          </c:marker>
          <c:dLbls>
            <c:delete val="1"/>
          </c:dLbls>
          <c:cat>
            <c:strRef>
              <c:f>Sheet1!$P$3:$P$5</c:f>
              <c:strCache>
                <c:ptCount val="3"/>
                <c:pt idx="0">
                  <c:v>Neonatal</c:v>
                </c:pt>
                <c:pt idx="1">
                  <c:v>6 year</c:v>
                </c:pt>
                <c:pt idx="2">
                  <c:v>8 year</c:v>
                </c:pt>
              </c:strCache>
            </c:strRef>
          </c:cat>
          <c:val>
            <c:numRef>
              <c:f>Sheet1!$R$3:$R$5</c:f>
              <c:numCache>
                <c:formatCode>General</c:formatCode>
                <c:ptCount val="3"/>
                <c:pt idx="0">
                  <c:v>-0.21</c:v>
                </c:pt>
                <c:pt idx="1">
                  <c:v>-0.08</c:v>
                </c:pt>
                <c:pt idx="2">
                  <c:v>-0.05</c:v>
                </c:pt>
              </c:numCache>
            </c:numRef>
          </c:val>
          <c:smooth val="0"/>
          <c:extLst>
            <c:ext xmlns:c16="http://schemas.microsoft.com/office/drawing/2014/chart" uri="{C3380CC4-5D6E-409C-BE32-E72D297353CC}">
              <c16:uniqueId val="{00000001-B768-4372-96C7-574AC4C49369}"/>
            </c:ext>
          </c:extLst>
        </c:ser>
        <c:ser>
          <c:idx val="2"/>
          <c:order val="2"/>
          <c:tx>
            <c:strRef>
              <c:f>Sheet1!$S$2</c:f>
              <c:strCache>
                <c:ptCount val="1"/>
                <c:pt idx="0">
                  <c:v>Upper</c:v>
                </c:pt>
              </c:strCache>
            </c:strRef>
          </c:tx>
          <c:spPr>
            <a:ln w="19050" cap="rnd">
              <a:noFill/>
              <a:round/>
            </a:ln>
            <a:effectLst/>
          </c:spPr>
          <c:marker>
            <c:symbol val="dash"/>
            <c:size val="5"/>
            <c:spPr>
              <a:solidFill>
                <a:schemeClr val="tx1"/>
              </a:solidFill>
              <a:ln w="9525">
                <a:noFill/>
              </a:ln>
              <a:effectLst/>
            </c:spPr>
          </c:marker>
          <c:dLbls>
            <c:delete val="1"/>
          </c:dLbls>
          <c:cat>
            <c:strRef>
              <c:f>Sheet1!$P$3:$P$5</c:f>
              <c:strCache>
                <c:ptCount val="3"/>
                <c:pt idx="0">
                  <c:v>Neonatal</c:v>
                </c:pt>
                <c:pt idx="1">
                  <c:v>6 year</c:v>
                </c:pt>
                <c:pt idx="2">
                  <c:v>8 year</c:v>
                </c:pt>
              </c:strCache>
            </c:strRef>
          </c:cat>
          <c:val>
            <c:numRef>
              <c:f>Sheet1!$S$3:$S$5</c:f>
              <c:numCache>
                <c:formatCode>General</c:formatCode>
                <c:ptCount val="3"/>
                <c:pt idx="0">
                  <c:v>0.35</c:v>
                </c:pt>
                <c:pt idx="1">
                  <c:v>0.34</c:v>
                </c:pt>
                <c:pt idx="2">
                  <c:v>0.42</c:v>
                </c:pt>
              </c:numCache>
            </c:numRef>
          </c:val>
          <c:smooth val="0"/>
          <c:extLst>
            <c:ext xmlns:c16="http://schemas.microsoft.com/office/drawing/2014/chart" uri="{C3380CC4-5D6E-409C-BE32-E72D297353CC}">
              <c16:uniqueId val="{00000002-B768-4372-96C7-574AC4C49369}"/>
            </c:ext>
          </c:extLst>
        </c:ser>
        <c:dLbls>
          <c:showLegendKey val="0"/>
          <c:showVal val="1"/>
          <c:showCatName val="0"/>
          <c:showSerName val="0"/>
          <c:showPercent val="0"/>
          <c:showBubbleSize val="0"/>
        </c:dLbls>
        <c:hiLowLines>
          <c:spPr>
            <a:ln w="9525" cap="flat" cmpd="sng" algn="ctr">
              <a:solidFill>
                <a:schemeClr val="tx1">
                  <a:lumMod val="75000"/>
                  <a:lumOff val="25000"/>
                </a:schemeClr>
              </a:solidFill>
              <a:round/>
            </a:ln>
            <a:effectLst/>
          </c:spPr>
        </c:hiLowLines>
        <c:axId val="517950120"/>
        <c:axId val="517946984"/>
      </c:stockChart>
      <c:catAx>
        <c:axId val="5179501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7946984"/>
        <c:crosses val="autoZero"/>
        <c:auto val="1"/>
        <c:lblAlgn val="ctr"/>
        <c:lblOffset val="100"/>
        <c:noMultiLvlLbl val="0"/>
      </c:catAx>
      <c:valAx>
        <c:axId val="5179469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l-GR" sz="1000" b="0" i="0" baseline="0">
                    <a:effectLst/>
                  </a:rPr>
                  <a:t>β (95% </a:t>
                </a:r>
                <a:r>
                  <a:rPr lang="en-US" sz="1000" b="0" i="0" baseline="0">
                    <a:effectLst/>
                  </a:rPr>
                  <a:t>CI)</a:t>
                </a:r>
                <a:endParaRPr lang="en-GB"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7950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9078</Words>
  <Characters>51745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Woolford</dc:creator>
  <cp:keywords/>
  <dc:description/>
  <cp:lastModifiedBy>Drake K.A.</cp:lastModifiedBy>
  <cp:revision>2</cp:revision>
  <dcterms:created xsi:type="dcterms:W3CDTF">2020-07-16T14:02:00Z</dcterms:created>
  <dcterms:modified xsi:type="dcterms:W3CDTF">2020-07-16T14:02:00Z</dcterms:modified>
</cp:coreProperties>
</file>