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8F0" w:rsidRPr="008F14C6" w:rsidRDefault="00FA713A" w:rsidP="003F58F0">
      <w:pPr>
        <w:spacing w:line="480" w:lineRule="auto"/>
        <w:jc w:val="both"/>
        <w:rPr>
          <w:b/>
          <w:sz w:val="32"/>
          <w:szCs w:val="32"/>
        </w:rPr>
      </w:pPr>
      <w:r>
        <w:rPr>
          <w:b/>
          <w:sz w:val="32"/>
          <w:szCs w:val="32"/>
        </w:rPr>
        <w:t>D</w:t>
      </w:r>
      <w:r w:rsidRPr="00FA713A">
        <w:rPr>
          <w:b/>
          <w:sz w:val="32"/>
          <w:szCs w:val="32"/>
        </w:rPr>
        <w:t xml:space="preserve">iagnostic accuracy </w:t>
      </w:r>
      <w:bookmarkStart w:id="0" w:name="_GoBack"/>
      <w:r w:rsidR="00E95EC0" w:rsidRPr="006A07B5">
        <w:rPr>
          <w:b/>
          <w:sz w:val="32"/>
          <w:szCs w:val="32"/>
        </w:rPr>
        <w:t>of the FebriDx</w:t>
      </w:r>
      <w:r w:rsidRPr="006A07B5">
        <w:rPr>
          <w:b/>
          <w:sz w:val="32"/>
          <w:szCs w:val="32"/>
        </w:rPr>
        <w:t xml:space="preserve"> h</w:t>
      </w:r>
      <w:r w:rsidR="00642814" w:rsidRPr="006A07B5">
        <w:rPr>
          <w:b/>
          <w:sz w:val="32"/>
          <w:szCs w:val="32"/>
        </w:rPr>
        <w:t>ost</w:t>
      </w:r>
      <w:r w:rsidR="00AC3084" w:rsidRPr="006A07B5">
        <w:rPr>
          <w:b/>
          <w:sz w:val="32"/>
          <w:szCs w:val="32"/>
        </w:rPr>
        <w:t xml:space="preserve"> response </w:t>
      </w:r>
      <w:bookmarkEnd w:id="0"/>
      <w:r w:rsidR="00AC3084" w:rsidRPr="008F14C6">
        <w:rPr>
          <w:b/>
          <w:sz w:val="32"/>
          <w:szCs w:val="32"/>
        </w:rPr>
        <w:t>point-of-care test</w:t>
      </w:r>
      <w:r>
        <w:rPr>
          <w:b/>
          <w:sz w:val="32"/>
          <w:szCs w:val="32"/>
        </w:rPr>
        <w:t xml:space="preserve"> </w:t>
      </w:r>
      <w:r w:rsidR="00B73A43">
        <w:rPr>
          <w:b/>
          <w:sz w:val="32"/>
          <w:szCs w:val="32"/>
        </w:rPr>
        <w:t xml:space="preserve">in patients hospitalised with suspected </w:t>
      </w:r>
      <w:r w:rsidR="005436A4" w:rsidRPr="008F14C6">
        <w:rPr>
          <w:b/>
          <w:sz w:val="32"/>
          <w:szCs w:val="32"/>
        </w:rPr>
        <w:t>COVID</w:t>
      </w:r>
      <w:r w:rsidR="00642814" w:rsidRPr="008F14C6">
        <w:rPr>
          <w:b/>
          <w:sz w:val="32"/>
          <w:szCs w:val="32"/>
        </w:rPr>
        <w:t xml:space="preserve">-19 </w:t>
      </w:r>
    </w:p>
    <w:p w:rsidR="00B73A43" w:rsidRPr="00B73A43" w:rsidRDefault="00FA3899" w:rsidP="00B73A43">
      <w:pPr>
        <w:spacing w:after="240" w:line="480" w:lineRule="auto"/>
        <w:jc w:val="both"/>
        <w:rPr>
          <w:sz w:val="24"/>
          <w:szCs w:val="24"/>
        </w:rPr>
      </w:pPr>
      <w:r w:rsidRPr="00B73A43">
        <w:rPr>
          <w:sz w:val="24"/>
          <w:szCs w:val="24"/>
        </w:rPr>
        <w:t>Tristan W Clark</w:t>
      </w:r>
      <w:r w:rsidRPr="00B73A43">
        <w:rPr>
          <w:sz w:val="24"/>
          <w:szCs w:val="24"/>
          <w:vertAlign w:val="superscript"/>
        </w:rPr>
        <w:t>1,2,3,4*</w:t>
      </w:r>
      <w:r w:rsidRPr="00B73A43">
        <w:rPr>
          <w:sz w:val="24"/>
          <w:szCs w:val="24"/>
        </w:rPr>
        <w:t xml:space="preserve">, </w:t>
      </w:r>
      <w:r w:rsidR="004064DB" w:rsidRPr="00B73A43">
        <w:rPr>
          <w:sz w:val="24"/>
          <w:szCs w:val="24"/>
        </w:rPr>
        <w:t>Nathan J Brendish</w:t>
      </w:r>
      <w:r w:rsidR="004064DB" w:rsidRPr="00B73A43">
        <w:rPr>
          <w:sz w:val="24"/>
          <w:szCs w:val="24"/>
          <w:vertAlign w:val="superscript"/>
        </w:rPr>
        <w:t>1, 2</w:t>
      </w:r>
      <w:r w:rsidR="0043437F" w:rsidRPr="00B73A43">
        <w:rPr>
          <w:sz w:val="24"/>
          <w:szCs w:val="24"/>
        </w:rPr>
        <w:t xml:space="preserve">, </w:t>
      </w:r>
      <w:r w:rsidR="003F58F0" w:rsidRPr="00B73A43">
        <w:rPr>
          <w:sz w:val="24"/>
          <w:szCs w:val="24"/>
        </w:rPr>
        <w:t>Stephen Poole</w:t>
      </w:r>
      <w:r w:rsidR="003F58F0" w:rsidRPr="00B73A43">
        <w:rPr>
          <w:sz w:val="24"/>
          <w:szCs w:val="24"/>
          <w:vertAlign w:val="superscript"/>
        </w:rPr>
        <w:t>1,2</w:t>
      </w:r>
      <w:r w:rsidR="0080769F" w:rsidRPr="00B73A43">
        <w:rPr>
          <w:sz w:val="24"/>
          <w:szCs w:val="24"/>
          <w:vertAlign w:val="superscript"/>
        </w:rPr>
        <w:t>,3</w:t>
      </w:r>
      <w:r w:rsidR="0043437F" w:rsidRPr="00B73A43">
        <w:rPr>
          <w:sz w:val="24"/>
          <w:szCs w:val="24"/>
        </w:rPr>
        <w:t xml:space="preserve">, Vasanth </w:t>
      </w:r>
      <w:r w:rsidR="00A65941" w:rsidRPr="00B73A43">
        <w:rPr>
          <w:sz w:val="24"/>
          <w:szCs w:val="24"/>
        </w:rPr>
        <w:t xml:space="preserve">V </w:t>
      </w:r>
      <w:r w:rsidR="0043437F" w:rsidRPr="00B73A43">
        <w:rPr>
          <w:sz w:val="24"/>
          <w:szCs w:val="24"/>
        </w:rPr>
        <w:t>Naidu</w:t>
      </w:r>
      <w:r w:rsidR="0043437F" w:rsidRPr="00B73A43">
        <w:rPr>
          <w:sz w:val="24"/>
          <w:szCs w:val="24"/>
          <w:vertAlign w:val="superscript"/>
        </w:rPr>
        <w:t>2</w:t>
      </w:r>
      <w:r w:rsidR="0043437F" w:rsidRPr="00B73A43">
        <w:rPr>
          <w:sz w:val="24"/>
          <w:szCs w:val="24"/>
        </w:rPr>
        <w:t>, Christopher Mansbridge</w:t>
      </w:r>
      <w:r w:rsidR="0043437F" w:rsidRPr="00B73A43">
        <w:rPr>
          <w:sz w:val="24"/>
          <w:szCs w:val="24"/>
          <w:vertAlign w:val="superscript"/>
        </w:rPr>
        <w:t>2</w:t>
      </w:r>
      <w:r w:rsidR="0043437F" w:rsidRPr="00B73A43">
        <w:rPr>
          <w:sz w:val="24"/>
          <w:szCs w:val="24"/>
        </w:rPr>
        <w:t>, Nicholas Norton</w:t>
      </w:r>
      <w:r w:rsidR="0043437F" w:rsidRPr="00B73A43">
        <w:rPr>
          <w:sz w:val="24"/>
          <w:szCs w:val="24"/>
          <w:vertAlign w:val="superscript"/>
        </w:rPr>
        <w:t>2</w:t>
      </w:r>
      <w:r w:rsidR="0043437F" w:rsidRPr="00B73A43">
        <w:rPr>
          <w:sz w:val="24"/>
          <w:szCs w:val="24"/>
        </w:rPr>
        <w:t xml:space="preserve">, </w:t>
      </w:r>
      <w:r w:rsidR="00E449EE" w:rsidRPr="00B73A43">
        <w:rPr>
          <w:sz w:val="24"/>
          <w:szCs w:val="24"/>
        </w:rPr>
        <w:t>Helen Wheeler</w:t>
      </w:r>
      <w:r w:rsidR="00E449EE" w:rsidRPr="00B73A43">
        <w:rPr>
          <w:sz w:val="24"/>
          <w:szCs w:val="24"/>
          <w:vertAlign w:val="superscript"/>
        </w:rPr>
        <w:t>3</w:t>
      </w:r>
      <w:r w:rsidR="00E449EE" w:rsidRPr="00B73A43">
        <w:rPr>
          <w:sz w:val="24"/>
          <w:szCs w:val="24"/>
        </w:rPr>
        <w:t xml:space="preserve">, </w:t>
      </w:r>
      <w:r w:rsidR="0043437F" w:rsidRPr="00B73A43">
        <w:rPr>
          <w:sz w:val="24"/>
          <w:szCs w:val="24"/>
        </w:rPr>
        <w:t>Laura Pre</w:t>
      </w:r>
      <w:r w:rsidR="00597854" w:rsidRPr="00B73A43">
        <w:rPr>
          <w:sz w:val="24"/>
          <w:szCs w:val="24"/>
        </w:rPr>
        <w:t>s</w:t>
      </w:r>
      <w:r w:rsidR="0043437F" w:rsidRPr="00B73A43">
        <w:rPr>
          <w:sz w:val="24"/>
          <w:szCs w:val="24"/>
        </w:rPr>
        <w:t>land</w:t>
      </w:r>
      <w:r w:rsidR="0043437F" w:rsidRPr="00B73A43">
        <w:rPr>
          <w:sz w:val="24"/>
          <w:szCs w:val="24"/>
          <w:vertAlign w:val="superscript"/>
        </w:rPr>
        <w:t>3</w:t>
      </w:r>
      <w:r w:rsidRPr="00B73A43">
        <w:rPr>
          <w:sz w:val="24"/>
          <w:szCs w:val="24"/>
        </w:rPr>
        <w:t xml:space="preserve"> and </w:t>
      </w:r>
      <w:r w:rsidR="00231723" w:rsidRPr="00B73A43">
        <w:rPr>
          <w:sz w:val="24"/>
          <w:szCs w:val="24"/>
        </w:rPr>
        <w:t>Sean Ewings</w:t>
      </w:r>
      <w:r w:rsidRPr="00B73A43">
        <w:rPr>
          <w:sz w:val="24"/>
          <w:szCs w:val="24"/>
          <w:vertAlign w:val="superscript"/>
        </w:rPr>
        <w:t>5</w:t>
      </w:r>
      <w:r w:rsidR="00231723" w:rsidRPr="00B73A43">
        <w:rPr>
          <w:sz w:val="24"/>
          <w:szCs w:val="24"/>
        </w:rPr>
        <w:t xml:space="preserve"> </w:t>
      </w:r>
    </w:p>
    <w:p w:rsidR="00BA77D9" w:rsidRPr="00FA713A" w:rsidRDefault="0080769F" w:rsidP="00B73A43">
      <w:pPr>
        <w:spacing w:after="240" w:line="480" w:lineRule="auto"/>
        <w:rPr>
          <w:sz w:val="24"/>
          <w:szCs w:val="24"/>
        </w:rPr>
      </w:pPr>
      <w:r w:rsidRPr="00FA713A">
        <w:rPr>
          <w:sz w:val="24"/>
          <w:szCs w:val="24"/>
        </w:rPr>
        <w:t>1</w:t>
      </w:r>
      <w:r w:rsidR="00C95138" w:rsidRPr="00FA713A">
        <w:rPr>
          <w:sz w:val="24"/>
          <w:szCs w:val="24"/>
        </w:rPr>
        <w:t xml:space="preserve">. </w:t>
      </w:r>
      <w:r w:rsidRPr="00FA713A">
        <w:rPr>
          <w:sz w:val="24"/>
          <w:szCs w:val="24"/>
        </w:rPr>
        <w:t xml:space="preserve">School of </w:t>
      </w:r>
      <w:r w:rsidR="00C95138" w:rsidRPr="00FA713A">
        <w:rPr>
          <w:sz w:val="24"/>
          <w:szCs w:val="24"/>
        </w:rPr>
        <w:t>Clinical and Experimental Sciences, Faculty of Medicine, University of Southampton, Southampton, UK</w:t>
      </w:r>
    </w:p>
    <w:p w:rsidR="00BA77D9" w:rsidRPr="00FA713A" w:rsidRDefault="0080769F" w:rsidP="00242082">
      <w:pPr>
        <w:spacing w:line="480" w:lineRule="auto"/>
        <w:rPr>
          <w:sz w:val="24"/>
          <w:szCs w:val="24"/>
        </w:rPr>
      </w:pPr>
      <w:r w:rsidRPr="00FA713A">
        <w:rPr>
          <w:sz w:val="24"/>
          <w:szCs w:val="24"/>
        </w:rPr>
        <w:t>2</w:t>
      </w:r>
      <w:r w:rsidR="00C95138" w:rsidRPr="00FA713A">
        <w:rPr>
          <w:sz w:val="24"/>
          <w:szCs w:val="24"/>
        </w:rPr>
        <w:t xml:space="preserve">. Department of Infection, </w:t>
      </w:r>
      <w:r w:rsidR="00BA77D9" w:rsidRPr="00FA713A">
        <w:rPr>
          <w:sz w:val="24"/>
          <w:szCs w:val="24"/>
        </w:rPr>
        <w:t xml:space="preserve">University Hospital Southampton NHS </w:t>
      </w:r>
      <w:r w:rsidR="00D074F0" w:rsidRPr="00FA713A">
        <w:rPr>
          <w:sz w:val="24"/>
          <w:szCs w:val="24"/>
        </w:rPr>
        <w:t xml:space="preserve">Foundation </w:t>
      </w:r>
      <w:r w:rsidR="00BA77D9" w:rsidRPr="00FA713A">
        <w:rPr>
          <w:sz w:val="24"/>
          <w:szCs w:val="24"/>
        </w:rPr>
        <w:t>Trust, Southampton, UK</w:t>
      </w:r>
      <w:r w:rsidR="00C95138" w:rsidRPr="00FA713A">
        <w:rPr>
          <w:sz w:val="24"/>
          <w:szCs w:val="24"/>
        </w:rPr>
        <w:t>.</w:t>
      </w:r>
    </w:p>
    <w:p w:rsidR="00BA77D9" w:rsidRPr="00FA713A" w:rsidRDefault="0080769F" w:rsidP="00242082">
      <w:pPr>
        <w:spacing w:line="480" w:lineRule="auto"/>
        <w:rPr>
          <w:sz w:val="24"/>
          <w:szCs w:val="24"/>
        </w:rPr>
      </w:pPr>
      <w:r w:rsidRPr="00FA713A">
        <w:rPr>
          <w:sz w:val="24"/>
          <w:szCs w:val="24"/>
        </w:rPr>
        <w:t>3</w:t>
      </w:r>
      <w:r w:rsidR="00CA1850" w:rsidRPr="00FA713A">
        <w:rPr>
          <w:sz w:val="24"/>
          <w:szCs w:val="24"/>
        </w:rPr>
        <w:t xml:space="preserve">. NIHR Southampton </w:t>
      </w:r>
      <w:r w:rsidR="00C95138" w:rsidRPr="00FA713A">
        <w:rPr>
          <w:sz w:val="24"/>
          <w:szCs w:val="24"/>
        </w:rPr>
        <w:t>Biomedical</w:t>
      </w:r>
      <w:r w:rsidR="002813F2" w:rsidRPr="00FA713A">
        <w:rPr>
          <w:sz w:val="24"/>
          <w:szCs w:val="24"/>
        </w:rPr>
        <w:t xml:space="preserve"> </w:t>
      </w:r>
      <w:r w:rsidR="00CA1850" w:rsidRPr="00FA713A">
        <w:rPr>
          <w:sz w:val="24"/>
          <w:szCs w:val="24"/>
        </w:rPr>
        <w:t xml:space="preserve">Research </w:t>
      </w:r>
      <w:r w:rsidR="002813F2" w:rsidRPr="00FA713A">
        <w:rPr>
          <w:sz w:val="24"/>
          <w:szCs w:val="24"/>
        </w:rPr>
        <w:t>Centre</w:t>
      </w:r>
      <w:r w:rsidR="00C95138" w:rsidRPr="00FA713A">
        <w:rPr>
          <w:sz w:val="24"/>
          <w:szCs w:val="24"/>
        </w:rPr>
        <w:t>, University Hospital Southampton NHS Foundation Trust, Southampton, UK</w:t>
      </w:r>
    </w:p>
    <w:p w:rsidR="006A7C6B" w:rsidRPr="00FA713A" w:rsidRDefault="00FA3899" w:rsidP="00242082">
      <w:pPr>
        <w:spacing w:line="480" w:lineRule="auto"/>
        <w:rPr>
          <w:sz w:val="24"/>
          <w:szCs w:val="24"/>
        </w:rPr>
      </w:pPr>
      <w:r w:rsidRPr="00FA713A">
        <w:rPr>
          <w:sz w:val="24"/>
          <w:szCs w:val="24"/>
        </w:rPr>
        <w:t>4</w:t>
      </w:r>
      <w:r w:rsidR="006A7C6B" w:rsidRPr="00FA713A">
        <w:rPr>
          <w:sz w:val="24"/>
          <w:szCs w:val="24"/>
        </w:rPr>
        <w:t xml:space="preserve">. NIHR </w:t>
      </w:r>
      <w:r w:rsidR="002813F2" w:rsidRPr="00FA713A">
        <w:rPr>
          <w:sz w:val="24"/>
          <w:szCs w:val="24"/>
        </w:rPr>
        <w:t xml:space="preserve">Post Doctoral </w:t>
      </w:r>
      <w:r w:rsidR="006A7C6B" w:rsidRPr="00FA713A">
        <w:rPr>
          <w:sz w:val="24"/>
          <w:szCs w:val="24"/>
        </w:rPr>
        <w:t>Fellowship Programme, UK</w:t>
      </w:r>
    </w:p>
    <w:p w:rsidR="00FA3899" w:rsidRPr="00FA713A" w:rsidRDefault="00FA3899" w:rsidP="00B73A43">
      <w:pPr>
        <w:spacing w:line="480" w:lineRule="auto"/>
        <w:rPr>
          <w:sz w:val="24"/>
          <w:szCs w:val="24"/>
        </w:rPr>
      </w:pPr>
      <w:r w:rsidRPr="00FA713A">
        <w:rPr>
          <w:sz w:val="24"/>
          <w:szCs w:val="24"/>
        </w:rPr>
        <w:t>5. Southampton Clinical Trials Unit, University of Southampton, UK</w:t>
      </w:r>
    </w:p>
    <w:p w:rsidR="009251AE" w:rsidRPr="00FA713A" w:rsidRDefault="009251AE" w:rsidP="009251AE">
      <w:pPr>
        <w:rPr>
          <w:sz w:val="24"/>
          <w:szCs w:val="24"/>
        </w:rPr>
      </w:pPr>
      <w:r w:rsidRPr="00FA713A">
        <w:rPr>
          <w:sz w:val="24"/>
          <w:szCs w:val="24"/>
        </w:rPr>
        <w:t>*Corresponding author</w:t>
      </w:r>
    </w:p>
    <w:p w:rsidR="006A7C6B" w:rsidRPr="00FA713A" w:rsidRDefault="009251AE" w:rsidP="006A7C6B">
      <w:pPr>
        <w:rPr>
          <w:sz w:val="24"/>
          <w:szCs w:val="24"/>
        </w:rPr>
      </w:pPr>
      <w:r w:rsidRPr="00FA713A">
        <w:rPr>
          <w:sz w:val="24"/>
          <w:szCs w:val="24"/>
        </w:rPr>
        <w:t>Dr Tristan William Clark, Associate Professor and Co</w:t>
      </w:r>
      <w:r w:rsidR="006A7C6B" w:rsidRPr="00FA713A">
        <w:rPr>
          <w:sz w:val="24"/>
          <w:szCs w:val="24"/>
        </w:rPr>
        <w:t xml:space="preserve">nsultant in Infectious Diseases. </w:t>
      </w:r>
    </w:p>
    <w:p w:rsidR="006A7C6B" w:rsidRPr="00FA713A" w:rsidRDefault="00E449EE" w:rsidP="006A7C6B">
      <w:pPr>
        <w:rPr>
          <w:sz w:val="24"/>
          <w:szCs w:val="24"/>
        </w:rPr>
      </w:pPr>
      <w:r w:rsidRPr="00FA713A">
        <w:rPr>
          <w:sz w:val="24"/>
          <w:szCs w:val="24"/>
        </w:rPr>
        <w:t>NIHR Post D</w:t>
      </w:r>
      <w:r w:rsidR="006A7C6B" w:rsidRPr="00FA713A">
        <w:rPr>
          <w:sz w:val="24"/>
          <w:szCs w:val="24"/>
        </w:rPr>
        <w:t xml:space="preserve">octoral Fellow. </w:t>
      </w:r>
    </w:p>
    <w:p w:rsidR="00FA713A" w:rsidRPr="00165157" w:rsidRDefault="009251AE" w:rsidP="006A7C6B">
      <w:pPr>
        <w:rPr>
          <w:rStyle w:val="Hyperlink"/>
          <w:color w:val="auto"/>
          <w:sz w:val="24"/>
          <w:szCs w:val="24"/>
          <w:u w:val="none"/>
        </w:rPr>
      </w:pPr>
      <w:r w:rsidRPr="00FA713A">
        <w:rPr>
          <w:sz w:val="24"/>
          <w:szCs w:val="24"/>
        </w:rPr>
        <w:t>Address: LF101, South Academic block, Southampton General Hospital, Southampton, SO16 6YD.</w:t>
      </w:r>
      <w:r w:rsidR="00165157">
        <w:rPr>
          <w:sz w:val="24"/>
          <w:szCs w:val="24"/>
        </w:rPr>
        <w:t xml:space="preserve"> </w:t>
      </w:r>
      <w:r w:rsidRPr="00FA713A">
        <w:rPr>
          <w:sz w:val="24"/>
          <w:szCs w:val="24"/>
        </w:rPr>
        <w:t>Tel: 0044(0)23818410</w:t>
      </w:r>
      <w:r w:rsidRPr="00FA713A">
        <w:rPr>
          <w:sz w:val="24"/>
          <w:szCs w:val="24"/>
        </w:rPr>
        <w:tab/>
        <w:t xml:space="preserve">E-mail address: </w:t>
      </w:r>
      <w:hyperlink r:id="rId7" w:history="1">
        <w:r w:rsidR="006A7C6B" w:rsidRPr="00FA713A">
          <w:rPr>
            <w:rStyle w:val="Hyperlink"/>
            <w:color w:val="auto"/>
            <w:sz w:val="24"/>
            <w:szCs w:val="24"/>
          </w:rPr>
          <w:t>T.W.Clark@soton.ac.uk</w:t>
        </w:r>
      </w:hyperlink>
    </w:p>
    <w:p w:rsidR="00B73A43" w:rsidRDefault="00B73A43" w:rsidP="006A7C6B">
      <w:pPr>
        <w:rPr>
          <w:rStyle w:val="Hyperlink"/>
          <w:color w:val="auto"/>
        </w:rPr>
      </w:pPr>
    </w:p>
    <w:p w:rsidR="00165157" w:rsidRPr="00165157" w:rsidRDefault="00165157" w:rsidP="00B73A43">
      <w:pPr>
        <w:rPr>
          <w:rStyle w:val="Hyperlink"/>
          <w:color w:val="auto"/>
          <w:sz w:val="24"/>
          <w:szCs w:val="24"/>
          <w:u w:val="none"/>
        </w:rPr>
      </w:pPr>
      <w:r>
        <w:rPr>
          <w:rStyle w:val="Hyperlink"/>
          <w:b/>
          <w:color w:val="auto"/>
          <w:sz w:val="24"/>
          <w:szCs w:val="24"/>
          <w:u w:val="none"/>
        </w:rPr>
        <w:t xml:space="preserve">Key words </w:t>
      </w:r>
      <w:r w:rsidRPr="00165157">
        <w:rPr>
          <w:rStyle w:val="Hyperlink"/>
          <w:color w:val="auto"/>
          <w:sz w:val="24"/>
          <w:szCs w:val="24"/>
          <w:u w:val="none"/>
        </w:rPr>
        <w:t>Point of care</w:t>
      </w:r>
      <w:r>
        <w:rPr>
          <w:rStyle w:val="Hyperlink"/>
          <w:color w:val="auto"/>
          <w:sz w:val="24"/>
          <w:szCs w:val="24"/>
          <w:u w:val="none"/>
        </w:rPr>
        <w:t xml:space="preserve"> testing</w:t>
      </w:r>
      <w:r w:rsidRPr="00165157">
        <w:rPr>
          <w:rStyle w:val="Hyperlink"/>
          <w:color w:val="auto"/>
          <w:sz w:val="24"/>
          <w:szCs w:val="24"/>
          <w:u w:val="none"/>
        </w:rPr>
        <w:t xml:space="preserve">, host response, </w:t>
      </w:r>
      <w:r>
        <w:rPr>
          <w:rStyle w:val="Hyperlink"/>
          <w:color w:val="auto"/>
          <w:sz w:val="24"/>
          <w:szCs w:val="24"/>
          <w:u w:val="none"/>
        </w:rPr>
        <w:t xml:space="preserve">MxA, </w:t>
      </w:r>
      <w:r w:rsidRPr="00165157">
        <w:rPr>
          <w:rStyle w:val="Hyperlink"/>
          <w:color w:val="auto"/>
          <w:sz w:val="24"/>
          <w:szCs w:val="24"/>
          <w:u w:val="none"/>
        </w:rPr>
        <w:t>accuracy, COVID-19, SARS-CoV-2</w:t>
      </w:r>
    </w:p>
    <w:p w:rsidR="00B73A43" w:rsidRDefault="00B73A43" w:rsidP="00B73A43">
      <w:pPr>
        <w:rPr>
          <w:rStyle w:val="Hyperlink"/>
          <w:color w:val="auto"/>
          <w:sz w:val="24"/>
          <w:szCs w:val="24"/>
          <w:u w:val="none"/>
        </w:rPr>
      </w:pPr>
      <w:r w:rsidRPr="00FA713A">
        <w:rPr>
          <w:rStyle w:val="Hyperlink"/>
          <w:b/>
          <w:color w:val="auto"/>
          <w:sz w:val="24"/>
          <w:szCs w:val="24"/>
          <w:u w:val="none"/>
        </w:rPr>
        <w:t>Running header</w:t>
      </w:r>
      <w:r>
        <w:rPr>
          <w:rStyle w:val="Hyperlink"/>
          <w:b/>
          <w:color w:val="auto"/>
          <w:sz w:val="24"/>
          <w:szCs w:val="24"/>
          <w:u w:val="none"/>
        </w:rPr>
        <w:t xml:space="preserve"> </w:t>
      </w:r>
      <w:r w:rsidRPr="000A5D43">
        <w:rPr>
          <w:rStyle w:val="Hyperlink"/>
          <w:color w:val="auto"/>
          <w:sz w:val="24"/>
          <w:szCs w:val="24"/>
          <w:u w:val="none"/>
        </w:rPr>
        <w:t>Host response point</w:t>
      </w:r>
      <w:r>
        <w:rPr>
          <w:rStyle w:val="Hyperlink"/>
          <w:color w:val="auto"/>
          <w:sz w:val="24"/>
          <w:szCs w:val="24"/>
          <w:u w:val="none"/>
        </w:rPr>
        <w:t>-of-care testing for COVID</w:t>
      </w:r>
      <w:r w:rsidRPr="000A5D43">
        <w:rPr>
          <w:rStyle w:val="Hyperlink"/>
          <w:color w:val="auto"/>
          <w:sz w:val="24"/>
          <w:szCs w:val="24"/>
          <w:u w:val="none"/>
        </w:rPr>
        <w:t xml:space="preserve">-19 </w:t>
      </w:r>
    </w:p>
    <w:p w:rsidR="005E2067" w:rsidRDefault="005E2067" w:rsidP="00B73A43">
      <w:pPr>
        <w:rPr>
          <w:rStyle w:val="Hyperlink"/>
          <w:color w:val="auto"/>
          <w:sz w:val="24"/>
          <w:szCs w:val="24"/>
          <w:u w:val="none"/>
        </w:rPr>
      </w:pPr>
    </w:p>
    <w:p w:rsidR="005E2067" w:rsidRDefault="005E2067" w:rsidP="00B73A43">
      <w:pPr>
        <w:rPr>
          <w:rStyle w:val="Hyperlink"/>
          <w:color w:val="auto"/>
          <w:sz w:val="24"/>
          <w:szCs w:val="24"/>
          <w:u w:val="none"/>
        </w:rPr>
      </w:pPr>
    </w:p>
    <w:p w:rsidR="009251AE" w:rsidRPr="00474463" w:rsidRDefault="007E0451" w:rsidP="006A7C6B">
      <w:pPr>
        <w:rPr>
          <w:sz w:val="24"/>
          <w:szCs w:val="24"/>
        </w:rPr>
      </w:pPr>
      <w:r>
        <w:rPr>
          <w:b/>
          <w:bCs/>
          <w:sz w:val="32"/>
          <w:szCs w:val="32"/>
        </w:rPr>
        <w:lastRenderedPageBreak/>
        <w:t>Abstract</w:t>
      </w:r>
    </w:p>
    <w:p w:rsidR="00642814" w:rsidRPr="000A5D43" w:rsidRDefault="00B73A43" w:rsidP="009939CA">
      <w:pPr>
        <w:spacing w:after="0" w:line="480" w:lineRule="auto"/>
        <w:jc w:val="both"/>
        <w:rPr>
          <w:b/>
          <w:bCs/>
          <w:sz w:val="24"/>
          <w:szCs w:val="24"/>
        </w:rPr>
      </w:pPr>
      <w:r>
        <w:rPr>
          <w:b/>
          <w:bCs/>
          <w:sz w:val="24"/>
          <w:szCs w:val="24"/>
        </w:rPr>
        <w:t xml:space="preserve">Introduction </w:t>
      </w:r>
      <w:r w:rsidR="00BA2B6A">
        <w:rPr>
          <w:bCs/>
          <w:sz w:val="24"/>
          <w:szCs w:val="24"/>
        </w:rPr>
        <w:t>M</w:t>
      </w:r>
      <w:r w:rsidR="005436A4" w:rsidRPr="00FA713A">
        <w:rPr>
          <w:bCs/>
          <w:sz w:val="24"/>
          <w:szCs w:val="24"/>
        </w:rPr>
        <w:t>anagement of the COVID</w:t>
      </w:r>
      <w:r w:rsidR="0060347E" w:rsidRPr="00FA713A">
        <w:rPr>
          <w:bCs/>
          <w:sz w:val="24"/>
          <w:szCs w:val="24"/>
        </w:rPr>
        <w:t xml:space="preserve">-19 pandemic </w:t>
      </w:r>
      <w:r w:rsidR="00397CC4" w:rsidRPr="00FA713A">
        <w:rPr>
          <w:bCs/>
          <w:sz w:val="24"/>
          <w:szCs w:val="24"/>
        </w:rPr>
        <w:t xml:space="preserve">is </w:t>
      </w:r>
      <w:r w:rsidR="0060347E" w:rsidRPr="00FA713A">
        <w:rPr>
          <w:bCs/>
          <w:sz w:val="24"/>
          <w:szCs w:val="24"/>
        </w:rPr>
        <w:t xml:space="preserve">hampered by long delays </w:t>
      </w:r>
      <w:r w:rsidR="00D82860" w:rsidRPr="00FA713A">
        <w:rPr>
          <w:bCs/>
          <w:sz w:val="24"/>
          <w:szCs w:val="24"/>
        </w:rPr>
        <w:t>associated with</w:t>
      </w:r>
      <w:r w:rsidR="0060347E" w:rsidRPr="00FA713A">
        <w:rPr>
          <w:bCs/>
          <w:sz w:val="24"/>
          <w:szCs w:val="24"/>
        </w:rPr>
        <w:t xml:space="preserve"> </w:t>
      </w:r>
      <w:r w:rsidR="00BA2B6A">
        <w:rPr>
          <w:bCs/>
          <w:sz w:val="24"/>
          <w:szCs w:val="24"/>
        </w:rPr>
        <w:t xml:space="preserve">centralised </w:t>
      </w:r>
      <w:r w:rsidR="0060347E" w:rsidRPr="00FA713A">
        <w:rPr>
          <w:bCs/>
          <w:sz w:val="24"/>
          <w:szCs w:val="24"/>
        </w:rPr>
        <w:t>laboratory PCR</w:t>
      </w:r>
      <w:r w:rsidR="00EC46B9" w:rsidRPr="00FA713A">
        <w:rPr>
          <w:bCs/>
          <w:sz w:val="24"/>
          <w:szCs w:val="24"/>
        </w:rPr>
        <w:t xml:space="preserve"> testing</w:t>
      </w:r>
      <w:r w:rsidR="0060347E" w:rsidRPr="00FA713A">
        <w:rPr>
          <w:bCs/>
          <w:sz w:val="24"/>
          <w:szCs w:val="24"/>
        </w:rPr>
        <w:t xml:space="preserve">. </w:t>
      </w:r>
      <w:r w:rsidR="00397CC4" w:rsidRPr="00FA713A">
        <w:rPr>
          <w:bCs/>
          <w:sz w:val="24"/>
          <w:szCs w:val="24"/>
        </w:rPr>
        <w:t>In hospitals this leads to poor patient flow and</w:t>
      </w:r>
      <w:r w:rsidR="0070651B" w:rsidRPr="00FA713A">
        <w:rPr>
          <w:bCs/>
          <w:sz w:val="24"/>
          <w:szCs w:val="24"/>
        </w:rPr>
        <w:t xml:space="preserve"> </w:t>
      </w:r>
      <w:r w:rsidR="00C8221F" w:rsidRPr="00FA713A">
        <w:rPr>
          <w:bCs/>
          <w:sz w:val="24"/>
          <w:szCs w:val="24"/>
        </w:rPr>
        <w:t xml:space="preserve">nosocomial transmission </w:t>
      </w:r>
      <w:r w:rsidR="001E59C5">
        <w:rPr>
          <w:bCs/>
          <w:sz w:val="24"/>
          <w:szCs w:val="24"/>
        </w:rPr>
        <w:t xml:space="preserve">and </w:t>
      </w:r>
      <w:r w:rsidR="001F3594">
        <w:rPr>
          <w:bCs/>
          <w:sz w:val="24"/>
          <w:szCs w:val="24"/>
        </w:rPr>
        <w:t xml:space="preserve">so </w:t>
      </w:r>
      <w:r w:rsidR="0070651B" w:rsidRPr="00FA713A">
        <w:rPr>
          <w:bCs/>
          <w:sz w:val="24"/>
          <w:szCs w:val="24"/>
        </w:rPr>
        <w:t>r</w:t>
      </w:r>
      <w:r w:rsidR="005B21F7" w:rsidRPr="00FA713A">
        <w:rPr>
          <w:bCs/>
          <w:sz w:val="24"/>
          <w:szCs w:val="24"/>
        </w:rPr>
        <w:t xml:space="preserve">apid, </w:t>
      </w:r>
      <w:r w:rsidR="00397CC4" w:rsidRPr="00FA713A">
        <w:rPr>
          <w:bCs/>
          <w:sz w:val="24"/>
          <w:szCs w:val="24"/>
        </w:rPr>
        <w:t xml:space="preserve">accurate diagnostic </w:t>
      </w:r>
      <w:r w:rsidR="00495C4A" w:rsidRPr="00FA713A">
        <w:rPr>
          <w:bCs/>
          <w:sz w:val="24"/>
          <w:szCs w:val="24"/>
        </w:rPr>
        <w:t>test</w:t>
      </w:r>
      <w:r w:rsidR="00231723" w:rsidRPr="00FA713A">
        <w:rPr>
          <w:bCs/>
          <w:sz w:val="24"/>
          <w:szCs w:val="24"/>
        </w:rPr>
        <w:t>s</w:t>
      </w:r>
      <w:r w:rsidR="00495C4A" w:rsidRPr="00FA713A">
        <w:rPr>
          <w:bCs/>
          <w:sz w:val="24"/>
          <w:szCs w:val="24"/>
        </w:rPr>
        <w:t xml:space="preserve"> </w:t>
      </w:r>
      <w:r w:rsidR="00397CC4" w:rsidRPr="00FA713A">
        <w:rPr>
          <w:bCs/>
          <w:sz w:val="24"/>
          <w:szCs w:val="24"/>
        </w:rPr>
        <w:t xml:space="preserve">are urgently required. </w:t>
      </w:r>
      <w:r w:rsidR="00D82860" w:rsidRPr="00FA713A">
        <w:rPr>
          <w:bCs/>
          <w:sz w:val="24"/>
          <w:szCs w:val="24"/>
        </w:rPr>
        <w:t xml:space="preserve">The FebriDx is a </w:t>
      </w:r>
      <w:r w:rsidR="00495C4A" w:rsidRPr="00FA713A">
        <w:rPr>
          <w:bCs/>
          <w:sz w:val="24"/>
          <w:szCs w:val="24"/>
        </w:rPr>
        <w:t>point-of-care test that dete</w:t>
      </w:r>
      <w:r w:rsidR="00EC46B9" w:rsidRPr="00FA713A">
        <w:rPr>
          <w:bCs/>
          <w:sz w:val="24"/>
          <w:szCs w:val="24"/>
        </w:rPr>
        <w:t xml:space="preserve">cts </w:t>
      </w:r>
      <w:r w:rsidR="001E59C5">
        <w:rPr>
          <w:bCs/>
          <w:sz w:val="24"/>
          <w:szCs w:val="24"/>
        </w:rPr>
        <w:t xml:space="preserve">an antiviral </w:t>
      </w:r>
      <w:r w:rsidR="00EC46B9" w:rsidRPr="00FA713A">
        <w:rPr>
          <w:bCs/>
          <w:sz w:val="24"/>
          <w:szCs w:val="24"/>
        </w:rPr>
        <w:t xml:space="preserve">host response </w:t>
      </w:r>
      <w:r w:rsidR="001E59C5">
        <w:rPr>
          <w:bCs/>
          <w:sz w:val="24"/>
          <w:szCs w:val="24"/>
        </w:rPr>
        <w:t>protein</w:t>
      </w:r>
      <w:r w:rsidR="0032797B" w:rsidRPr="00FA713A">
        <w:rPr>
          <w:bCs/>
          <w:sz w:val="24"/>
          <w:szCs w:val="24"/>
        </w:rPr>
        <w:t xml:space="preserve"> </w:t>
      </w:r>
      <w:r w:rsidR="0070651B" w:rsidRPr="00FA713A">
        <w:rPr>
          <w:bCs/>
          <w:sz w:val="24"/>
          <w:szCs w:val="24"/>
        </w:rPr>
        <w:t>in finger</w:t>
      </w:r>
      <w:r w:rsidR="00DA7205" w:rsidRPr="00FA713A">
        <w:rPr>
          <w:bCs/>
          <w:sz w:val="24"/>
          <w:szCs w:val="24"/>
        </w:rPr>
        <w:t xml:space="preserve"> </w:t>
      </w:r>
      <w:r w:rsidR="0070651B" w:rsidRPr="00FA713A">
        <w:rPr>
          <w:bCs/>
          <w:sz w:val="24"/>
          <w:szCs w:val="24"/>
        </w:rPr>
        <w:t>p</w:t>
      </w:r>
      <w:r w:rsidR="00DA7205" w:rsidRPr="00FA713A">
        <w:rPr>
          <w:bCs/>
          <w:sz w:val="24"/>
          <w:szCs w:val="24"/>
        </w:rPr>
        <w:t>r</w:t>
      </w:r>
      <w:r w:rsidR="0070651B" w:rsidRPr="00FA713A">
        <w:rPr>
          <w:bCs/>
          <w:sz w:val="24"/>
          <w:szCs w:val="24"/>
        </w:rPr>
        <w:t>ick blood</w:t>
      </w:r>
      <w:r w:rsidR="00DA7205" w:rsidRPr="00FA713A">
        <w:rPr>
          <w:bCs/>
          <w:sz w:val="24"/>
          <w:szCs w:val="24"/>
        </w:rPr>
        <w:t xml:space="preserve"> within 10 minutes</w:t>
      </w:r>
      <w:r w:rsidR="006F55F2" w:rsidRPr="00FA713A">
        <w:rPr>
          <w:bCs/>
          <w:sz w:val="24"/>
          <w:szCs w:val="24"/>
        </w:rPr>
        <w:t>,</w:t>
      </w:r>
      <w:r w:rsidR="00330970" w:rsidRPr="00FA713A">
        <w:rPr>
          <w:bCs/>
          <w:sz w:val="24"/>
          <w:szCs w:val="24"/>
        </w:rPr>
        <w:t xml:space="preserve"> </w:t>
      </w:r>
      <w:r w:rsidR="0032797B" w:rsidRPr="00FA713A">
        <w:rPr>
          <w:bCs/>
          <w:sz w:val="24"/>
          <w:szCs w:val="24"/>
        </w:rPr>
        <w:t xml:space="preserve">but </w:t>
      </w:r>
      <w:r w:rsidR="00D82860" w:rsidRPr="00FA713A">
        <w:rPr>
          <w:bCs/>
          <w:sz w:val="24"/>
          <w:szCs w:val="24"/>
        </w:rPr>
        <w:t>its</w:t>
      </w:r>
      <w:r w:rsidR="00495C4A" w:rsidRPr="00FA713A">
        <w:rPr>
          <w:bCs/>
          <w:sz w:val="24"/>
          <w:szCs w:val="24"/>
        </w:rPr>
        <w:t xml:space="preserve"> </w:t>
      </w:r>
      <w:r>
        <w:rPr>
          <w:bCs/>
          <w:sz w:val="24"/>
          <w:szCs w:val="24"/>
        </w:rPr>
        <w:t>accuracy for the identification</w:t>
      </w:r>
      <w:r w:rsidR="005436A4" w:rsidRPr="00FA713A">
        <w:rPr>
          <w:bCs/>
          <w:sz w:val="24"/>
          <w:szCs w:val="24"/>
        </w:rPr>
        <w:t xml:space="preserve"> of COVID</w:t>
      </w:r>
      <w:r w:rsidR="0032797B" w:rsidRPr="00FA713A">
        <w:rPr>
          <w:bCs/>
          <w:sz w:val="24"/>
          <w:szCs w:val="24"/>
        </w:rPr>
        <w:t>-19</w:t>
      </w:r>
      <w:r w:rsidR="00495C4A" w:rsidRPr="00FA713A">
        <w:rPr>
          <w:bCs/>
          <w:sz w:val="24"/>
          <w:szCs w:val="24"/>
        </w:rPr>
        <w:t xml:space="preserve"> is unknown. </w:t>
      </w:r>
    </w:p>
    <w:p w:rsidR="009251AE" w:rsidRPr="000A5D43" w:rsidRDefault="000A5D43" w:rsidP="009939CA">
      <w:pPr>
        <w:spacing w:after="0" w:line="480" w:lineRule="auto"/>
        <w:jc w:val="both"/>
        <w:rPr>
          <w:b/>
          <w:bCs/>
          <w:sz w:val="24"/>
          <w:szCs w:val="24"/>
        </w:rPr>
      </w:pPr>
      <w:r>
        <w:rPr>
          <w:b/>
          <w:bCs/>
          <w:sz w:val="24"/>
          <w:szCs w:val="24"/>
        </w:rPr>
        <w:t xml:space="preserve">Methods </w:t>
      </w:r>
      <w:r w:rsidR="001F3594" w:rsidRPr="001F3594">
        <w:rPr>
          <w:bCs/>
          <w:sz w:val="24"/>
          <w:szCs w:val="24"/>
        </w:rPr>
        <w:t>We</w:t>
      </w:r>
      <w:r w:rsidR="001F3594">
        <w:rPr>
          <w:bCs/>
          <w:sz w:val="24"/>
          <w:szCs w:val="24"/>
        </w:rPr>
        <w:t xml:space="preserve"> performed</w:t>
      </w:r>
      <w:r w:rsidR="00EE06A1">
        <w:rPr>
          <w:bCs/>
          <w:sz w:val="24"/>
          <w:szCs w:val="24"/>
        </w:rPr>
        <w:t xml:space="preserve"> a real-</w:t>
      </w:r>
      <w:r w:rsidR="001F3594">
        <w:rPr>
          <w:bCs/>
          <w:sz w:val="24"/>
          <w:szCs w:val="24"/>
        </w:rPr>
        <w:t>world</w:t>
      </w:r>
      <w:r w:rsidR="001F3594" w:rsidRPr="001F3594">
        <w:rPr>
          <w:bCs/>
          <w:sz w:val="24"/>
          <w:szCs w:val="24"/>
        </w:rPr>
        <w:t xml:space="preserve"> diagnostic accuracy </w:t>
      </w:r>
      <w:r w:rsidR="001F3594">
        <w:rPr>
          <w:bCs/>
          <w:sz w:val="24"/>
          <w:szCs w:val="24"/>
        </w:rPr>
        <w:t xml:space="preserve">study </w:t>
      </w:r>
      <w:r w:rsidR="001F3594" w:rsidRPr="001F3594">
        <w:rPr>
          <w:bCs/>
          <w:sz w:val="24"/>
          <w:szCs w:val="24"/>
        </w:rPr>
        <w:t>of FebriDx in hospitalised patients during the first wave of the pandemic</w:t>
      </w:r>
      <w:r w:rsidR="001F3594">
        <w:rPr>
          <w:bCs/>
          <w:sz w:val="24"/>
          <w:szCs w:val="24"/>
        </w:rPr>
        <w:t>.</w:t>
      </w:r>
      <w:r w:rsidR="001F3594" w:rsidRPr="001F3594">
        <w:rPr>
          <w:b/>
          <w:bCs/>
          <w:sz w:val="24"/>
          <w:szCs w:val="24"/>
        </w:rPr>
        <w:t xml:space="preserve"> </w:t>
      </w:r>
      <w:r w:rsidR="001C5054" w:rsidRPr="00FA713A">
        <w:rPr>
          <w:bCs/>
          <w:sz w:val="24"/>
          <w:szCs w:val="24"/>
        </w:rPr>
        <w:t>M</w:t>
      </w:r>
      <w:r w:rsidR="00C8221F" w:rsidRPr="00FA713A">
        <w:rPr>
          <w:bCs/>
          <w:sz w:val="24"/>
          <w:szCs w:val="24"/>
        </w:rPr>
        <w:t>eas</w:t>
      </w:r>
      <w:r w:rsidR="001C5054" w:rsidRPr="00FA713A">
        <w:rPr>
          <w:bCs/>
          <w:sz w:val="24"/>
          <w:szCs w:val="24"/>
        </w:rPr>
        <w:t>ures of diagnostic accuracy</w:t>
      </w:r>
      <w:r w:rsidR="00C8221F" w:rsidRPr="00FA713A">
        <w:rPr>
          <w:bCs/>
          <w:sz w:val="24"/>
          <w:szCs w:val="24"/>
        </w:rPr>
        <w:t xml:space="preserve"> were calculate</w:t>
      </w:r>
      <w:r w:rsidR="00E74CF4" w:rsidRPr="00FA713A">
        <w:rPr>
          <w:bCs/>
          <w:sz w:val="24"/>
          <w:szCs w:val="24"/>
        </w:rPr>
        <w:t xml:space="preserve">d based on FebriDx results </w:t>
      </w:r>
      <w:r w:rsidR="00E855EE" w:rsidRPr="00FA713A">
        <w:rPr>
          <w:bCs/>
          <w:sz w:val="24"/>
          <w:szCs w:val="24"/>
        </w:rPr>
        <w:t xml:space="preserve">compared to the reference standard of </w:t>
      </w:r>
      <w:r w:rsidR="001F3594">
        <w:rPr>
          <w:bCs/>
          <w:sz w:val="24"/>
          <w:szCs w:val="24"/>
        </w:rPr>
        <w:t xml:space="preserve">SARS-CoV-2 </w:t>
      </w:r>
      <w:r w:rsidR="00EE06A1">
        <w:rPr>
          <w:bCs/>
          <w:sz w:val="24"/>
          <w:szCs w:val="24"/>
        </w:rPr>
        <w:t>PCR on combined nose and throat swabs</w:t>
      </w:r>
      <w:r w:rsidR="00C8221F" w:rsidRPr="00FA713A">
        <w:rPr>
          <w:bCs/>
          <w:sz w:val="24"/>
          <w:szCs w:val="24"/>
        </w:rPr>
        <w:t xml:space="preserve">. </w:t>
      </w:r>
      <w:r w:rsidR="00E74CF4" w:rsidRPr="00FA713A">
        <w:rPr>
          <w:bCs/>
          <w:sz w:val="24"/>
          <w:szCs w:val="24"/>
        </w:rPr>
        <w:t xml:space="preserve">A multivariable </w:t>
      </w:r>
      <w:r w:rsidR="00E855EE" w:rsidRPr="00FA713A">
        <w:rPr>
          <w:bCs/>
          <w:sz w:val="24"/>
          <w:szCs w:val="24"/>
        </w:rPr>
        <w:t xml:space="preserve">predictive </w:t>
      </w:r>
      <w:r w:rsidR="00E74CF4" w:rsidRPr="00FA713A">
        <w:rPr>
          <w:bCs/>
          <w:sz w:val="24"/>
          <w:szCs w:val="24"/>
        </w:rPr>
        <w:t>model</w:t>
      </w:r>
      <w:r w:rsidR="00EE06A1" w:rsidRPr="00EE06A1">
        <w:t xml:space="preserve"> </w:t>
      </w:r>
      <w:r w:rsidR="00EE06A1" w:rsidRPr="00EE06A1">
        <w:rPr>
          <w:bCs/>
          <w:sz w:val="24"/>
          <w:szCs w:val="24"/>
        </w:rPr>
        <w:t>including FebriDx, age, sex, and clinical characteristics</w:t>
      </w:r>
      <w:r w:rsidR="00E74CF4" w:rsidRPr="00FA713A">
        <w:rPr>
          <w:bCs/>
          <w:sz w:val="24"/>
          <w:szCs w:val="24"/>
        </w:rPr>
        <w:t xml:space="preserve"> was developed and underwent internal validation.</w:t>
      </w:r>
      <w:r w:rsidR="0070651B" w:rsidRPr="00FA713A">
        <w:rPr>
          <w:sz w:val="24"/>
          <w:szCs w:val="24"/>
        </w:rPr>
        <w:t xml:space="preserve"> </w:t>
      </w:r>
    </w:p>
    <w:p w:rsidR="00C13541" w:rsidRPr="00FA713A" w:rsidRDefault="000A5D43" w:rsidP="009939CA">
      <w:pPr>
        <w:spacing w:after="0" w:line="480" w:lineRule="auto"/>
        <w:jc w:val="both"/>
        <w:rPr>
          <w:b/>
          <w:bCs/>
          <w:sz w:val="24"/>
          <w:szCs w:val="24"/>
        </w:rPr>
      </w:pPr>
      <w:r>
        <w:rPr>
          <w:b/>
          <w:bCs/>
          <w:sz w:val="24"/>
          <w:szCs w:val="24"/>
        </w:rPr>
        <w:t xml:space="preserve">Results </w:t>
      </w:r>
      <w:r w:rsidR="00C8221F" w:rsidRPr="00FA713A">
        <w:rPr>
          <w:sz w:val="24"/>
          <w:szCs w:val="24"/>
        </w:rPr>
        <w:t>FebriDx was performed on 251</w:t>
      </w:r>
      <w:r w:rsidR="001C5054" w:rsidRPr="00FA713A">
        <w:rPr>
          <w:sz w:val="24"/>
          <w:szCs w:val="24"/>
        </w:rPr>
        <w:t xml:space="preserve"> </w:t>
      </w:r>
      <w:r w:rsidR="00EC46B9" w:rsidRPr="00FA713A">
        <w:rPr>
          <w:sz w:val="24"/>
          <w:szCs w:val="24"/>
        </w:rPr>
        <w:t>patien</w:t>
      </w:r>
      <w:r w:rsidR="00C8221F" w:rsidRPr="00FA713A">
        <w:rPr>
          <w:sz w:val="24"/>
          <w:szCs w:val="24"/>
        </w:rPr>
        <w:t>ts and gave a valid result in 248</w:t>
      </w:r>
      <w:r w:rsidR="00E95EC0">
        <w:rPr>
          <w:sz w:val="24"/>
          <w:szCs w:val="24"/>
        </w:rPr>
        <w:t xml:space="preserve">.  </w:t>
      </w:r>
      <w:r w:rsidR="001C5054" w:rsidRPr="00FA713A">
        <w:rPr>
          <w:sz w:val="24"/>
          <w:szCs w:val="24"/>
        </w:rPr>
        <w:t xml:space="preserve">118 of 248 </w:t>
      </w:r>
      <w:r w:rsidR="00202014" w:rsidRPr="00FA713A">
        <w:rPr>
          <w:sz w:val="24"/>
          <w:szCs w:val="24"/>
        </w:rPr>
        <w:t>(</w:t>
      </w:r>
      <w:r w:rsidR="001C5054" w:rsidRPr="00FA713A">
        <w:rPr>
          <w:sz w:val="24"/>
          <w:szCs w:val="24"/>
        </w:rPr>
        <w:t>48</w:t>
      </w:r>
      <w:r w:rsidR="005436A4" w:rsidRPr="00FA713A">
        <w:rPr>
          <w:sz w:val="24"/>
          <w:szCs w:val="24"/>
        </w:rPr>
        <w:t xml:space="preserve">%) </w:t>
      </w:r>
      <w:r w:rsidR="00E74CF4" w:rsidRPr="00FA713A">
        <w:rPr>
          <w:sz w:val="24"/>
          <w:szCs w:val="24"/>
        </w:rPr>
        <w:t xml:space="preserve">were PCR positive for </w:t>
      </w:r>
      <w:r w:rsidR="005436A4" w:rsidRPr="00FA713A">
        <w:rPr>
          <w:sz w:val="24"/>
          <w:szCs w:val="24"/>
        </w:rPr>
        <w:t>C</w:t>
      </w:r>
      <w:r w:rsidR="005436A4" w:rsidRPr="006A07B5">
        <w:rPr>
          <w:sz w:val="24"/>
          <w:szCs w:val="24"/>
        </w:rPr>
        <w:t>OVID</w:t>
      </w:r>
      <w:r w:rsidR="00E74CF4" w:rsidRPr="006A07B5">
        <w:rPr>
          <w:sz w:val="24"/>
          <w:szCs w:val="24"/>
        </w:rPr>
        <w:t xml:space="preserve">-19. </w:t>
      </w:r>
      <w:r w:rsidR="00E95EC0" w:rsidRPr="006A07B5">
        <w:rPr>
          <w:sz w:val="24"/>
          <w:szCs w:val="24"/>
        </w:rPr>
        <w:t>FebriDx results were available after 10 minutes compared with 1.7</w:t>
      </w:r>
      <w:r w:rsidR="005E2067" w:rsidRPr="006A07B5">
        <w:rPr>
          <w:sz w:val="24"/>
          <w:szCs w:val="24"/>
        </w:rPr>
        <w:t xml:space="preserve"> (1.6 to 2.1) </w:t>
      </w:r>
      <w:r w:rsidR="00E95EC0" w:rsidRPr="006A07B5">
        <w:rPr>
          <w:sz w:val="24"/>
          <w:szCs w:val="24"/>
        </w:rPr>
        <w:t xml:space="preserve">hours with point-of-care PCR testing </w:t>
      </w:r>
      <w:r w:rsidR="005E2067" w:rsidRPr="006A07B5">
        <w:rPr>
          <w:sz w:val="24"/>
          <w:szCs w:val="24"/>
        </w:rPr>
        <w:t>and 23.4 (17.2 to 31.1)</w:t>
      </w:r>
      <w:r w:rsidR="00E95EC0" w:rsidRPr="006A07B5">
        <w:rPr>
          <w:sz w:val="24"/>
          <w:szCs w:val="24"/>
        </w:rPr>
        <w:t xml:space="preserve"> hours with laboratory PCR testing. </w:t>
      </w:r>
      <w:r w:rsidR="00642814" w:rsidRPr="006A07B5">
        <w:rPr>
          <w:sz w:val="24"/>
          <w:szCs w:val="24"/>
        </w:rPr>
        <w:t xml:space="preserve">Sensitivity </w:t>
      </w:r>
      <w:r w:rsidR="005B21F7" w:rsidRPr="00FA713A">
        <w:rPr>
          <w:sz w:val="24"/>
          <w:szCs w:val="24"/>
        </w:rPr>
        <w:t>of Febri</w:t>
      </w:r>
      <w:r w:rsidR="00D82860" w:rsidRPr="00FA713A">
        <w:rPr>
          <w:sz w:val="24"/>
          <w:szCs w:val="24"/>
        </w:rPr>
        <w:t xml:space="preserve">Dx </w:t>
      </w:r>
      <w:r w:rsidR="00397CC4" w:rsidRPr="00FA713A">
        <w:rPr>
          <w:sz w:val="24"/>
          <w:szCs w:val="24"/>
        </w:rPr>
        <w:t xml:space="preserve">for the </w:t>
      </w:r>
      <w:r w:rsidR="0032797B" w:rsidRPr="00FA713A">
        <w:rPr>
          <w:sz w:val="24"/>
          <w:szCs w:val="24"/>
        </w:rPr>
        <w:t xml:space="preserve">identification </w:t>
      </w:r>
      <w:r w:rsidR="00397CC4" w:rsidRPr="00FA713A">
        <w:rPr>
          <w:sz w:val="24"/>
          <w:szCs w:val="24"/>
        </w:rPr>
        <w:t>of C</w:t>
      </w:r>
      <w:r w:rsidR="005436A4" w:rsidRPr="00FA713A">
        <w:rPr>
          <w:sz w:val="24"/>
          <w:szCs w:val="24"/>
        </w:rPr>
        <w:t>OVID</w:t>
      </w:r>
      <w:r w:rsidR="00642814" w:rsidRPr="00FA713A">
        <w:rPr>
          <w:sz w:val="24"/>
          <w:szCs w:val="24"/>
        </w:rPr>
        <w:t xml:space="preserve">-19 </w:t>
      </w:r>
      <w:r w:rsidR="001C5054" w:rsidRPr="00FA713A">
        <w:rPr>
          <w:sz w:val="24"/>
          <w:szCs w:val="24"/>
        </w:rPr>
        <w:t>was 93</w:t>
      </w:r>
      <w:r w:rsidR="0070651B" w:rsidRPr="00FA713A">
        <w:rPr>
          <w:sz w:val="24"/>
          <w:szCs w:val="24"/>
        </w:rPr>
        <w:t>% (</w:t>
      </w:r>
      <w:r w:rsidR="00CD2533" w:rsidRPr="00FA713A">
        <w:rPr>
          <w:sz w:val="24"/>
          <w:szCs w:val="24"/>
        </w:rPr>
        <w:t xml:space="preserve">110/118; </w:t>
      </w:r>
      <w:r w:rsidR="0070651B" w:rsidRPr="00FA713A">
        <w:rPr>
          <w:sz w:val="24"/>
          <w:szCs w:val="24"/>
        </w:rPr>
        <w:t xml:space="preserve">95% CI </w:t>
      </w:r>
      <w:r w:rsidR="001C5054" w:rsidRPr="00FA713A">
        <w:rPr>
          <w:sz w:val="24"/>
          <w:szCs w:val="24"/>
        </w:rPr>
        <w:t xml:space="preserve">87 </w:t>
      </w:r>
      <w:r w:rsidR="0070651B" w:rsidRPr="00FA713A">
        <w:rPr>
          <w:sz w:val="24"/>
          <w:szCs w:val="24"/>
        </w:rPr>
        <w:t xml:space="preserve">to </w:t>
      </w:r>
      <w:r w:rsidR="001C5054" w:rsidRPr="00FA713A">
        <w:rPr>
          <w:sz w:val="24"/>
          <w:szCs w:val="24"/>
        </w:rPr>
        <w:t>97%</w:t>
      </w:r>
      <w:r w:rsidR="0070651B" w:rsidRPr="00FA713A">
        <w:rPr>
          <w:sz w:val="24"/>
          <w:szCs w:val="24"/>
        </w:rPr>
        <w:t>) and s</w:t>
      </w:r>
      <w:r w:rsidR="001C5054" w:rsidRPr="00FA713A">
        <w:rPr>
          <w:sz w:val="24"/>
          <w:szCs w:val="24"/>
        </w:rPr>
        <w:t>pecificity was 86</w:t>
      </w:r>
      <w:r w:rsidR="00642814" w:rsidRPr="00FA713A">
        <w:rPr>
          <w:sz w:val="24"/>
          <w:szCs w:val="24"/>
        </w:rPr>
        <w:t>%</w:t>
      </w:r>
      <w:r w:rsidR="00231723" w:rsidRPr="00FA713A">
        <w:rPr>
          <w:sz w:val="24"/>
          <w:szCs w:val="24"/>
        </w:rPr>
        <w:t xml:space="preserve"> (</w:t>
      </w:r>
      <w:r w:rsidR="00CD2533" w:rsidRPr="00FA713A">
        <w:rPr>
          <w:bCs/>
          <w:sz w:val="24"/>
          <w:szCs w:val="24"/>
        </w:rPr>
        <w:t xml:space="preserve">112/130; </w:t>
      </w:r>
      <w:r w:rsidR="00231723" w:rsidRPr="00FA713A">
        <w:rPr>
          <w:sz w:val="24"/>
          <w:szCs w:val="24"/>
        </w:rPr>
        <w:t xml:space="preserve">95%CI </w:t>
      </w:r>
      <w:r w:rsidR="001C5054" w:rsidRPr="00FA713A">
        <w:rPr>
          <w:sz w:val="24"/>
          <w:szCs w:val="24"/>
        </w:rPr>
        <w:t xml:space="preserve">79 </w:t>
      </w:r>
      <w:r w:rsidR="00231723" w:rsidRPr="00FA713A">
        <w:rPr>
          <w:sz w:val="24"/>
          <w:szCs w:val="24"/>
        </w:rPr>
        <w:t>to</w:t>
      </w:r>
      <w:r w:rsidR="00920A2D" w:rsidRPr="00FA713A">
        <w:rPr>
          <w:sz w:val="24"/>
          <w:szCs w:val="24"/>
        </w:rPr>
        <w:t xml:space="preserve"> 92</w:t>
      </w:r>
      <w:r w:rsidR="001C5054" w:rsidRPr="00FA713A">
        <w:rPr>
          <w:sz w:val="24"/>
          <w:szCs w:val="24"/>
        </w:rPr>
        <w:t>%</w:t>
      </w:r>
      <w:r w:rsidR="00231723" w:rsidRPr="00FA713A">
        <w:rPr>
          <w:sz w:val="24"/>
          <w:szCs w:val="24"/>
        </w:rPr>
        <w:t>)</w:t>
      </w:r>
      <w:r w:rsidR="00C2159B" w:rsidRPr="00FA713A">
        <w:rPr>
          <w:sz w:val="24"/>
          <w:szCs w:val="24"/>
        </w:rPr>
        <w:t xml:space="preserve">. </w:t>
      </w:r>
      <w:r w:rsidR="00E74CF4" w:rsidRPr="00FA713A">
        <w:rPr>
          <w:sz w:val="24"/>
          <w:szCs w:val="24"/>
        </w:rPr>
        <w:t>Positive and negative likelihood ratios were 6.73 (95%CI 4.37 to 10.37) and 0.08 (95%CI 0.04 to 0.15)</w:t>
      </w:r>
      <w:r w:rsidR="00E855EE" w:rsidRPr="00FA713A">
        <w:rPr>
          <w:sz w:val="24"/>
          <w:szCs w:val="24"/>
        </w:rPr>
        <w:t xml:space="preserve"> respectively</w:t>
      </w:r>
      <w:r w:rsidR="00E74CF4" w:rsidRPr="00FA713A">
        <w:rPr>
          <w:sz w:val="24"/>
          <w:szCs w:val="24"/>
        </w:rPr>
        <w:t xml:space="preserve">. </w:t>
      </w:r>
      <w:r w:rsidR="00EE06A1" w:rsidRPr="00EE06A1">
        <w:rPr>
          <w:sz w:val="24"/>
          <w:szCs w:val="24"/>
        </w:rPr>
        <w:t>In the multivariate model age, sex and other clinical features did not contribute significantly to the effect of the FebriDx result in distinguishing patients with and without COVID-19.</w:t>
      </w:r>
    </w:p>
    <w:p w:rsidR="00FA713A" w:rsidRDefault="00FA713A" w:rsidP="00DA7205">
      <w:pPr>
        <w:spacing w:after="0" w:line="480" w:lineRule="auto"/>
        <w:jc w:val="both"/>
        <w:rPr>
          <w:bCs/>
          <w:sz w:val="24"/>
          <w:szCs w:val="24"/>
        </w:rPr>
      </w:pPr>
      <w:r>
        <w:rPr>
          <w:b/>
          <w:bCs/>
          <w:sz w:val="24"/>
          <w:szCs w:val="24"/>
        </w:rPr>
        <w:t>Conclusions</w:t>
      </w:r>
      <w:r w:rsidR="000A5D43">
        <w:rPr>
          <w:b/>
          <w:bCs/>
          <w:sz w:val="24"/>
          <w:szCs w:val="24"/>
        </w:rPr>
        <w:t xml:space="preserve"> </w:t>
      </w:r>
      <w:r w:rsidR="00BA2B6A">
        <w:rPr>
          <w:bCs/>
          <w:sz w:val="24"/>
          <w:szCs w:val="24"/>
        </w:rPr>
        <w:t>D</w:t>
      </w:r>
      <w:r w:rsidR="00E90E8A" w:rsidRPr="00FA713A">
        <w:rPr>
          <w:bCs/>
          <w:sz w:val="24"/>
          <w:szCs w:val="24"/>
        </w:rPr>
        <w:t xml:space="preserve">uring the first wave of the pandemic, FebriDx had high </w:t>
      </w:r>
      <w:r w:rsidR="00B73A43">
        <w:rPr>
          <w:bCs/>
          <w:sz w:val="24"/>
          <w:szCs w:val="24"/>
        </w:rPr>
        <w:t xml:space="preserve">accuracy </w:t>
      </w:r>
      <w:r w:rsidR="00E90E8A" w:rsidRPr="00FA713A">
        <w:rPr>
          <w:bCs/>
          <w:sz w:val="24"/>
          <w:szCs w:val="24"/>
        </w:rPr>
        <w:t>for the identification of COVI</w:t>
      </w:r>
      <w:r w:rsidR="00330970" w:rsidRPr="00FA713A">
        <w:rPr>
          <w:bCs/>
          <w:sz w:val="24"/>
          <w:szCs w:val="24"/>
        </w:rPr>
        <w:t xml:space="preserve">D-19 in hospitalised adults and could be deployed </w:t>
      </w:r>
      <w:r w:rsidR="001E59C5">
        <w:rPr>
          <w:bCs/>
          <w:sz w:val="24"/>
          <w:szCs w:val="24"/>
        </w:rPr>
        <w:t xml:space="preserve">as </w:t>
      </w:r>
      <w:r w:rsidR="00BA2B6A">
        <w:rPr>
          <w:bCs/>
          <w:sz w:val="24"/>
          <w:szCs w:val="24"/>
        </w:rPr>
        <w:t>a front door triage tool.</w:t>
      </w:r>
    </w:p>
    <w:p w:rsidR="00B73A43" w:rsidRDefault="00B73A43" w:rsidP="00E3159F">
      <w:pPr>
        <w:spacing w:line="480" w:lineRule="auto"/>
        <w:jc w:val="both"/>
        <w:rPr>
          <w:sz w:val="24"/>
          <w:szCs w:val="24"/>
        </w:rPr>
      </w:pPr>
      <w:r>
        <w:rPr>
          <w:b/>
          <w:sz w:val="24"/>
          <w:szCs w:val="24"/>
        </w:rPr>
        <w:t>Trial registration:</w:t>
      </w:r>
      <w:r w:rsidRPr="00B73A43">
        <w:rPr>
          <w:sz w:val="24"/>
          <w:szCs w:val="24"/>
        </w:rPr>
        <w:t xml:space="preserve"> ISRCTN14966673</w:t>
      </w:r>
    </w:p>
    <w:p w:rsidR="00165157" w:rsidRPr="001F3594" w:rsidRDefault="00165157" w:rsidP="00165157">
      <w:pPr>
        <w:keepNext/>
        <w:jc w:val="both"/>
        <w:outlineLvl w:val="0"/>
        <w:rPr>
          <w:rFonts w:ascii="Calibri" w:eastAsia="SimSun" w:hAnsi="Calibri" w:cs="Times New Roman"/>
          <w:b/>
          <w:bCs/>
          <w:sz w:val="24"/>
          <w:szCs w:val="24"/>
        </w:rPr>
      </w:pPr>
      <w:r w:rsidRPr="00A457C7">
        <w:rPr>
          <w:rFonts w:ascii="Calibri" w:eastAsia="SimSun" w:hAnsi="Calibri" w:cs="Times New Roman"/>
          <w:b/>
          <w:bCs/>
          <w:sz w:val="28"/>
          <w:szCs w:val="28"/>
        </w:rPr>
        <w:lastRenderedPageBreak/>
        <w:t>Highlights</w:t>
      </w:r>
    </w:p>
    <w:p w:rsidR="00165157" w:rsidRPr="00922FDA" w:rsidRDefault="00165157" w:rsidP="00922FDA">
      <w:pPr>
        <w:keepNext/>
        <w:numPr>
          <w:ilvl w:val="0"/>
          <w:numId w:val="14"/>
        </w:numPr>
        <w:snapToGrid w:val="0"/>
        <w:spacing w:after="0" w:line="480" w:lineRule="auto"/>
        <w:contextualSpacing/>
        <w:jc w:val="both"/>
        <w:rPr>
          <w:rFonts w:ascii="Calibri" w:eastAsia="SimSun" w:hAnsi="Calibri" w:cs="Times New Roman"/>
          <w:sz w:val="24"/>
          <w:szCs w:val="24"/>
        </w:rPr>
      </w:pPr>
      <w:r w:rsidRPr="001F3594">
        <w:rPr>
          <w:rFonts w:ascii="Calibri" w:eastAsia="SimSun" w:hAnsi="Calibri" w:cs="Times New Roman"/>
          <w:sz w:val="24"/>
          <w:szCs w:val="24"/>
        </w:rPr>
        <w:t>Centralised laboratory PCR testing for COVID-19</w:t>
      </w:r>
      <w:r w:rsidR="00922FDA">
        <w:rPr>
          <w:rFonts w:ascii="Calibri" w:eastAsia="SimSun" w:hAnsi="Calibri" w:cs="Times New Roman"/>
          <w:sz w:val="24"/>
          <w:szCs w:val="24"/>
        </w:rPr>
        <w:t xml:space="preserve"> is associated with long delays</w:t>
      </w:r>
    </w:p>
    <w:p w:rsidR="00922FDA" w:rsidRPr="00922FDA" w:rsidRDefault="00D556D5" w:rsidP="00922FDA">
      <w:pPr>
        <w:keepNext/>
        <w:numPr>
          <w:ilvl w:val="0"/>
          <w:numId w:val="14"/>
        </w:numPr>
        <w:snapToGrid w:val="0"/>
        <w:spacing w:after="0" w:line="480" w:lineRule="auto"/>
        <w:contextualSpacing/>
        <w:jc w:val="both"/>
        <w:rPr>
          <w:rFonts w:ascii="Calibri" w:eastAsia="SimSun" w:hAnsi="Calibri" w:cs="Times New Roman"/>
          <w:sz w:val="24"/>
          <w:szCs w:val="24"/>
        </w:rPr>
      </w:pPr>
      <w:r>
        <w:rPr>
          <w:rFonts w:ascii="Calibri" w:eastAsia="SimSun" w:hAnsi="Calibri" w:cs="Times New Roman"/>
          <w:sz w:val="24"/>
          <w:szCs w:val="24"/>
        </w:rPr>
        <w:t>The FebriDx POCT can detect</w:t>
      </w:r>
      <w:r w:rsidR="00165157" w:rsidRPr="001F3594">
        <w:rPr>
          <w:rFonts w:ascii="Calibri" w:eastAsia="SimSun" w:hAnsi="Calibri" w:cs="Times New Roman"/>
          <w:sz w:val="24"/>
          <w:szCs w:val="24"/>
        </w:rPr>
        <w:t xml:space="preserve"> an antiviral </w:t>
      </w:r>
      <w:r w:rsidR="001F3594">
        <w:rPr>
          <w:rFonts w:ascii="Calibri" w:eastAsia="SimSun" w:hAnsi="Calibri" w:cs="Times New Roman"/>
          <w:sz w:val="24"/>
          <w:szCs w:val="24"/>
        </w:rPr>
        <w:t>ho</w:t>
      </w:r>
      <w:r w:rsidR="00165157" w:rsidRPr="001F3594">
        <w:rPr>
          <w:rFonts w:ascii="Calibri" w:eastAsia="SimSun" w:hAnsi="Calibri" w:cs="Times New Roman"/>
          <w:sz w:val="24"/>
          <w:szCs w:val="24"/>
        </w:rPr>
        <w:t xml:space="preserve">st response protein </w:t>
      </w:r>
      <w:r w:rsidR="00922FDA">
        <w:rPr>
          <w:rFonts w:ascii="Calibri" w:eastAsia="SimSun" w:hAnsi="Calibri" w:cs="Times New Roman"/>
          <w:sz w:val="24"/>
          <w:szCs w:val="24"/>
        </w:rPr>
        <w:t xml:space="preserve">(MxA) </w:t>
      </w:r>
      <w:r w:rsidR="00165157" w:rsidRPr="001F3594">
        <w:rPr>
          <w:rFonts w:ascii="Calibri" w:eastAsia="SimSun" w:hAnsi="Calibri" w:cs="Times New Roman"/>
          <w:sz w:val="24"/>
          <w:szCs w:val="24"/>
        </w:rPr>
        <w:t xml:space="preserve">in 10 minutes </w:t>
      </w:r>
    </w:p>
    <w:p w:rsidR="00165157" w:rsidRPr="00922FDA" w:rsidRDefault="00922FDA" w:rsidP="00922FDA">
      <w:pPr>
        <w:keepNext/>
        <w:numPr>
          <w:ilvl w:val="0"/>
          <w:numId w:val="14"/>
        </w:numPr>
        <w:snapToGrid w:val="0"/>
        <w:spacing w:after="0" w:line="480" w:lineRule="auto"/>
        <w:ind w:left="714" w:hanging="357"/>
        <w:contextualSpacing/>
        <w:jc w:val="both"/>
        <w:rPr>
          <w:rFonts w:ascii="Calibri" w:eastAsia="SimSun" w:hAnsi="Calibri" w:cs="Times New Roman"/>
          <w:sz w:val="24"/>
          <w:szCs w:val="24"/>
        </w:rPr>
      </w:pPr>
      <w:r w:rsidRPr="00922FDA">
        <w:rPr>
          <w:rFonts w:ascii="Calibri" w:eastAsia="SimSun" w:hAnsi="Calibri" w:cs="Times New Roman"/>
          <w:sz w:val="24"/>
          <w:szCs w:val="24"/>
        </w:rPr>
        <w:t>We evaluated the diagnostic accuracy of FebriDx in 251 patients hospitalised with suspected COVID-19 during the first wave</w:t>
      </w:r>
    </w:p>
    <w:p w:rsidR="00165157" w:rsidRPr="001F3594" w:rsidRDefault="00922FDA" w:rsidP="00922FDA">
      <w:pPr>
        <w:keepNext/>
        <w:numPr>
          <w:ilvl w:val="0"/>
          <w:numId w:val="14"/>
        </w:numPr>
        <w:snapToGrid w:val="0"/>
        <w:spacing w:after="0" w:line="480" w:lineRule="auto"/>
        <w:ind w:left="714" w:hanging="357"/>
        <w:contextualSpacing/>
        <w:jc w:val="both"/>
        <w:rPr>
          <w:rFonts w:ascii="Calibri" w:eastAsia="SimSun" w:hAnsi="Calibri" w:cs="Times New Roman"/>
          <w:sz w:val="24"/>
          <w:szCs w:val="24"/>
        </w:rPr>
      </w:pPr>
      <w:r>
        <w:rPr>
          <w:rFonts w:ascii="Calibri" w:eastAsia="SimSun" w:hAnsi="Calibri" w:cs="Times New Roman"/>
          <w:sz w:val="24"/>
          <w:szCs w:val="24"/>
        </w:rPr>
        <w:t>C</w:t>
      </w:r>
      <w:r w:rsidR="00165157" w:rsidRPr="001F3594">
        <w:rPr>
          <w:rFonts w:ascii="Calibri" w:eastAsia="SimSun" w:hAnsi="Calibri" w:cs="Times New Roman"/>
          <w:sz w:val="24"/>
          <w:szCs w:val="24"/>
        </w:rPr>
        <w:t xml:space="preserve">ompared to PCR </w:t>
      </w:r>
      <w:r w:rsidR="001F3594">
        <w:rPr>
          <w:rFonts w:ascii="Calibri" w:eastAsia="SimSun" w:hAnsi="Calibri" w:cs="Times New Roman"/>
          <w:sz w:val="24"/>
          <w:szCs w:val="24"/>
        </w:rPr>
        <w:t xml:space="preserve">sensitivity </w:t>
      </w:r>
      <w:r>
        <w:rPr>
          <w:rFonts w:ascii="Calibri" w:eastAsia="SimSun" w:hAnsi="Calibri" w:cs="Times New Roman"/>
          <w:sz w:val="24"/>
          <w:szCs w:val="24"/>
        </w:rPr>
        <w:t xml:space="preserve">of FebriDx </w:t>
      </w:r>
      <w:r w:rsidR="00165157" w:rsidRPr="001F3594">
        <w:rPr>
          <w:rFonts w:ascii="Calibri" w:eastAsia="SimSun" w:hAnsi="Calibri" w:cs="Times New Roman"/>
          <w:sz w:val="24"/>
          <w:szCs w:val="24"/>
        </w:rPr>
        <w:t xml:space="preserve">was 93% and specificity </w:t>
      </w:r>
      <w:r w:rsidR="001F3594">
        <w:rPr>
          <w:rFonts w:ascii="Calibri" w:eastAsia="SimSun" w:hAnsi="Calibri" w:cs="Times New Roman"/>
          <w:sz w:val="24"/>
          <w:szCs w:val="24"/>
        </w:rPr>
        <w:t xml:space="preserve">was </w:t>
      </w:r>
      <w:r>
        <w:rPr>
          <w:rFonts w:ascii="Calibri" w:eastAsia="SimSun" w:hAnsi="Calibri" w:cs="Times New Roman"/>
          <w:sz w:val="24"/>
          <w:szCs w:val="24"/>
        </w:rPr>
        <w:t>86%</w:t>
      </w:r>
    </w:p>
    <w:p w:rsidR="00165157" w:rsidRPr="001F3594" w:rsidRDefault="00165157" w:rsidP="00922FDA">
      <w:pPr>
        <w:keepNext/>
        <w:numPr>
          <w:ilvl w:val="0"/>
          <w:numId w:val="14"/>
        </w:numPr>
        <w:snapToGrid w:val="0"/>
        <w:spacing w:after="0" w:line="480" w:lineRule="auto"/>
        <w:contextualSpacing/>
        <w:jc w:val="both"/>
        <w:rPr>
          <w:rFonts w:ascii="Calibri" w:eastAsia="SimSun" w:hAnsi="Calibri" w:cs="Times New Roman"/>
          <w:sz w:val="24"/>
          <w:szCs w:val="24"/>
        </w:rPr>
      </w:pPr>
      <w:r w:rsidRPr="001F3594">
        <w:rPr>
          <w:rFonts w:ascii="Calibri" w:eastAsia="SimSun" w:hAnsi="Calibri" w:cs="Times New Roman"/>
          <w:sz w:val="24"/>
          <w:szCs w:val="24"/>
        </w:rPr>
        <w:t xml:space="preserve">FebriDx could be used as a </w:t>
      </w:r>
      <w:r w:rsidR="001F3594">
        <w:rPr>
          <w:rFonts w:ascii="Calibri" w:eastAsia="SimSun" w:hAnsi="Calibri" w:cs="Times New Roman"/>
          <w:sz w:val="24"/>
          <w:szCs w:val="24"/>
        </w:rPr>
        <w:t xml:space="preserve">rapid </w:t>
      </w:r>
      <w:r w:rsidRPr="001F3594">
        <w:rPr>
          <w:rFonts w:ascii="Calibri" w:eastAsia="SimSun" w:hAnsi="Calibri" w:cs="Times New Roman"/>
          <w:sz w:val="24"/>
          <w:szCs w:val="24"/>
        </w:rPr>
        <w:t xml:space="preserve">front door triage tool in hospitals </w:t>
      </w:r>
    </w:p>
    <w:p w:rsidR="00165157" w:rsidRDefault="00165157" w:rsidP="00E3159F">
      <w:pPr>
        <w:spacing w:line="480" w:lineRule="auto"/>
        <w:jc w:val="both"/>
        <w:rPr>
          <w:sz w:val="24"/>
          <w:szCs w:val="24"/>
        </w:rPr>
      </w:pPr>
    </w:p>
    <w:p w:rsidR="00165157" w:rsidRDefault="00165157" w:rsidP="00E3159F">
      <w:pPr>
        <w:spacing w:line="480" w:lineRule="auto"/>
        <w:jc w:val="both"/>
        <w:rPr>
          <w:sz w:val="24"/>
          <w:szCs w:val="24"/>
        </w:rPr>
      </w:pPr>
    </w:p>
    <w:p w:rsidR="00165157" w:rsidRDefault="00165157" w:rsidP="00E3159F">
      <w:pPr>
        <w:spacing w:line="480" w:lineRule="auto"/>
        <w:jc w:val="both"/>
        <w:rPr>
          <w:sz w:val="24"/>
          <w:szCs w:val="24"/>
        </w:rPr>
      </w:pPr>
    </w:p>
    <w:p w:rsidR="00165157" w:rsidRDefault="00165157" w:rsidP="00E3159F">
      <w:pPr>
        <w:spacing w:line="480" w:lineRule="auto"/>
        <w:jc w:val="both"/>
        <w:rPr>
          <w:sz w:val="24"/>
          <w:szCs w:val="24"/>
        </w:rPr>
      </w:pPr>
    </w:p>
    <w:p w:rsidR="00165157" w:rsidRDefault="00165157" w:rsidP="00E3159F">
      <w:pPr>
        <w:spacing w:line="480" w:lineRule="auto"/>
        <w:jc w:val="both"/>
        <w:rPr>
          <w:sz w:val="24"/>
          <w:szCs w:val="24"/>
        </w:rPr>
      </w:pPr>
    </w:p>
    <w:p w:rsidR="00165157" w:rsidRDefault="00165157" w:rsidP="00E3159F">
      <w:pPr>
        <w:spacing w:line="480" w:lineRule="auto"/>
        <w:jc w:val="both"/>
        <w:rPr>
          <w:sz w:val="24"/>
          <w:szCs w:val="24"/>
        </w:rPr>
      </w:pPr>
    </w:p>
    <w:p w:rsidR="00165157" w:rsidRDefault="00165157" w:rsidP="00E3159F">
      <w:pPr>
        <w:spacing w:line="480" w:lineRule="auto"/>
        <w:jc w:val="both"/>
        <w:rPr>
          <w:sz w:val="24"/>
          <w:szCs w:val="24"/>
        </w:rPr>
      </w:pPr>
    </w:p>
    <w:p w:rsidR="00165157" w:rsidRDefault="00165157" w:rsidP="00E3159F">
      <w:pPr>
        <w:spacing w:line="480" w:lineRule="auto"/>
        <w:jc w:val="both"/>
        <w:rPr>
          <w:sz w:val="24"/>
          <w:szCs w:val="24"/>
        </w:rPr>
      </w:pPr>
    </w:p>
    <w:p w:rsidR="00165157" w:rsidRDefault="00165157" w:rsidP="00E3159F">
      <w:pPr>
        <w:spacing w:line="480" w:lineRule="auto"/>
        <w:jc w:val="both"/>
        <w:rPr>
          <w:sz w:val="24"/>
          <w:szCs w:val="24"/>
        </w:rPr>
      </w:pPr>
    </w:p>
    <w:p w:rsidR="00165157" w:rsidRDefault="00165157" w:rsidP="00E3159F">
      <w:pPr>
        <w:spacing w:line="480" w:lineRule="auto"/>
        <w:jc w:val="both"/>
        <w:rPr>
          <w:sz w:val="24"/>
          <w:szCs w:val="24"/>
        </w:rPr>
      </w:pPr>
    </w:p>
    <w:p w:rsidR="00165157" w:rsidRDefault="00165157" w:rsidP="00E3159F">
      <w:pPr>
        <w:spacing w:line="480" w:lineRule="auto"/>
        <w:jc w:val="both"/>
        <w:rPr>
          <w:sz w:val="24"/>
          <w:szCs w:val="24"/>
        </w:rPr>
      </w:pPr>
    </w:p>
    <w:p w:rsidR="00165157" w:rsidRDefault="00165157" w:rsidP="00E3159F">
      <w:pPr>
        <w:spacing w:line="480" w:lineRule="auto"/>
        <w:jc w:val="both"/>
        <w:rPr>
          <w:sz w:val="24"/>
          <w:szCs w:val="24"/>
        </w:rPr>
      </w:pPr>
    </w:p>
    <w:p w:rsidR="0091644D" w:rsidRPr="000A5D43" w:rsidRDefault="0091644D" w:rsidP="00E3159F">
      <w:pPr>
        <w:spacing w:line="480" w:lineRule="auto"/>
        <w:jc w:val="both"/>
        <w:rPr>
          <w:sz w:val="24"/>
          <w:szCs w:val="24"/>
        </w:rPr>
      </w:pPr>
      <w:r w:rsidRPr="00D03127">
        <w:rPr>
          <w:b/>
          <w:bCs/>
          <w:sz w:val="32"/>
          <w:szCs w:val="32"/>
        </w:rPr>
        <w:lastRenderedPageBreak/>
        <w:t>Introduction</w:t>
      </w:r>
    </w:p>
    <w:p w:rsidR="00EE23FE" w:rsidRPr="000A5D43" w:rsidRDefault="004022B4" w:rsidP="001132FC">
      <w:pPr>
        <w:pStyle w:val="BodyText"/>
        <w:spacing w:line="480" w:lineRule="auto"/>
        <w:ind w:left="0" w:right="198"/>
        <w:jc w:val="both"/>
        <w:rPr>
          <w:rFonts w:asciiTheme="minorHAnsi" w:hAnsiTheme="minorHAnsi"/>
          <w:spacing w:val="-1"/>
          <w:sz w:val="24"/>
          <w:szCs w:val="24"/>
        </w:rPr>
      </w:pPr>
      <w:r w:rsidRPr="000A5D43">
        <w:rPr>
          <w:rFonts w:asciiTheme="minorHAnsi" w:hAnsiTheme="minorHAnsi"/>
          <w:spacing w:val="-1"/>
          <w:sz w:val="24"/>
          <w:szCs w:val="24"/>
        </w:rPr>
        <w:t>The management of COVID</w:t>
      </w:r>
      <w:r w:rsidR="00EC46B9" w:rsidRPr="000A5D43">
        <w:rPr>
          <w:rFonts w:asciiTheme="minorHAnsi" w:hAnsiTheme="minorHAnsi"/>
          <w:spacing w:val="-1"/>
          <w:sz w:val="24"/>
          <w:szCs w:val="24"/>
        </w:rPr>
        <w:t>-19</w:t>
      </w:r>
      <w:r w:rsidR="00387FF7" w:rsidRPr="000A5D43">
        <w:rPr>
          <w:rFonts w:asciiTheme="minorHAnsi" w:hAnsiTheme="minorHAnsi"/>
          <w:spacing w:val="-1"/>
          <w:sz w:val="24"/>
          <w:szCs w:val="24"/>
        </w:rPr>
        <w:t xml:space="preserve"> in secondary care </w:t>
      </w:r>
      <w:r w:rsidR="00EC46B9" w:rsidRPr="000A5D43">
        <w:rPr>
          <w:rFonts w:asciiTheme="minorHAnsi" w:hAnsiTheme="minorHAnsi"/>
          <w:spacing w:val="-1"/>
          <w:sz w:val="24"/>
          <w:szCs w:val="24"/>
        </w:rPr>
        <w:t xml:space="preserve">is </w:t>
      </w:r>
      <w:r w:rsidR="004156C3" w:rsidRPr="000A5D43">
        <w:rPr>
          <w:rFonts w:asciiTheme="minorHAnsi" w:hAnsiTheme="minorHAnsi"/>
          <w:spacing w:val="-1"/>
          <w:sz w:val="24"/>
          <w:szCs w:val="24"/>
        </w:rPr>
        <w:t xml:space="preserve">severely </w:t>
      </w:r>
      <w:r w:rsidR="00EC46B9" w:rsidRPr="000A5D43">
        <w:rPr>
          <w:rFonts w:asciiTheme="minorHAnsi" w:hAnsiTheme="minorHAnsi"/>
          <w:spacing w:val="-1"/>
          <w:sz w:val="24"/>
          <w:szCs w:val="24"/>
        </w:rPr>
        <w:t xml:space="preserve">hampered by </w:t>
      </w:r>
      <w:r w:rsidR="00BE23B6" w:rsidRPr="000A5D43">
        <w:rPr>
          <w:rFonts w:asciiTheme="minorHAnsi" w:hAnsiTheme="minorHAnsi"/>
          <w:spacing w:val="-1"/>
          <w:sz w:val="24"/>
          <w:szCs w:val="24"/>
        </w:rPr>
        <w:t xml:space="preserve">the </w:t>
      </w:r>
      <w:r w:rsidR="00EC46B9" w:rsidRPr="000A5D43">
        <w:rPr>
          <w:rFonts w:asciiTheme="minorHAnsi" w:hAnsiTheme="minorHAnsi"/>
          <w:spacing w:val="-1"/>
          <w:sz w:val="24"/>
          <w:szCs w:val="24"/>
        </w:rPr>
        <w:t>long turnaround time</w:t>
      </w:r>
      <w:r w:rsidR="00387FF7" w:rsidRPr="000A5D43">
        <w:rPr>
          <w:rFonts w:asciiTheme="minorHAnsi" w:hAnsiTheme="minorHAnsi"/>
          <w:spacing w:val="-1"/>
          <w:sz w:val="24"/>
          <w:szCs w:val="24"/>
        </w:rPr>
        <w:t>s</w:t>
      </w:r>
      <w:r w:rsidR="00EC46B9" w:rsidRPr="000A5D43">
        <w:rPr>
          <w:rFonts w:asciiTheme="minorHAnsi" w:hAnsiTheme="minorHAnsi"/>
          <w:spacing w:val="-1"/>
          <w:sz w:val="24"/>
          <w:szCs w:val="24"/>
        </w:rPr>
        <w:t xml:space="preserve"> of </w:t>
      </w:r>
      <w:r w:rsidR="00BE23B6" w:rsidRPr="000A5D43">
        <w:rPr>
          <w:rFonts w:asciiTheme="minorHAnsi" w:hAnsiTheme="minorHAnsi"/>
          <w:spacing w:val="-1"/>
          <w:sz w:val="24"/>
          <w:szCs w:val="24"/>
        </w:rPr>
        <w:t xml:space="preserve">centralised </w:t>
      </w:r>
      <w:r w:rsidR="00EC46B9" w:rsidRPr="000A5D43">
        <w:rPr>
          <w:rFonts w:asciiTheme="minorHAnsi" w:hAnsiTheme="minorHAnsi"/>
          <w:spacing w:val="-1"/>
          <w:sz w:val="24"/>
          <w:szCs w:val="24"/>
        </w:rPr>
        <w:t>laboratory PCR testing</w:t>
      </w:r>
      <w:r w:rsidR="00271525" w:rsidRPr="000A5D43">
        <w:rPr>
          <w:rFonts w:asciiTheme="minorHAnsi" w:hAnsiTheme="minorHAnsi"/>
          <w:spacing w:val="-1"/>
          <w:sz w:val="24"/>
          <w:szCs w:val="24"/>
        </w:rPr>
        <w:t xml:space="preserve">, </w:t>
      </w:r>
      <w:r w:rsidR="00BE23B6" w:rsidRPr="000A5D43">
        <w:rPr>
          <w:rFonts w:asciiTheme="minorHAnsi" w:hAnsiTheme="minorHAnsi"/>
          <w:spacing w:val="-1"/>
          <w:sz w:val="24"/>
          <w:szCs w:val="24"/>
        </w:rPr>
        <w:t>which can take</w:t>
      </w:r>
      <w:r w:rsidR="00387FF7" w:rsidRPr="000A5D43">
        <w:rPr>
          <w:rFonts w:asciiTheme="minorHAnsi" w:hAnsiTheme="minorHAnsi"/>
          <w:spacing w:val="-1"/>
          <w:sz w:val="24"/>
          <w:szCs w:val="24"/>
        </w:rPr>
        <w:t xml:space="preserve"> up to several days</w:t>
      </w:r>
      <w:r w:rsidR="00271525" w:rsidRPr="000A5D43">
        <w:rPr>
          <w:rFonts w:asciiTheme="minorHAnsi" w:hAnsiTheme="minorHAnsi"/>
          <w:spacing w:val="-1"/>
          <w:sz w:val="24"/>
          <w:szCs w:val="24"/>
        </w:rPr>
        <w:t xml:space="preserve"> to generate results</w:t>
      </w:r>
      <w:r w:rsidR="00387FF7" w:rsidRPr="000A5D43">
        <w:rPr>
          <w:rFonts w:asciiTheme="minorHAnsi" w:hAnsiTheme="minorHAnsi"/>
          <w:spacing w:val="-1"/>
          <w:sz w:val="24"/>
          <w:szCs w:val="24"/>
        </w:rPr>
        <w:t xml:space="preserve">. In acute hospitals </w:t>
      </w:r>
      <w:r w:rsidR="00EC46B9" w:rsidRPr="000A5D43">
        <w:rPr>
          <w:rFonts w:asciiTheme="minorHAnsi" w:hAnsiTheme="minorHAnsi"/>
          <w:spacing w:val="-1"/>
          <w:sz w:val="24"/>
          <w:szCs w:val="24"/>
        </w:rPr>
        <w:t>this leads to poor patient flow</w:t>
      </w:r>
      <w:r w:rsidR="00E90E8A" w:rsidRPr="000A5D43">
        <w:rPr>
          <w:rFonts w:asciiTheme="minorHAnsi" w:hAnsiTheme="minorHAnsi"/>
          <w:spacing w:val="-1"/>
          <w:sz w:val="24"/>
          <w:szCs w:val="24"/>
        </w:rPr>
        <w:t xml:space="preserve"> though acute areas</w:t>
      </w:r>
      <w:r w:rsidR="0064335A" w:rsidRPr="000A5D43">
        <w:rPr>
          <w:rFonts w:asciiTheme="minorHAnsi" w:hAnsiTheme="minorHAnsi"/>
          <w:spacing w:val="-1"/>
          <w:sz w:val="24"/>
          <w:szCs w:val="24"/>
        </w:rPr>
        <w:t xml:space="preserve">, </w:t>
      </w:r>
      <w:r w:rsidR="00EC46B9" w:rsidRPr="000A5D43">
        <w:rPr>
          <w:rFonts w:asciiTheme="minorHAnsi" w:hAnsiTheme="minorHAnsi"/>
          <w:spacing w:val="-1"/>
          <w:sz w:val="24"/>
          <w:szCs w:val="24"/>
        </w:rPr>
        <w:t xml:space="preserve">as suspected patients are held in </w:t>
      </w:r>
      <w:r w:rsidR="00E90E8A" w:rsidRPr="000A5D43">
        <w:rPr>
          <w:rFonts w:asciiTheme="minorHAnsi" w:hAnsiTheme="minorHAnsi"/>
          <w:spacing w:val="-1"/>
          <w:sz w:val="24"/>
          <w:szCs w:val="24"/>
        </w:rPr>
        <w:t>assessment</w:t>
      </w:r>
      <w:r w:rsidR="00885CBF" w:rsidRPr="000A5D43">
        <w:rPr>
          <w:sz w:val="24"/>
          <w:szCs w:val="24"/>
        </w:rPr>
        <w:t xml:space="preserve"> </w:t>
      </w:r>
      <w:r w:rsidR="00885CBF" w:rsidRPr="000A5D43">
        <w:rPr>
          <w:rFonts w:asciiTheme="minorHAnsi" w:hAnsiTheme="minorHAnsi"/>
          <w:spacing w:val="-1"/>
          <w:sz w:val="24"/>
          <w:szCs w:val="24"/>
        </w:rPr>
        <w:t>cohort</w:t>
      </w:r>
      <w:r w:rsidR="00E90E8A" w:rsidRPr="000A5D43">
        <w:rPr>
          <w:rFonts w:asciiTheme="minorHAnsi" w:hAnsiTheme="minorHAnsi"/>
          <w:spacing w:val="-1"/>
          <w:sz w:val="24"/>
          <w:szCs w:val="24"/>
        </w:rPr>
        <w:t xml:space="preserve"> </w:t>
      </w:r>
      <w:r w:rsidR="00EC46B9" w:rsidRPr="000A5D43">
        <w:rPr>
          <w:rFonts w:asciiTheme="minorHAnsi" w:hAnsiTheme="minorHAnsi"/>
          <w:spacing w:val="-1"/>
          <w:sz w:val="24"/>
          <w:szCs w:val="24"/>
        </w:rPr>
        <w:t>areas until the</w:t>
      </w:r>
      <w:r w:rsidR="00387FF7" w:rsidRPr="000A5D43">
        <w:rPr>
          <w:rFonts w:asciiTheme="minorHAnsi" w:hAnsiTheme="minorHAnsi"/>
          <w:spacing w:val="-1"/>
          <w:sz w:val="24"/>
          <w:szCs w:val="24"/>
        </w:rPr>
        <w:t xml:space="preserve">ir results are available. </w:t>
      </w:r>
      <w:r w:rsidR="00271525" w:rsidRPr="000A5D43">
        <w:rPr>
          <w:rFonts w:asciiTheme="minorHAnsi" w:hAnsiTheme="minorHAnsi"/>
          <w:spacing w:val="-1"/>
          <w:sz w:val="24"/>
          <w:szCs w:val="24"/>
        </w:rPr>
        <w:t>In addition</w:t>
      </w:r>
      <w:r w:rsidR="00BE23B6" w:rsidRPr="000A5D43">
        <w:rPr>
          <w:rFonts w:asciiTheme="minorHAnsi" w:hAnsiTheme="minorHAnsi"/>
          <w:spacing w:val="-1"/>
          <w:sz w:val="24"/>
          <w:szCs w:val="24"/>
        </w:rPr>
        <w:t>,</w:t>
      </w:r>
      <w:r w:rsidR="00271525" w:rsidRPr="000A5D43">
        <w:rPr>
          <w:rFonts w:asciiTheme="minorHAnsi" w:hAnsiTheme="minorHAnsi"/>
          <w:spacing w:val="-1"/>
          <w:sz w:val="24"/>
          <w:szCs w:val="24"/>
        </w:rPr>
        <w:t xml:space="preserve"> lack of single occupancy rooms means that </w:t>
      </w:r>
      <w:r w:rsidRPr="000A5D43">
        <w:rPr>
          <w:rFonts w:asciiTheme="minorHAnsi" w:hAnsiTheme="minorHAnsi"/>
          <w:spacing w:val="-1"/>
          <w:sz w:val="24"/>
          <w:szCs w:val="24"/>
        </w:rPr>
        <w:t>COVID</w:t>
      </w:r>
      <w:r w:rsidR="00271525" w:rsidRPr="000A5D43">
        <w:rPr>
          <w:rFonts w:asciiTheme="minorHAnsi" w:hAnsiTheme="minorHAnsi"/>
          <w:spacing w:val="-1"/>
          <w:sz w:val="24"/>
          <w:szCs w:val="24"/>
        </w:rPr>
        <w:t xml:space="preserve">-19 negative patients cohorted in </w:t>
      </w:r>
      <w:r w:rsidR="00E90E8A" w:rsidRPr="000A5D43">
        <w:rPr>
          <w:rFonts w:asciiTheme="minorHAnsi" w:hAnsiTheme="minorHAnsi"/>
          <w:spacing w:val="-1"/>
          <w:sz w:val="24"/>
          <w:szCs w:val="24"/>
        </w:rPr>
        <w:t xml:space="preserve">these </w:t>
      </w:r>
      <w:r w:rsidR="00271525" w:rsidRPr="000A5D43">
        <w:rPr>
          <w:rFonts w:asciiTheme="minorHAnsi" w:hAnsiTheme="minorHAnsi"/>
          <w:spacing w:val="-1"/>
          <w:sz w:val="24"/>
          <w:szCs w:val="24"/>
        </w:rPr>
        <w:t xml:space="preserve">assessment areas may acquire </w:t>
      </w:r>
      <w:r w:rsidR="00AC2BFE" w:rsidRPr="000A5D43">
        <w:rPr>
          <w:rFonts w:asciiTheme="minorHAnsi" w:hAnsiTheme="minorHAnsi"/>
          <w:spacing w:val="-1"/>
          <w:sz w:val="24"/>
          <w:szCs w:val="24"/>
        </w:rPr>
        <w:t>infectio</w:t>
      </w:r>
      <w:r w:rsidRPr="000A5D43">
        <w:rPr>
          <w:rFonts w:asciiTheme="minorHAnsi" w:hAnsiTheme="minorHAnsi"/>
          <w:spacing w:val="-1"/>
          <w:sz w:val="24"/>
          <w:szCs w:val="24"/>
        </w:rPr>
        <w:t xml:space="preserve">n from </w:t>
      </w:r>
      <w:r w:rsidR="00AC2BFE" w:rsidRPr="000A5D43">
        <w:rPr>
          <w:rFonts w:asciiTheme="minorHAnsi" w:hAnsiTheme="minorHAnsi"/>
          <w:spacing w:val="-1"/>
          <w:sz w:val="24"/>
          <w:szCs w:val="24"/>
        </w:rPr>
        <w:t>positive patients before test results are available.</w:t>
      </w:r>
      <w:r w:rsidR="00271525" w:rsidRPr="000A5D43">
        <w:rPr>
          <w:rFonts w:asciiTheme="minorHAnsi" w:hAnsiTheme="minorHAnsi"/>
          <w:spacing w:val="-1"/>
          <w:sz w:val="24"/>
          <w:szCs w:val="24"/>
        </w:rPr>
        <w:t xml:space="preserve"> </w:t>
      </w:r>
      <w:r w:rsidR="00387FF7" w:rsidRPr="000A5D43">
        <w:rPr>
          <w:rFonts w:asciiTheme="minorHAnsi" w:hAnsiTheme="minorHAnsi"/>
          <w:spacing w:val="-1"/>
          <w:sz w:val="24"/>
          <w:szCs w:val="24"/>
        </w:rPr>
        <w:t xml:space="preserve">Rapid, </w:t>
      </w:r>
      <w:r w:rsidR="00EC46B9" w:rsidRPr="000A5D43">
        <w:rPr>
          <w:rFonts w:asciiTheme="minorHAnsi" w:hAnsiTheme="minorHAnsi"/>
          <w:spacing w:val="-1"/>
          <w:sz w:val="24"/>
          <w:szCs w:val="24"/>
        </w:rPr>
        <w:t>accurate diagnostic test</w:t>
      </w:r>
      <w:r w:rsidR="00E449EE" w:rsidRPr="000A5D43">
        <w:rPr>
          <w:rFonts w:asciiTheme="minorHAnsi" w:hAnsiTheme="minorHAnsi"/>
          <w:spacing w:val="-1"/>
          <w:sz w:val="24"/>
          <w:szCs w:val="24"/>
        </w:rPr>
        <w:t>s</w:t>
      </w:r>
      <w:r w:rsidR="00EC46B9" w:rsidRPr="000A5D43">
        <w:rPr>
          <w:rFonts w:asciiTheme="minorHAnsi" w:hAnsiTheme="minorHAnsi"/>
          <w:spacing w:val="-1"/>
          <w:sz w:val="24"/>
          <w:szCs w:val="24"/>
        </w:rPr>
        <w:t xml:space="preserve"> a</w:t>
      </w:r>
      <w:r w:rsidR="00387FF7" w:rsidRPr="000A5D43">
        <w:rPr>
          <w:rFonts w:asciiTheme="minorHAnsi" w:hAnsiTheme="minorHAnsi"/>
          <w:spacing w:val="-1"/>
          <w:sz w:val="24"/>
          <w:szCs w:val="24"/>
        </w:rPr>
        <w:t xml:space="preserve">re therefore urgently required. </w:t>
      </w:r>
      <w:r w:rsidR="00AC2BFE" w:rsidRPr="000A5D43">
        <w:rPr>
          <w:rFonts w:asciiTheme="minorHAnsi" w:hAnsiTheme="minorHAnsi"/>
          <w:spacing w:val="-1"/>
          <w:sz w:val="24"/>
          <w:szCs w:val="24"/>
        </w:rPr>
        <w:t>Molecular</w:t>
      </w:r>
      <w:r w:rsidRPr="000A5D43">
        <w:rPr>
          <w:rFonts w:asciiTheme="minorHAnsi" w:hAnsiTheme="minorHAnsi"/>
          <w:spacing w:val="-1"/>
          <w:sz w:val="24"/>
          <w:szCs w:val="24"/>
        </w:rPr>
        <w:t xml:space="preserve"> point-of-care testing </w:t>
      </w:r>
      <w:r w:rsidR="00593D48" w:rsidRPr="000A5D43">
        <w:rPr>
          <w:rFonts w:asciiTheme="minorHAnsi" w:hAnsiTheme="minorHAnsi"/>
          <w:spacing w:val="-1"/>
          <w:sz w:val="24"/>
          <w:szCs w:val="24"/>
        </w:rPr>
        <w:t xml:space="preserve">(POCT) </w:t>
      </w:r>
      <w:r w:rsidRPr="000A5D43">
        <w:rPr>
          <w:rFonts w:asciiTheme="minorHAnsi" w:hAnsiTheme="minorHAnsi"/>
          <w:spacing w:val="-1"/>
          <w:sz w:val="24"/>
          <w:szCs w:val="24"/>
        </w:rPr>
        <w:t>for COVID</w:t>
      </w:r>
      <w:r w:rsidR="00593D48" w:rsidRPr="000A5D43">
        <w:rPr>
          <w:rFonts w:asciiTheme="minorHAnsi" w:hAnsiTheme="minorHAnsi"/>
          <w:spacing w:val="-1"/>
          <w:sz w:val="24"/>
          <w:szCs w:val="24"/>
        </w:rPr>
        <w:t xml:space="preserve">-19 </w:t>
      </w:r>
      <w:r w:rsidR="00E90E8A" w:rsidRPr="000A5D43">
        <w:rPr>
          <w:rFonts w:asciiTheme="minorHAnsi" w:hAnsiTheme="minorHAnsi"/>
          <w:spacing w:val="-1"/>
          <w:sz w:val="24"/>
          <w:szCs w:val="24"/>
        </w:rPr>
        <w:t xml:space="preserve">may mitigate this situation </w:t>
      </w:r>
      <w:r w:rsidR="00593D48" w:rsidRPr="000A5D43">
        <w:rPr>
          <w:rFonts w:asciiTheme="minorHAnsi" w:hAnsiTheme="minorHAnsi"/>
          <w:spacing w:val="-1"/>
          <w:sz w:val="24"/>
          <w:szCs w:val="24"/>
        </w:rPr>
        <w:t xml:space="preserve">but </w:t>
      </w:r>
      <w:r w:rsidR="00AC2BFE" w:rsidRPr="000A5D43">
        <w:rPr>
          <w:rFonts w:asciiTheme="minorHAnsi" w:hAnsiTheme="minorHAnsi"/>
          <w:spacing w:val="-1"/>
          <w:sz w:val="24"/>
          <w:szCs w:val="24"/>
        </w:rPr>
        <w:t xml:space="preserve">regulatory requirements </w:t>
      </w:r>
      <w:r w:rsidR="00593D48" w:rsidRPr="000A5D43">
        <w:rPr>
          <w:rFonts w:asciiTheme="minorHAnsi" w:hAnsiTheme="minorHAnsi"/>
          <w:spacing w:val="-1"/>
          <w:sz w:val="24"/>
          <w:szCs w:val="24"/>
        </w:rPr>
        <w:t xml:space="preserve">for new POCT assays </w:t>
      </w:r>
      <w:r w:rsidR="00AC2BFE" w:rsidRPr="000A5D43">
        <w:rPr>
          <w:rFonts w:asciiTheme="minorHAnsi" w:hAnsiTheme="minorHAnsi"/>
          <w:spacing w:val="-1"/>
          <w:sz w:val="24"/>
          <w:szCs w:val="24"/>
        </w:rPr>
        <w:t>and difficulties in rapidly upscaling manufacture mean that the availa</w:t>
      </w:r>
      <w:r w:rsidR="00E90E8A" w:rsidRPr="000A5D43">
        <w:rPr>
          <w:rFonts w:asciiTheme="minorHAnsi" w:hAnsiTheme="minorHAnsi"/>
          <w:spacing w:val="-1"/>
          <w:sz w:val="24"/>
          <w:szCs w:val="24"/>
        </w:rPr>
        <w:t xml:space="preserve">bility of these tests </w:t>
      </w:r>
      <w:r w:rsidR="00AC2BFE" w:rsidRPr="000A5D43">
        <w:rPr>
          <w:rFonts w:asciiTheme="minorHAnsi" w:hAnsiTheme="minorHAnsi"/>
          <w:spacing w:val="-1"/>
          <w:sz w:val="24"/>
          <w:szCs w:val="24"/>
        </w:rPr>
        <w:t xml:space="preserve">is </w:t>
      </w:r>
      <w:r w:rsidR="00BE23B6" w:rsidRPr="000A5D43">
        <w:rPr>
          <w:rFonts w:asciiTheme="minorHAnsi" w:hAnsiTheme="minorHAnsi"/>
          <w:spacing w:val="-1"/>
          <w:sz w:val="24"/>
          <w:szCs w:val="24"/>
        </w:rPr>
        <w:t xml:space="preserve">currently </w:t>
      </w:r>
      <w:r w:rsidR="00593D48" w:rsidRPr="000A5D43">
        <w:rPr>
          <w:rFonts w:asciiTheme="minorHAnsi" w:hAnsiTheme="minorHAnsi"/>
          <w:spacing w:val="-1"/>
          <w:sz w:val="24"/>
          <w:szCs w:val="24"/>
        </w:rPr>
        <w:t>severely limited.  A</w:t>
      </w:r>
      <w:r w:rsidR="00AC2BFE" w:rsidRPr="000A5D43">
        <w:rPr>
          <w:rFonts w:asciiTheme="minorHAnsi" w:hAnsiTheme="minorHAnsi"/>
          <w:spacing w:val="-1"/>
          <w:sz w:val="24"/>
          <w:szCs w:val="24"/>
        </w:rPr>
        <w:t xml:space="preserve">lternative diagnostic solutions are therefore urgently required. </w:t>
      </w:r>
    </w:p>
    <w:p w:rsidR="00EE23FE" w:rsidRPr="000A5D43" w:rsidRDefault="00EE23FE" w:rsidP="001132FC">
      <w:pPr>
        <w:pStyle w:val="BodyText"/>
        <w:spacing w:line="480" w:lineRule="auto"/>
        <w:ind w:left="0" w:right="198"/>
        <w:jc w:val="both"/>
        <w:rPr>
          <w:rFonts w:asciiTheme="minorHAnsi" w:hAnsiTheme="minorHAnsi"/>
          <w:spacing w:val="-1"/>
          <w:sz w:val="24"/>
          <w:szCs w:val="24"/>
        </w:rPr>
      </w:pPr>
    </w:p>
    <w:p w:rsidR="00EC46B9" w:rsidRPr="000A5D43" w:rsidRDefault="004156C3" w:rsidP="001132FC">
      <w:pPr>
        <w:pStyle w:val="BodyText"/>
        <w:spacing w:line="480" w:lineRule="auto"/>
        <w:ind w:left="0" w:right="198"/>
        <w:jc w:val="both"/>
        <w:rPr>
          <w:rFonts w:asciiTheme="minorHAnsi" w:hAnsiTheme="minorHAnsi"/>
          <w:spacing w:val="-1"/>
          <w:sz w:val="24"/>
          <w:szCs w:val="24"/>
        </w:rPr>
      </w:pPr>
      <w:r w:rsidRPr="000A5D43">
        <w:rPr>
          <w:rFonts w:asciiTheme="minorHAnsi" w:hAnsiTheme="minorHAnsi"/>
          <w:spacing w:val="-1"/>
          <w:sz w:val="24"/>
          <w:szCs w:val="24"/>
        </w:rPr>
        <w:t xml:space="preserve">FebriDx </w:t>
      </w:r>
      <w:r w:rsidR="00DA117F" w:rsidRPr="000A5D43">
        <w:rPr>
          <w:rFonts w:asciiTheme="minorHAnsi" w:hAnsiTheme="minorHAnsi"/>
          <w:spacing w:val="-1"/>
          <w:sz w:val="24"/>
          <w:szCs w:val="24"/>
        </w:rPr>
        <w:t xml:space="preserve">(Lumos diagnostics, Sarasota, Florida, US) </w:t>
      </w:r>
      <w:r w:rsidRPr="000A5D43">
        <w:rPr>
          <w:rFonts w:asciiTheme="minorHAnsi" w:hAnsiTheme="minorHAnsi"/>
          <w:spacing w:val="-1"/>
          <w:sz w:val="24"/>
          <w:szCs w:val="24"/>
        </w:rPr>
        <w:t>is a CE-</w:t>
      </w:r>
      <w:r w:rsidR="00EC46B9" w:rsidRPr="000A5D43">
        <w:rPr>
          <w:rFonts w:asciiTheme="minorHAnsi" w:hAnsiTheme="minorHAnsi"/>
          <w:spacing w:val="-1"/>
          <w:sz w:val="24"/>
          <w:szCs w:val="24"/>
        </w:rPr>
        <w:t>marked</w:t>
      </w:r>
      <w:r w:rsidR="001B2B34" w:rsidRPr="000A5D43">
        <w:rPr>
          <w:rFonts w:asciiTheme="minorHAnsi" w:hAnsiTheme="minorHAnsi"/>
          <w:spacing w:val="-1"/>
          <w:sz w:val="24"/>
          <w:szCs w:val="24"/>
        </w:rPr>
        <w:t xml:space="preserve"> </w:t>
      </w:r>
      <w:r w:rsidR="00593D48" w:rsidRPr="000A5D43">
        <w:rPr>
          <w:rFonts w:asciiTheme="minorHAnsi" w:hAnsiTheme="minorHAnsi"/>
          <w:spacing w:val="-1"/>
          <w:sz w:val="24"/>
          <w:szCs w:val="24"/>
        </w:rPr>
        <w:t>POCT</w:t>
      </w:r>
      <w:r w:rsidRPr="000A5D43">
        <w:rPr>
          <w:rFonts w:asciiTheme="minorHAnsi" w:hAnsiTheme="minorHAnsi"/>
          <w:spacing w:val="-1"/>
          <w:sz w:val="24"/>
          <w:szCs w:val="24"/>
        </w:rPr>
        <w:t xml:space="preserve"> </w:t>
      </w:r>
      <w:r w:rsidR="00EC46B9" w:rsidRPr="000A5D43">
        <w:rPr>
          <w:rFonts w:asciiTheme="minorHAnsi" w:hAnsiTheme="minorHAnsi"/>
          <w:spacing w:val="-1"/>
          <w:sz w:val="24"/>
          <w:szCs w:val="24"/>
        </w:rPr>
        <w:t>that detects two host response proteins, Myxovirus resistance protein A (MxA)</w:t>
      </w:r>
      <w:r w:rsidR="005B21F7" w:rsidRPr="000A5D43">
        <w:rPr>
          <w:sz w:val="24"/>
          <w:szCs w:val="24"/>
        </w:rPr>
        <w:t xml:space="preserve"> and </w:t>
      </w:r>
      <w:r w:rsidR="005B21F7" w:rsidRPr="000A5D43">
        <w:rPr>
          <w:rFonts w:asciiTheme="minorHAnsi" w:hAnsiTheme="minorHAnsi"/>
          <w:spacing w:val="-1"/>
          <w:sz w:val="24"/>
          <w:szCs w:val="24"/>
        </w:rPr>
        <w:t>C reactive protein (CRP)</w:t>
      </w:r>
      <w:r w:rsidR="00EC46B9" w:rsidRPr="000A5D43">
        <w:rPr>
          <w:rFonts w:asciiTheme="minorHAnsi" w:hAnsiTheme="minorHAnsi"/>
          <w:spacing w:val="-1"/>
          <w:sz w:val="24"/>
          <w:szCs w:val="24"/>
        </w:rPr>
        <w:t>, in finger</w:t>
      </w:r>
      <w:r w:rsidR="00593D48" w:rsidRPr="000A5D43">
        <w:rPr>
          <w:rFonts w:asciiTheme="minorHAnsi" w:hAnsiTheme="minorHAnsi"/>
          <w:spacing w:val="-1"/>
          <w:sz w:val="24"/>
          <w:szCs w:val="24"/>
        </w:rPr>
        <w:t xml:space="preserve"> </w:t>
      </w:r>
      <w:r w:rsidR="00EC46B9" w:rsidRPr="000A5D43">
        <w:rPr>
          <w:rFonts w:asciiTheme="minorHAnsi" w:hAnsiTheme="minorHAnsi"/>
          <w:spacing w:val="-1"/>
          <w:sz w:val="24"/>
          <w:szCs w:val="24"/>
        </w:rPr>
        <w:t>p</w:t>
      </w:r>
      <w:r w:rsidR="00593D48" w:rsidRPr="000A5D43">
        <w:rPr>
          <w:rFonts w:asciiTheme="minorHAnsi" w:hAnsiTheme="minorHAnsi"/>
          <w:spacing w:val="-1"/>
          <w:sz w:val="24"/>
          <w:szCs w:val="24"/>
        </w:rPr>
        <w:t>r</w:t>
      </w:r>
      <w:r w:rsidR="00EC46B9" w:rsidRPr="000A5D43">
        <w:rPr>
          <w:rFonts w:asciiTheme="minorHAnsi" w:hAnsiTheme="minorHAnsi"/>
          <w:spacing w:val="-1"/>
          <w:sz w:val="24"/>
          <w:szCs w:val="24"/>
        </w:rPr>
        <w:t>ick blood</w:t>
      </w:r>
      <w:r w:rsidR="00593D48" w:rsidRPr="000A5D43">
        <w:rPr>
          <w:rFonts w:asciiTheme="minorHAnsi" w:hAnsiTheme="minorHAnsi"/>
          <w:spacing w:val="-1"/>
          <w:sz w:val="24"/>
          <w:szCs w:val="24"/>
        </w:rPr>
        <w:t xml:space="preserve"> samples,</w:t>
      </w:r>
      <w:r w:rsidR="00AC2BFE" w:rsidRPr="000A5D43">
        <w:rPr>
          <w:rFonts w:asciiTheme="minorHAnsi" w:hAnsiTheme="minorHAnsi"/>
          <w:spacing w:val="-1"/>
          <w:sz w:val="24"/>
          <w:szCs w:val="24"/>
        </w:rPr>
        <w:t xml:space="preserve"> </w:t>
      </w:r>
      <w:r w:rsidR="0064335A" w:rsidRPr="000A5D43">
        <w:rPr>
          <w:rFonts w:asciiTheme="minorHAnsi" w:hAnsiTheme="minorHAnsi"/>
          <w:spacing w:val="-1"/>
          <w:sz w:val="24"/>
          <w:szCs w:val="24"/>
        </w:rPr>
        <w:t xml:space="preserve">and is </w:t>
      </w:r>
      <w:r w:rsidR="00597854" w:rsidRPr="000A5D43">
        <w:rPr>
          <w:rFonts w:asciiTheme="minorHAnsi" w:hAnsiTheme="minorHAnsi"/>
          <w:spacing w:val="-1"/>
          <w:sz w:val="24"/>
          <w:szCs w:val="24"/>
        </w:rPr>
        <w:t xml:space="preserve">designed </w:t>
      </w:r>
      <w:r w:rsidR="00E449EE" w:rsidRPr="000A5D43">
        <w:rPr>
          <w:rFonts w:asciiTheme="minorHAnsi" w:hAnsiTheme="minorHAnsi"/>
          <w:spacing w:val="-1"/>
          <w:sz w:val="24"/>
          <w:szCs w:val="24"/>
        </w:rPr>
        <w:t>to</w:t>
      </w:r>
      <w:r w:rsidR="00EC46B9" w:rsidRPr="000A5D43">
        <w:rPr>
          <w:rFonts w:asciiTheme="minorHAnsi" w:hAnsiTheme="minorHAnsi"/>
          <w:spacing w:val="-1"/>
          <w:sz w:val="24"/>
          <w:szCs w:val="24"/>
        </w:rPr>
        <w:t xml:space="preserve"> distinguish viral from bacterial respiratory infection</w:t>
      </w:r>
      <w:r w:rsidR="00593D48" w:rsidRPr="000A5D43">
        <w:rPr>
          <w:rFonts w:asciiTheme="minorHAnsi" w:hAnsiTheme="minorHAnsi"/>
          <w:spacing w:val="-1"/>
          <w:sz w:val="24"/>
          <w:szCs w:val="24"/>
        </w:rPr>
        <w:t>.</w:t>
      </w:r>
      <w:r w:rsidR="00895D15" w:rsidRPr="000A5D43">
        <w:rPr>
          <w:rFonts w:asciiTheme="minorHAnsi" w:hAnsiTheme="minorHAnsi"/>
          <w:spacing w:val="-1"/>
          <w:sz w:val="24"/>
          <w:szCs w:val="24"/>
          <w:vertAlign w:val="superscript"/>
        </w:rPr>
        <w:t>1-5</w:t>
      </w:r>
      <w:r w:rsidR="00593D48" w:rsidRPr="000A5D43">
        <w:rPr>
          <w:rFonts w:asciiTheme="minorHAnsi" w:hAnsiTheme="minorHAnsi"/>
          <w:spacing w:val="-1"/>
          <w:sz w:val="24"/>
          <w:szCs w:val="24"/>
        </w:rPr>
        <w:t xml:space="preserve"> </w:t>
      </w:r>
      <w:r w:rsidR="00EC46B9" w:rsidRPr="000A5D43">
        <w:rPr>
          <w:rFonts w:asciiTheme="minorHAnsi" w:hAnsiTheme="minorHAnsi"/>
          <w:spacing w:val="-1"/>
          <w:sz w:val="24"/>
          <w:szCs w:val="24"/>
        </w:rPr>
        <w:t xml:space="preserve">MxA is a marker of </w:t>
      </w:r>
      <w:r w:rsidRPr="000A5D43">
        <w:rPr>
          <w:rFonts w:asciiTheme="minorHAnsi" w:hAnsiTheme="minorHAnsi"/>
          <w:spacing w:val="-1"/>
          <w:sz w:val="24"/>
          <w:szCs w:val="24"/>
        </w:rPr>
        <w:t xml:space="preserve">interferon-induced </w:t>
      </w:r>
      <w:r w:rsidR="00EC46B9" w:rsidRPr="000A5D43">
        <w:rPr>
          <w:rFonts w:asciiTheme="minorHAnsi" w:hAnsiTheme="minorHAnsi"/>
          <w:spacing w:val="-1"/>
          <w:sz w:val="24"/>
          <w:szCs w:val="24"/>
        </w:rPr>
        <w:t xml:space="preserve">antiviral host response </w:t>
      </w:r>
      <w:r w:rsidR="00593D48" w:rsidRPr="000A5D43">
        <w:rPr>
          <w:rFonts w:asciiTheme="minorHAnsi" w:hAnsiTheme="minorHAnsi"/>
          <w:spacing w:val="-1"/>
          <w:sz w:val="24"/>
          <w:szCs w:val="24"/>
        </w:rPr>
        <w:t xml:space="preserve">and in our previous work, the </w:t>
      </w:r>
      <w:r w:rsidR="0064282F" w:rsidRPr="000A5D43">
        <w:rPr>
          <w:rFonts w:asciiTheme="minorHAnsi" w:hAnsiTheme="minorHAnsi"/>
          <w:spacing w:val="-1"/>
          <w:sz w:val="24"/>
          <w:szCs w:val="24"/>
        </w:rPr>
        <w:t xml:space="preserve">detection </w:t>
      </w:r>
      <w:r w:rsidR="00593D48" w:rsidRPr="000A5D43">
        <w:rPr>
          <w:rFonts w:asciiTheme="minorHAnsi" w:hAnsiTheme="minorHAnsi"/>
          <w:spacing w:val="-1"/>
          <w:sz w:val="24"/>
          <w:szCs w:val="24"/>
        </w:rPr>
        <w:t xml:space="preserve">of MxA </w:t>
      </w:r>
      <w:r w:rsidR="0064282F" w:rsidRPr="000A5D43">
        <w:rPr>
          <w:rFonts w:asciiTheme="minorHAnsi" w:hAnsiTheme="minorHAnsi"/>
          <w:spacing w:val="-1"/>
          <w:sz w:val="24"/>
          <w:szCs w:val="24"/>
        </w:rPr>
        <w:t>by FebriDx had high sensitivity</w:t>
      </w:r>
      <w:r w:rsidR="00DC0F45" w:rsidRPr="000A5D43">
        <w:rPr>
          <w:rFonts w:asciiTheme="minorHAnsi" w:hAnsiTheme="minorHAnsi"/>
          <w:spacing w:val="-1"/>
          <w:sz w:val="24"/>
          <w:szCs w:val="24"/>
        </w:rPr>
        <w:t xml:space="preserve"> for the det</w:t>
      </w:r>
      <w:r w:rsidR="00BE23B6" w:rsidRPr="000A5D43">
        <w:rPr>
          <w:rFonts w:asciiTheme="minorHAnsi" w:hAnsiTheme="minorHAnsi"/>
          <w:spacing w:val="-1"/>
          <w:sz w:val="24"/>
          <w:szCs w:val="24"/>
        </w:rPr>
        <w:t xml:space="preserve">ection of Influenza in hospitalized </w:t>
      </w:r>
      <w:r w:rsidR="00DC0F45" w:rsidRPr="000A5D43">
        <w:rPr>
          <w:rFonts w:asciiTheme="minorHAnsi" w:hAnsiTheme="minorHAnsi"/>
          <w:spacing w:val="-1"/>
          <w:sz w:val="24"/>
          <w:szCs w:val="24"/>
        </w:rPr>
        <w:t>adults</w:t>
      </w:r>
      <w:r w:rsidR="0064335A" w:rsidRPr="000A5D43">
        <w:rPr>
          <w:rFonts w:asciiTheme="minorHAnsi" w:hAnsiTheme="minorHAnsi"/>
          <w:spacing w:val="-1"/>
          <w:sz w:val="24"/>
          <w:szCs w:val="24"/>
        </w:rPr>
        <w:t>,</w:t>
      </w:r>
      <w:r w:rsidR="00DC0F45" w:rsidRPr="000A5D43">
        <w:rPr>
          <w:rFonts w:asciiTheme="minorHAnsi" w:hAnsiTheme="minorHAnsi"/>
          <w:spacing w:val="-1"/>
          <w:sz w:val="24"/>
          <w:szCs w:val="24"/>
        </w:rPr>
        <w:t xml:space="preserve"> </w:t>
      </w:r>
      <w:r w:rsidR="0064282F" w:rsidRPr="000A5D43">
        <w:rPr>
          <w:rFonts w:asciiTheme="minorHAnsi" w:hAnsiTheme="minorHAnsi"/>
          <w:spacing w:val="-1"/>
          <w:sz w:val="24"/>
          <w:szCs w:val="24"/>
        </w:rPr>
        <w:t xml:space="preserve">during influenza </w:t>
      </w:r>
      <w:r w:rsidR="00593D48" w:rsidRPr="000A5D43">
        <w:rPr>
          <w:rFonts w:asciiTheme="minorHAnsi" w:hAnsiTheme="minorHAnsi"/>
          <w:spacing w:val="-1"/>
          <w:sz w:val="24"/>
          <w:szCs w:val="24"/>
        </w:rPr>
        <w:t>season</w:t>
      </w:r>
      <w:r w:rsidR="00DC0F45" w:rsidRPr="000A5D43">
        <w:rPr>
          <w:rFonts w:asciiTheme="minorHAnsi" w:hAnsiTheme="minorHAnsi"/>
          <w:spacing w:val="-1"/>
          <w:sz w:val="24"/>
          <w:szCs w:val="24"/>
        </w:rPr>
        <w:t>.</w:t>
      </w:r>
      <w:r w:rsidR="00895D15" w:rsidRPr="000A5D43">
        <w:rPr>
          <w:rFonts w:asciiTheme="minorHAnsi" w:hAnsiTheme="minorHAnsi"/>
          <w:spacing w:val="-1"/>
          <w:sz w:val="24"/>
          <w:szCs w:val="24"/>
          <w:vertAlign w:val="superscript"/>
        </w:rPr>
        <w:t>6</w:t>
      </w:r>
      <w:r w:rsidR="00DC0F45" w:rsidRPr="000A5D43">
        <w:rPr>
          <w:rFonts w:asciiTheme="minorHAnsi" w:hAnsiTheme="minorHAnsi"/>
          <w:spacing w:val="-1"/>
          <w:sz w:val="24"/>
          <w:szCs w:val="24"/>
        </w:rPr>
        <w:t xml:space="preserve"> MxA levels are </w:t>
      </w:r>
      <w:r w:rsidR="005B21F7" w:rsidRPr="000A5D43">
        <w:rPr>
          <w:rFonts w:asciiTheme="minorHAnsi" w:hAnsiTheme="minorHAnsi"/>
          <w:spacing w:val="-1"/>
          <w:sz w:val="24"/>
          <w:szCs w:val="24"/>
        </w:rPr>
        <w:t xml:space="preserve">also </w:t>
      </w:r>
      <w:r w:rsidR="00EC46B9" w:rsidRPr="000A5D43">
        <w:rPr>
          <w:rFonts w:asciiTheme="minorHAnsi" w:hAnsiTheme="minorHAnsi"/>
          <w:spacing w:val="-1"/>
          <w:sz w:val="24"/>
          <w:szCs w:val="24"/>
        </w:rPr>
        <w:t xml:space="preserve">likely to be </w:t>
      </w:r>
      <w:r w:rsidR="00DC0F45" w:rsidRPr="000A5D43">
        <w:rPr>
          <w:rFonts w:asciiTheme="minorHAnsi" w:hAnsiTheme="minorHAnsi"/>
          <w:spacing w:val="-1"/>
          <w:sz w:val="24"/>
          <w:szCs w:val="24"/>
        </w:rPr>
        <w:t xml:space="preserve">significantly </w:t>
      </w:r>
      <w:r w:rsidR="004022B4" w:rsidRPr="000A5D43">
        <w:rPr>
          <w:rFonts w:asciiTheme="minorHAnsi" w:hAnsiTheme="minorHAnsi"/>
          <w:spacing w:val="-1"/>
          <w:sz w:val="24"/>
          <w:szCs w:val="24"/>
        </w:rPr>
        <w:t>elevated in patients with COVID</w:t>
      </w:r>
      <w:r w:rsidR="00EC46B9" w:rsidRPr="000A5D43">
        <w:rPr>
          <w:rFonts w:asciiTheme="minorHAnsi" w:hAnsiTheme="minorHAnsi"/>
          <w:spacing w:val="-1"/>
          <w:sz w:val="24"/>
          <w:szCs w:val="24"/>
        </w:rPr>
        <w:t xml:space="preserve">-19 but the diagnostic accuracy of FebriDx in this situation is </w:t>
      </w:r>
      <w:r w:rsidR="00387FF7" w:rsidRPr="000A5D43">
        <w:rPr>
          <w:rFonts w:asciiTheme="minorHAnsi" w:hAnsiTheme="minorHAnsi"/>
          <w:spacing w:val="-1"/>
          <w:sz w:val="24"/>
          <w:szCs w:val="24"/>
        </w:rPr>
        <w:t xml:space="preserve">currently </w:t>
      </w:r>
      <w:r w:rsidR="00EC46B9" w:rsidRPr="000A5D43">
        <w:rPr>
          <w:rFonts w:asciiTheme="minorHAnsi" w:hAnsiTheme="minorHAnsi"/>
          <w:spacing w:val="-1"/>
          <w:sz w:val="24"/>
          <w:szCs w:val="24"/>
        </w:rPr>
        <w:t>unknown.</w:t>
      </w:r>
      <w:r w:rsidR="00EE23FE" w:rsidRPr="000A5D43">
        <w:rPr>
          <w:rFonts w:asciiTheme="minorHAnsi" w:hAnsiTheme="minorHAnsi"/>
          <w:spacing w:val="-1"/>
          <w:sz w:val="24"/>
          <w:szCs w:val="24"/>
        </w:rPr>
        <w:t xml:space="preserve"> FebriDx is a low </w:t>
      </w:r>
      <w:r w:rsidR="00387FF7" w:rsidRPr="000A5D43">
        <w:rPr>
          <w:rFonts w:asciiTheme="minorHAnsi" w:hAnsiTheme="minorHAnsi"/>
          <w:spacing w:val="-1"/>
          <w:sz w:val="24"/>
          <w:szCs w:val="24"/>
        </w:rPr>
        <w:t>cost</w:t>
      </w:r>
      <w:r w:rsidR="0064282F" w:rsidRPr="000A5D43">
        <w:rPr>
          <w:rFonts w:asciiTheme="minorHAnsi" w:hAnsiTheme="minorHAnsi"/>
          <w:spacing w:val="-1"/>
          <w:sz w:val="24"/>
          <w:szCs w:val="24"/>
        </w:rPr>
        <w:t>, instrument-free,</w:t>
      </w:r>
      <w:r w:rsidR="00387FF7" w:rsidRPr="000A5D43">
        <w:rPr>
          <w:rFonts w:asciiTheme="minorHAnsi" w:hAnsiTheme="minorHAnsi"/>
          <w:spacing w:val="-1"/>
          <w:sz w:val="24"/>
          <w:szCs w:val="24"/>
        </w:rPr>
        <w:t xml:space="preserve"> disposable POCT system and if </w:t>
      </w:r>
      <w:r w:rsidR="001E59C5">
        <w:rPr>
          <w:rFonts w:asciiTheme="minorHAnsi" w:hAnsiTheme="minorHAnsi"/>
          <w:spacing w:val="-1"/>
          <w:sz w:val="24"/>
          <w:szCs w:val="24"/>
        </w:rPr>
        <w:t xml:space="preserve">sensitive </w:t>
      </w:r>
      <w:r w:rsidR="004022B4" w:rsidRPr="000A5D43">
        <w:rPr>
          <w:rFonts w:asciiTheme="minorHAnsi" w:hAnsiTheme="minorHAnsi"/>
          <w:spacing w:val="-1"/>
          <w:sz w:val="24"/>
          <w:szCs w:val="24"/>
        </w:rPr>
        <w:t>for the detection of COVID</w:t>
      </w:r>
      <w:r w:rsidR="00387FF7" w:rsidRPr="000A5D43">
        <w:rPr>
          <w:rFonts w:asciiTheme="minorHAnsi" w:hAnsiTheme="minorHAnsi"/>
          <w:spacing w:val="-1"/>
          <w:sz w:val="24"/>
          <w:szCs w:val="24"/>
        </w:rPr>
        <w:t>-19 could be</w:t>
      </w:r>
      <w:r w:rsidRPr="000A5D43">
        <w:rPr>
          <w:rFonts w:asciiTheme="minorHAnsi" w:hAnsiTheme="minorHAnsi"/>
          <w:spacing w:val="-1"/>
          <w:sz w:val="24"/>
          <w:szCs w:val="24"/>
        </w:rPr>
        <w:t xml:space="preserve"> rapidly deployed across </w:t>
      </w:r>
      <w:r w:rsidR="00E449EE" w:rsidRPr="000A5D43">
        <w:rPr>
          <w:rFonts w:asciiTheme="minorHAnsi" w:hAnsiTheme="minorHAnsi"/>
          <w:spacing w:val="-1"/>
          <w:sz w:val="24"/>
          <w:szCs w:val="24"/>
        </w:rPr>
        <w:t xml:space="preserve">the NHS and other </w:t>
      </w:r>
      <w:r w:rsidRPr="000A5D43">
        <w:rPr>
          <w:rFonts w:asciiTheme="minorHAnsi" w:hAnsiTheme="minorHAnsi"/>
          <w:spacing w:val="-1"/>
          <w:sz w:val="24"/>
          <w:szCs w:val="24"/>
        </w:rPr>
        <w:t>health</w:t>
      </w:r>
      <w:r w:rsidR="00597854" w:rsidRPr="000A5D43">
        <w:rPr>
          <w:rFonts w:asciiTheme="minorHAnsi" w:hAnsiTheme="minorHAnsi"/>
          <w:spacing w:val="-1"/>
          <w:sz w:val="24"/>
          <w:szCs w:val="24"/>
        </w:rPr>
        <w:t>care</w:t>
      </w:r>
      <w:r w:rsidRPr="000A5D43">
        <w:rPr>
          <w:rFonts w:asciiTheme="minorHAnsi" w:hAnsiTheme="minorHAnsi"/>
          <w:spacing w:val="-1"/>
          <w:sz w:val="24"/>
          <w:szCs w:val="24"/>
        </w:rPr>
        <w:t xml:space="preserve"> systems</w:t>
      </w:r>
      <w:r w:rsidR="00387FF7" w:rsidRPr="000A5D43">
        <w:rPr>
          <w:rFonts w:asciiTheme="minorHAnsi" w:hAnsiTheme="minorHAnsi"/>
          <w:spacing w:val="-1"/>
          <w:sz w:val="24"/>
          <w:szCs w:val="24"/>
        </w:rPr>
        <w:t xml:space="preserve"> to </w:t>
      </w:r>
      <w:r w:rsidR="001E59C5">
        <w:rPr>
          <w:rFonts w:asciiTheme="minorHAnsi" w:hAnsiTheme="minorHAnsi"/>
          <w:spacing w:val="-1"/>
          <w:sz w:val="24"/>
          <w:szCs w:val="24"/>
        </w:rPr>
        <w:t xml:space="preserve">help mitigate </w:t>
      </w:r>
      <w:r w:rsidR="00387FF7" w:rsidRPr="000A5D43">
        <w:rPr>
          <w:rFonts w:asciiTheme="minorHAnsi" w:hAnsiTheme="minorHAnsi"/>
          <w:spacing w:val="-1"/>
          <w:sz w:val="24"/>
          <w:szCs w:val="24"/>
        </w:rPr>
        <w:t xml:space="preserve">the long delays in diagnostic testing and </w:t>
      </w:r>
      <w:r w:rsidR="00387FF7" w:rsidRPr="000A5D43">
        <w:rPr>
          <w:rFonts w:asciiTheme="minorHAnsi" w:hAnsiTheme="minorHAnsi"/>
          <w:spacing w:val="-1"/>
          <w:sz w:val="24"/>
          <w:szCs w:val="24"/>
        </w:rPr>
        <w:lastRenderedPageBreak/>
        <w:t xml:space="preserve">provide a rapid triage tool. </w:t>
      </w:r>
      <w:r w:rsidR="00DC0F45" w:rsidRPr="000A5D43">
        <w:rPr>
          <w:rFonts w:asciiTheme="minorHAnsi" w:hAnsiTheme="minorHAnsi"/>
          <w:spacing w:val="-1"/>
          <w:sz w:val="24"/>
          <w:szCs w:val="24"/>
        </w:rPr>
        <w:t xml:space="preserve">The aim of this study was </w:t>
      </w:r>
      <w:r w:rsidR="00387FF7" w:rsidRPr="000A5D43">
        <w:rPr>
          <w:rFonts w:asciiTheme="minorHAnsi" w:hAnsiTheme="minorHAnsi"/>
          <w:spacing w:val="-1"/>
          <w:sz w:val="24"/>
          <w:szCs w:val="24"/>
        </w:rPr>
        <w:t xml:space="preserve">therefore </w:t>
      </w:r>
      <w:r w:rsidR="00DC0F45" w:rsidRPr="000A5D43">
        <w:rPr>
          <w:rFonts w:asciiTheme="minorHAnsi" w:hAnsiTheme="minorHAnsi"/>
          <w:spacing w:val="-1"/>
          <w:sz w:val="24"/>
          <w:szCs w:val="24"/>
        </w:rPr>
        <w:t xml:space="preserve">to </w:t>
      </w:r>
      <w:r w:rsidRPr="000A5D43">
        <w:rPr>
          <w:rFonts w:asciiTheme="minorHAnsi" w:hAnsiTheme="minorHAnsi"/>
          <w:spacing w:val="-1"/>
          <w:sz w:val="24"/>
          <w:szCs w:val="24"/>
        </w:rPr>
        <w:t xml:space="preserve">evaluate </w:t>
      </w:r>
      <w:r w:rsidR="00DC0F45" w:rsidRPr="000A5D43">
        <w:rPr>
          <w:rFonts w:asciiTheme="minorHAnsi" w:hAnsiTheme="minorHAnsi"/>
          <w:spacing w:val="-1"/>
          <w:sz w:val="24"/>
          <w:szCs w:val="24"/>
        </w:rPr>
        <w:t xml:space="preserve">the </w:t>
      </w:r>
      <w:r w:rsidRPr="000A5D43">
        <w:rPr>
          <w:rFonts w:asciiTheme="minorHAnsi" w:hAnsiTheme="minorHAnsi"/>
          <w:spacing w:val="-1"/>
          <w:sz w:val="24"/>
          <w:szCs w:val="24"/>
        </w:rPr>
        <w:t xml:space="preserve">real-world </w:t>
      </w:r>
      <w:r w:rsidR="00DC0F45" w:rsidRPr="000A5D43">
        <w:rPr>
          <w:rFonts w:asciiTheme="minorHAnsi" w:hAnsiTheme="minorHAnsi"/>
          <w:spacing w:val="-1"/>
          <w:sz w:val="24"/>
          <w:szCs w:val="24"/>
        </w:rPr>
        <w:t>diagnostic accuracy</w:t>
      </w:r>
      <w:r w:rsidR="00385FFD" w:rsidRPr="000A5D43">
        <w:rPr>
          <w:rFonts w:asciiTheme="minorHAnsi" w:hAnsiTheme="minorHAnsi"/>
          <w:spacing w:val="-1"/>
          <w:sz w:val="24"/>
          <w:szCs w:val="24"/>
        </w:rPr>
        <w:t xml:space="preserve"> </w:t>
      </w:r>
      <w:r w:rsidR="00546B43" w:rsidRPr="000A5D43">
        <w:rPr>
          <w:rFonts w:asciiTheme="minorHAnsi" w:hAnsiTheme="minorHAnsi"/>
          <w:spacing w:val="-1"/>
          <w:sz w:val="24"/>
          <w:szCs w:val="24"/>
        </w:rPr>
        <w:t xml:space="preserve">of </w:t>
      </w:r>
      <w:r w:rsidR="00602FB6" w:rsidRPr="000A5D43">
        <w:rPr>
          <w:rFonts w:asciiTheme="minorHAnsi" w:hAnsiTheme="minorHAnsi"/>
          <w:spacing w:val="-1"/>
          <w:sz w:val="24"/>
          <w:szCs w:val="24"/>
        </w:rPr>
        <w:t xml:space="preserve">MxA detection by </w:t>
      </w:r>
      <w:r w:rsidR="00DC0F45" w:rsidRPr="000A5D43">
        <w:rPr>
          <w:rFonts w:asciiTheme="minorHAnsi" w:hAnsiTheme="minorHAnsi"/>
          <w:spacing w:val="-1"/>
          <w:sz w:val="24"/>
          <w:szCs w:val="24"/>
        </w:rPr>
        <w:t>FebriDx</w:t>
      </w:r>
      <w:r w:rsidR="00602FB6" w:rsidRPr="000A5D43">
        <w:rPr>
          <w:rFonts w:asciiTheme="minorHAnsi" w:hAnsiTheme="minorHAnsi"/>
          <w:spacing w:val="-1"/>
          <w:sz w:val="24"/>
          <w:szCs w:val="24"/>
        </w:rPr>
        <w:t xml:space="preserve"> for the identification </w:t>
      </w:r>
      <w:r w:rsidR="004022B4" w:rsidRPr="000A5D43">
        <w:rPr>
          <w:rFonts w:asciiTheme="minorHAnsi" w:hAnsiTheme="minorHAnsi"/>
          <w:spacing w:val="-1"/>
          <w:sz w:val="24"/>
          <w:szCs w:val="24"/>
        </w:rPr>
        <w:t>of COVID</w:t>
      </w:r>
      <w:r w:rsidRPr="000A5D43">
        <w:rPr>
          <w:rFonts w:asciiTheme="minorHAnsi" w:hAnsiTheme="minorHAnsi"/>
          <w:spacing w:val="-1"/>
          <w:sz w:val="24"/>
          <w:szCs w:val="24"/>
        </w:rPr>
        <w:t>-</w:t>
      </w:r>
      <w:r w:rsidR="00DC0F45" w:rsidRPr="000A5D43">
        <w:rPr>
          <w:rFonts w:asciiTheme="minorHAnsi" w:hAnsiTheme="minorHAnsi"/>
          <w:spacing w:val="-1"/>
          <w:sz w:val="24"/>
          <w:szCs w:val="24"/>
        </w:rPr>
        <w:t xml:space="preserve">19 in </w:t>
      </w:r>
      <w:r w:rsidR="00387FF7" w:rsidRPr="000A5D43">
        <w:rPr>
          <w:rFonts w:asciiTheme="minorHAnsi" w:hAnsiTheme="minorHAnsi"/>
          <w:spacing w:val="-1"/>
          <w:sz w:val="24"/>
          <w:szCs w:val="24"/>
        </w:rPr>
        <w:t>hospitalis</w:t>
      </w:r>
      <w:r w:rsidR="00DA7205" w:rsidRPr="000A5D43">
        <w:rPr>
          <w:rFonts w:asciiTheme="minorHAnsi" w:hAnsiTheme="minorHAnsi"/>
          <w:spacing w:val="-1"/>
          <w:sz w:val="24"/>
          <w:szCs w:val="24"/>
        </w:rPr>
        <w:t xml:space="preserve">ed adults </w:t>
      </w:r>
      <w:r w:rsidR="00602FB6" w:rsidRPr="000A5D43">
        <w:rPr>
          <w:rFonts w:asciiTheme="minorHAnsi" w:hAnsiTheme="minorHAnsi"/>
          <w:spacing w:val="-1"/>
          <w:sz w:val="24"/>
          <w:szCs w:val="24"/>
        </w:rPr>
        <w:t xml:space="preserve">during the first wave of the pandemic, </w:t>
      </w:r>
      <w:r w:rsidR="00DA7205" w:rsidRPr="000A5D43">
        <w:rPr>
          <w:rFonts w:asciiTheme="minorHAnsi" w:hAnsiTheme="minorHAnsi"/>
          <w:spacing w:val="-1"/>
          <w:sz w:val="24"/>
          <w:szCs w:val="24"/>
        </w:rPr>
        <w:t xml:space="preserve">and </w:t>
      </w:r>
      <w:r w:rsidR="00E90E8A" w:rsidRPr="000A5D43">
        <w:rPr>
          <w:rFonts w:asciiTheme="minorHAnsi" w:hAnsiTheme="minorHAnsi"/>
          <w:spacing w:val="-1"/>
          <w:sz w:val="24"/>
          <w:szCs w:val="24"/>
        </w:rPr>
        <w:t xml:space="preserve">to </w:t>
      </w:r>
      <w:r w:rsidR="00DA7205" w:rsidRPr="000A5D43">
        <w:rPr>
          <w:rFonts w:asciiTheme="minorHAnsi" w:hAnsiTheme="minorHAnsi"/>
          <w:spacing w:val="-1"/>
          <w:sz w:val="24"/>
          <w:szCs w:val="24"/>
        </w:rPr>
        <w:t xml:space="preserve">develop and </w:t>
      </w:r>
      <w:r w:rsidR="00F14DC8" w:rsidRPr="000A5D43">
        <w:rPr>
          <w:rFonts w:asciiTheme="minorHAnsi" w:hAnsiTheme="minorHAnsi"/>
          <w:spacing w:val="-1"/>
          <w:sz w:val="24"/>
          <w:szCs w:val="24"/>
        </w:rPr>
        <w:t xml:space="preserve">internally validate a multivariable model for diagnosis of COVID-19 that includes FebriDx </w:t>
      </w:r>
      <w:r w:rsidR="00602FB6" w:rsidRPr="000A5D43">
        <w:rPr>
          <w:rFonts w:asciiTheme="minorHAnsi" w:hAnsiTheme="minorHAnsi"/>
          <w:spacing w:val="-1"/>
          <w:sz w:val="24"/>
          <w:szCs w:val="24"/>
        </w:rPr>
        <w:t xml:space="preserve">result </w:t>
      </w:r>
      <w:r w:rsidR="00F14DC8" w:rsidRPr="000A5D43">
        <w:rPr>
          <w:rFonts w:asciiTheme="minorHAnsi" w:hAnsiTheme="minorHAnsi"/>
          <w:spacing w:val="-1"/>
          <w:sz w:val="24"/>
          <w:szCs w:val="24"/>
        </w:rPr>
        <w:t xml:space="preserve">and other easily obtained clinical measures. </w:t>
      </w:r>
    </w:p>
    <w:p w:rsidR="00EE23FE" w:rsidRPr="007E0451" w:rsidRDefault="00EE23FE" w:rsidP="001132FC">
      <w:pPr>
        <w:pStyle w:val="BodyText"/>
        <w:spacing w:line="480" w:lineRule="auto"/>
        <w:ind w:left="0" w:right="198"/>
        <w:jc w:val="both"/>
        <w:rPr>
          <w:rFonts w:asciiTheme="minorHAnsi" w:hAnsiTheme="minorHAnsi"/>
          <w:spacing w:val="-1"/>
          <w:sz w:val="22"/>
          <w:szCs w:val="22"/>
        </w:rPr>
      </w:pPr>
    </w:p>
    <w:p w:rsidR="00D279AC" w:rsidRPr="00D03127" w:rsidRDefault="00C35C8F" w:rsidP="007B27A8">
      <w:pPr>
        <w:rPr>
          <w:rFonts w:eastAsia="Times New Roman" w:cs="Times New Roman"/>
          <w:b/>
          <w:bCs/>
          <w:sz w:val="32"/>
          <w:szCs w:val="32"/>
          <w:lang w:eastAsia="en-GB"/>
        </w:rPr>
      </w:pPr>
      <w:r w:rsidRPr="00D03127">
        <w:rPr>
          <w:rFonts w:eastAsia="Times New Roman" w:cs="Times New Roman"/>
          <w:b/>
          <w:bCs/>
          <w:sz w:val="32"/>
          <w:szCs w:val="32"/>
          <w:lang w:eastAsia="en-GB"/>
        </w:rPr>
        <w:t>Methods</w:t>
      </w:r>
    </w:p>
    <w:p w:rsidR="00C35C8F" w:rsidRPr="000A5D43" w:rsidRDefault="00C35C8F" w:rsidP="00C51C28">
      <w:pPr>
        <w:spacing w:after="0" w:line="480" w:lineRule="auto"/>
        <w:rPr>
          <w:b/>
          <w:bCs/>
          <w:sz w:val="24"/>
          <w:szCs w:val="24"/>
        </w:rPr>
      </w:pPr>
      <w:r w:rsidRPr="000A5D43">
        <w:rPr>
          <w:b/>
          <w:bCs/>
          <w:sz w:val="24"/>
          <w:szCs w:val="24"/>
        </w:rPr>
        <w:t>Study design and participants</w:t>
      </w:r>
    </w:p>
    <w:p w:rsidR="00FC542E" w:rsidRPr="000A5D43" w:rsidRDefault="00E90E8A" w:rsidP="00FC542E">
      <w:pPr>
        <w:spacing w:after="0" w:line="480" w:lineRule="auto"/>
        <w:jc w:val="both"/>
        <w:rPr>
          <w:sz w:val="24"/>
          <w:szCs w:val="24"/>
        </w:rPr>
      </w:pPr>
      <w:r w:rsidRPr="000A5D43">
        <w:rPr>
          <w:bCs/>
          <w:sz w:val="24"/>
          <w:szCs w:val="24"/>
        </w:rPr>
        <w:t>This study of FebriDx was</w:t>
      </w:r>
      <w:r w:rsidR="00F14DC8" w:rsidRPr="000A5D43">
        <w:rPr>
          <w:bCs/>
          <w:sz w:val="24"/>
          <w:szCs w:val="24"/>
        </w:rPr>
        <w:t xml:space="preserve"> nes</w:t>
      </w:r>
      <w:r w:rsidR="000B0E25">
        <w:rPr>
          <w:bCs/>
          <w:sz w:val="24"/>
          <w:szCs w:val="24"/>
        </w:rPr>
        <w:t xml:space="preserve">ted within the CoV-19POC study, </w:t>
      </w:r>
      <w:r w:rsidR="00C344DB" w:rsidRPr="000A5D43">
        <w:rPr>
          <w:bCs/>
          <w:sz w:val="24"/>
          <w:szCs w:val="24"/>
        </w:rPr>
        <w:t xml:space="preserve">a </w:t>
      </w:r>
      <w:r w:rsidR="00EC46B9" w:rsidRPr="000A5D43">
        <w:rPr>
          <w:bCs/>
          <w:sz w:val="24"/>
          <w:szCs w:val="24"/>
        </w:rPr>
        <w:t>trial assessi</w:t>
      </w:r>
      <w:r w:rsidR="00BE23B6" w:rsidRPr="000A5D43">
        <w:rPr>
          <w:bCs/>
          <w:sz w:val="24"/>
          <w:szCs w:val="24"/>
        </w:rPr>
        <w:t xml:space="preserve">ng the clinical impact </w:t>
      </w:r>
      <w:r w:rsidR="00EC46B9" w:rsidRPr="000A5D43">
        <w:rPr>
          <w:bCs/>
          <w:sz w:val="24"/>
          <w:szCs w:val="24"/>
        </w:rPr>
        <w:t>of molecular</w:t>
      </w:r>
      <w:r w:rsidR="004022B4" w:rsidRPr="000A5D43">
        <w:rPr>
          <w:bCs/>
          <w:sz w:val="24"/>
          <w:szCs w:val="24"/>
        </w:rPr>
        <w:t xml:space="preserve"> </w:t>
      </w:r>
      <w:r w:rsidR="00C344DB" w:rsidRPr="000A5D43">
        <w:rPr>
          <w:bCs/>
          <w:sz w:val="24"/>
          <w:szCs w:val="24"/>
        </w:rPr>
        <w:t xml:space="preserve">POCT </w:t>
      </w:r>
      <w:r w:rsidR="004022B4" w:rsidRPr="000A5D43">
        <w:rPr>
          <w:bCs/>
          <w:sz w:val="24"/>
          <w:szCs w:val="24"/>
        </w:rPr>
        <w:t>for COVID</w:t>
      </w:r>
      <w:r w:rsidR="00EC46B9" w:rsidRPr="000A5D43">
        <w:rPr>
          <w:bCs/>
          <w:sz w:val="24"/>
          <w:szCs w:val="24"/>
        </w:rPr>
        <w:t>-19.</w:t>
      </w:r>
      <w:r w:rsidR="00EC46B9" w:rsidRPr="000A5D43">
        <w:rPr>
          <w:b/>
          <w:bCs/>
          <w:sz w:val="24"/>
          <w:szCs w:val="24"/>
        </w:rPr>
        <w:t xml:space="preserve"> </w:t>
      </w:r>
      <w:r w:rsidR="00361554" w:rsidRPr="000A5D43">
        <w:rPr>
          <w:bCs/>
          <w:sz w:val="24"/>
          <w:szCs w:val="24"/>
        </w:rPr>
        <w:t>Adults presenting with suspected COVID-19 were enrolled; full details of the inclusion and exclusion criteria</w:t>
      </w:r>
      <w:r w:rsidR="0064335A" w:rsidRPr="000A5D43">
        <w:rPr>
          <w:bCs/>
          <w:sz w:val="24"/>
          <w:szCs w:val="24"/>
        </w:rPr>
        <w:t xml:space="preserve"> can be found in the protocol, </w:t>
      </w:r>
      <w:r w:rsidR="00361554" w:rsidRPr="000A5D43">
        <w:rPr>
          <w:bCs/>
          <w:sz w:val="24"/>
          <w:szCs w:val="24"/>
        </w:rPr>
        <w:t>linked below</w:t>
      </w:r>
      <w:r w:rsidR="00361554" w:rsidRPr="000A5D43">
        <w:rPr>
          <w:b/>
          <w:bCs/>
          <w:sz w:val="24"/>
          <w:szCs w:val="24"/>
        </w:rPr>
        <w:t xml:space="preserve">. </w:t>
      </w:r>
      <w:r w:rsidR="00AF6823" w:rsidRPr="000A5D43">
        <w:rPr>
          <w:sz w:val="24"/>
          <w:szCs w:val="24"/>
        </w:rPr>
        <w:t>The study was approved by the South Central - Hampshire A Research Ethics Committee: REC</w:t>
      </w:r>
      <w:r w:rsidR="00597854" w:rsidRPr="000A5D43">
        <w:rPr>
          <w:sz w:val="24"/>
          <w:szCs w:val="24"/>
        </w:rPr>
        <w:t xml:space="preserve"> reference 20/SC/0138, </w:t>
      </w:r>
      <w:r w:rsidR="00AF6823" w:rsidRPr="000A5D43">
        <w:rPr>
          <w:sz w:val="24"/>
          <w:szCs w:val="24"/>
        </w:rPr>
        <w:t xml:space="preserve">on the 16th March 2020. </w:t>
      </w:r>
      <w:r w:rsidR="00EE06A1">
        <w:rPr>
          <w:bCs/>
          <w:sz w:val="24"/>
          <w:szCs w:val="24"/>
        </w:rPr>
        <w:t xml:space="preserve">The </w:t>
      </w:r>
      <w:r w:rsidR="003248F7" w:rsidRPr="000A5D43">
        <w:rPr>
          <w:sz w:val="24"/>
          <w:szCs w:val="24"/>
        </w:rPr>
        <w:t>protocol is</w:t>
      </w:r>
      <w:r w:rsidR="009D154E" w:rsidRPr="000A5D43">
        <w:rPr>
          <w:sz w:val="24"/>
          <w:szCs w:val="24"/>
        </w:rPr>
        <w:t xml:space="preserve"> </w:t>
      </w:r>
      <w:r w:rsidR="00397CC4" w:rsidRPr="000A5D43">
        <w:rPr>
          <w:sz w:val="24"/>
          <w:szCs w:val="24"/>
        </w:rPr>
        <w:t xml:space="preserve">available at: </w:t>
      </w:r>
    </w:p>
    <w:p w:rsidR="00AF6823" w:rsidRPr="000A5D43" w:rsidRDefault="006A07B5" w:rsidP="003248F7">
      <w:pPr>
        <w:spacing w:after="0" w:line="480" w:lineRule="auto"/>
        <w:jc w:val="both"/>
        <w:rPr>
          <w:rStyle w:val="Hyperlink"/>
          <w:sz w:val="24"/>
          <w:szCs w:val="24"/>
        </w:rPr>
      </w:pPr>
      <w:hyperlink r:id="rId8" w:history="1">
        <w:r w:rsidR="00FC542E" w:rsidRPr="000A5D43">
          <w:rPr>
            <w:rStyle w:val="Hyperlink"/>
            <w:sz w:val="24"/>
            <w:szCs w:val="24"/>
          </w:rPr>
          <w:t>https://eprints.soton.ac.uk/439309/1/CoV_19POC_Protocol_v1.1_eprints.pdf</w:t>
        </w:r>
      </w:hyperlink>
    </w:p>
    <w:p w:rsidR="00F3174E" w:rsidRPr="000A5D43" w:rsidRDefault="00F3174E" w:rsidP="003248F7">
      <w:pPr>
        <w:spacing w:after="0" w:line="480" w:lineRule="auto"/>
        <w:jc w:val="both"/>
        <w:rPr>
          <w:sz w:val="24"/>
          <w:szCs w:val="24"/>
        </w:rPr>
      </w:pPr>
    </w:p>
    <w:p w:rsidR="00AF2144" w:rsidRPr="000A5D43" w:rsidRDefault="0018178F" w:rsidP="0018178F">
      <w:pPr>
        <w:spacing w:after="0" w:line="480" w:lineRule="auto"/>
        <w:jc w:val="both"/>
        <w:rPr>
          <w:b/>
          <w:bCs/>
          <w:sz w:val="24"/>
          <w:szCs w:val="24"/>
        </w:rPr>
      </w:pPr>
      <w:r w:rsidRPr="000A5D43">
        <w:rPr>
          <w:b/>
          <w:bCs/>
          <w:sz w:val="24"/>
          <w:szCs w:val="24"/>
        </w:rPr>
        <w:t>Procedures</w:t>
      </w:r>
      <w:r w:rsidR="00AF2144" w:rsidRPr="000A5D43">
        <w:rPr>
          <w:b/>
          <w:bCs/>
          <w:sz w:val="24"/>
          <w:szCs w:val="24"/>
        </w:rPr>
        <w:t xml:space="preserve"> </w:t>
      </w:r>
    </w:p>
    <w:p w:rsidR="00546B43" w:rsidRPr="000A5D43" w:rsidRDefault="00E90E8A" w:rsidP="00294D64">
      <w:pPr>
        <w:spacing w:after="0" w:line="480" w:lineRule="auto"/>
        <w:jc w:val="both"/>
        <w:rPr>
          <w:sz w:val="24"/>
          <w:szCs w:val="24"/>
        </w:rPr>
      </w:pPr>
      <w:r w:rsidRPr="000A5D43">
        <w:rPr>
          <w:sz w:val="24"/>
          <w:szCs w:val="24"/>
        </w:rPr>
        <w:t>C</w:t>
      </w:r>
      <w:r w:rsidR="00681987" w:rsidRPr="000A5D43">
        <w:rPr>
          <w:sz w:val="24"/>
          <w:szCs w:val="24"/>
        </w:rPr>
        <w:t>ombined nose and throat swab</w:t>
      </w:r>
      <w:r w:rsidR="0026540E" w:rsidRPr="000A5D43">
        <w:rPr>
          <w:sz w:val="24"/>
          <w:szCs w:val="24"/>
        </w:rPr>
        <w:t>s</w:t>
      </w:r>
      <w:r w:rsidR="00681987" w:rsidRPr="000A5D43">
        <w:rPr>
          <w:sz w:val="24"/>
          <w:szCs w:val="24"/>
        </w:rPr>
        <w:t xml:space="preserve"> </w:t>
      </w:r>
      <w:r w:rsidRPr="000A5D43">
        <w:rPr>
          <w:sz w:val="24"/>
          <w:szCs w:val="24"/>
        </w:rPr>
        <w:t xml:space="preserve">were </w:t>
      </w:r>
      <w:r w:rsidR="00681987" w:rsidRPr="000A5D43">
        <w:rPr>
          <w:sz w:val="24"/>
          <w:szCs w:val="24"/>
        </w:rPr>
        <w:t xml:space="preserve">obtained </w:t>
      </w:r>
      <w:r w:rsidR="0064335A" w:rsidRPr="000A5D43">
        <w:rPr>
          <w:sz w:val="24"/>
          <w:szCs w:val="24"/>
        </w:rPr>
        <w:t xml:space="preserve">from patients </w:t>
      </w:r>
      <w:r w:rsidR="00681987" w:rsidRPr="000A5D43">
        <w:rPr>
          <w:sz w:val="24"/>
          <w:szCs w:val="24"/>
        </w:rPr>
        <w:t>by research staff and tested immediately on the Q</w:t>
      </w:r>
      <w:r w:rsidR="004156C3" w:rsidRPr="000A5D43">
        <w:rPr>
          <w:sz w:val="24"/>
          <w:szCs w:val="24"/>
        </w:rPr>
        <w:t xml:space="preserve">IAstat-Dx platform using the </w:t>
      </w:r>
      <w:r w:rsidR="00681987" w:rsidRPr="000A5D43">
        <w:rPr>
          <w:sz w:val="24"/>
          <w:szCs w:val="24"/>
        </w:rPr>
        <w:t>Respiratory SARS-CoV-2 Panel,</w:t>
      </w:r>
      <w:r w:rsidR="00895D15" w:rsidRPr="000A5D43">
        <w:rPr>
          <w:sz w:val="24"/>
          <w:szCs w:val="24"/>
          <w:vertAlign w:val="superscript"/>
        </w:rPr>
        <w:t>7</w:t>
      </w:r>
      <w:r w:rsidR="00681987" w:rsidRPr="000A5D43">
        <w:rPr>
          <w:sz w:val="24"/>
          <w:szCs w:val="24"/>
        </w:rPr>
        <w:t xml:space="preserve"> at the point of care</w:t>
      </w:r>
      <w:r w:rsidR="000B0E25">
        <w:rPr>
          <w:sz w:val="24"/>
          <w:szCs w:val="24"/>
        </w:rPr>
        <w:t xml:space="preserve">. A </w:t>
      </w:r>
      <w:r w:rsidR="00681987" w:rsidRPr="000A5D43">
        <w:rPr>
          <w:sz w:val="24"/>
          <w:szCs w:val="24"/>
        </w:rPr>
        <w:t>full list</w:t>
      </w:r>
      <w:r w:rsidR="00294D64" w:rsidRPr="000A5D43">
        <w:rPr>
          <w:sz w:val="24"/>
          <w:szCs w:val="24"/>
        </w:rPr>
        <w:t xml:space="preserve"> of </w:t>
      </w:r>
      <w:r w:rsidR="000B0E25">
        <w:rPr>
          <w:sz w:val="24"/>
          <w:szCs w:val="24"/>
        </w:rPr>
        <w:t xml:space="preserve">the </w:t>
      </w:r>
      <w:r w:rsidR="00597854" w:rsidRPr="000A5D43">
        <w:rPr>
          <w:sz w:val="24"/>
          <w:szCs w:val="24"/>
        </w:rPr>
        <w:t>pathogens</w:t>
      </w:r>
      <w:r w:rsidR="00BC643B">
        <w:rPr>
          <w:sz w:val="24"/>
          <w:szCs w:val="24"/>
        </w:rPr>
        <w:t xml:space="preserve"> </w:t>
      </w:r>
      <w:r w:rsidR="000B0E25">
        <w:rPr>
          <w:sz w:val="24"/>
          <w:szCs w:val="24"/>
        </w:rPr>
        <w:t>detected by the panel is</w:t>
      </w:r>
      <w:r w:rsidR="00BC643B">
        <w:rPr>
          <w:sz w:val="24"/>
          <w:szCs w:val="24"/>
        </w:rPr>
        <w:t xml:space="preserve"> shown in </w:t>
      </w:r>
      <w:r w:rsidR="00BC643B" w:rsidRPr="00BC643B">
        <w:rPr>
          <w:sz w:val="24"/>
          <w:szCs w:val="24"/>
        </w:rPr>
        <w:t>Table E1 in the online data supplement</w:t>
      </w:r>
      <w:r w:rsidR="00681987" w:rsidRPr="000A5D43">
        <w:rPr>
          <w:sz w:val="24"/>
          <w:szCs w:val="24"/>
        </w:rPr>
        <w:t>.</w:t>
      </w:r>
      <w:r w:rsidR="00895D15" w:rsidRPr="000A5D43">
        <w:rPr>
          <w:sz w:val="24"/>
          <w:szCs w:val="24"/>
          <w:vertAlign w:val="superscript"/>
        </w:rPr>
        <w:t>8</w:t>
      </w:r>
      <w:r w:rsidR="00DA117F" w:rsidRPr="000A5D43">
        <w:rPr>
          <w:sz w:val="24"/>
          <w:szCs w:val="24"/>
          <w:vertAlign w:val="superscript"/>
        </w:rPr>
        <w:t xml:space="preserve">, </w:t>
      </w:r>
      <w:r w:rsidR="00895D15" w:rsidRPr="000A5D43">
        <w:rPr>
          <w:sz w:val="24"/>
          <w:szCs w:val="24"/>
          <w:vertAlign w:val="superscript"/>
        </w:rPr>
        <w:t>9</w:t>
      </w:r>
      <w:r w:rsidR="00DA117F" w:rsidRPr="000A5D43">
        <w:rPr>
          <w:sz w:val="24"/>
          <w:szCs w:val="24"/>
        </w:rPr>
        <w:t xml:space="preserve"> </w:t>
      </w:r>
      <w:r w:rsidR="00681987" w:rsidRPr="000A5D43">
        <w:rPr>
          <w:sz w:val="24"/>
          <w:szCs w:val="24"/>
        </w:rPr>
        <w:t>In addition</w:t>
      </w:r>
      <w:r w:rsidR="00597854" w:rsidRPr="000A5D43">
        <w:rPr>
          <w:sz w:val="24"/>
          <w:szCs w:val="24"/>
        </w:rPr>
        <w:t>,</w:t>
      </w:r>
      <w:r w:rsidR="00681987" w:rsidRPr="000A5D43">
        <w:rPr>
          <w:sz w:val="24"/>
          <w:szCs w:val="24"/>
        </w:rPr>
        <w:t xml:space="preserve"> laboratory PCR testing for SARS-CoV-2 </w:t>
      </w:r>
      <w:r w:rsidR="00294D64" w:rsidRPr="000A5D43">
        <w:rPr>
          <w:sz w:val="24"/>
          <w:szCs w:val="24"/>
        </w:rPr>
        <w:t xml:space="preserve">on combined nose and throat swabs </w:t>
      </w:r>
      <w:r w:rsidR="007961F3" w:rsidRPr="000A5D43">
        <w:rPr>
          <w:sz w:val="24"/>
          <w:szCs w:val="24"/>
        </w:rPr>
        <w:t>was</w:t>
      </w:r>
      <w:r w:rsidR="00681987" w:rsidRPr="000A5D43">
        <w:rPr>
          <w:sz w:val="24"/>
          <w:szCs w:val="24"/>
        </w:rPr>
        <w:t xml:space="preserve"> performed </w:t>
      </w:r>
      <w:r w:rsidR="00EF1FE9" w:rsidRPr="000A5D43">
        <w:rPr>
          <w:sz w:val="24"/>
          <w:szCs w:val="24"/>
        </w:rPr>
        <w:t xml:space="preserve">on all patients, </w:t>
      </w:r>
      <w:r w:rsidR="00681987" w:rsidRPr="000A5D43">
        <w:rPr>
          <w:sz w:val="24"/>
          <w:szCs w:val="24"/>
        </w:rPr>
        <w:t xml:space="preserve">in the on-site </w:t>
      </w:r>
      <w:r w:rsidR="00294D64" w:rsidRPr="000A5D43">
        <w:rPr>
          <w:sz w:val="24"/>
          <w:szCs w:val="24"/>
        </w:rPr>
        <w:t>Public Health England (PHE)</w:t>
      </w:r>
      <w:r w:rsidR="0064335A" w:rsidRPr="000A5D43">
        <w:rPr>
          <w:sz w:val="24"/>
          <w:szCs w:val="24"/>
        </w:rPr>
        <w:t xml:space="preserve"> microbiology laboratory, </w:t>
      </w:r>
      <w:r w:rsidR="00681987" w:rsidRPr="000A5D43">
        <w:rPr>
          <w:sz w:val="24"/>
          <w:szCs w:val="24"/>
        </w:rPr>
        <w:t xml:space="preserve">using the PHE RdRp </w:t>
      </w:r>
      <w:r w:rsidR="00597854" w:rsidRPr="000A5D43">
        <w:rPr>
          <w:sz w:val="24"/>
          <w:szCs w:val="24"/>
        </w:rPr>
        <w:t xml:space="preserve">and </w:t>
      </w:r>
      <w:r w:rsidR="00BE23B6" w:rsidRPr="000A5D43">
        <w:rPr>
          <w:sz w:val="24"/>
          <w:szCs w:val="24"/>
        </w:rPr>
        <w:t xml:space="preserve">E gene </w:t>
      </w:r>
      <w:r w:rsidR="00597854" w:rsidRPr="000A5D43">
        <w:rPr>
          <w:sz w:val="24"/>
          <w:szCs w:val="24"/>
        </w:rPr>
        <w:t>reference assays</w:t>
      </w:r>
      <w:r w:rsidR="00C344DB" w:rsidRPr="000A5D43">
        <w:rPr>
          <w:sz w:val="24"/>
          <w:szCs w:val="24"/>
        </w:rPr>
        <w:t>.</w:t>
      </w:r>
      <w:r w:rsidR="00895D15" w:rsidRPr="000A5D43">
        <w:rPr>
          <w:sz w:val="24"/>
          <w:szCs w:val="24"/>
          <w:vertAlign w:val="superscript"/>
        </w:rPr>
        <w:t>10, 11</w:t>
      </w:r>
      <w:r w:rsidR="00C344DB" w:rsidRPr="000A5D43">
        <w:rPr>
          <w:sz w:val="24"/>
          <w:szCs w:val="24"/>
        </w:rPr>
        <w:t xml:space="preserve"> </w:t>
      </w:r>
      <w:r w:rsidR="007239CC" w:rsidRPr="000A5D43">
        <w:rPr>
          <w:sz w:val="24"/>
          <w:szCs w:val="24"/>
        </w:rPr>
        <w:t xml:space="preserve">Demographic and </w:t>
      </w:r>
      <w:r w:rsidRPr="000A5D43">
        <w:rPr>
          <w:sz w:val="24"/>
          <w:szCs w:val="24"/>
        </w:rPr>
        <w:t>clinical data was</w:t>
      </w:r>
      <w:r w:rsidR="00294D64" w:rsidRPr="000A5D43">
        <w:rPr>
          <w:sz w:val="24"/>
          <w:szCs w:val="24"/>
        </w:rPr>
        <w:t xml:space="preserve"> collected at enrolment and </w:t>
      </w:r>
      <w:r w:rsidR="008D1FCB" w:rsidRPr="000A5D43">
        <w:rPr>
          <w:sz w:val="24"/>
          <w:szCs w:val="24"/>
        </w:rPr>
        <w:t xml:space="preserve">outcome data collected retrospectively from case note and electronic systems, </w:t>
      </w:r>
      <w:r w:rsidR="00294D64" w:rsidRPr="000A5D43">
        <w:rPr>
          <w:sz w:val="24"/>
          <w:szCs w:val="24"/>
        </w:rPr>
        <w:t xml:space="preserve">using </w:t>
      </w:r>
      <w:r w:rsidR="00BF793C" w:rsidRPr="000A5D43">
        <w:rPr>
          <w:sz w:val="24"/>
          <w:szCs w:val="24"/>
        </w:rPr>
        <w:t xml:space="preserve">an </w:t>
      </w:r>
      <w:r w:rsidR="00294D64" w:rsidRPr="000A5D43">
        <w:rPr>
          <w:sz w:val="24"/>
          <w:szCs w:val="24"/>
        </w:rPr>
        <w:t>electronic</w:t>
      </w:r>
      <w:r w:rsidR="0026540E" w:rsidRPr="000A5D43">
        <w:rPr>
          <w:sz w:val="24"/>
          <w:szCs w:val="24"/>
        </w:rPr>
        <w:t xml:space="preserve"> case report form</w:t>
      </w:r>
      <w:r w:rsidR="00294D64" w:rsidRPr="000A5D43">
        <w:rPr>
          <w:sz w:val="24"/>
          <w:szCs w:val="24"/>
        </w:rPr>
        <w:t xml:space="preserve">. </w:t>
      </w:r>
    </w:p>
    <w:p w:rsidR="00546B43" w:rsidRPr="000A5D43" w:rsidRDefault="00546B43" w:rsidP="00294D64">
      <w:pPr>
        <w:spacing w:after="0" w:line="480" w:lineRule="auto"/>
        <w:jc w:val="both"/>
        <w:rPr>
          <w:sz w:val="24"/>
          <w:szCs w:val="24"/>
        </w:rPr>
      </w:pPr>
    </w:p>
    <w:p w:rsidR="00294D64" w:rsidRPr="000A5D43" w:rsidRDefault="00597854" w:rsidP="00294D64">
      <w:pPr>
        <w:spacing w:after="0" w:line="480" w:lineRule="auto"/>
        <w:jc w:val="both"/>
        <w:rPr>
          <w:rStyle w:val="Hyperlink"/>
          <w:sz w:val="24"/>
          <w:szCs w:val="24"/>
        </w:rPr>
      </w:pPr>
      <w:r w:rsidRPr="000A5D43">
        <w:rPr>
          <w:sz w:val="24"/>
          <w:szCs w:val="24"/>
        </w:rPr>
        <w:t>For this sub-</w:t>
      </w:r>
      <w:r w:rsidR="00605639" w:rsidRPr="000A5D43">
        <w:rPr>
          <w:sz w:val="24"/>
          <w:szCs w:val="24"/>
        </w:rPr>
        <w:t xml:space="preserve">study the first 266 </w:t>
      </w:r>
      <w:r w:rsidR="00AE262E" w:rsidRPr="000A5D43">
        <w:rPr>
          <w:sz w:val="24"/>
          <w:szCs w:val="24"/>
        </w:rPr>
        <w:t xml:space="preserve">patients enrolled were </w:t>
      </w:r>
      <w:r w:rsidR="00605639" w:rsidRPr="000A5D43">
        <w:rPr>
          <w:sz w:val="24"/>
          <w:szCs w:val="24"/>
        </w:rPr>
        <w:t xml:space="preserve">consecutively </w:t>
      </w:r>
      <w:r w:rsidR="003D4AB6" w:rsidRPr="000A5D43">
        <w:rPr>
          <w:sz w:val="24"/>
          <w:szCs w:val="24"/>
        </w:rPr>
        <w:t>approached for testing</w:t>
      </w:r>
      <w:r w:rsidR="00AE262E" w:rsidRPr="000A5D43">
        <w:rPr>
          <w:sz w:val="24"/>
          <w:szCs w:val="24"/>
        </w:rPr>
        <w:t xml:space="preserve"> using </w:t>
      </w:r>
      <w:r w:rsidR="00BE23B6" w:rsidRPr="000A5D43">
        <w:rPr>
          <w:sz w:val="24"/>
          <w:szCs w:val="24"/>
        </w:rPr>
        <w:t xml:space="preserve">the FebriDx host response </w:t>
      </w:r>
      <w:r w:rsidR="0026540E" w:rsidRPr="000A5D43">
        <w:rPr>
          <w:sz w:val="24"/>
          <w:szCs w:val="24"/>
        </w:rPr>
        <w:t xml:space="preserve">POCT </w:t>
      </w:r>
      <w:r w:rsidR="00AE262E" w:rsidRPr="000A5D43">
        <w:rPr>
          <w:sz w:val="24"/>
          <w:szCs w:val="24"/>
        </w:rPr>
        <w:t>on finger</w:t>
      </w:r>
      <w:r w:rsidR="008A6DD7" w:rsidRPr="000A5D43">
        <w:rPr>
          <w:sz w:val="24"/>
          <w:szCs w:val="24"/>
        </w:rPr>
        <w:t xml:space="preserve"> </w:t>
      </w:r>
      <w:r w:rsidR="00AE262E" w:rsidRPr="000A5D43">
        <w:rPr>
          <w:sz w:val="24"/>
          <w:szCs w:val="24"/>
        </w:rPr>
        <w:t>p</w:t>
      </w:r>
      <w:r w:rsidR="008A6DD7" w:rsidRPr="000A5D43">
        <w:rPr>
          <w:sz w:val="24"/>
          <w:szCs w:val="24"/>
        </w:rPr>
        <w:t>r</w:t>
      </w:r>
      <w:r w:rsidR="00AE262E" w:rsidRPr="000A5D43">
        <w:rPr>
          <w:sz w:val="24"/>
          <w:szCs w:val="24"/>
        </w:rPr>
        <w:t>ick blood samples</w:t>
      </w:r>
      <w:r w:rsidR="00C344DB" w:rsidRPr="000A5D43">
        <w:rPr>
          <w:sz w:val="24"/>
          <w:szCs w:val="24"/>
        </w:rPr>
        <w:t>,</w:t>
      </w:r>
      <w:r w:rsidR="00385FFD" w:rsidRPr="000A5D43">
        <w:rPr>
          <w:sz w:val="24"/>
          <w:szCs w:val="24"/>
        </w:rPr>
        <w:t xml:space="preserve"> taken at the </w:t>
      </w:r>
      <w:r w:rsidR="003D4AB6" w:rsidRPr="000A5D43">
        <w:rPr>
          <w:sz w:val="24"/>
          <w:szCs w:val="24"/>
        </w:rPr>
        <w:t xml:space="preserve">same time as </w:t>
      </w:r>
      <w:r w:rsidR="0026540E" w:rsidRPr="000A5D43">
        <w:rPr>
          <w:sz w:val="24"/>
          <w:szCs w:val="24"/>
        </w:rPr>
        <w:t xml:space="preserve">the </w:t>
      </w:r>
      <w:r w:rsidR="003D4AB6" w:rsidRPr="000A5D43">
        <w:rPr>
          <w:sz w:val="24"/>
          <w:szCs w:val="24"/>
        </w:rPr>
        <w:t>nose as</w:t>
      </w:r>
      <w:r w:rsidR="00385FFD" w:rsidRPr="000A5D43">
        <w:rPr>
          <w:sz w:val="24"/>
          <w:szCs w:val="24"/>
        </w:rPr>
        <w:t xml:space="preserve"> throat swabs for PCR</w:t>
      </w:r>
      <w:r w:rsidR="00AE262E" w:rsidRPr="000A5D43">
        <w:rPr>
          <w:sz w:val="24"/>
          <w:szCs w:val="24"/>
        </w:rPr>
        <w:t xml:space="preserve">. </w:t>
      </w:r>
      <w:r w:rsidR="00361554" w:rsidRPr="000A5D43">
        <w:rPr>
          <w:sz w:val="24"/>
          <w:szCs w:val="24"/>
        </w:rPr>
        <w:t xml:space="preserve">Detailed instructions for use of FebriDX are provided via this link:  </w:t>
      </w:r>
      <w:hyperlink r:id="rId9" w:anchor="testing" w:history="1">
        <w:r w:rsidR="00361554" w:rsidRPr="000A5D43">
          <w:rPr>
            <w:rStyle w:val="Hyperlink"/>
            <w:sz w:val="24"/>
            <w:szCs w:val="24"/>
          </w:rPr>
          <w:t>https://www.febridx.com/how-to-use#testing</w:t>
        </w:r>
      </w:hyperlink>
      <w:r w:rsidR="00361554" w:rsidRPr="000A5D43">
        <w:rPr>
          <w:sz w:val="24"/>
          <w:szCs w:val="24"/>
        </w:rPr>
        <w:t xml:space="preserve"> but in brief; a</w:t>
      </w:r>
      <w:r w:rsidR="00AE262E" w:rsidRPr="000A5D43">
        <w:rPr>
          <w:sz w:val="24"/>
          <w:szCs w:val="24"/>
        </w:rPr>
        <w:t>fter puncture of the skin with the integral lancet</w:t>
      </w:r>
      <w:r w:rsidR="00385FFD" w:rsidRPr="000A5D43">
        <w:rPr>
          <w:sz w:val="24"/>
          <w:szCs w:val="24"/>
        </w:rPr>
        <w:t>,</w:t>
      </w:r>
      <w:r w:rsidR="00E449EE" w:rsidRPr="000A5D43">
        <w:rPr>
          <w:sz w:val="24"/>
          <w:szCs w:val="24"/>
        </w:rPr>
        <w:t xml:space="preserve"> 5 </w:t>
      </w:r>
      <w:r w:rsidR="00DA117F" w:rsidRPr="000A5D43">
        <w:rPr>
          <w:sz w:val="24"/>
          <w:szCs w:val="24"/>
        </w:rPr>
        <w:t>microliters</w:t>
      </w:r>
      <w:r w:rsidR="00AE262E" w:rsidRPr="000A5D43">
        <w:rPr>
          <w:sz w:val="24"/>
          <w:szCs w:val="24"/>
        </w:rPr>
        <w:t xml:space="preserve"> of blood are drawn into the</w:t>
      </w:r>
      <w:r w:rsidR="001B2B34" w:rsidRPr="000A5D43">
        <w:rPr>
          <w:sz w:val="24"/>
          <w:szCs w:val="24"/>
        </w:rPr>
        <w:t xml:space="preserve"> blood collection </w:t>
      </w:r>
      <w:r w:rsidR="005436A4" w:rsidRPr="000A5D43">
        <w:rPr>
          <w:sz w:val="24"/>
          <w:szCs w:val="24"/>
        </w:rPr>
        <w:t xml:space="preserve">tube </w:t>
      </w:r>
      <w:r w:rsidR="0026540E" w:rsidRPr="000A5D43">
        <w:rPr>
          <w:sz w:val="24"/>
          <w:szCs w:val="24"/>
        </w:rPr>
        <w:t xml:space="preserve">via </w:t>
      </w:r>
      <w:r w:rsidR="00AE262E" w:rsidRPr="000A5D43">
        <w:rPr>
          <w:sz w:val="24"/>
          <w:szCs w:val="24"/>
        </w:rPr>
        <w:t>capillary action</w:t>
      </w:r>
      <w:r w:rsidR="00385FFD" w:rsidRPr="000A5D43">
        <w:rPr>
          <w:sz w:val="24"/>
          <w:szCs w:val="24"/>
        </w:rPr>
        <w:t xml:space="preserve"> by placing it against</w:t>
      </w:r>
      <w:r w:rsidR="001B2B34" w:rsidRPr="000A5D43">
        <w:rPr>
          <w:sz w:val="24"/>
          <w:szCs w:val="24"/>
        </w:rPr>
        <w:t xml:space="preserve"> a blood </w:t>
      </w:r>
      <w:r w:rsidR="00385FFD" w:rsidRPr="000A5D43">
        <w:rPr>
          <w:sz w:val="24"/>
          <w:szCs w:val="24"/>
        </w:rPr>
        <w:t>drop</w:t>
      </w:r>
      <w:r w:rsidR="00AE262E" w:rsidRPr="000A5D43">
        <w:rPr>
          <w:sz w:val="24"/>
          <w:szCs w:val="24"/>
        </w:rPr>
        <w:t xml:space="preserve">. </w:t>
      </w:r>
      <w:r w:rsidR="001B2B34" w:rsidRPr="000A5D43">
        <w:rPr>
          <w:sz w:val="24"/>
          <w:szCs w:val="24"/>
        </w:rPr>
        <w:t xml:space="preserve">The blood is then transferred to the lateral flow section </w:t>
      </w:r>
      <w:r w:rsidR="00BE23B6" w:rsidRPr="000A5D43">
        <w:rPr>
          <w:sz w:val="24"/>
          <w:szCs w:val="24"/>
        </w:rPr>
        <w:t xml:space="preserve">of the device </w:t>
      </w:r>
      <w:r w:rsidR="001B2B34" w:rsidRPr="000A5D43">
        <w:rPr>
          <w:sz w:val="24"/>
          <w:szCs w:val="24"/>
        </w:rPr>
        <w:t>and reagent</w:t>
      </w:r>
      <w:r w:rsidR="003D4AB6" w:rsidRPr="000A5D43">
        <w:rPr>
          <w:sz w:val="24"/>
          <w:szCs w:val="24"/>
        </w:rPr>
        <w:t>s</w:t>
      </w:r>
      <w:r w:rsidR="001B2B34" w:rsidRPr="000A5D43">
        <w:rPr>
          <w:sz w:val="24"/>
          <w:szCs w:val="24"/>
        </w:rPr>
        <w:t xml:space="preserve"> release</w:t>
      </w:r>
      <w:r w:rsidR="003D4AB6" w:rsidRPr="000A5D43">
        <w:rPr>
          <w:sz w:val="24"/>
          <w:szCs w:val="24"/>
        </w:rPr>
        <w:t>d</w:t>
      </w:r>
      <w:r w:rsidR="00C344DB" w:rsidRPr="000A5D43">
        <w:rPr>
          <w:sz w:val="24"/>
          <w:szCs w:val="24"/>
        </w:rPr>
        <w:t xml:space="preserve"> by pressing a button</w:t>
      </w:r>
      <w:r w:rsidR="001B2B34" w:rsidRPr="000A5D43">
        <w:rPr>
          <w:sz w:val="24"/>
          <w:szCs w:val="24"/>
        </w:rPr>
        <w:t xml:space="preserve">. The test is read after 10 minutes. </w:t>
      </w:r>
    </w:p>
    <w:p w:rsidR="0019759F" w:rsidRPr="000A5D43" w:rsidRDefault="0019759F" w:rsidP="006F5E09">
      <w:pPr>
        <w:spacing w:after="0" w:line="480" w:lineRule="auto"/>
        <w:jc w:val="both"/>
        <w:rPr>
          <w:sz w:val="24"/>
          <w:szCs w:val="24"/>
        </w:rPr>
      </w:pPr>
    </w:p>
    <w:p w:rsidR="00385FFD" w:rsidRPr="000A5D43" w:rsidRDefault="00AE262E" w:rsidP="006F5E09">
      <w:pPr>
        <w:spacing w:after="0" w:line="480" w:lineRule="auto"/>
        <w:jc w:val="both"/>
        <w:rPr>
          <w:b/>
          <w:sz w:val="24"/>
          <w:szCs w:val="24"/>
        </w:rPr>
      </w:pPr>
      <w:r w:rsidRPr="000A5D43">
        <w:rPr>
          <w:b/>
          <w:sz w:val="24"/>
          <w:szCs w:val="24"/>
        </w:rPr>
        <w:t xml:space="preserve">Interpretation of results </w:t>
      </w:r>
    </w:p>
    <w:p w:rsidR="00AE262E" w:rsidRPr="000A5D43" w:rsidRDefault="00AE262E" w:rsidP="006F5E09">
      <w:pPr>
        <w:spacing w:after="0" w:line="480" w:lineRule="auto"/>
        <w:jc w:val="both"/>
        <w:rPr>
          <w:sz w:val="24"/>
          <w:szCs w:val="24"/>
        </w:rPr>
      </w:pPr>
      <w:r w:rsidRPr="000A5D43">
        <w:rPr>
          <w:sz w:val="24"/>
          <w:szCs w:val="24"/>
        </w:rPr>
        <w:t xml:space="preserve">The FebriDx system </w:t>
      </w:r>
      <w:r w:rsidR="001B2B34" w:rsidRPr="000A5D43">
        <w:rPr>
          <w:sz w:val="24"/>
          <w:szCs w:val="24"/>
        </w:rPr>
        <w:t xml:space="preserve">generates </w:t>
      </w:r>
      <w:r w:rsidR="00385FFD" w:rsidRPr="000A5D43">
        <w:rPr>
          <w:sz w:val="24"/>
          <w:szCs w:val="24"/>
        </w:rPr>
        <w:t xml:space="preserve">results </w:t>
      </w:r>
      <w:r w:rsidR="001B2B34" w:rsidRPr="000A5D43">
        <w:rPr>
          <w:sz w:val="24"/>
          <w:szCs w:val="24"/>
        </w:rPr>
        <w:t xml:space="preserve">in the form of the </w:t>
      </w:r>
      <w:r w:rsidR="00597854" w:rsidRPr="000A5D43">
        <w:rPr>
          <w:sz w:val="24"/>
          <w:szCs w:val="24"/>
        </w:rPr>
        <w:t>presence or</w:t>
      </w:r>
      <w:r w:rsidR="00385FFD" w:rsidRPr="000A5D43">
        <w:rPr>
          <w:sz w:val="24"/>
          <w:szCs w:val="24"/>
        </w:rPr>
        <w:t xml:space="preserve"> absence </w:t>
      </w:r>
      <w:r w:rsidR="00597854" w:rsidRPr="000A5D43">
        <w:rPr>
          <w:sz w:val="24"/>
          <w:szCs w:val="24"/>
        </w:rPr>
        <w:t>of three</w:t>
      </w:r>
      <w:r w:rsidR="00385FFD" w:rsidRPr="000A5D43">
        <w:rPr>
          <w:sz w:val="24"/>
          <w:szCs w:val="24"/>
        </w:rPr>
        <w:t xml:space="preserve"> lines</w:t>
      </w:r>
      <w:r w:rsidR="001B2B34" w:rsidRPr="000A5D43">
        <w:rPr>
          <w:sz w:val="24"/>
          <w:szCs w:val="24"/>
        </w:rPr>
        <w:t>, assessed by visual inspection;</w:t>
      </w:r>
      <w:r w:rsidR="00385FFD" w:rsidRPr="000A5D43">
        <w:rPr>
          <w:sz w:val="24"/>
          <w:szCs w:val="24"/>
        </w:rPr>
        <w:t xml:space="preserve"> the CRP line (</w:t>
      </w:r>
      <w:r w:rsidR="00E90E8A" w:rsidRPr="000A5D43">
        <w:rPr>
          <w:sz w:val="24"/>
          <w:szCs w:val="24"/>
        </w:rPr>
        <w:t xml:space="preserve">top, </w:t>
      </w:r>
      <w:r w:rsidR="00385FFD" w:rsidRPr="000A5D43">
        <w:rPr>
          <w:sz w:val="24"/>
          <w:szCs w:val="24"/>
        </w:rPr>
        <w:t>grey), the MxA line (</w:t>
      </w:r>
      <w:r w:rsidR="00E90E8A" w:rsidRPr="000A5D43">
        <w:rPr>
          <w:sz w:val="24"/>
          <w:szCs w:val="24"/>
        </w:rPr>
        <w:t xml:space="preserve">middle, </w:t>
      </w:r>
      <w:r w:rsidR="00385FFD" w:rsidRPr="000A5D43">
        <w:rPr>
          <w:sz w:val="24"/>
          <w:szCs w:val="24"/>
        </w:rPr>
        <w:t>red) and the control line (</w:t>
      </w:r>
      <w:r w:rsidR="00E90E8A" w:rsidRPr="000A5D43">
        <w:rPr>
          <w:sz w:val="24"/>
          <w:szCs w:val="24"/>
        </w:rPr>
        <w:t xml:space="preserve">bottom, </w:t>
      </w:r>
      <w:r w:rsidR="00385FFD" w:rsidRPr="000A5D43">
        <w:rPr>
          <w:sz w:val="24"/>
          <w:szCs w:val="24"/>
        </w:rPr>
        <w:t xml:space="preserve">blue). Figure 2 shows examples of FebriDx </w:t>
      </w:r>
      <w:r w:rsidR="00E90E8A" w:rsidRPr="000A5D43">
        <w:rPr>
          <w:sz w:val="24"/>
          <w:szCs w:val="24"/>
        </w:rPr>
        <w:t xml:space="preserve">positive and </w:t>
      </w:r>
      <w:r w:rsidR="00385FFD" w:rsidRPr="000A5D43">
        <w:rPr>
          <w:sz w:val="24"/>
          <w:szCs w:val="24"/>
        </w:rPr>
        <w:t xml:space="preserve">negative tests. The colour change on the CRP and MxA lines </w:t>
      </w:r>
      <w:r w:rsidR="0070651B" w:rsidRPr="000A5D43">
        <w:rPr>
          <w:sz w:val="24"/>
          <w:szCs w:val="24"/>
        </w:rPr>
        <w:t xml:space="preserve">when detected </w:t>
      </w:r>
      <w:r w:rsidR="00385FFD" w:rsidRPr="000A5D43">
        <w:rPr>
          <w:sz w:val="24"/>
          <w:szCs w:val="24"/>
        </w:rPr>
        <w:t xml:space="preserve">is </w:t>
      </w:r>
      <w:r w:rsidR="00E359EA" w:rsidRPr="000A5D43">
        <w:rPr>
          <w:sz w:val="24"/>
          <w:szCs w:val="24"/>
        </w:rPr>
        <w:t>dependent</w:t>
      </w:r>
      <w:r w:rsidR="0070651B" w:rsidRPr="000A5D43">
        <w:rPr>
          <w:sz w:val="24"/>
          <w:szCs w:val="24"/>
        </w:rPr>
        <w:t xml:space="preserve"> on the amount of the</w:t>
      </w:r>
      <w:r w:rsidR="00E359EA" w:rsidRPr="000A5D43">
        <w:rPr>
          <w:sz w:val="24"/>
          <w:szCs w:val="24"/>
        </w:rPr>
        <w:t xml:space="preserve"> target</w:t>
      </w:r>
      <w:r w:rsidR="0070651B" w:rsidRPr="000A5D43">
        <w:rPr>
          <w:sz w:val="24"/>
          <w:szCs w:val="24"/>
        </w:rPr>
        <w:t xml:space="preserve"> protein in the sample and so there is </w:t>
      </w:r>
      <w:r w:rsidR="0026540E" w:rsidRPr="000A5D43">
        <w:rPr>
          <w:sz w:val="24"/>
          <w:szCs w:val="24"/>
        </w:rPr>
        <w:t xml:space="preserve">potential </w:t>
      </w:r>
      <w:r w:rsidR="0070651B" w:rsidRPr="000A5D43">
        <w:rPr>
          <w:sz w:val="24"/>
          <w:szCs w:val="24"/>
        </w:rPr>
        <w:t>variability in interpretation with weaker lines</w:t>
      </w:r>
      <w:r w:rsidR="00E359EA" w:rsidRPr="000A5D43">
        <w:rPr>
          <w:sz w:val="24"/>
          <w:szCs w:val="24"/>
        </w:rPr>
        <w:t xml:space="preserve"> (quoted threshold for detection of CRP line 20mg/L and MxA line of 40ng/ml)</w:t>
      </w:r>
      <w:r w:rsidR="0070651B" w:rsidRPr="000A5D43">
        <w:rPr>
          <w:sz w:val="24"/>
          <w:szCs w:val="24"/>
        </w:rPr>
        <w:t xml:space="preserve">. For this reason each FebriDx result was read </w:t>
      </w:r>
      <w:r w:rsidR="00E90E8A" w:rsidRPr="000A5D43">
        <w:rPr>
          <w:sz w:val="24"/>
          <w:szCs w:val="24"/>
        </w:rPr>
        <w:t>independently by two investigators</w:t>
      </w:r>
      <w:r w:rsidR="0070651B" w:rsidRPr="000A5D43">
        <w:rPr>
          <w:sz w:val="24"/>
          <w:szCs w:val="24"/>
        </w:rPr>
        <w:t xml:space="preserve"> and if there was disagreement on the results displayed this was further a</w:t>
      </w:r>
      <w:r w:rsidR="00E90E8A" w:rsidRPr="000A5D43">
        <w:rPr>
          <w:sz w:val="24"/>
          <w:szCs w:val="24"/>
        </w:rPr>
        <w:t>djudicated by a third investigator</w:t>
      </w:r>
      <w:r w:rsidR="0070651B" w:rsidRPr="000A5D43">
        <w:rPr>
          <w:sz w:val="24"/>
          <w:szCs w:val="24"/>
        </w:rPr>
        <w:t xml:space="preserve">. </w:t>
      </w:r>
      <w:r w:rsidRPr="000A5D43">
        <w:rPr>
          <w:sz w:val="24"/>
          <w:szCs w:val="24"/>
        </w:rPr>
        <w:t>The results of the FebriDx were not shared with the clinical teams and the readers of the FebriDx test lines were blinded to the PCR results</w:t>
      </w:r>
      <w:r w:rsidR="00DD19D1" w:rsidRPr="000A5D43">
        <w:rPr>
          <w:sz w:val="24"/>
          <w:szCs w:val="24"/>
        </w:rPr>
        <w:t xml:space="preserve"> (FebriDx result</w:t>
      </w:r>
      <w:r w:rsidR="00597854" w:rsidRPr="000A5D43">
        <w:rPr>
          <w:sz w:val="24"/>
          <w:szCs w:val="24"/>
        </w:rPr>
        <w:t>s</w:t>
      </w:r>
      <w:r w:rsidR="00DD19D1" w:rsidRPr="000A5D43">
        <w:rPr>
          <w:sz w:val="24"/>
          <w:szCs w:val="24"/>
        </w:rPr>
        <w:t xml:space="preserve"> were read and recorded before PCR result</w:t>
      </w:r>
      <w:r w:rsidR="00597854" w:rsidRPr="000A5D43">
        <w:rPr>
          <w:sz w:val="24"/>
          <w:szCs w:val="24"/>
        </w:rPr>
        <w:t>s</w:t>
      </w:r>
      <w:r w:rsidR="00DD19D1" w:rsidRPr="000A5D43">
        <w:rPr>
          <w:sz w:val="24"/>
          <w:szCs w:val="24"/>
        </w:rPr>
        <w:t xml:space="preserve"> were available)</w:t>
      </w:r>
      <w:r w:rsidRPr="000A5D43">
        <w:rPr>
          <w:sz w:val="24"/>
          <w:szCs w:val="24"/>
        </w:rPr>
        <w:t>.</w:t>
      </w:r>
    </w:p>
    <w:p w:rsidR="0015173D" w:rsidRPr="000A5D43" w:rsidRDefault="0015173D" w:rsidP="006F5E09">
      <w:pPr>
        <w:spacing w:after="0" w:line="480" w:lineRule="auto"/>
        <w:jc w:val="both"/>
        <w:rPr>
          <w:sz w:val="24"/>
          <w:szCs w:val="24"/>
        </w:rPr>
      </w:pPr>
    </w:p>
    <w:p w:rsidR="00605639" w:rsidRPr="000A5D43" w:rsidRDefault="00605639" w:rsidP="006F5E09">
      <w:pPr>
        <w:spacing w:after="0" w:line="480" w:lineRule="auto"/>
        <w:jc w:val="both"/>
        <w:rPr>
          <w:sz w:val="24"/>
          <w:szCs w:val="24"/>
        </w:rPr>
      </w:pPr>
      <w:r w:rsidRPr="000A5D43">
        <w:rPr>
          <w:sz w:val="24"/>
          <w:szCs w:val="24"/>
        </w:rPr>
        <w:lastRenderedPageBreak/>
        <w:t>For the reference standard of PCR, the QIAstat</w:t>
      </w:r>
      <w:r w:rsidR="007B729E" w:rsidRPr="000A5D43">
        <w:rPr>
          <w:sz w:val="24"/>
          <w:szCs w:val="24"/>
        </w:rPr>
        <w:t>-</w:t>
      </w:r>
      <w:r w:rsidRPr="000A5D43">
        <w:rPr>
          <w:sz w:val="24"/>
          <w:szCs w:val="24"/>
        </w:rPr>
        <w:t xml:space="preserve">Dx PCR system gives a readout of positive or negative for the detection </w:t>
      </w:r>
      <w:r w:rsidR="00546B43" w:rsidRPr="000A5D43">
        <w:rPr>
          <w:sz w:val="24"/>
          <w:szCs w:val="24"/>
        </w:rPr>
        <w:t>of targets including SARS-CoV-2</w:t>
      </w:r>
      <w:r w:rsidR="00DA117F" w:rsidRPr="000A5D43">
        <w:rPr>
          <w:sz w:val="24"/>
          <w:szCs w:val="24"/>
        </w:rPr>
        <w:t>.</w:t>
      </w:r>
      <w:r w:rsidR="00895D15" w:rsidRPr="000A5D43">
        <w:rPr>
          <w:sz w:val="24"/>
          <w:szCs w:val="24"/>
          <w:vertAlign w:val="superscript"/>
        </w:rPr>
        <w:t>7</w:t>
      </w:r>
      <w:r w:rsidRPr="000A5D43">
        <w:rPr>
          <w:sz w:val="24"/>
          <w:szCs w:val="24"/>
          <w:vertAlign w:val="superscript"/>
        </w:rPr>
        <w:t xml:space="preserve"> </w:t>
      </w:r>
      <w:r w:rsidRPr="000A5D43">
        <w:rPr>
          <w:sz w:val="24"/>
          <w:szCs w:val="24"/>
        </w:rPr>
        <w:t>The PHE laboratory RdRp and E gene assay PCR results are a</w:t>
      </w:r>
      <w:r w:rsidR="00597854" w:rsidRPr="000A5D43">
        <w:rPr>
          <w:sz w:val="24"/>
          <w:szCs w:val="24"/>
        </w:rPr>
        <w:t>lso provided as a binary result,</w:t>
      </w:r>
      <w:r w:rsidRPr="000A5D43">
        <w:rPr>
          <w:sz w:val="24"/>
          <w:szCs w:val="24"/>
        </w:rPr>
        <w:t xml:space="preserve"> RNA detected or RNA not detected, and the d</w:t>
      </w:r>
      <w:r w:rsidR="00DA117F" w:rsidRPr="000A5D43">
        <w:rPr>
          <w:sz w:val="24"/>
          <w:szCs w:val="24"/>
        </w:rPr>
        <w:t xml:space="preserve">etection </w:t>
      </w:r>
      <w:r w:rsidR="00597854" w:rsidRPr="000A5D43">
        <w:rPr>
          <w:sz w:val="24"/>
          <w:szCs w:val="24"/>
        </w:rPr>
        <w:t xml:space="preserve">of </w:t>
      </w:r>
      <w:r w:rsidR="00DA117F" w:rsidRPr="000A5D43">
        <w:rPr>
          <w:sz w:val="24"/>
          <w:szCs w:val="24"/>
        </w:rPr>
        <w:t>RNA by either as</w:t>
      </w:r>
      <w:r w:rsidR="0026540E" w:rsidRPr="000A5D43">
        <w:rPr>
          <w:sz w:val="24"/>
          <w:szCs w:val="24"/>
        </w:rPr>
        <w:t>say is</w:t>
      </w:r>
      <w:r w:rsidRPr="000A5D43">
        <w:rPr>
          <w:sz w:val="24"/>
          <w:szCs w:val="24"/>
        </w:rPr>
        <w:t xml:space="preserve"> considered a positive result. </w:t>
      </w:r>
      <w:r w:rsidR="0026540E" w:rsidRPr="000A5D43">
        <w:rPr>
          <w:sz w:val="24"/>
          <w:szCs w:val="24"/>
        </w:rPr>
        <w:t xml:space="preserve">For this study PCR detection by either </w:t>
      </w:r>
      <w:r w:rsidR="007B729E" w:rsidRPr="000A5D43">
        <w:rPr>
          <w:sz w:val="24"/>
          <w:szCs w:val="24"/>
        </w:rPr>
        <w:t xml:space="preserve">QIAstat-Dx </w:t>
      </w:r>
      <w:r w:rsidR="0026540E" w:rsidRPr="000A5D43">
        <w:rPr>
          <w:sz w:val="24"/>
          <w:szCs w:val="24"/>
        </w:rPr>
        <w:t xml:space="preserve">or laboratory </w:t>
      </w:r>
      <w:r w:rsidR="0064335A" w:rsidRPr="000A5D43">
        <w:rPr>
          <w:sz w:val="24"/>
          <w:szCs w:val="24"/>
        </w:rPr>
        <w:t xml:space="preserve">PCR or both was considered as </w:t>
      </w:r>
      <w:r w:rsidR="0026540E" w:rsidRPr="000A5D43">
        <w:rPr>
          <w:sz w:val="24"/>
          <w:szCs w:val="24"/>
        </w:rPr>
        <w:t>positive for COVID-19.</w:t>
      </w:r>
    </w:p>
    <w:p w:rsidR="0070651B" w:rsidRPr="000A5D43" w:rsidRDefault="0070651B" w:rsidP="0018178F">
      <w:pPr>
        <w:spacing w:after="0" w:line="480" w:lineRule="auto"/>
        <w:jc w:val="both"/>
        <w:rPr>
          <w:sz w:val="24"/>
          <w:szCs w:val="24"/>
        </w:rPr>
      </w:pPr>
    </w:p>
    <w:p w:rsidR="006F5E09" w:rsidRPr="000A5D43" w:rsidRDefault="00294D64" w:rsidP="006F5E09">
      <w:pPr>
        <w:spacing w:after="0" w:line="480" w:lineRule="auto"/>
        <w:jc w:val="both"/>
        <w:rPr>
          <w:b/>
          <w:sz w:val="24"/>
          <w:szCs w:val="24"/>
        </w:rPr>
      </w:pPr>
      <w:r w:rsidRPr="000A5D43">
        <w:rPr>
          <w:b/>
          <w:sz w:val="24"/>
          <w:szCs w:val="24"/>
        </w:rPr>
        <w:t xml:space="preserve">Sample size </w:t>
      </w:r>
    </w:p>
    <w:p w:rsidR="00F14DC8" w:rsidRPr="000A5D43" w:rsidRDefault="00605639" w:rsidP="006F5E09">
      <w:pPr>
        <w:spacing w:after="0" w:line="480" w:lineRule="auto"/>
        <w:jc w:val="both"/>
        <w:rPr>
          <w:sz w:val="24"/>
          <w:szCs w:val="24"/>
        </w:rPr>
      </w:pPr>
      <w:r w:rsidRPr="000A5D43">
        <w:rPr>
          <w:sz w:val="24"/>
          <w:szCs w:val="24"/>
        </w:rPr>
        <w:t>The sample size for this sub-study was driven by consideration for estimating sensitivity of FebriD</w:t>
      </w:r>
      <w:r w:rsidR="00597854" w:rsidRPr="000A5D43">
        <w:rPr>
          <w:sz w:val="24"/>
          <w:szCs w:val="24"/>
        </w:rPr>
        <w:t>x MxA for the detection of COVID</w:t>
      </w:r>
      <w:r w:rsidRPr="000A5D43">
        <w:rPr>
          <w:sz w:val="24"/>
          <w:szCs w:val="24"/>
        </w:rPr>
        <w:t>-19 (as defined by the reference standard o</w:t>
      </w:r>
      <w:r w:rsidR="00361554" w:rsidRPr="000A5D43">
        <w:rPr>
          <w:sz w:val="24"/>
          <w:szCs w:val="24"/>
        </w:rPr>
        <w:t xml:space="preserve">f detection of SARS-CoV-2 by </w:t>
      </w:r>
      <w:r w:rsidRPr="000A5D43">
        <w:rPr>
          <w:sz w:val="24"/>
          <w:szCs w:val="24"/>
        </w:rPr>
        <w:t>PCR</w:t>
      </w:r>
      <w:r w:rsidR="00DA170B">
        <w:rPr>
          <w:sz w:val="24"/>
          <w:szCs w:val="24"/>
        </w:rPr>
        <w:t xml:space="preserve"> on respiratory samples</w:t>
      </w:r>
      <w:r w:rsidRPr="000A5D43">
        <w:rPr>
          <w:sz w:val="24"/>
          <w:szCs w:val="24"/>
        </w:rPr>
        <w:t>)</w:t>
      </w:r>
      <w:r w:rsidR="00BF793C" w:rsidRPr="000A5D43">
        <w:rPr>
          <w:sz w:val="24"/>
          <w:szCs w:val="24"/>
        </w:rPr>
        <w:t xml:space="preserve"> and of the methods proposed by Riley et al</w:t>
      </w:r>
      <w:r w:rsidR="00895D15" w:rsidRPr="000A5D43">
        <w:rPr>
          <w:sz w:val="24"/>
          <w:szCs w:val="24"/>
          <w:vertAlign w:val="superscript"/>
        </w:rPr>
        <w:t>12</w:t>
      </w:r>
      <w:r w:rsidR="00BF793C" w:rsidRPr="000A5D43">
        <w:rPr>
          <w:sz w:val="24"/>
          <w:szCs w:val="24"/>
        </w:rPr>
        <w:t xml:space="preserve"> for mul</w:t>
      </w:r>
      <w:r w:rsidR="007B729E" w:rsidRPr="000A5D43">
        <w:rPr>
          <w:sz w:val="24"/>
          <w:szCs w:val="24"/>
        </w:rPr>
        <w:t>tivariable predictive models</w:t>
      </w:r>
      <w:r w:rsidRPr="000A5D43">
        <w:rPr>
          <w:sz w:val="24"/>
          <w:szCs w:val="24"/>
        </w:rPr>
        <w:t>. In order to estimate a sensitivity of 85% to within +/-</w:t>
      </w:r>
      <w:r w:rsidR="00FE3924" w:rsidRPr="000A5D43">
        <w:rPr>
          <w:sz w:val="24"/>
          <w:szCs w:val="24"/>
        </w:rPr>
        <w:t xml:space="preserve"> </w:t>
      </w:r>
      <w:r w:rsidRPr="000A5D43">
        <w:rPr>
          <w:sz w:val="24"/>
          <w:szCs w:val="24"/>
        </w:rPr>
        <w:t>8</w:t>
      </w:r>
      <w:r w:rsidR="00FE3924" w:rsidRPr="000A5D43">
        <w:rPr>
          <w:sz w:val="24"/>
          <w:szCs w:val="24"/>
        </w:rPr>
        <w:t xml:space="preserve">%, </w:t>
      </w:r>
      <w:r w:rsidRPr="000A5D43">
        <w:rPr>
          <w:sz w:val="24"/>
          <w:szCs w:val="24"/>
        </w:rPr>
        <w:t>based on the score method for a 95% confidence interval,</w:t>
      </w:r>
      <w:r w:rsidR="00895D15" w:rsidRPr="000A5D43">
        <w:rPr>
          <w:sz w:val="24"/>
          <w:szCs w:val="24"/>
          <w:vertAlign w:val="superscript"/>
        </w:rPr>
        <w:t>13</w:t>
      </w:r>
      <w:r w:rsidRPr="000A5D43">
        <w:rPr>
          <w:sz w:val="24"/>
          <w:szCs w:val="24"/>
        </w:rPr>
        <w:t xml:space="preserve"> 88 positive cases are required. Assuming a prevalence of Covid-19 of around 40%</w:t>
      </w:r>
      <w:r w:rsidR="00DA117F" w:rsidRPr="000A5D43">
        <w:rPr>
          <w:sz w:val="24"/>
          <w:szCs w:val="24"/>
        </w:rPr>
        <w:t xml:space="preserve"> in those tested</w:t>
      </w:r>
      <w:r w:rsidRPr="000A5D43">
        <w:rPr>
          <w:sz w:val="24"/>
          <w:szCs w:val="24"/>
        </w:rPr>
        <w:t xml:space="preserve">, </w:t>
      </w:r>
      <w:r w:rsidR="003E3331" w:rsidRPr="000A5D43">
        <w:rPr>
          <w:sz w:val="24"/>
          <w:szCs w:val="24"/>
        </w:rPr>
        <w:t xml:space="preserve">220 people are required, </w:t>
      </w:r>
      <w:r w:rsidR="00DA117F" w:rsidRPr="000A5D43">
        <w:rPr>
          <w:sz w:val="24"/>
          <w:szCs w:val="24"/>
        </w:rPr>
        <w:t xml:space="preserve">and </w:t>
      </w:r>
      <w:r w:rsidRPr="000A5D43">
        <w:rPr>
          <w:sz w:val="24"/>
          <w:szCs w:val="24"/>
        </w:rPr>
        <w:t xml:space="preserve">to achieve an 80% chance of obtaining enough cases, this </w:t>
      </w:r>
      <w:r w:rsidR="00DA117F" w:rsidRPr="000A5D43">
        <w:rPr>
          <w:sz w:val="24"/>
          <w:szCs w:val="24"/>
        </w:rPr>
        <w:t xml:space="preserve">number </w:t>
      </w:r>
      <w:r w:rsidRPr="000A5D43">
        <w:rPr>
          <w:sz w:val="24"/>
          <w:szCs w:val="24"/>
        </w:rPr>
        <w:t>was increased to 236. T</w:t>
      </w:r>
      <w:r w:rsidR="00FE3924" w:rsidRPr="000A5D43">
        <w:rPr>
          <w:sz w:val="24"/>
          <w:szCs w:val="24"/>
        </w:rPr>
        <w:t>his was further increased to 266</w:t>
      </w:r>
      <w:r w:rsidRPr="000A5D43">
        <w:rPr>
          <w:sz w:val="24"/>
          <w:szCs w:val="24"/>
        </w:rPr>
        <w:t xml:space="preserve"> to allow for patients who decline or are unable to undergo finger</w:t>
      </w:r>
      <w:r w:rsidR="007B729E" w:rsidRPr="000A5D43">
        <w:rPr>
          <w:sz w:val="24"/>
          <w:szCs w:val="24"/>
        </w:rPr>
        <w:t xml:space="preserve"> </w:t>
      </w:r>
      <w:r w:rsidRPr="000A5D43">
        <w:rPr>
          <w:sz w:val="24"/>
          <w:szCs w:val="24"/>
        </w:rPr>
        <w:t>prick testing</w:t>
      </w:r>
      <w:r w:rsidR="007E0B21" w:rsidRPr="000A5D43">
        <w:rPr>
          <w:sz w:val="24"/>
          <w:szCs w:val="24"/>
        </w:rPr>
        <w:t xml:space="preserve"> (estimated from the rates in our previous work)</w:t>
      </w:r>
      <w:r w:rsidRPr="000A5D43">
        <w:rPr>
          <w:sz w:val="24"/>
          <w:szCs w:val="24"/>
        </w:rPr>
        <w:t>.</w:t>
      </w:r>
      <w:r w:rsidR="00336D42" w:rsidRPr="000A5D43">
        <w:rPr>
          <w:sz w:val="24"/>
          <w:szCs w:val="24"/>
        </w:rPr>
        <w:t xml:space="preserve"> </w:t>
      </w:r>
      <w:r w:rsidR="007B729E" w:rsidRPr="000A5D43">
        <w:rPr>
          <w:sz w:val="24"/>
          <w:szCs w:val="24"/>
        </w:rPr>
        <w:t>Full j</w:t>
      </w:r>
      <w:r w:rsidR="00336D42" w:rsidRPr="000A5D43">
        <w:rPr>
          <w:sz w:val="24"/>
          <w:szCs w:val="24"/>
        </w:rPr>
        <w:t>ustification for the samples size in the multivariable model is provided in</w:t>
      </w:r>
      <w:r w:rsidR="00B214AD">
        <w:rPr>
          <w:sz w:val="24"/>
          <w:szCs w:val="24"/>
        </w:rPr>
        <w:t xml:space="preserve"> </w:t>
      </w:r>
      <w:r w:rsidR="00B73A43">
        <w:rPr>
          <w:sz w:val="24"/>
          <w:szCs w:val="24"/>
        </w:rPr>
        <w:t>the</w:t>
      </w:r>
      <w:r w:rsidR="00B214AD">
        <w:rPr>
          <w:sz w:val="24"/>
          <w:szCs w:val="24"/>
        </w:rPr>
        <w:t xml:space="preserve"> supplement</w:t>
      </w:r>
      <w:r w:rsidR="00B73A43">
        <w:rPr>
          <w:sz w:val="24"/>
          <w:szCs w:val="24"/>
        </w:rPr>
        <w:t>ary appendix</w:t>
      </w:r>
      <w:r w:rsidR="00B214AD">
        <w:rPr>
          <w:sz w:val="24"/>
          <w:szCs w:val="24"/>
        </w:rPr>
        <w:t>.</w:t>
      </w:r>
      <w:r w:rsidR="00336D42" w:rsidRPr="000A5D43">
        <w:rPr>
          <w:sz w:val="24"/>
          <w:szCs w:val="24"/>
        </w:rPr>
        <w:t xml:space="preserve"> </w:t>
      </w:r>
    </w:p>
    <w:p w:rsidR="00F14DC8" w:rsidRPr="000A5D43" w:rsidRDefault="00F14DC8" w:rsidP="006F5E09">
      <w:pPr>
        <w:spacing w:after="0" w:line="480" w:lineRule="auto"/>
        <w:jc w:val="both"/>
        <w:rPr>
          <w:sz w:val="24"/>
          <w:szCs w:val="24"/>
        </w:rPr>
      </w:pPr>
    </w:p>
    <w:p w:rsidR="00AF2144" w:rsidRPr="000A5D43" w:rsidRDefault="0018178F" w:rsidP="0018178F">
      <w:pPr>
        <w:jc w:val="both"/>
        <w:rPr>
          <w:b/>
          <w:bCs/>
          <w:sz w:val="24"/>
          <w:szCs w:val="24"/>
        </w:rPr>
      </w:pPr>
      <w:r w:rsidRPr="000A5D43">
        <w:rPr>
          <w:b/>
          <w:bCs/>
          <w:sz w:val="24"/>
          <w:szCs w:val="24"/>
        </w:rPr>
        <w:t>Statistical analysis</w:t>
      </w:r>
    </w:p>
    <w:p w:rsidR="00BF793C" w:rsidRDefault="00073047" w:rsidP="00511115">
      <w:pPr>
        <w:snapToGrid w:val="0"/>
        <w:spacing w:after="0" w:line="480" w:lineRule="auto"/>
        <w:jc w:val="both"/>
        <w:rPr>
          <w:sz w:val="24"/>
          <w:szCs w:val="24"/>
        </w:rPr>
      </w:pPr>
      <w:r>
        <w:rPr>
          <w:sz w:val="24"/>
          <w:szCs w:val="24"/>
        </w:rPr>
        <w:t>Baseline characteristics are</w:t>
      </w:r>
      <w:r w:rsidR="00FE3924" w:rsidRPr="000A5D43">
        <w:rPr>
          <w:sz w:val="24"/>
          <w:szCs w:val="24"/>
        </w:rPr>
        <w:t xml:space="preserve"> summarised for all those recruited to the st</w:t>
      </w:r>
      <w:r w:rsidR="00F14DC8" w:rsidRPr="000A5D43">
        <w:rPr>
          <w:sz w:val="24"/>
          <w:szCs w:val="24"/>
        </w:rPr>
        <w:t>udy, where data are available</w:t>
      </w:r>
      <w:r w:rsidR="007B729E" w:rsidRPr="000A5D43">
        <w:rPr>
          <w:sz w:val="24"/>
          <w:szCs w:val="24"/>
        </w:rPr>
        <w:t>,</w:t>
      </w:r>
      <w:r w:rsidR="00F14DC8" w:rsidRPr="000A5D43">
        <w:rPr>
          <w:sz w:val="24"/>
          <w:szCs w:val="24"/>
        </w:rPr>
        <w:t xml:space="preserve"> and presented for the whole sample and by COVID-19 status. </w:t>
      </w:r>
      <w:r w:rsidR="00336D42" w:rsidRPr="000A5D43">
        <w:rPr>
          <w:sz w:val="24"/>
          <w:szCs w:val="24"/>
        </w:rPr>
        <w:t xml:space="preserve">Diagnostic accuracy was </w:t>
      </w:r>
      <w:r w:rsidR="00FE3924" w:rsidRPr="000A5D43">
        <w:rPr>
          <w:sz w:val="24"/>
          <w:szCs w:val="24"/>
        </w:rPr>
        <w:t xml:space="preserve">assessed in two ways. Simple measures </w:t>
      </w:r>
      <w:r w:rsidR="00DA117F" w:rsidRPr="000A5D43">
        <w:rPr>
          <w:sz w:val="24"/>
          <w:szCs w:val="24"/>
        </w:rPr>
        <w:t xml:space="preserve">of sensitivity, specificity, </w:t>
      </w:r>
      <w:r w:rsidR="00FE3924" w:rsidRPr="000A5D43">
        <w:rPr>
          <w:sz w:val="24"/>
          <w:szCs w:val="24"/>
        </w:rPr>
        <w:t>predictive values</w:t>
      </w:r>
      <w:r w:rsidR="00DA117F" w:rsidRPr="000A5D43">
        <w:rPr>
          <w:sz w:val="24"/>
          <w:szCs w:val="24"/>
        </w:rPr>
        <w:t xml:space="preserve"> and likelihood ratios</w:t>
      </w:r>
      <w:r w:rsidR="00FE3924" w:rsidRPr="000A5D43">
        <w:rPr>
          <w:sz w:val="24"/>
          <w:szCs w:val="24"/>
        </w:rPr>
        <w:t xml:space="preserve"> are</w:t>
      </w:r>
      <w:r w:rsidR="00DA117F" w:rsidRPr="000A5D43">
        <w:rPr>
          <w:sz w:val="24"/>
          <w:szCs w:val="24"/>
        </w:rPr>
        <w:t xml:space="preserve"> given for FebriDx MxA </w:t>
      </w:r>
      <w:r w:rsidR="00817B30">
        <w:rPr>
          <w:sz w:val="24"/>
          <w:szCs w:val="24"/>
        </w:rPr>
        <w:t>detection</w:t>
      </w:r>
      <w:r>
        <w:rPr>
          <w:sz w:val="24"/>
          <w:szCs w:val="24"/>
        </w:rPr>
        <w:t xml:space="preserve"> for the identification of COVID-19 (and </w:t>
      </w:r>
      <w:r>
        <w:rPr>
          <w:sz w:val="24"/>
          <w:szCs w:val="24"/>
        </w:rPr>
        <w:lastRenderedPageBreak/>
        <w:t>as FebriDx MxA is a broad marker of antiviral host response and not limited to COVID-19 these measures are also calculated for the detection of all viruses</w:t>
      </w:r>
      <w:r w:rsidR="000821C5">
        <w:rPr>
          <w:sz w:val="24"/>
          <w:szCs w:val="24"/>
        </w:rPr>
        <w:t>)</w:t>
      </w:r>
      <w:r w:rsidR="00FE3924" w:rsidRPr="000A5D43">
        <w:rPr>
          <w:sz w:val="24"/>
          <w:szCs w:val="24"/>
        </w:rPr>
        <w:t>. To further assess the diagnostic value of the test in practice, a multivariable logistic regression model was developed</w:t>
      </w:r>
      <w:r w:rsidR="000B0E25">
        <w:rPr>
          <w:sz w:val="24"/>
          <w:szCs w:val="24"/>
        </w:rPr>
        <w:t>,</w:t>
      </w:r>
      <w:r w:rsidR="000B0E25" w:rsidRPr="000B0E25">
        <w:rPr>
          <w:sz w:val="24"/>
          <w:szCs w:val="24"/>
          <w:vertAlign w:val="superscript"/>
        </w:rPr>
        <w:t>14,15</w:t>
      </w:r>
      <w:r w:rsidR="000B0E25">
        <w:rPr>
          <w:sz w:val="24"/>
          <w:szCs w:val="24"/>
        </w:rPr>
        <w:t xml:space="preserve"> </w:t>
      </w:r>
      <w:r w:rsidR="00B214AD">
        <w:rPr>
          <w:sz w:val="24"/>
          <w:szCs w:val="24"/>
        </w:rPr>
        <w:t>full details are provided supplement</w:t>
      </w:r>
      <w:r w:rsidR="00B73A43">
        <w:rPr>
          <w:sz w:val="24"/>
          <w:szCs w:val="24"/>
        </w:rPr>
        <w:t>ary appendix</w:t>
      </w:r>
      <w:r w:rsidR="00B214AD">
        <w:rPr>
          <w:sz w:val="24"/>
          <w:szCs w:val="24"/>
        </w:rPr>
        <w:t xml:space="preserve">. </w:t>
      </w:r>
    </w:p>
    <w:p w:rsidR="000B0E25" w:rsidRPr="000A5D43" w:rsidRDefault="000B0E25" w:rsidP="00511115">
      <w:pPr>
        <w:snapToGrid w:val="0"/>
        <w:spacing w:after="0" w:line="480" w:lineRule="auto"/>
        <w:jc w:val="both"/>
        <w:rPr>
          <w:sz w:val="24"/>
          <w:szCs w:val="24"/>
        </w:rPr>
      </w:pPr>
    </w:p>
    <w:p w:rsidR="0015173D" w:rsidRPr="000A5D43" w:rsidRDefault="00612801" w:rsidP="00511115">
      <w:pPr>
        <w:snapToGrid w:val="0"/>
        <w:spacing w:after="0" w:line="480" w:lineRule="auto"/>
        <w:jc w:val="both"/>
        <w:rPr>
          <w:sz w:val="24"/>
          <w:szCs w:val="24"/>
        </w:rPr>
      </w:pPr>
      <w:r w:rsidRPr="000A5D43">
        <w:rPr>
          <w:sz w:val="24"/>
          <w:szCs w:val="24"/>
        </w:rPr>
        <w:t>A</w:t>
      </w:r>
      <w:r w:rsidR="00FE3924" w:rsidRPr="000A5D43">
        <w:rPr>
          <w:sz w:val="24"/>
          <w:szCs w:val="24"/>
        </w:rPr>
        <w:t>s the antiviral host response to SARS-CoV-2 would be expected to wane over time, but detection of viral RNA by PCR</w:t>
      </w:r>
      <w:r w:rsidR="000758A9">
        <w:rPr>
          <w:sz w:val="24"/>
          <w:szCs w:val="24"/>
        </w:rPr>
        <w:t xml:space="preserve"> may persist for several weeks, </w:t>
      </w:r>
      <w:r w:rsidRPr="000A5D43">
        <w:rPr>
          <w:sz w:val="24"/>
          <w:szCs w:val="24"/>
        </w:rPr>
        <w:t>a secondary analysis was pre-specified to assess diagnostic accuracy in those who have had duration of less than seven days. Basic measures of diagnostic accuracy (e.g., sensitivity, specificity) are presented separately for those with duration les</w:t>
      </w:r>
      <w:r w:rsidR="00F3174E" w:rsidRPr="000A5D43">
        <w:rPr>
          <w:sz w:val="24"/>
          <w:szCs w:val="24"/>
        </w:rPr>
        <w:t>s</w:t>
      </w:r>
      <w:r w:rsidR="00EE06A1">
        <w:rPr>
          <w:sz w:val="24"/>
          <w:szCs w:val="24"/>
        </w:rPr>
        <w:t xml:space="preserve"> than or more than seven days. </w:t>
      </w:r>
      <w:r w:rsidRPr="000A5D43">
        <w:rPr>
          <w:sz w:val="24"/>
          <w:szCs w:val="24"/>
        </w:rPr>
        <w:t xml:space="preserve">A multivariable model, pre-specified to be the same as that for the full model, was </w:t>
      </w:r>
      <w:r w:rsidR="007961F3" w:rsidRPr="000A5D43">
        <w:rPr>
          <w:sz w:val="24"/>
          <w:szCs w:val="24"/>
        </w:rPr>
        <w:t xml:space="preserve">also </w:t>
      </w:r>
      <w:r w:rsidRPr="000A5D43">
        <w:rPr>
          <w:sz w:val="24"/>
          <w:szCs w:val="24"/>
        </w:rPr>
        <w:t>run in those wit</w:t>
      </w:r>
      <w:r w:rsidR="00336D42" w:rsidRPr="000A5D43">
        <w:rPr>
          <w:sz w:val="24"/>
          <w:szCs w:val="24"/>
        </w:rPr>
        <w:t>h duration less than seven days.</w:t>
      </w:r>
    </w:p>
    <w:p w:rsidR="00DA117F" w:rsidRPr="000A5D43" w:rsidRDefault="00DA117F" w:rsidP="00511115">
      <w:pPr>
        <w:snapToGrid w:val="0"/>
        <w:spacing w:after="0" w:line="480" w:lineRule="auto"/>
        <w:jc w:val="both"/>
        <w:rPr>
          <w:sz w:val="24"/>
          <w:szCs w:val="24"/>
        </w:rPr>
      </w:pPr>
    </w:p>
    <w:p w:rsidR="00387FF7" w:rsidRPr="000A5D43" w:rsidRDefault="00C9278B" w:rsidP="00F96EC1">
      <w:pPr>
        <w:snapToGrid w:val="0"/>
        <w:spacing w:after="0" w:line="480" w:lineRule="auto"/>
        <w:jc w:val="both"/>
        <w:rPr>
          <w:sz w:val="24"/>
          <w:szCs w:val="24"/>
        </w:rPr>
      </w:pPr>
      <w:r w:rsidRPr="000A5D43">
        <w:rPr>
          <w:sz w:val="24"/>
          <w:szCs w:val="24"/>
        </w:rPr>
        <w:t>This study wa</w:t>
      </w:r>
      <w:r w:rsidR="00E5002D" w:rsidRPr="000A5D43">
        <w:rPr>
          <w:sz w:val="24"/>
          <w:szCs w:val="24"/>
        </w:rPr>
        <w:t>s pro</w:t>
      </w:r>
      <w:r w:rsidR="00CA1850" w:rsidRPr="000A5D43">
        <w:rPr>
          <w:sz w:val="24"/>
          <w:szCs w:val="24"/>
        </w:rPr>
        <w:t>spectively registered</w:t>
      </w:r>
      <w:r w:rsidR="0080769F" w:rsidRPr="000A5D43">
        <w:rPr>
          <w:sz w:val="24"/>
          <w:szCs w:val="24"/>
        </w:rPr>
        <w:t xml:space="preserve"> with the </w:t>
      </w:r>
      <w:r w:rsidR="00DA7205" w:rsidRPr="000A5D43">
        <w:rPr>
          <w:sz w:val="24"/>
          <w:szCs w:val="24"/>
        </w:rPr>
        <w:t xml:space="preserve">ISRCTN14966673 </w:t>
      </w:r>
      <w:r w:rsidR="0080769F" w:rsidRPr="000A5D43">
        <w:rPr>
          <w:sz w:val="24"/>
          <w:szCs w:val="24"/>
        </w:rPr>
        <w:t>on the</w:t>
      </w:r>
      <w:r w:rsidR="003F58F0" w:rsidRPr="000A5D43">
        <w:rPr>
          <w:sz w:val="24"/>
          <w:szCs w:val="24"/>
        </w:rPr>
        <w:t xml:space="preserve"> </w:t>
      </w:r>
      <w:r w:rsidR="00DA7205" w:rsidRPr="000A5D43">
        <w:rPr>
          <w:sz w:val="24"/>
          <w:szCs w:val="24"/>
        </w:rPr>
        <w:t>18</w:t>
      </w:r>
      <w:r w:rsidR="00DA7205" w:rsidRPr="000A5D43">
        <w:rPr>
          <w:sz w:val="24"/>
          <w:szCs w:val="24"/>
          <w:vertAlign w:val="superscript"/>
        </w:rPr>
        <w:t>th</w:t>
      </w:r>
      <w:r w:rsidR="00DA7205" w:rsidRPr="000A5D43">
        <w:rPr>
          <w:sz w:val="24"/>
          <w:szCs w:val="24"/>
        </w:rPr>
        <w:t xml:space="preserve"> March 2020</w:t>
      </w:r>
      <w:r w:rsidRPr="000A5D43">
        <w:rPr>
          <w:sz w:val="24"/>
          <w:szCs w:val="24"/>
        </w:rPr>
        <w:t>.</w:t>
      </w:r>
      <w:r w:rsidR="000B0E25">
        <w:rPr>
          <w:sz w:val="24"/>
          <w:szCs w:val="24"/>
        </w:rPr>
        <w:br/>
      </w:r>
    </w:p>
    <w:p w:rsidR="00CE0089" w:rsidRDefault="0091644D" w:rsidP="00864E84">
      <w:pPr>
        <w:rPr>
          <w:b/>
          <w:bCs/>
          <w:sz w:val="32"/>
          <w:szCs w:val="32"/>
        </w:rPr>
      </w:pPr>
      <w:r w:rsidRPr="00D03127">
        <w:rPr>
          <w:b/>
          <w:bCs/>
          <w:sz w:val="32"/>
          <w:szCs w:val="32"/>
        </w:rPr>
        <w:t>Results</w:t>
      </w:r>
    </w:p>
    <w:p w:rsidR="00F417A6" w:rsidRPr="000758A9" w:rsidRDefault="00EE06A1" w:rsidP="008D1FCB">
      <w:pPr>
        <w:spacing w:after="0" w:line="480" w:lineRule="auto"/>
        <w:jc w:val="both"/>
        <w:rPr>
          <w:bCs/>
          <w:sz w:val="24"/>
          <w:szCs w:val="24"/>
        </w:rPr>
      </w:pPr>
      <w:r w:rsidRPr="00EE06A1">
        <w:rPr>
          <w:bCs/>
          <w:sz w:val="24"/>
          <w:szCs w:val="24"/>
        </w:rPr>
        <w:t>Between the 20th March and 12th April 2020</w:t>
      </w:r>
      <w:r w:rsidR="00DA7205" w:rsidRPr="000758A9">
        <w:rPr>
          <w:bCs/>
          <w:sz w:val="24"/>
          <w:szCs w:val="24"/>
        </w:rPr>
        <w:t xml:space="preserve"> 266</w:t>
      </w:r>
      <w:r w:rsidR="008D1FCB" w:rsidRPr="000758A9">
        <w:rPr>
          <w:bCs/>
          <w:sz w:val="24"/>
          <w:szCs w:val="24"/>
        </w:rPr>
        <w:t xml:space="preserve"> patients </w:t>
      </w:r>
      <w:r>
        <w:rPr>
          <w:bCs/>
          <w:sz w:val="24"/>
          <w:szCs w:val="24"/>
        </w:rPr>
        <w:t xml:space="preserve">consecutive patients </w:t>
      </w:r>
      <w:r w:rsidR="008D1FCB" w:rsidRPr="000758A9">
        <w:rPr>
          <w:bCs/>
          <w:sz w:val="24"/>
          <w:szCs w:val="24"/>
        </w:rPr>
        <w:t xml:space="preserve">recruited </w:t>
      </w:r>
      <w:r w:rsidR="0064335A" w:rsidRPr="000758A9">
        <w:rPr>
          <w:bCs/>
          <w:sz w:val="24"/>
          <w:szCs w:val="24"/>
        </w:rPr>
        <w:t>to</w:t>
      </w:r>
      <w:r w:rsidR="007B729E" w:rsidRPr="000758A9">
        <w:rPr>
          <w:bCs/>
          <w:sz w:val="24"/>
          <w:szCs w:val="24"/>
        </w:rPr>
        <w:t xml:space="preserve"> </w:t>
      </w:r>
      <w:r w:rsidR="008D1FCB" w:rsidRPr="000758A9">
        <w:rPr>
          <w:bCs/>
          <w:sz w:val="24"/>
          <w:szCs w:val="24"/>
        </w:rPr>
        <w:t>the CoV</w:t>
      </w:r>
      <w:r w:rsidR="004022B4" w:rsidRPr="000758A9">
        <w:rPr>
          <w:bCs/>
          <w:sz w:val="24"/>
          <w:szCs w:val="24"/>
        </w:rPr>
        <w:t>-</w:t>
      </w:r>
      <w:r w:rsidR="008D1FCB" w:rsidRPr="000758A9">
        <w:rPr>
          <w:bCs/>
          <w:sz w:val="24"/>
          <w:szCs w:val="24"/>
        </w:rPr>
        <w:t xml:space="preserve">19POC study </w:t>
      </w:r>
      <w:r w:rsidR="003F0590" w:rsidRPr="000758A9">
        <w:rPr>
          <w:bCs/>
          <w:sz w:val="24"/>
          <w:szCs w:val="24"/>
        </w:rPr>
        <w:t>were</w:t>
      </w:r>
      <w:r w:rsidR="00BC7699">
        <w:rPr>
          <w:bCs/>
          <w:sz w:val="24"/>
          <w:szCs w:val="24"/>
        </w:rPr>
        <w:t xml:space="preserve"> approached</w:t>
      </w:r>
      <w:r w:rsidR="003F0590" w:rsidRPr="000758A9">
        <w:rPr>
          <w:bCs/>
          <w:sz w:val="24"/>
          <w:szCs w:val="24"/>
        </w:rPr>
        <w:t xml:space="preserve"> </w:t>
      </w:r>
      <w:r w:rsidR="00DA7205" w:rsidRPr="000758A9">
        <w:rPr>
          <w:bCs/>
          <w:sz w:val="24"/>
          <w:szCs w:val="24"/>
        </w:rPr>
        <w:t>and FebriDx was</w:t>
      </w:r>
      <w:r w:rsidR="00C5635D" w:rsidRPr="000758A9">
        <w:rPr>
          <w:bCs/>
          <w:sz w:val="24"/>
          <w:szCs w:val="24"/>
        </w:rPr>
        <w:t xml:space="preserve"> performed in 251. 12 of </w:t>
      </w:r>
      <w:r w:rsidR="00DA7205" w:rsidRPr="000758A9">
        <w:rPr>
          <w:bCs/>
          <w:sz w:val="24"/>
          <w:szCs w:val="24"/>
        </w:rPr>
        <w:t>251</w:t>
      </w:r>
      <w:r w:rsidR="00D7451F" w:rsidRPr="000758A9">
        <w:rPr>
          <w:bCs/>
          <w:sz w:val="24"/>
          <w:szCs w:val="24"/>
        </w:rPr>
        <w:t xml:space="preserve"> </w:t>
      </w:r>
      <w:r w:rsidR="008017A4" w:rsidRPr="000758A9">
        <w:rPr>
          <w:bCs/>
          <w:sz w:val="24"/>
          <w:szCs w:val="24"/>
        </w:rPr>
        <w:t>(</w:t>
      </w:r>
      <w:r w:rsidR="00DF4F9E" w:rsidRPr="000758A9">
        <w:rPr>
          <w:bCs/>
          <w:sz w:val="24"/>
          <w:szCs w:val="24"/>
        </w:rPr>
        <w:t>5</w:t>
      </w:r>
      <w:r w:rsidR="008017A4" w:rsidRPr="000758A9">
        <w:rPr>
          <w:bCs/>
          <w:sz w:val="24"/>
          <w:szCs w:val="24"/>
        </w:rPr>
        <w:t xml:space="preserve">%) </w:t>
      </w:r>
      <w:r w:rsidR="008D1FCB" w:rsidRPr="000758A9">
        <w:rPr>
          <w:bCs/>
          <w:sz w:val="24"/>
          <w:szCs w:val="24"/>
        </w:rPr>
        <w:t xml:space="preserve">tests failed to give a valid result on the first test and a subsequent valid result </w:t>
      </w:r>
      <w:r w:rsidR="00D7451F" w:rsidRPr="000758A9">
        <w:rPr>
          <w:bCs/>
          <w:sz w:val="24"/>
          <w:szCs w:val="24"/>
        </w:rPr>
        <w:t>was</w:t>
      </w:r>
      <w:r w:rsidR="00DA7205" w:rsidRPr="000758A9">
        <w:rPr>
          <w:bCs/>
          <w:sz w:val="24"/>
          <w:szCs w:val="24"/>
        </w:rPr>
        <w:t xml:space="preserve"> obtained on re-testing in 9</w:t>
      </w:r>
      <w:r w:rsidR="002E2D4D" w:rsidRPr="000758A9">
        <w:rPr>
          <w:bCs/>
          <w:sz w:val="24"/>
          <w:szCs w:val="24"/>
        </w:rPr>
        <w:t xml:space="preserve"> of 12</w:t>
      </w:r>
      <w:r w:rsidR="00DA7205" w:rsidRPr="000758A9">
        <w:rPr>
          <w:bCs/>
          <w:sz w:val="24"/>
          <w:szCs w:val="24"/>
        </w:rPr>
        <w:t>,</w:t>
      </w:r>
      <w:r w:rsidR="00D82860" w:rsidRPr="000758A9">
        <w:rPr>
          <w:bCs/>
          <w:sz w:val="24"/>
          <w:szCs w:val="24"/>
        </w:rPr>
        <w:t xml:space="preserve"> so that overall</w:t>
      </w:r>
      <w:r w:rsidR="00DA7205" w:rsidRPr="000758A9">
        <w:rPr>
          <w:bCs/>
          <w:sz w:val="24"/>
          <w:szCs w:val="24"/>
        </w:rPr>
        <w:t xml:space="preserve"> 248</w:t>
      </w:r>
      <w:r w:rsidR="00D82860" w:rsidRPr="000758A9">
        <w:rPr>
          <w:bCs/>
          <w:sz w:val="24"/>
          <w:szCs w:val="24"/>
        </w:rPr>
        <w:t xml:space="preserve"> </w:t>
      </w:r>
      <w:r w:rsidR="00DA7205" w:rsidRPr="000758A9">
        <w:rPr>
          <w:bCs/>
          <w:sz w:val="24"/>
          <w:szCs w:val="24"/>
        </w:rPr>
        <w:t xml:space="preserve">patients </w:t>
      </w:r>
      <w:r w:rsidR="00D82860" w:rsidRPr="000758A9">
        <w:rPr>
          <w:bCs/>
          <w:sz w:val="24"/>
          <w:szCs w:val="24"/>
        </w:rPr>
        <w:t xml:space="preserve">had a valid </w:t>
      </w:r>
      <w:r w:rsidR="00DA7205" w:rsidRPr="000758A9">
        <w:rPr>
          <w:bCs/>
          <w:sz w:val="24"/>
          <w:szCs w:val="24"/>
        </w:rPr>
        <w:t xml:space="preserve">FebriDx </w:t>
      </w:r>
      <w:r w:rsidR="00D82860" w:rsidRPr="000758A9">
        <w:rPr>
          <w:bCs/>
          <w:sz w:val="24"/>
          <w:szCs w:val="24"/>
        </w:rPr>
        <w:t>result</w:t>
      </w:r>
      <w:r w:rsidR="008D1FCB" w:rsidRPr="000758A9">
        <w:rPr>
          <w:bCs/>
          <w:sz w:val="24"/>
          <w:szCs w:val="24"/>
        </w:rPr>
        <w:t xml:space="preserve">. </w:t>
      </w:r>
      <w:r w:rsidR="00385FFD" w:rsidRPr="000758A9">
        <w:rPr>
          <w:bCs/>
          <w:sz w:val="24"/>
          <w:szCs w:val="24"/>
        </w:rPr>
        <w:t xml:space="preserve">Flow of study participants is </w:t>
      </w:r>
      <w:r w:rsidR="00B214AD">
        <w:rPr>
          <w:bCs/>
          <w:sz w:val="24"/>
          <w:szCs w:val="24"/>
        </w:rPr>
        <w:t>shown in F</w:t>
      </w:r>
      <w:r w:rsidR="008D1FCB" w:rsidRPr="000758A9">
        <w:rPr>
          <w:bCs/>
          <w:sz w:val="24"/>
          <w:szCs w:val="24"/>
        </w:rPr>
        <w:t>igure</w:t>
      </w:r>
      <w:r w:rsidR="003F0590" w:rsidRPr="000758A9">
        <w:rPr>
          <w:bCs/>
          <w:sz w:val="24"/>
          <w:szCs w:val="24"/>
        </w:rPr>
        <w:t xml:space="preserve"> 1</w:t>
      </w:r>
      <w:r w:rsidR="00C5635D" w:rsidRPr="000758A9">
        <w:rPr>
          <w:bCs/>
          <w:sz w:val="24"/>
          <w:szCs w:val="24"/>
        </w:rPr>
        <w:t xml:space="preserve">. 118 of </w:t>
      </w:r>
      <w:r w:rsidR="00DA7205" w:rsidRPr="000758A9">
        <w:rPr>
          <w:bCs/>
          <w:sz w:val="24"/>
          <w:szCs w:val="24"/>
        </w:rPr>
        <w:t>248</w:t>
      </w:r>
      <w:r w:rsidR="008D1FCB" w:rsidRPr="000758A9">
        <w:rPr>
          <w:bCs/>
          <w:sz w:val="24"/>
          <w:szCs w:val="24"/>
        </w:rPr>
        <w:t xml:space="preserve"> (</w:t>
      </w:r>
      <w:r w:rsidR="00DF4F9E" w:rsidRPr="000758A9">
        <w:rPr>
          <w:bCs/>
          <w:sz w:val="24"/>
          <w:szCs w:val="24"/>
        </w:rPr>
        <w:t>48</w:t>
      </w:r>
      <w:r w:rsidR="004022B4" w:rsidRPr="000758A9">
        <w:rPr>
          <w:bCs/>
          <w:sz w:val="24"/>
          <w:szCs w:val="24"/>
        </w:rPr>
        <w:t xml:space="preserve">%) </w:t>
      </w:r>
      <w:r>
        <w:rPr>
          <w:bCs/>
          <w:sz w:val="24"/>
          <w:szCs w:val="24"/>
        </w:rPr>
        <w:t xml:space="preserve">had </w:t>
      </w:r>
      <w:r w:rsidR="004022B4" w:rsidRPr="000758A9">
        <w:rPr>
          <w:bCs/>
          <w:sz w:val="24"/>
          <w:szCs w:val="24"/>
        </w:rPr>
        <w:t>COVID</w:t>
      </w:r>
      <w:r w:rsidR="008D1FCB" w:rsidRPr="000758A9">
        <w:rPr>
          <w:bCs/>
          <w:sz w:val="24"/>
          <w:szCs w:val="24"/>
        </w:rPr>
        <w:t xml:space="preserve">-19 </w:t>
      </w:r>
      <w:r>
        <w:rPr>
          <w:bCs/>
          <w:sz w:val="24"/>
          <w:szCs w:val="24"/>
        </w:rPr>
        <w:t>(</w:t>
      </w:r>
      <w:r w:rsidR="00CB68D9" w:rsidRPr="000758A9">
        <w:rPr>
          <w:bCs/>
          <w:sz w:val="24"/>
          <w:szCs w:val="24"/>
        </w:rPr>
        <w:t xml:space="preserve">positive </w:t>
      </w:r>
      <w:r>
        <w:rPr>
          <w:bCs/>
          <w:sz w:val="24"/>
          <w:szCs w:val="24"/>
        </w:rPr>
        <w:t>by PCR for SARS-CoV-2</w:t>
      </w:r>
      <w:r w:rsidR="00CB68D9" w:rsidRPr="000758A9">
        <w:rPr>
          <w:bCs/>
          <w:sz w:val="24"/>
          <w:szCs w:val="24"/>
        </w:rPr>
        <w:t xml:space="preserve"> </w:t>
      </w:r>
      <w:r w:rsidR="008D1FCB" w:rsidRPr="000758A9">
        <w:rPr>
          <w:bCs/>
          <w:sz w:val="24"/>
          <w:szCs w:val="24"/>
        </w:rPr>
        <w:t xml:space="preserve">on </w:t>
      </w:r>
      <w:r w:rsidR="00DC0F45" w:rsidRPr="000758A9">
        <w:rPr>
          <w:bCs/>
          <w:sz w:val="24"/>
          <w:szCs w:val="24"/>
        </w:rPr>
        <w:t xml:space="preserve">combined nose and </w:t>
      </w:r>
      <w:r w:rsidR="00FE2020" w:rsidRPr="000758A9">
        <w:rPr>
          <w:bCs/>
          <w:sz w:val="24"/>
          <w:szCs w:val="24"/>
        </w:rPr>
        <w:t>throat swabs</w:t>
      </w:r>
      <w:r>
        <w:rPr>
          <w:bCs/>
          <w:sz w:val="24"/>
          <w:szCs w:val="24"/>
        </w:rPr>
        <w:t>)</w:t>
      </w:r>
      <w:r w:rsidR="00FE2020" w:rsidRPr="000758A9">
        <w:rPr>
          <w:bCs/>
          <w:sz w:val="24"/>
          <w:szCs w:val="24"/>
        </w:rPr>
        <w:t xml:space="preserve"> and 92</w:t>
      </w:r>
      <w:r w:rsidR="00E359EA" w:rsidRPr="000758A9">
        <w:rPr>
          <w:bCs/>
          <w:sz w:val="24"/>
          <w:szCs w:val="24"/>
        </w:rPr>
        <w:t xml:space="preserve"> </w:t>
      </w:r>
      <w:r w:rsidR="00FE2020" w:rsidRPr="000758A9">
        <w:rPr>
          <w:bCs/>
          <w:sz w:val="24"/>
          <w:szCs w:val="24"/>
        </w:rPr>
        <w:t xml:space="preserve">of 116 </w:t>
      </w:r>
      <w:r w:rsidR="00C5635D" w:rsidRPr="000758A9">
        <w:rPr>
          <w:bCs/>
          <w:sz w:val="24"/>
          <w:szCs w:val="24"/>
        </w:rPr>
        <w:t xml:space="preserve">(79%) </w:t>
      </w:r>
      <w:r w:rsidR="00CB68D9" w:rsidRPr="000758A9">
        <w:rPr>
          <w:bCs/>
          <w:sz w:val="24"/>
          <w:szCs w:val="24"/>
        </w:rPr>
        <w:t xml:space="preserve">COVID-19 positive patients </w:t>
      </w:r>
      <w:r w:rsidR="00CB3A5B" w:rsidRPr="000758A9">
        <w:rPr>
          <w:bCs/>
          <w:sz w:val="24"/>
          <w:szCs w:val="24"/>
        </w:rPr>
        <w:t xml:space="preserve">had </w:t>
      </w:r>
      <w:r w:rsidR="00E359EA" w:rsidRPr="000758A9">
        <w:rPr>
          <w:bCs/>
          <w:sz w:val="24"/>
          <w:szCs w:val="24"/>
        </w:rPr>
        <w:t>pneumonia as defined by Chest X-ray changes.</w:t>
      </w:r>
      <w:r w:rsidR="00CB3A5B" w:rsidRPr="000758A9">
        <w:rPr>
          <w:bCs/>
          <w:sz w:val="24"/>
          <w:szCs w:val="24"/>
        </w:rPr>
        <w:t xml:space="preserve"> PCR and FebriDx results were available for all tested </w:t>
      </w:r>
      <w:r w:rsidR="00CB3A5B" w:rsidRPr="006A07B5">
        <w:rPr>
          <w:bCs/>
          <w:sz w:val="24"/>
          <w:szCs w:val="24"/>
        </w:rPr>
        <w:t xml:space="preserve">patients. </w:t>
      </w:r>
      <w:r w:rsidR="005E2067" w:rsidRPr="006A07B5">
        <w:rPr>
          <w:bCs/>
          <w:sz w:val="24"/>
          <w:szCs w:val="24"/>
        </w:rPr>
        <w:t xml:space="preserve">FebriDx results were available after 10 minutes compared with 1.7 (1.6 to </w:t>
      </w:r>
      <w:r w:rsidR="005E2067" w:rsidRPr="006A07B5">
        <w:rPr>
          <w:bCs/>
          <w:sz w:val="24"/>
          <w:szCs w:val="24"/>
        </w:rPr>
        <w:lastRenderedPageBreak/>
        <w:t xml:space="preserve">2.1) hours with point-of-care PCR testing and 23.4 (17.2 to 31.1) hours with laboratory PCR testing. </w:t>
      </w:r>
      <w:r w:rsidR="00CB68D9" w:rsidRPr="006A07B5">
        <w:rPr>
          <w:bCs/>
          <w:sz w:val="24"/>
          <w:szCs w:val="24"/>
        </w:rPr>
        <w:t xml:space="preserve">For </w:t>
      </w:r>
      <w:r w:rsidR="00DF4F9E" w:rsidRPr="006A07B5">
        <w:rPr>
          <w:bCs/>
          <w:sz w:val="24"/>
          <w:szCs w:val="24"/>
        </w:rPr>
        <w:t>symptoms, 8 to 13</w:t>
      </w:r>
      <w:r w:rsidR="00F417A6" w:rsidRPr="006A07B5">
        <w:rPr>
          <w:bCs/>
          <w:sz w:val="24"/>
          <w:szCs w:val="24"/>
        </w:rPr>
        <w:t>% of data was missing and for vital signs and d</w:t>
      </w:r>
      <w:r w:rsidR="00BF793C" w:rsidRPr="006A07B5">
        <w:rPr>
          <w:bCs/>
          <w:sz w:val="24"/>
          <w:szCs w:val="24"/>
        </w:rPr>
        <w:t xml:space="preserve">emographics </w:t>
      </w:r>
      <w:r w:rsidR="00BF793C" w:rsidRPr="000758A9">
        <w:rPr>
          <w:bCs/>
          <w:sz w:val="24"/>
          <w:szCs w:val="24"/>
        </w:rPr>
        <w:t>missing data</w:t>
      </w:r>
      <w:r w:rsidR="00CB68D9" w:rsidRPr="000758A9">
        <w:rPr>
          <w:bCs/>
          <w:sz w:val="24"/>
          <w:szCs w:val="24"/>
        </w:rPr>
        <w:t xml:space="preserve"> was &lt;2.5</w:t>
      </w:r>
      <w:r w:rsidR="00F417A6" w:rsidRPr="000758A9">
        <w:rPr>
          <w:bCs/>
          <w:sz w:val="24"/>
          <w:szCs w:val="24"/>
        </w:rPr>
        <w:t xml:space="preserve">%. </w:t>
      </w:r>
      <w:r w:rsidR="00CB3A5B" w:rsidRPr="000758A9">
        <w:rPr>
          <w:bCs/>
          <w:sz w:val="24"/>
          <w:szCs w:val="24"/>
        </w:rPr>
        <w:t xml:space="preserve">Results are presented using complete-case analysis. </w:t>
      </w:r>
      <w:r w:rsidR="007042F0" w:rsidRPr="000758A9">
        <w:rPr>
          <w:bCs/>
          <w:sz w:val="24"/>
          <w:szCs w:val="24"/>
        </w:rPr>
        <w:t xml:space="preserve">Results </w:t>
      </w:r>
      <w:r w:rsidR="00F417A6" w:rsidRPr="000758A9">
        <w:rPr>
          <w:bCs/>
          <w:sz w:val="24"/>
          <w:szCs w:val="24"/>
        </w:rPr>
        <w:t>incl</w:t>
      </w:r>
      <w:r w:rsidR="00336D42" w:rsidRPr="000758A9">
        <w:rPr>
          <w:bCs/>
          <w:sz w:val="24"/>
          <w:szCs w:val="24"/>
        </w:rPr>
        <w:t xml:space="preserve">uding anosmia are included as an additional </w:t>
      </w:r>
      <w:r w:rsidR="00F417A6" w:rsidRPr="000758A9">
        <w:rPr>
          <w:bCs/>
          <w:sz w:val="24"/>
          <w:szCs w:val="24"/>
        </w:rPr>
        <w:t>secondary analysis</w:t>
      </w:r>
      <w:r w:rsidR="003E3331" w:rsidRPr="000758A9">
        <w:rPr>
          <w:bCs/>
          <w:sz w:val="24"/>
          <w:szCs w:val="24"/>
        </w:rPr>
        <w:t>. D</w:t>
      </w:r>
      <w:r w:rsidR="00BF793C" w:rsidRPr="000758A9">
        <w:rPr>
          <w:bCs/>
          <w:sz w:val="24"/>
          <w:szCs w:val="24"/>
        </w:rPr>
        <w:t xml:space="preserve">ata collection for this </w:t>
      </w:r>
      <w:r w:rsidR="00F417A6" w:rsidRPr="000758A9">
        <w:rPr>
          <w:bCs/>
          <w:sz w:val="24"/>
          <w:szCs w:val="24"/>
        </w:rPr>
        <w:t xml:space="preserve">was initiated </w:t>
      </w:r>
      <w:r w:rsidR="00BF793C" w:rsidRPr="000758A9">
        <w:rPr>
          <w:bCs/>
          <w:sz w:val="24"/>
          <w:szCs w:val="24"/>
        </w:rPr>
        <w:t xml:space="preserve">after </w:t>
      </w:r>
      <w:r w:rsidR="00F417A6" w:rsidRPr="000758A9">
        <w:rPr>
          <w:bCs/>
          <w:sz w:val="24"/>
          <w:szCs w:val="24"/>
        </w:rPr>
        <w:t>recruitment</w:t>
      </w:r>
      <w:r w:rsidR="00BF793C" w:rsidRPr="000758A9">
        <w:rPr>
          <w:bCs/>
          <w:sz w:val="24"/>
          <w:szCs w:val="24"/>
        </w:rPr>
        <w:t xml:space="preserve"> started</w:t>
      </w:r>
      <w:r w:rsidR="00F417A6" w:rsidRPr="000758A9">
        <w:rPr>
          <w:bCs/>
          <w:sz w:val="24"/>
          <w:szCs w:val="24"/>
        </w:rPr>
        <w:t xml:space="preserve">, once it came to light in other literature that this was a </w:t>
      </w:r>
      <w:r w:rsidR="00BF793C" w:rsidRPr="000758A9">
        <w:rPr>
          <w:bCs/>
          <w:sz w:val="24"/>
          <w:szCs w:val="24"/>
        </w:rPr>
        <w:t>relevant symptom of COVID-</w:t>
      </w:r>
      <w:r w:rsidR="00F417A6" w:rsidRPr="000758A9">
        <w:rPr>
          <w:bCs/>
          <w:sz w:val="24"/>
          <w:szCs w:val="24"/>
        </w:rPr>
        <w:t>19; a tot</w:t>
      </w:r>
      <w:r w:rsidR="00CB68D9" w:rsidRPr="000758A9">
        <w:rPr>
          <w:bCs/>
          <w:sz w:val="24"/>
          <w:szCs w:val="24"/>
        </w:rPr>
        <w:t xml:space="preserve">al of 64 of 248 </w:t>
      </w:r>
      <w:r w:rsidR="00BF793C" w:rsidRPr="000758A9">
        <w:rPr>
          <w:bCs/>
          <w:sz w:val="24"/>
          <w:szCs w:val="24"/>
        </w:rPr>
        <w:t xml:space="preserve">(26%) </w:t>
      </w:r>
      <w:r w:rsidR="003E3331" w:rsidRPr="000758A9">
        <w:rPr>
          <w:bCs/>
          <w:sz w:val="24"/>
          <w:szCs w:val="24"/>
        </w:rPr>
        <w:t xml:space="preserve">patients </w:t>
      </w:r>
      <w:r w:rsidR="00BF793C" w:rsidRPr="000758A9">
        <w:rPr>
          <w:bCs/>
          <w:sz w:val="24"/>
          <w:szCs w:val="24"/>
        </w:rPr>
        <w:t>had missing data</w:t>
      </w:r>
      <w:r w:rsidR="00F417A6" w:rsidRPr="000758A9">
        <w:rPr>
          <w:bCs/>
          <w:sz w:val="24"/>
          <w:szCs w:val="24"/>
        </w:rPr>
        <w:t xml:space="preserve">.  </w:t>
      </w:r>
      <w:r w:rsidR="00CB3A5B" w:rsidRPr="000758A9">
        <w:rPr>
          <w:bCs/>
          <w:sz w:val="24"/>
          <w:szCs w:val="24"/>
        </w:rPr>
        <w:t>Baseline demographics and clinical characteristic of all patients and those testing</w:t>
      </w:r>
      <w:r w:rsidR="00C5635D" w:rsidRPr="000758A9">
        <w:rPr>
          <w:bCs/>
          <w:sz w:val="24"/>
          <w:szCs w:val="24"/>
        </w:rPr>
        <w:t xml:space="preserve"> positive and negative for COVID</w:t>
      </w:r>
      <w:r w:rsidR="00B214AD">
        <w:rPr>
          <w:bCs/>
          <w:sz w:val="24"/>
          <w:szCs w:val="24"/>
        </w:rPr>
        <w:t>-19, are shown in T</w:t>
      </w:r>
      <w:r w:rsidR="00CB3A5B" w:rsidRPr="000758A9">
        <w:rPr>
          <w:bCs/>
          <w:sz w:val="24"/>
          <w:szCs w:val="24"/>
        </w:rPr>
        <w:t>able 1.</w:t>
      </w:r>
      <w:r w:rsidR="002E2D4D" w:rsidRPr="000758A9">
        <w:rPr>
          <w:bCs/>
          <w:sz w:val="24"/>
          <w:szCs w:val="24"/>
        </w:rPr>
        <w:t xml:space="preserve"> </w:t>
      </w:r>
      <w:r w:rsidR="00C5635D" w:rsidRPr="000758A9">
        <w:rPr>
          <w:bCs/>
          <w:sz w:val="24"/>
          <w:szCs w:val="24"/>
        </w:rPr>
        <w:t>Patient</w:t>
      </w:r>
      <w:r w:rsidR="007042F0" w:rsidRPr="000758A9">
        <w:rPr>
          <w:bCs/>
          <w:sz w:val="24"/>
          <w:szCs w:val="24"/>
        </w:rPr>
        <w:t>s</w:t>
      </w:r>
      <w:r w:rsidR="002E2D4D" w:rsidRPr="000758A9">
        <w:rPr>
          <w:bCs/>
          <w:sz w:val="24"/>
          <w:szCs w:val="24"/>
        </w:rPr>
        <w:t xml:space="preserve"> positive for COVID-19 </w:t>
      </w:r>
      <w:r w:rsidR="00CB68D9" w:rsidRPr="000758A9">
        <w:rPr>
          <w:bCs/>
          <w:sz w:val="24"/>
          <w:szCs w:val="24"/>
        </w:rPr>
        <w:t xml:space="preserve">were less likely to be ethnically White British, </w:t>
      </w:r>
      <w:r w:rsidR="002E2D4D" w:rsidRPr="000758A9">
        <w:rPr>
          <w:bCs/>
          <w:sz w:val="24"/>
          <w:szCs w:val="24"/>
        </w:rPr>
        <w:t>had been unwell for longer</w:t>
      </w:r>
      <w:r w:rsidR="00C5635D" w:rsidRPr="000758A9">
        <w:rPr>
          <w:bCs/>
          <w:sz w:val="24"/>
          <w:szCs w:val="24"/>
        </w:rPr>
        <w:t xml:space="preserve"> (median duration of illness prior to presentation of 8 days)</w:t>
      </w:r>
      <w:r w:rsidR="002E2D4D" w:rsidRPr="000758A9">
        <w:rPr>
          <w:bCs/>
          <w:sz w:val="24"/>
          <w:szCs w:val="24"/>
        </w:rPr>
        <w:t>, had a higher temperature and respiratory rate and lower ox</w:t>
      </w:r>
      <w:r w:rsidR="00CB68D9" w:rsidRPr="000758A9">
        <w:rPr>
          <w:bCs/>
          <w:sz w:val="24"/>
          <w:szCs w:val="24"/>
        </w:rPr>
        <w:t xml:space="preserve">ygen saturations, </w:t>
      </w:r>
      <w:r w:rsidR="002E2D4D" w:rsidRPr="000758A9">
        <w:rPr>
          <w:bCs/>
          <w:sz w:val="24"/>
          <w:szCs w:val="24"/>
        </w:rPr>
        <w:t>compared to COVID-19 negative patients. In addition</w:t>
      </w:r>
      <w:r w:rsidR="003E3331" w:rsidRPr="000758A9">
        <w:rPr>
          <w:bCs/>
          <w:sz w:val="24"/>
          <w:szCs w:val="24"/>
        </w:rPr>
        <w:t>,</w:t>
      </w:r>
      <w:r w:rsidR="002E2D4D" w:rsidRPr="000758A9">
        <w:rPr>
          <w:bCs/>
          <w:sz w:val="24"/>
          <w:szCs w:val="24"/>
        </w:rPr>
        <w:t xml:space="preserve"> COVID-19 positive patients had higher CRP levels, lower white cell counts and were more likely to have radiological evidence of pneumonia</w:t>
      </w:r>
      <w:r w:rsidR="00B214AD">
        <w:rPr>
          <w:bCs/>
          <w:sz w:val="24"/>
          <w:szCs w:val="24"/>
        </w:rPr>
        <w:t>, shown in T</w:t>
      </w:r>
      <w:r w:rsidR="00C5635D" w:rsidRPr="000758A9">
        <w:rPr>
          <w:bCs/>
          <w:sz w:val="24"/>
          <w:szCs w:val="24"/>
        </w:rPr>
        <w:t>able 1</w:t>
      </w:r>
      <w:r w:rsidR="002E2D4D" w:rsidRPr="000758A9">
        <w:rPr>
          <w:bCs/>
          <w:sz w:val="24"/>
          <w:szCs w:val="24"/>
        </w:rPr>
        <w:t xml:space="preserve">. </w:t>
      </w:r>
    </w:p>
    <w:p w:rsidR="00F417A6" w:rsidRPr="000758A9" w:rsidRDefault="00F417A6" w:rsidP="00CB3A5B">
      <w:pPr>
        <w:spacing w:after="0" w:line="480" w:lineRule="auto"/>
        <w:jc w:val="both"/>
        <w:rPr>
          <w:bCs/>
          <w:sz w:val="24"/>
          <w:szCs w:val="24"/>
        </w:rPr>
      </w:pPr>
    </w:p>
    <w:p w:rsidR="00CB3A5B" w:rsidRPr="000758A9" w:rsidRDefault="00CB3A5B" w:rsidP="00CB3A5B">
      <w:pPr>
        <w:spacing w:after="0" w:line="480" w:lineRule="auto"/>
        <w:jc w:val="both"/>
        <w:rPr>
          <w:b/>
          <w:bCs/>
          <w:i/>
          <w:sz w:val="24"/>
          <w:szCs w:val="24"/>
        </w:rPr>
      </w:pPr>
      <w:r w:rsidRPr="000758A9">
        <w:rPr>
          <w:b/>
          <w:bCs/>
          <w:i/>
          <w:sz w:val="24"/>
          <w:szCs w:val="24"/>
        </w:rPr>
        <w:t xml:space="preserve">Diagnostic accuracy </w:t>
      </w:r>
    </w:p>
    <w:p w:rsidR="0014259C" w:rsidRDefault="008D1FCB" w:rsidP="008D1FCB">
      <w:pPr>
        <w:spacing w:after="0" w:line="480" w:lineRule="auto"/>
        <w:jc w:val="both"/>
        <w:rPr>
          <w:bCs/>
          <w:sz w:val="24"/>
          <w:szCs w:val="24"/>
        </w:rPr>
      </w:pPr>
      <w:r w:rsidRPr="000758A9">
        <w:rPr>
          <w:bCs/>
          <w:sz w:val="24"/>
          <w:szCs w:val="24"/>
        </w:rPr>
        <w:t>Compared to the reference stan</w:t>
      </w:r>
      <w:r w:rsidR="007042F0" w:rsidRPr="000758A9">
        <w:rPr>
          <w:bCs/>
          <w:sz w:val="24"/>
          <w:szCs w:val="24"/>
        </w:rPr>
        <w:t xml:space="preserve">dard of detection of SARS-CoV-2 RNA </w:t>
      </w:r>
      <w:r w:rsidRPr="000758A9">
        <w:rPr>
          <w:bCs/>
          <w:sz w:val="24"/>
          <w:szCs w:val="24"/>
        </w:rPr>
        <w:t>by PCR</w:t>
      </w:r>
      <w:r w:rsidR="00DA170B">
        <w:rPr>
          <w:bCs/>
          <w:sz w:val="24"/>
          <w:szCs w:val="24"/>
        </w:rPr>
        <w:t xml:space="preserve"> on respiratory samples</w:t>
      </w:r>
      <w:r w:rsidR="000821C5">
        <w:rPr>
          <w:bCs/>
          <w:sz w:val="24"/>
          <w:szCs w:val="24"/>
        </w:rPr>
        <w:t xml:space="preserve">, the sensitivity of </w:t>
      </w:r>
      <w:r w:rsidR="000821C5" w:rsidRPr="000821C5">
        <w:rPr>
          <w:bCs/>
          <w:sz w:val="24"/>
          <w:szCs w:val="24"/>
        </w:rPr>
        <w:t xml:space="preserve">FebriDx </w:t>
      </w:r>
      <w:r w:rsidRPr="000758A9">
        <w:rPr>
          <w:bCs/>
          <w:sz w:val="24"/>
          <w:szCs w:val="24"/>
        </w:rPr>
        <w:t xml:space="preserve">MxA detection </w:t>
      </w:r>
      <w:r w:rsidR="004022B4" w:rsidRPr="000758A9">
        <w:rPr>
          <w:bCs/>
          <w:sz w:val="24"/>
          <w:szCs w:val="24"/>
        </w:rPr>
        <w:t xml:space="preserve">for </w:t>
      </w:r>
      <w:r w:rsidR="000821C5">
        <w:rPr>
          <w:bCs/>
          <w:sz w:val="24"/>
          <w:szCs w:val="24"/>
        </w:rPr>
        <w:t xml:space="preserve">identification of </w:t>
      </w:r>
      <w:r w:rsidR="004022B4" w:rsidRPr="000758A9">
        <w:rPr>
          <w:bCs/>
          <w:sz w:val="24"/>
          <w:szCs w:val="24"/>
        </w:rPr>
        <w:t>COVID</w:t>
      </w:r>
      <w:r w:rsidR="003F0590" w:rsidRPr="000758A9">
        <w:rPr>
          <w:bCs/>
          <w:sz w:val="24"/>
          <w:szCs w:val="24"/>
        </w:rPr>
        <w:t xml:space="preserve">-19 </w:t>
      </w:r>
      <w:r w:rsidR="00A3538F" w:rsidRPr="000758A9">
        <w:rPr>
          <w:bCs/>
          <w:sz w:val="24"/>
          <w:szCs w:val="24"/>
        </w:rPr>
        <w:t xml:space="preserve">was </w:t>
      </w:r>
      <w:r w:rsidR="00336D42" w:rsidRPr="000758A9">
        <w:rPr>
          <w:bCs/>
          <w:sz w:val="24"/>
          <w:szCs w:val="24"/>
        </w:rPr>
        <w:t xml:space="preserve">93% (110/118; </w:t>
      </w:r>
      <w:r w:rsidR="00DF4F9E" w:rsidRPr="000758A9">
        <w:rPr>
          <w:bCs/>
          <w:sz w:val="24"/>
          <w:szCs w:val="24"/>
        </w:rPr>
        <w:t>95%</w:t>
      </w:r>
      <w:r w:rsidR="00FE2020" w:rsidRPr="000758A9">
        <w:rPr>
          <w:bCs/>
          <w:sz w:val="24"/>
          <w:szCs w:val="24"/>
        </w:rPr>
        <w:t>CI 87 to 97%)</w:t>
      </w:r>
      <w:r w:rsidR="00DA170B">
        <w:rPr>
          <w:bCs/>
          <w:sz w:val="24"/>
          <w:szCs w:val="24"/>
        </w:rPr>
        <w:t xml:space="preserve">. </w:t>
      </w:r>
      <w:r w:rsidR="0014259C">
        <w:rPr>
          <w:bCs/>
          <w:sz w:val="24"/>
          <w:szCs w:val="24"/>
        </w:rPr>
        <w:t xml:space="preserve"> S</w:t>
      </w:r>
      <w:r w:rsidR="00FE2020" w:rsidRPr="000758A9">
        <w:rPr>
          <w:bCs/>
          <w:sz w:val="24"/>
          <w:szCs w:val="24"/>
        </w:rPr>
        <w:t xml:space="preserve">pecificity </w:t>
      </w:r>
      <w:r w:rsidR="0014259C">
        <w:rPr>
          <w:bCs/>
          <w:sz w:val="24"/>
          <w:szCs w:val="24"/>
        </w:rPr>
        <w:t xml:space="preserve">in this cohort </w:t>
      </w:r>
      <w:r w:rsidR="00FE2020" w:rsidRPr="000758A9">
        <w:rPr>
          <w:bCs/>
          <w:sz w:val="24"/>
          <w:szCs w:val="24"/>
        </w:rPr>
        <w:t xml:space="preserve">was </w:t>
      </w:r>
      <w:r w:rsidR="00336D42" w:rsidRPr="000758A9">
        <w:rPr>
          <w:bCs/>
          <w:sz w:val="24"/>
          <w:szCs w:val="24"/>
        </w:rPr>
        <w:t>86% (112/130;</w:t>
      </w:r>
      <w:r w:rsidR="009C4EE6" w:rsidRPr="000758A9">
        <w:rPr>
          <w:bCs/>
          <w:sz w:val="24"/>
          <w:szCs w:val="24"/>
        </w:rPr>
        <w:t xml:space="preserve"> </w:t>
      </w:r>
      <w:r w:rsidR="003E3331" w:rsidRPr="000758A9">
        <w:rPr>
          <w:bCs/>
          <w:sz w:val="24"/>
          <w:szCs w:val="24"/>
        </w:rPr>
        <w:t>95%CI 79 to 92</w:t>
      </w:r>
      <w:r w:rsidR="00FE2020" w:rsidRPr="000758A9">
        <w:rPr>
          <w:bCs/>
          <w:sz w:val="24"/>
          <w:szCs w:val="24"/>
        </w:rPr>
        <w:t xml:space="preserve">%). </w:t>
      </w:r>
      <w:r w:rsidR="000D7BDC" w:rsidRPr="000758A9">
        <w:rPr>
          <w:bCs/>
          <w:sz w:val="24"/>
          <w:szCs w:val="24"/>
        </w:rPr>
        <w:t xml:space="preserve">Positive predictive value </w:t>
      </w:r>
      <w:r w:rsidR="005442C9" w:rsidRPr="000758A9">
        <w:rPr>
          <w:bCs/>
          <w:sz w:val="24"/>
          <w:szCs w:val="24"/>
        </w:rPr>
        <w:t xml:space="preserve">(PPV) </w:t>
      </w:r>
      <w:r w:rsidR="000D7BDC" w:rsidRPr="000758A9">
        <w:rPr>
          <w:bCs/>
          <w:sz w:val="24"/>
          <w:szCs w:val="24"/>
        </w:rPr>
        <w:t xml:space="preserve">was </w:t>
      </w:r>
      <w:r w:rsidR="00336D42" w:rsidRPr="000758A9">
        <w:rPr>
          <w:bCs/>
          <w:sz w:val="24"/>
          <w:szCs w:val="24"/>
        </w:rPr>
        <w:t>86% (110/128;</w:t>
      </w:r>
      <w:r w:rsidR="009C4EE6" w:rsidRPr="000758A9">
        <w:rPr>
          <w:bCs/>
          <w:sz w:val="24"/>
          <w:szCs w:val="24"/>
        </w:rPr>
        <w:t xml:space="preserve"> </w:t>
      </w:r>
      <w:r w:rsidR="00FE2020" w:rsidRPr="000758A9">
        <w:rPr>
          <w:bCs/>
          <w:sz w:val="24"/>
          <w:szCs w:val="24"/>
        </w:rPr>
        <w:t>95</w:t>
      </w:r>
      <w:r w:rsidR="003F0590" w:rsidRPr="000758A9">
        <w:rPr>
          <w:bCs/>
          <w:sz w:val="24"/>
          <w:szCs w:val="24"/>
        </w:rPr>
        <w:t>%</w:t>
      </w:r>
      <w:r w:rsidR="00FE2020" w:rsidRPr="000758A9">
        <w:rPr>
          <w:bCs/>
          <w:sz w:val="24"/>
          <w:szCs w:val="24"/>
        </w:rPr>
        <w:t xml:space="preserve"> CI </w:t>
      </w:r>
      <w:r w:rsidR="009C4EE6" w:rsidRPr="000758A9">
        <w:rPr>
          <w:bCs/>
          <w:sz w:val="24"/>
          <w:szCs w:val="24"/>
        </w:rPr>
        <w:t>79 to 91</w:t>
      </w:r>
      <w:r w:rsidR="00FB62CB" w:rsidRPr="000758A9">
        <w:rPr>
          <w:bCs/>
          <w:sz w:val="24"/>
          <w:szCs w:val="24"/>
        </w:rPr>
        <w:t>%</w:t>
      </w:r>
      <w:r w:rsidR="003F0590" w:rsidRPr="000758A9">
        <w:rPr>
          <w:bCs/>
          <w:sz w:val="24"/>
          <w:szCs w:val="24"/>
        </w:rPr>
        <w:t xml:space="preserve">) </w:t>
      </w:r>
      <w:r w:rsidR="000D7BDC" w:rsidRPr="000758A9">
        <w:rPr>
          <w:bCs/>
          <w:sz w:val="24"/>
          <w:szCs w:val="24"/>
        </w:rPr>
        <w:t>and negative</w:t>
      </w:r>
      <w:r w:rsidR="00DC0F45" w:rsidRPr="000758A9">
        <w:rPr>
          <w:bCs/>
          <w:sz w:val="24"/>
          <w:szCs w:val="24"/>
        </w:rPr>
        <w:t xml:space="preserve"> predictive </w:t>
      </w:r>
      <w:r w:rsidR="000D7BDC" w:rsidRPr="000758A9">
        <w:rPr>
          <w:bCs/>
          <w:sz w:val="24"/>
          <w:szCs w:val="24"/>
        </w:rPr>
        <w:t>value</w:t>
      </w:r>
      <w:r w:rsidR="005442C9" w:rsidRPr="000758A9">
        <w:rPr>
          <w:bCs/>
          <w:sz w:val="24"/>
          <w:szCs w:val="24"/>
        </w:rPr>
        <w:t xml:space="preserve"> (NPV)</w:t>
      </w:r>
      <w:r w:rsidR="000D7BDC" w:rsidRPr="000758A9">
        <w:rPr>
          <w:bCs/>
          <w:sz w:val="24"/>
          <w:szCs w:val="24"/>
        </w:rPr>
        <w:t xml:space="preserve"> was</w:t>
      </w:r>
      <w:r w:rsidR="00FB62CB" w:rsidRPr="000758A9">
        <w:rPr>
          <w:bCs/>
          <w:sz w:val="24"/>
          <w:szCs w:val="24"/>
        </w:rPr>
        <w:t xml:space="preserve"> </w:t>
      </w:r>
      <w:r w:rsidR="00336D42" w:rsidRPr="000758A9">
        <w:rPr>
          <w:bCs/>
          <w:sz w:val="24"/>
          <w:szCs w:val="24"/>
        </w:rPr>
        <w:t>93% (112/</w:t>
      </w:r>
      <w:r w:rsidR="009C4EE6" w:rsidRPr="000758A9">
        <w:rPr>
          <w:bCs/>
          <w:sz w:val="24"/>
          <w:szCs w:val="24"/>
        </w:rPr>
        <w:t>120</w:t>
      </w:r>
      <w:r w:rsidR="00336D42" w:rsidRPr="000758A9">
        <w:rPr>
          <w:bCs/>
          <w:sz w:val="24"/>
          <w:szCs w:val="24"/>
        </w:rPr>
        <w:t>;</w:t>
      </w:r>
      <w:r w:rsidR="009C4EE6" w:rsidRPr="000758A9">
        <w:rPr>
          <w:bCs/>
          <w:sz w:val="24"/>
          <w:szCs w:val="24"/>
        </w:rPr>
        <w:t xml:space="preserve"> 95% CI 87</w:t>
      </w:r>
      <w:r w:rsidR="00FE2020" w:rsidRPr="000758A9">
        <w:rPr>
          <w:bCs/>
          <w:sz w:val="24"/>
          <w:szCs w:val="24"/>
        </w:rPr>
        <w:t xml:space="preserve"> to 97%)</w:t>
      </w:r>
      <w:r w:rsidR="009C4EE6" w:rsidRPr="000758A9">
        <w:rPr>
          <w:bCs/>
          <w:sz w:val="24"/>
          <w:szCs w:val="24"/>
        </w:rPr>
        <w:t>. Overall accuracy was 90% (</w:t>
      </w:r>
      <w:r w:rsidR="00F3174E" w:rsidRPr="000758A9">
        <w:rPr>
          <w:bCs/>
          <w:sz w:val="24"/>
          <w:szCs w:val="24"/>
        </w:rPr>
        <w:t xml:space="preserve">222/248; </w:t>
      </w:r>
      <w:r w:rsidR="009C4EE6" w:rsidRPr="000758A9">
        <w:rPr>
          <w:bCs/>
          <w:sz w:val="24"/>
          <w:szCs w:val="24"/>
        </w:rPr>
        <w:t>95%CI 86 to 93</w:t>
      </w:r>
      <w:r w:rsidR="00FB62CB" w:rsidRPr="000758A9">
        <w:rPr>
          <w:bCs/>
          <w:sz w:val="24"/>
          <w:szCs w:val="24"/>
        </w:rPr>
        <w:t xml:space="preserve">%), </w:t>
      </w:r>
      <w:r w:rsidR="003E3331" w:rsidRPr="000758A9">
        <w:rPr>
          <w:bCs/>
          <w:sz w:val="24"/>
          <w:szCs w:val="24"/>
        </w:rPr>
        <w:t xml:space="preserve">shown in </w:t>
      </w:r>
      <w:r w:rsidR="00B214AD">
        <w:rPr>
          <w:bCs/>
          <w:sz w:val="24"/>
          <w:szCs w:val="24"/>
        </w:rPr>
        <w:t>T</w:t>
      </w:r>
      <w:r w:rsidR="003F0590" w:rsidRPr="000758A9">
        <w:rPr>
          <w:bCs/>
          <w:sz w:val="24"/>
          <w:szCs w:val="24"/>
        </w:rPr>
        <w:t xml:space="preserve">able 2. </w:t>
      </w:r>
      <w:r w:rsidR="0014259C">
        <w:rPr>
          <w:bCs/>
          <w:sz w:val="24"/>
          <w:szCs w:val="24"/>
        </w:rPr>
        <w:t>As detection of MxA is not specific</w:t>
      </w:r>
      <w:r w:rsidR="000821C5">
        <w:rPr>
          <w:bCs/>
          <w:sz w:val="24"/>
          <w:szCs w:val="24"/>
        </w:rPr>
        <w:t xml:space="preserve"> for COVID-19 </w:t>
      </w:r>
      <w:r w:rsidR="0014259C">
        <w:rPr>
          <w:bCs/>
          <w:sz w:val="24"/>
          <w:szCs w:val="24"/>
        </w:rPr>
        <w:t>the diagnostic accuracy of FebriDx MxA detection for the identification of all respiratory viruses</w:t>
      </w:r>
      <w:r w:rsidR="000821C5">
        <w:rPr>
          <w:bCs/>
          <w:sz w:val="24"/>
          <w:szCs w:val="24"/>
        </w:rPr>
        <w:t xml:space="preserve"> is </w:t>
      </w:r>
      <w:r w:rsidR="0014259C">
        <w:rPr>
          <w:bCs/>
          <w:sz w:val="24"/>
          <w:szCs w:val="24"/>
        </w:rPr>
        <w:t xml:space="preserve">shown in Table 3. </w:t>
      </w:r>
      <w:r w:rsidR="000821C5" w:rsidRPr="000821C5">
        <w:rPr>
          <w:bCs/>
          <w:sz w:val="24"/>
          <w:szCs w:val="24"/>
        </w:rPr>
        <w:t xml:space="preserve">Of the </w:t>
      </w:r>
      <w:r w:rsidR="000821C5">
        <w:rPr>
          <w:bCs/>
          <w:sz w:val="24"/>
          <w:szCs w:val="24"/>
        </w:rPr>
        <w:t xml:space="preserve">11 </w:t>
      </w:r>
      <w:r w:rsidR="000821C5" w:rsidRPr="000821C5">
        <w:rPr>
          <w:bCs/>
          <w:sz w:val="24"/>
          <w:szCs w:val="24"/>
        </w:rPr>
        <w:t xml:space="preserve">patients with positive </w:t>
      </w:r>
      <w:r w:rsidR="000821C5">
        <w:rPr>
          <w:bCs/>
          <w:sz w:val="24"/>
          <w:szCs w:val="24"/>
        </w:rPr>
        <w:t xml:space="preserve">FebriDx </w:t>
      </w:r>
      <w:r w:rsidR="000821C5" w:rsidRPr="000821C5">
        <w:rPr>
          <w:bCs/>
          <w:sz w:val="24"/>
          <w:szCs w:val="24"/>
        </w:rPr>
        <w:t xml:space="preserve">MxA but </w:t>
      </w:r>
      <w:r w:rsidR="000821C5">
        <w:rPr>
          <w:bCs/>
          <w:sz w:val="24"/>
          <w:szCs w:val="24"/>
        </w:rPr>
        <w:t xml:space="preserve">who were </w:t>
      </w:r>
      <w:r w:rsidR="000821C5" w:rsidRPr="000821C5">
        <w:rPr>
          <w:bCs/>
          <w:sz w:val="24"/>
          <w:szCs w:val="24"/>
        </w:rPr>
        <w:t>PCR negative for SARS-CoV-2</w:t>
      </w:r>
      <w:r w:rsidR="000821C5">
        <w:rPr>
          <w:bCs/>
          <w:sz w:val="24"/>
          <w:szCs w:val="24"/>
        </w:rPr>
        <w:t xml:space="preserve"> and other viruses</w:t>
      </w:r>
      <w:r w:rsidR="000821C5" w:rsidRPr="000821C5">
        <w:rPr>
          <w:bCs/>
          <w:sz w:val="24"/>
          <w:szCs w:val="24"/>
        </w:rPr>
        <w:t>, 7 of 11 (63%) had classic radiological features of COVID-19.</w:t>
      </w:r>
    </w:p>
    <w:p w:rsidR="0014259C" w:rsidRDefault="0014259C" w:rsidP="008D1FCB">
      <w:pPr>
        <w:spacing w:after="0" w:line="480" w:lineRule="auto"/>
        <w:jc w:val="both"/>
        <w:rPr>
          <w:bCs/>
          <w:sz w:val="24"/>
          <w:szCs w:val="24"/>
        </w:rPr>
      </w:pPr>
    </w:p>
    <w:p w:rsidR="008D1FCB" w:rsidRPr="000758A9" w:rsidRDefault="00315AD0" w:rsidP="008D1FCB">
      <w:pPr>
        <w:spacing w:after="0" w:line="480" w:lineRule="auto"/>
        <w:jc w:val="both"/>
        <w:rPr>
          <w:bCs/>
          <w:sz w:val="24"/>
          <w:szCs w:val="24"/>
        </w:rPr>
      </w:pPr>
      <w:r>
        <w:rPr>
          <w:bCs/>
          <w:sz w:val="24"/>
          <w:szCs w:val="24"/>
        </w:rPr>
        <w:t xml:space="preserve">Using the calculated performance </w:t>
      </w:r>
      <w:r w:rsidR="0014259C">
        <w:rPr>
          <w:bCs/>
          <w:sz w:val="24"/>
          <w:szCs w:val="24"/>
        </w:rPr>
        <w:t xml:space="preserve">of FebriDx MxA for the detection of COVID-19 </w:t>
      </w:r>
      <w:r>
        <w:rPr>
          <w:bCs/>
          <w:sz w:val="24"/>
          <w:szCs w:val="24"/>
        </w:rPr>
        <w:t xml:space="preserve">to estimate PPV and NPV at different </w:t>
      </w:r>
      <w:r w:rsidR="0014259C">
        <w:rPr>
          <w:bCs/>
          <w:sz w:val="24"/>
          <w:szCs w:val="24"/>
        </w:rPr>
        <w:t xml:space="preserve">disease </w:t>
      </w:r>
      <w:r w:rsidR="000821C5">
        <w:rPr>
          <w:bCs/>
          <w:sz w:val="24"/>
          <w:szCs w:val="24"/>
        </w:rPr>
        <w:t>prevalence</w:t>
      </w:r>
      <w:r w:rsidR="0014259C">
        <w:rPr>
          <w:bCs/>
          <w:sz w:val="24"/>
          <w:szCs w:val="24"/>
        </w:rPr>
        <w:t xml:space="preserve">, </w:t>
      </w:r>
      <w:r w:rsidR="005442C9" w:rsidRPr="000758A9">
        <w:rPr>
          <w:bCs/>
          <w:sz w:val="24"/>
          <w:szCs w:val="24"/>
        </w:rPr>
        <w:t xml:space="preserve"> a prevalence of COVID</w:t>
      </w:r>
      <w:r w:rsidR="00C11D85" w:rsidRPr="000758A9">
        <w:rPr>
          <w:bCs/>
          <w:sz w:val="24"/>
          <w:szCs w:val="24"/>
        </w:rPr>
        <w:t>-19 of</w:t>
      </w:r>
      <w:r>
        <w:rPr>
          <w:bCs/>
          <w:sz w:val="24"/>
          <w:szCs w:val="24"/>
        </w:rPr>
        <w:t xml:space="preserve"> 2</w:t>
      </w:r>
      <w:r w:rsidR="0014259C">
        <w:rPr>
          <w:bCs/>
          <w:sz w:val="24"/>
          <w:szCs w:val="24"/>
        </w:rPr>
        <w:t>0%</w:t>
      </w:r>
      <w:r w:rsidR="00C11D85" w:rsidRPr="000758A9">
        <w:rPr>
          <w:bCs/>
          <w:sz w:val="24"/>
          <w:szCs w:val="24"/>
        </w:rPr>
        <w:t xml:space="preserve"> </w:t>
      </w:r>
      <w:r w:rsidR="005442C9" w:rsidRPr="000758A9">
        <w:rPr>
          <w:bCs/>
          <w:sz w:val="24"/>
          <w:szCs w:val="24"/>
        </w:rPr>
        <w:t xml:space="preserve">would </w:t>
      </w:r>
      <w:r w:rsidR="0014259C">
        <w:rPr>
          <w:bCs/>
          <w:sz w:val="24"/>
          <w:szCs w:val="24"/>
        </w:rPr>
        <w:t>give a PPV of 63% (95%CI 52 to 72%) and</w:t>
      </w:r>
      <w:r w:rsidR="00C11D85" w:rsidRPr="000758A9">
        <w:rPr>
          <w:bCs/>
          <w:sz w:val="24"/>
          <w:szCs w:val="24"/>
        </w:rPr>
        <w:t xml:space="preserve"> </w:t>
      </w:r>
      <w:r w:rsidR="0014259C">
        <w:rPr>
          <w:bCs/>
          <w:sz w:val="24"/>
          <w:szCs w:val="24"/>
        </w:rPr>
        <w:t>NPV of</w:t>
      </w:r>
      <w:r>
        <w:rPr>
          <w:bCs/>
          <w:sz w:val="24"/>
          <w:szCs w:val="24"/>
        </w:rPr>
        <w:t xml:space="preserve"> 99</w:t>
      </w:r>
      <w:r w:rsidR="005442C9" w:rsidRPr="000758A9">
        <w:rPr>
          <w:bCs/>
          <w:sz w:val="24"/>
          <w:szCs w:val="24"/>
        </w:rPr>
        <w:t xml:space="preserve">% (95%CI 96 to 99%). </w:t>
      </w:r>
      <w:r>
        <w:rPr>
          <w:bCs/>
          <w:sz w:val="24"/>
          <w:szCs w:val="24"/>
        </w:rPr>
        <w:t>At a prevalence of 10% the PPV would be 43% (95%CI 33 to 53%) and the NPV would be 99% (95%CI 98 to 100%).</w:t>
      </w:r>
      <w:r w:rsidR="000F1016" w:rsidRPr="000758A9">
        <w:rPr>
          <w:bCs/>
          <w:sz w:val="24"/>
          <w:szCs w:val="24"/>
        </w:rPr>
        <w:t xml:space="preserve"> </w:t>
      </w:r>
    </w:p>
    <w:p w:rsidR="005442C9" w:rsidRPr="000758A9" w:rsidRDefault="005442C9" w:rsidP="008D1FCB">
      <w:pPr>
        <w:spacing w:after="0" w:line="480" w:lineRule="auto"/>
        <w:jc w:val="both"/>
        <w:rPr>
          <w:bCs/>
          <w:sz w:val="24"/>
          <w:szCs w:val="24"/>
        </w:rPr>
      </w:pPr>
    </w:p>
    <w:p w:rsidR="000F1016" w:rsidRPr="000758A9" w:rsidRDefault="000F1016" w:rsidP="008D1FCB">
      <w:pPr>
        <w:spacing w:after="0" w:line="480" w:lineRule="auto"/>
        <w:jc w:val="both"/>
        <w:rPr>
          <w:bCs/>
          <w:sz w:val="24"/>
          <w:szCs w:val="24"/>
        </w:rPr>
      </w:pPr>
      <w:r w:rsidRPr="000758A9">
        <w:rPr>
          <w:bCs/>
          <w:sz w:val="24"/>
          <w:szCs w:val="24"/>
        </w:rPr>
        <w:t xml:space="preserve">Measures of diagnostic accuracy according to duration of symptoms </w:t>
      </w:r>
      <w:r w:rsidR="00B214AD">
        <w:rPr>
          <w:bCs/>
          <w:sz w:val="24"/>
          <w:szCs w:val="24"/>
        </w:rPr>
        <w:t>are shown in T</w:t>
      </w:r>
      <w:r w:rsidR="0014259C">
        <w:rPr>
          <w:bCs/>
          <w:sz w:val="24"/>
          <w:szCs w:val="24"/>
        </w:rPr>
        <w:t>able 4</w:t>
      </w:r>
      <w:r w:rsidRPr="000758A9">
        <w:rPr>
          <w:bCs/>
          <w:sz w:val="24"/>
          <w:szCs w:val="24"/>
        </w:rPr>
        <w:t xml:space="preserve">. Although </w:t>
      </w:r>
      <w:r w:rsidR="00C5635D" w:rsidRPr="000758A9">
        <w:rPr>
          <w:bCs/>
          <w:sz w:val="24"/>
          <w:szCs w:val="24"/>
        </w:rPr>
        <w:t>direct comparison of accuracy was</w:t>
      </w:r>
      <w:r w:rsidRPr="000758A9">
        <w:rPr>
          <w:bCs/>
          <w:sz w:val="24"/>
          <w:szCs w:val="24"/>
        </w:rPr>
        <w:t xml:space="preserve"> not possible due to samples size, the sensitivity, specificity and positive and negative predictive values of FebriDx </w:t>
      </w:r>
      <w:r w:rsidR="000C594B" w:rsidRPr="000758A9">
        <w:rPr>
          <w:bCs/>
          <w:sz w:val="24"/>
          <w:szCs w:val="24"/>
        </w:rPr>
        <w:t>appear</w:t>
      </w:r>
      <w:r w:rsidR="00546B43" w:rsidRPr="000758A9">
        <w:rPr>
          <w:bCs/>
          <w:sz w:val="24"/>
          <w:szCs w:val="24"/>
        </w:rPr>
        <w:t>ed</w:t>
      </w:r>
      <w:r w:rsidR="000C594B" w:rsidRPr="000758A9">
        <w:rPr>
          <w:bCs/>
          <w:sz w:val="24"/>
          <w:szCs w:val="24"/>
        </w:rPr>
        <w:t xml:space="preserve"> </w:t>
      </w:r>
      <w:r w:rsidRPr="000758A9">
        <w:rPr>
          <w:bCs/>
          <w:sz w:val="24"/>
          <w:szCs w:val="24"/>
        </w:rPr>
        <w:t>comparable for patients presenting before and after 7 days of symptom duration.</w:t>
      </w:r>
    </w:p>
    <w:p w:rsidR="005442C9" w:rsidRDefault="005442C9" w:rsidP="008D1FCB">
      <w:pPr>
        <w:spacing w:after="0" w:line="480" w:lineRule="auto"/>
        <w:jc w:val="both"/>
        <w:rPr>
          <w:bCs/>
        </w:rPr>
      </w:pPr>
    </w:p>
    <w:p w:rsidR="00CB3A5B" w:rsidRPr="000758A9" w:rsidRDefault="00CB3A5B" w:rsidP="008D1FCB">
      <w:pPr>
        <w:spacing w:after="0" w:line="480" w:lineRule="auto"/>
        <w:jc w:val="both"/>
        <w:rPr>
          <w:b/>
          <w:bCs/>
          <w:i/>
          <w:sz w:val="24"/>
          <w:szCs w:val="24"/>
        </w:rPr>
      </w:pPr>
      <w:r w:rsidRPr="000758A9">
        <w:rPr>
          <w:b/>
          <w:bCs/>
          <w:i/>
          <w:sz w:val="24"/>
          <w:szCs w:val="24"/>
        </w:rPr>
        <w:t>Predictive model</w:t>
      </w:r>
    </w:p>
    <w:p w:rsidR="000015C0" w:rsidRPr="000758A9" w:rsidRDefault="009C4EE6" w:rsidP="00FC3D26">
      <w:pPr>
        <w:spacing w:after="0" w:line="480" w:lineRule="auto"/>
        <w:jc w:val="both"/>
        <w:rPr>
          <w:rFonts w:ascii="Calibri" w:eastAsia="Calibri" w:hAnsi="Calibri" w:cs="Times New Roman"/>
          <w:bCs/>
          <w:sz w:val="24"/>
          <w:szCs w:val="24"/>
          <w:lang w:eastAsia="en-US"/>
        </w:rPr>
      </w:pPr>
      <w:r w:rsidRPr="000758A9">
        <w:rPr>
          <w:rFonts w:ascii="Calibri" w:eastAsia="Calibri" w:hAnsi="Calibri" w:cs="Times New Roman"/>
          <w:bCs/>
          <w:sz w:val="24"/>
          <w:szCs w:val="24"/>
          <w:lang w:eastAsia="en-US"/>
        </w:rPr>
        <w:t xml:space="preserve">A total of 201 participants contributed data to the multivariable model, with symptoms being the main contributor </w:t>
      </w:r>
      <w:r w:rsidR="0030542C" w:rsidRPr="000758A9">
        <w:rPr>
          <w:rFonts w:ascii="Calibri" w:eastAsia="Calibri" w:hAnsi="Calibri" w:cs="Times New Roman"/>
          <w:bCs/>
          <w:sz w:val="24"/>
          <w:szCs w:val="24"/>
          <w:lang w:eastAsia="en-US"/>
        </w:rPr>
        <w:t>to missing data</w:t>
      </w:r>
      <w:r w:rsidRPr="000758A9">
        <w:rPr>
          <w:rFonts w:ascii="Calibri" w:eastAsia="Calibri" w:hAnsi="Calibri" w:cs="Times New Roman"/>
          <w:bCs/>
          <w:sz w:val="24"/>
          <w:szCs w:val="24"/>
          <w:lang w:eastAsia="en-US"/>
        </w:rPr>
        <w:t>. With the possible exception of cough (12% mis</w:t>
      </w:r>
      <w:r w:rsidR="005C0D8A" w:rsidRPr="000758A9">
        <w:rPr>
          <w:rFonts w:ascii="Calibri" w:eastAsia="Calibri" w:hAnsi="Calibri" w:cs="Times New Roman"/>
          <w:bCs/>
          <w:sz w:val="24"/>
          <w:szCs w:val="24"/>
          <w:lang w:eastAsia="en-US"/>
        </w:rPr>
        <w:t>sing data in those without COVID</w:t>
      </w:r>
      <w:r w:rsidRPr="000758A9">
        <w:rPr>
          <w:rFonts w:ascii="Calibri" w:eastAsia="Calibri" w:hAnsi="Calibri" w:cs="Times New Roman"/>
          <w:bCs/>
          <w:sz w:val="24"/>
          <w:szCs w:val="24"/>
          <w:lang w:eastAsia="en-US"/>
        </w:rPr>
        <w:t>-19 versus 6% with), m</w:t>
      </w:r>
      <w:r w:rsidR="0030542C" w:rsidRPr="000758A9">
        <w:rPr>
          <w:rFonts w:ascii="Calibri" w:eastAsia="Calibri" w:hAnsi="Calibri" w:cs="Times New Roman"/>
          <w:bCs/>
          <w:sz w:val="24"/>
          <w:szCs w:val="24"/>
          <w:lang w:eastAsia="en-US"/>
        </w:rPr>
        <w:t>issing</w:t>
      </w:r>
      <w:r w:rsidR="007961F3" w:rsidRPr="000758A9">
        <w:rPr>
          <w:rFonts w:ascii="Calibri" w:eastAsia="Calibri" w:hAnsi="Calibri" w:cs="Times New Roman"/>
          <w:bCs/>
          <w:sz w:val="24"/>
          <w:szCs w:val="24"/>
          <w:lang w:eastAsia="en-US"/>
        </w:rPr>
        <w:t>ness of</w:t>
      </w:r>
      <w:r w:rsidR="0030542C" w:rsidRPr="000758A9">
        <w:rPr>
          <w:rFonts w:ascii="Calibri" w:eastAsia="Calibri" w:hAnsi="Calibri" w:cs="Times New Roman"/>
          <w:bCs/>
          <w:sz w:val="24"/>
          <w:szCs w:val="24"/>
          <w:lang w:eastAsia="en-US"/>
        </w:rPr>
        <w:t xml:space="preserve"> data </w:t>
      </w:r>
      <w:r w:rsidRPr="000758A9">
        <w:rPr>
          <w:rFonts w:ascii="Calibri" w:eastAsia="Calibri" w:hAnsi="Calibri" w:cs="Times New Roman"/>
          <w:bCs/>
          <w:sz w:val="24"/>
          <w:szCs w:val="24"/>
          <w:lang w:eastAsia="en-US"/>
        </w:rPr>
        <w:t>appeared unrelated to outcome. All continuous variables (age, respiratory rate and temperature) were mean-centred and assessed for a non-linear relationship with outcome using restricted cubic splines</w:t>
      </w:r>
      <w:r w:rsidR="0030542C" w:rsidRPr="000758A9">
        <w:rPr>
          <w:rFonts w:ascii="Calibri" w:eastAsia="Calibri" w:hAnsi="Calibri" w:cs="Times New Roman"/>
          <w:bCs/>
          <w:sz w:val="24"/>
          <w:szCs w:val="24"/>
          <w:lang w:eastAsia="en-US"/>
        </w:rPr>
        <w:t xml:space="preserve">, </w:t>
      </w:r>
      <w:r w:rsidRPr="000758A9">
        <w:rPr>
          <w:rFonts w:ascii="Calibri" w:eastAsia="Calibri" w:hAnsi="Calibri" w:cs="Times New Roman"/>
          <w:bCs/>
          <w:sz w:val="24"/>
          <w:szCs w:val="24"/>
          <w:lang w:eastAsia="en-US"/>
        </w:rPr>
        <w:t>following visual assessment and using Bayesian Information Criterion values (where smaller values indicate a more parsimonious model), all were entered in the model on the assumption that a linear relationship w</w:t>
      </w:r>
      <w:r w:rsidR="005C0D8A" w:rsidRPr="000758A9">
        <w:rPr>
          <w:rFonts w:ascii="Calibri" w:eastAsia="Calibri" w:hAnsi="Calibri" w:cs="Times New Roman"/>
          <w:bCs/>
          <w:sz w:val="24"/>
          <w:szCs w:val="24"/>
          <w:lang w:eastAsia="en-US"/>
        </w:rPr>
        <w:t>ith the log odds of having COVID</w:t>
      </w:r>
      <w:r w:rsidRPr="000758A9">
        <w:rPr>
          <w:rFonts w:ascii="Calibri" w:eastAsia="Calibri" w:hAnsi="Calibri" w:cs="Times New Roman"/>
          <w:bCs/>
          <w:sz w:val="24"/>
          <w:szCs w:val="24"/>
          <w:lang w:eastAsia="en-US"/>
        </w:rPr>
        <w:t>-19 was appropriate. All variables were entered into the multivariable model with no variable selecti</w:t>
      </w:r>
      <w:r w:rsidR="00B214AD">
        <w:rPr>
          <w:rFonts w:ascii="Calibri" w:eastAsia="Calibri" w:hAnsi="Calibri" w:cs="Times New Roman"/>
          <w:bCs/>
          <w:sz w:val="24"/>
          <w:szCs w:val="24"/>
          <w:lang w:eastAsia="en-US"/>
        </w:rPr>
        <w:t>on. Model results are given in T</w:t>
      </w:r>
      <w:r w:rsidR="000821C5">
        <w:rPr>
          <w:rFonts w:ascii="Calibri" w:eastAsia="Calibri" w:hAnsi="Calibri" w:cs="Times New Roman"/>
          <w:bCs/>
          <w:sz w:val="24"/>
          <w:szCs w:val="24"/>
          <w:lang w:eastAsia="en-US"/>
        </w:rPr>
        <w:t>able 5</w:t>
      </w:r>
      <w:r w:rsidRPr="000758A9">
        <w:rPr>
          <w:rFonts w:ascii="Calibri" w:eastAsia="Calibri" w:hAnsi="Calibri" w:cs="Times New Roman"/>
          <w:bCs/>
          <w:sz w:val="24"/>
          <w:szCs w:val="24"/>
          <w:lang w:eastAsia="en-US"/>
        </w:rPr>
        <w:t xml:space="preserve">, alongside </w:t>
      </w:r>
      <w:r w:rsidR="008A753B" w:rsidRPr="000758A9">
        <w:rPr>
          <w:rFonts w:ascii="Calibri" w:eastAsia="Calibri" w:hAnsi="Calibri" w:cs="Times New Roman"/>
          <w:bCs/>
          <w:sz w:val="24"/>
          <w:szCs w:val="24"/>
          <w:lang w:eastAsia="en-US"/>
        </w:rPr>
        <w:t>adjusted estimates</w:t>
      </w:r>
      <w:r w:rsidRPr="000758A9">
        <w:rPr>
          <w:rFonts w:ascii="Calibri" w:eastAsia="Calibri" w:hAnsi="Calibri" w:cs="Times New Roman"/>
          <w:bCs/>
          <w:sz w:val="24"/>
          <w:szCs w:val="24"/>
          <w:lang w:eastAsia="en-US"/>
        </w:rPr>
        <w:t xml:space="preserve">. </w:t>
      </w:r>
    </w:p>
    <w:p w:rsidR="000015C0" w:rsidRPr="000758A9" w:rsidRDefault="000015C0" w:rsidP="00FC3D26">
      <w:pPr>
        <w:spacing w:after="0" w:line="480" w:lineRule="auto"/>
        <w:jc w:val="both"/>
        <w:rPr>
          <w:rFonts w:ascii="Calibri" w:eastAsia="Calibri" w:hAnsi="Calibri" w:cs="Times New Roman"/>
          <w:bCs/>
          <w:sz w:val="24"/>
          <w:szCs w:val="24"/>
          <w:lang w:eastAsia="en-US"/>
        </w:rPr>
      </w:pPr>
    </w:p>
    <w:p w:rsidR="009C4EE6" w:rsidRPr="000758A9" w:rsidRDefault="000015C0" w:rsidP="00FC3D26">
      <w:pPr>
        <w:spacing w:after="0" w:line="480" w:lineRule="auto"/>
        <w:jc w:val="both"/>
        <w:rPr>
          <w:rFonts w:ascii="Calibri" w:eastAsia="Calibri" w:hAnsi="Calibri" w:cs="Times New Roman"/>
          <w:bCs/>
          <w:sz w:val="24"/>
          <w:szCs w:val="24"/>
          <w:lang w:eastAsia="en-US"/>
        </w:rPr>
      </w:pPr>
      <w:r w:rsidRPr="000758A9">
        <w:rPr>
          <w:rFonts w:ascii="Calibri" w:eastAsia="Calibri" w:hAnsi="Calibri" w:cs="Times New Roman"/>
          <w:bCs/>
          <w:sz w:val="24"/>
          <w:szCs w:val="24"/>
          <w:lang w:eastAsia="en-US"/>
        </w:rPr>
        <w:lastRenderedPageBreak/>
        <w:t>The overall results suggest</w:t>
      </w:r>
      <w:r w:rsidR="00556CAC" w:rsidRPr="000758A9">
        <w:rPr>
          <w:rFonts w:ascii="Calibri" w:eastAsia="Calibri" w:hAnsi="Calibri" w:cs="Times New Roman"/>
          <w:bCs/>
          <w:sz w:val="24"/>
          <w:szCs w:val="24"/>
          <w:lang w:eastAsia="en-US"/>
        </w:rPr>
        <w:t>ed</w:t>
      </w:r>
      <w:r w:rsidRPr="000758A9">
        <w:rPr>
          <w:rFonts w:ascii="Calibri" w:eastAsia="Calibri" w:hAnsi="Calibri" w:cs="Times New Roman"/>
          <w:bCs/>
          <w:sz w:val="24"/>
          <w:szCs w:val="24"/>
          <w:lang w:eastAsia="en-US"/>
        </w:rPr>
        <w:t xml:space="preserve"> that the addition of the patient and clinical characteristics do not add significantly to the diagnostic accuracy compared to using FebriDx </w:t>
      </w:r>
      <w:r w:rsidR="00556CAC" w:rsidRPr="000758A9">
        <w:rPr>
          <w:rFonts w:ascii="Calibri" w:eastAsia="Calibri" w:hAnsi="Calibri" w:cs="Times New Roman"/>
          <w:bCs/>
          <w:sz w:val="24"/>
          <w:szCs w:val="24"/>
          <w:lang w:eastAsia="en-US"/>
        </w:rPr>
        <w:t xml:space="preserve">MxA result </w:t>
      </w:r>
      <w:r w:rsidRPr="000758A9">
        <w:rPr>
          <w:rFonts w:ascii="Calibri" w:eastAsia="Calibri" w:hAnsi="Calibri" w:cs="Times New Roman"/>
          <w:bCs/>
          <w:sz w:val="24"/>
          <w:szCs w:val="24"/>
          <w:lang w:eastAsia="en-US"/>
        </w:rPr>
        <w:t xml:space="preserve">alone. The apparent area under the receiver-operating characteristic (ROC) curve (AUC; equivalent to the C-statistic) for the </w:t>
      </w:r>
      <w:r w:rsidR="00556CAC" w:rsidRPr="000758A9">
        <w:rPr>
          <w:rFonts w:ascii="Calibri" w:eastAsia="Calibri" w:hAnsi="Calibri" w:cs="Times New Roman"/>
          <w:bCs/>
          <w:sz w:val="24"/>
          <w:szCs w:val="24"/>
          <w:lang w:eastAsia="en-US"/>
        </w:rPr>
        <w:t>multivariable model was</w:t>
      </w:r>
      <w:r w:rsidRPr="000758A9">
        <w:rPr>
          <w:rFonts w:ascii="Calibri" w:eastAsia="Calibri" w:hAnsi="Calibri" w:cs="Times New Roman"/>
          <w:bCs/>
          <w:sz w:val="24"/>
          <w:szCs w:val="24"/>
          <w:lang w:eastAsia="en-US"/>
        </w:rPr>
        <w:t xml:space="preserve"> 0.93, suggesting very good discrimination between those with and</w:t>
      </w:r>
      <w:r w:rsidR="00546B43" w:rsidRPr="000758A9">
        <w:rPr>
          <w:rFonts w:ascii="Calibri" w:eastAsia="Calibri" w:hAnsi="Calibri" w:cs="Times New Roman"/>
          <w:bCs/>
          <w:sz w:val="24"/>
          <w:szCs w:val="24"/>
          <w:lang w:eastAsia="en-US"/>
        </w:rPr>
        <w:t xml:space="preserve"> without PCR-confirmed COVID-19</w:t>
      </w:r>
      <w:r w:rsidRPr="000758A9">
        <w:rPr>
          <w:rFonts w:ascii="Calibri" w:eastAsia="Calibri" w:hAnsi="Calibri" w:cs="Times New Roman"/>
          <w:bCs/>
          <w:sz w:val="24"/>
          <w:szCs w:val="24"/>
          <w:lang w:eastAsia="en-US"/>
        </w:rPr>
        <w:t xml:space="preserve">. </w:t>
      </w:r>
      <w:r w:rsidR="00167744" w:rsidRPr="000758A9">
        <w:rPr>
          <w:rFonts w:ascii="Calibri" w:eastAsia="Calibri" w:hAnsi="Calibri" w:cs="Times New Roman"/>
          <w:bCs/>
          <w:sz w:val="24"/>
          <w:szCs w:val="24"/>
          <w:lang w:eastAsia="en-US"/>
        </w:rPr>
        <w:t>The calibration plot shows good cal</w:t>
      </w:r>
      <w:r w:rsidR="00B214AD">
        <w:rPr>
          <w:rFonts w:ascii="Calibri" w:eastAsia="Calibri" w:hAnsi="Calibri" w:cs="Times New Roman"/>
          <w:bCs/>
          <w:sz w:val="24"/>
          <w:szCs w:val="24"/>
          <w:lang w:eastAsia="en-US"/>
        </w:rPr>
        <w:t>ibration (supplement</w:t>
      </w:r>
      <w:r w:rsidR="00B73A43">
        <w:rPr>
          <w:rFonts w:ascii="Calibri" w:eastAsia="Calibri" w:hAnsi="Calibri" w:cs="Times New Roman"/>
          <w:bCs/>
          <w:sz w:val="24"/>
          <w:szCs w:val="24"/>
          <w:lang w:eastAsia="en-US"/>
        </w:rPr>
        <w:t>ary appendix</w:t>
      </w:r>
      <w:r w:rsidR="00167744" w:rsidRPr="000758A9">
        <w:rPr>
          <w:rFonts w:ascii="Calibri" w:eastAsia="Calibri" w:hAnsi="Calibri" w:cs="Times New Roman"/>
          <w:bCs/>
          <w:sz w:val="24"/>
          <w:szCs w:val="24"/>
          <w:lang w:eastAsia="en-US"/>
        </w:rPr>
        <w:t xml:space="preserve">), with points </w:t>
      </w:r>
      <w:r w:rsidR="00556CAC" w:rsidRPr="000758A9">
        <w:rPr>
          <w:rFonts w:ascii="Calibri" w:eastAsia="Calibri" w:hAnsi="Calibri" w:cs="Times New Roman"/>
          <w:bCs/>
          <w:sz w:val="24"/>
          <w:szCs w:val="24"/>
          <w:lang w:eastAsia="en-US"/>
        </w:rPr>
        <w:t xml:space="preserve">lying near the 45-degree line representing </w:t>
      </w:r>
      <w:r w:rsidR="00167744" w:rsidRPr="000758A9">
        <w:rPr>
          <w:rFonts w:ascii="Calibri" w:eastAsia="Calibri" w:hAnsi="Calibri" w:cs="Times New Roman"/>
          <w:bCs/>
          <w:sz w:val="24"/>
          <w:szCs w:val="24"/>
          <w:lang w:eastAsia="en-US"/>
        </w:rPr>
        <w:t>perfect fit.</w:t>
      </w:r>
    </w:p>
    <w:p w:rsidR="00FC3D26" w:rsidRPr="000758A9" w:rsidRDefault="00FC3D26" w:rsidP="00FC3D26">
      <w:pPr>
        <w:spacing w:after="0" w:line="480" w:lineRule="auto"/>
        <w:jc w:val="both"/>
        <w:rPr>
          <w:rFonts w:ascii="Calibri" w:eastAsia="Calibri" w:hAnsi="Calibri" w:cs="Times New Roman"/>
          <w:bCs/>
          <w:sz w:val="24"/>
          <w:szCs w:val="24"/>
          <w:lang w:eastAsia="en-US"/>
        </w:rPr>
      </w:pPr>
    </w:p>
    <w:p w:rsidR="009C4EE6" w:rsidRPr="000758A9" w:rsidRDefault="009C4EE6" w:rsidP="009C4EE6">
      <w:pPr>
        <w:spacing w:after="160" w:line="480" w:lineRule="auto"/>
        <w:jc w:val="both"/>
        <w:rPr>
          <w:rFonts w:ascii="Calibri" w:eastAsia="Calibri" w:hAnsi="Calibri" w:cs="Times New Roman"/>
          <w:bCs/>
          <w:sz w:val="24"/>
          <w:szCs w:val="24"/>
          <w:lang w:eastAsia="en-US"/>
        </w:rPr>
      </w:pPr>
      <w:r w:rsidRPr="000758A9">
        <w:rPr>
          <w:rFonts w:ascii="Calibri" w:eastAsia="Calibri" w:hAnsi="Calibri" w:cs="Times New Roman"/>
          <w:bCs/>
          <w:sz w:val="24"/>
          <w:szCs w:val="24"/>
          <w:lang w:eastAsia="en-US"/>
        </w:rPr>
        <w:t xml:space="preserve">The model underwent internal validation, using bootstrap resampling with 500 samples following the </w:t>
      </w:r>
      <w:r w:rsidR="00546B43" w:rsidRPr="000758A9">
        <w:rPr>
          <w:rFonts w:ascii="Calibri" w:eastAsia="Calibri" w:hAnsi="Calibri" w:cs="Times New Roman"/>
          <w:bCs/>
          <w:sz w:val="24"/>
          <w:szCs w:val="24"/>
          <w:lang w:eastAsia="en-US"/>
        </w:rPr>
        <w:t xml:space="preserve">same model development process, </w:t>
      </w:r>
      <w:r w:rsidRPr="000758A9">
        <w:rPr>
          <w:rFonts w:ascii="Calibri" w:eastAsia="Calibri" w:hAnsi="Calibri" w:cs="Times New Roman"/>
          <w:bCs/>
          <w:sz w:val="24"/>
          <w:szCs w:val="24"/>
          <w:lang w:eastAsia="en-US"/>
        </w:rPr>
        <w:t>to estimate optimism and provide a basis for adjusting model coefficients and the C-statistic. The calibratio</w:t>
      </w:r>
      <w:r w:rsidR="00546B43" w:rsidRPr="000758A9">
        <w:rPr>
          <w:rFonts w:ascii="Calibri" w:eastAsia="Calibri" w:hAnsi="Calibri" w:cs="Times New Roman"/>
          <w:bCs/>
          <w:sz w:val="24"/>
          <w:szCs w:val="24"/>
          <w:lang w:eastAsia="en-US"/>
        </w:rPr>
        <w:t>n slope suggests the model tended</w:t>
      </w:r>
      <w:r w:rsidRPr="000758A9">
        <w:rPr>
          <w:rFonts w:ascii="Calibri" w:eastAsia="Calibri" w:hAnsi="Calibri" w:cs="Times New Roman"/>
          <w:bCs/>
          <w:sz w:val="24"/>
          <w:szCs w:val="24"/>
          <w:lang w:eastAsia="en-US"/>
        </w:rPr>
        <w:t xml:space="preserve"> to estimate prob</w:t>
      </w:r>
      <w:r w:rsidR="00F3174E" w:rsidRPr="000758A9">
        <w:rPr>
          <w:rFonts w:ascii="Calibri" w:eastAsia="Calibri" w:hAnsi="Calibri" w:cs="Times New Roman"/>
          <w:bCs/>
          <w:sz w:val="24"/>
          <w:szCs w:val="24"/>
          <w:lang w:eastAsia="en-US"/>
        </w:rPr>
        <w:t xml:space="preserve">abilities that are too extreme </w:t>
      </w:r>
      <w:r w:rsidR="00556CAC" w:rsidRPr="000758A9">
        <w:rPr>
          <w:rFonts w:ascii="Calibri" w:eastAsia="Calibri" w:hAnsi="Calibri" w:cs="Times New Roman"/>
          <w:bCs/>
          <w:sz w:val="24"/>
          <w:szCs w:val="24"/>
          <w:lang w:eastAsia="en-US"/>
        </w:rPr>
        <w:t xml:space="preserve">and </w:t>
      </w:r>
      <w:r w:rsidR="00F3174E" w:rsidRPr="000758A9">
        <w:rPr>
          <w:rFonts w:ascii="Calibri" w:eastAsia="Calibri" w:hAnsi="Calibri" w:cs="Times New Roman"/>
          <w:bCs/>
          <w:sz w:val="24"/>
          <w:szCs w:val="24"/>
          <w:lang w:eastAsia="en-US"/>
        </w:rPr>
        <w:t xml:space="preserve">that if the model were to be used externally, the original multivariable regression coefficients should be adjusted by the value of the calibration slope (the shrinkage factor) to adjust for optimism. </w:t>
      </w:r>
      <w:r w:rsidRPr="000758A9">
        <w:rPr>
          <w:rFonts w:ascii="Calibri" w:eastAsia="Calibri" w:hAnsi="Calibri" w:cs="Times New Roman"/>
          <w:bCs/>
          <w:sz w:val="24"/>
          <w:szCs w:val="24"/>
          <w:lang w:eastAsia="en-US"/>
        </w:rPr>
        <w:t xml:space="preserve">The C-statistic was also adjusted for optimism, but remained </w:t>
      </w:r>
      <w:r w:rsidR="00F3174E" w:rsidRPr="000758A9">
        <w:rPr>
          <w:rFonts w:ascii="Calibri" w:eastAsia="Calibri" w:hAnsi="Calibri" w:cs="Times New Roman"/>
          <w:bCs/>
          <w:sz w:val="24"/>
          <w:szCs w:val="24"/>
          <w:lang w:eastAsia="en-US"/>
        </w:rPr>
        <w:t>very high (0.90) suggesting the model would still perform well outside of the current sample.</w:t>
      </w:r>
    </w:p>
    <w:p w:rsidR="007042F0" w:rsidRPr="007E0451" w:rsidRDefault="007042F0" w:rsidP="009C4EE6">
      <w:pPr>
        <w:spacing w:after="160" w:line="480" w:lineRule="auto"/>
        <w:jc w:val="both"/>
        <w:rPr>
          <w:rFonts w:ascii="Calibri" w:eastAsia="Calibri" w:hAnsi="Calibri" w:cs="Times New Roman"/>
          <w:bCs/>
          <w:lang w:eastAsia="en-US"/>
        </w:rPr>
      </w:pPr>
    </w:p>
    <w:p w:rsidR="009C4EE6" w:rsidRPr="000758A9" w:rsidRDefault="009C4EE6" w:rsidP="009C4EE6">
      <w:pPr>
        <w:spacing w:line="240" w:lineRule="auto"/>
        <w:rPr>
          <w:b/>
          <w:bCs/>
          <w:i/>
          <w:iCs/>
          <w:sz w:val="24"/>
          <w:szCs w:val="24"/>
        </w:rPr>
      </w:pPr>
      <w:r w:rsidRPr="000758A9">
        <w:rPr>
          <w:b/>
          <w:bCs/>
          <w:i/>
          <w:iCs/>
          <w:sz w:val="24"/>
          <w:szCs w:val="24"/>
        </w:rPr>
        <w:t>Secondary analyses</w:t>
      </w:r>
    </w:p>
    <w:p w:rsidR="00BC356A" w:rsidRDefault="009C4EE6" w:rsidP="00073047">
      <w:pPr>
        <w:spacing w:after="0" w:line="480" w:lineRule="auto"/>
        <w:jc w:val="both"/>
        <w:rPr>
          <w:bCs/>
          <w:sz w:val="24"/>
          <w:szCs w:val="24"/>
        </w:rPr>
      </w:pPr>
      <w:r w:rsidRPr="000758A9">
        <w:rPr>
          <w:bCs/>
          <w:sz w:val="24"/>
          <w:szCs w:val="24"/>
        </w:rPr>
        <w:t>The multivariable model was rerun with anosmia; a total of n=164 were included in this analysis. Conclusions for the other covariates did not change, and there was little change in discrimination results (area under the curve, sensitivity and specificity at the Youden index, Brier score) nor other measures of fit such as Nagelkerke’s R</w:t>
      </w:r>
      <w:r w:rsidRPr="000758A9">
        <w:rPr>
          <w:bCs/>
          <w:sz w:val="24"/>
          <w:szCs w:val="24"/>
          <w:vertAlign w:val="superscript"/>
        </w:rPr>
        <w:t>2</w:t>
      </w:r>
      <w:r w:rsidRPr="000758A9">
        <w:rPr>
          <w:bCs/>
          <w:sz w:val="24"/>
          <w:szCs w:val="24"/>
        </w:rPr>
        <w:t>; anosmia itself had an estimated odds r</w:t>
      </w:r>
      <w:r w:rsidR="00FC3D26" w:rsidRPr="000758A9">
        <w:rPr>
          <w:bCs/>
          <w:sz w:val="24"/>
          <w:szCs w:val="24"/>
        </w:rPr>
        <w:t>atio of 4.0 (95% CI: 0.7 to 22</w:t>
      </w:r>
      <w:r w:rsidRPr="000758A9">
        <w:rPr>
          <w:bCs/>
          <w:sz w:val="24"/>
          <w:szCs w:val="24"/>
        </w:rPr>
        <w:t xml:space="preserve">; p=0.11) suggesting a potentially useful diagnostic indicator, though this conclusion is hampered by </w:t>
      </w:r>
      <w:r w:rsidR="0058635A" w:rsidRPr="000758A9">
        <w:rPr>
          <w:bCs/>
          <w:sz w:val="24"/>
          <w:szCs w:val="24"/>
        </w:rPr>
        <w:t>the uncertainty in the estimate</w:t>
      </w:r>
      <w:r w:rsidRPr="000758A9">
        <w:rPr>
          <w:bCs/>
          <w:sz w:val="24"/>
          <w:szCs w:val="24"/>
        </w:rPr>
        <w:t xml:space="preserve">. Lastly, the </w:t>
      </w:r>
      <w:r w:rsidRPr="000758A9">
        <w:rPr>
          <w:bCs/>
          <w:sz w:val="24"/>
          <w:szCs w:val="24"/>
        </w:rPr>
        <w:lastRenderedPageBreak/>
        <w:t>multivariable model (excluding anosmia) was also run in the subgroup of participants who presented within</w:t>
      </w:r>
      <w:r w:rsidR="008A6DD7" w:rsidRPr="000758A9">
        <w:rPr>
          <w:bCs/>
          <w:sz w:val="24"/>
          <w:szCs w:val="24"/>
        </w:rPr>
        <w:t xml:space="preserve"> 7 days of symptom onset</w:t>
      </w:r>
      <w:r w:rsidRPr="000758A9">
        <w:rPr>
          <w:bCs/>
          <w:sz w:val="24"/>
          <w:szCs w:val="24"/>
        </w:rPr>
        <w:t>. Although the odds ra</w:t>
      </w:r>
      <w:r w:rsidR="00FC3D26" w:rsidRPr="000758A9">
        <w:rPr>
          <w:bCs/>
          <w:sz w:val="24"/>
          <w:szCs w:val="24"/>
        </w:rPr>
        <w:t>tio for FebriDx increased (190</w:t>
      </w:r>
      <w:r w:rsidRPr="000758A9">
        <w:rPr>
          <w:bCs/>
          <w:sz w:val="24"/>
          <w:szCs w:val="24"/>
        </w:rPr>
        <w:t xml:space="preserve">), the uncertainty </w:t>
      </w:r>
      <w:r w:rsidR="00D73973" w:rsidRPr="000758A9">
        <w:rPr>
          <w:bCs/>
          <w:sz w:val="24"/>
          <w:szCs w:val="24"/>
        </w:rPr>
        <w:t xml:space="preserve">of this effect </w:t>
      </w:r>
      <w:r w:rsidRPr="000758A9">
        <w:rPr>
          <w:bCs/>
          <w:sz w:val="24"/>
          <w:szCs w:val="24"/>
        </w:rPr>
        <w:t>w</w:t>
      </w:r>
      <w:r w:rsidR="00FC3D26" w:rsidRPr="000758A9">
        <w:rPr>
          <w:bCs/>
          <w:sz w:val="24"/>
          <w:szCs w:val="24"/>
        </w:rPr>
        <w:t>as large (95% CI 26</w:t>
      </w:r>
      <w:r w:rsidR="005C0D8A" w:rsidRPr="000758A9">
        <w:rPr>
          <w:bCs/>
          <w:sz w:val="24"/>
          <w:szCs w:val="24"/>
        </w:rPr>
        <w:t xml:space="preserve"> to 1404</w:t>
      </w:r>
      <w:r w:rsidRPr="000758A9">
        <w:rPr>
          <w:bCs/>
          <w:sz w:val="24"/>
          <w:szCs w:val="24"/>
        </w:rPr>
        <w:t>). There was little change in model performance with regard discrimination and model fit</w:t>
      </w:r>
      <w:r w:rsidR="0058635A" w:rsidRPr="000758A9">
        <w:rPr>
          <w:bCs/>
          <w:sz w:val="24"/>
          <w:szCs w:val="24"/>
        </w:rPr>
        <w:t xml:space="preserve">. </w:t>
      </w:r>
      <w:r w:rsidRPr="000758A9">
        <w:rPr>
          <w:bCs/>
          <w:sz w:val="24"/>
          <w:szCs w:val="24"/>
        </w:rPr>
        <w:t xml:space="preserve"> </w:t>
      </w:r>
    </w:p>
    <w:p w:rsidR="00073047" w:rsidRDefault="00073047" w:rsidP="00073047">
      <w:pPr>
        <w:spacing w:after="0" w:line="480" w:lineRule="auto"/>
        <w:jc w:val="both"/>
        <w:rPr>
          <w:bCs/>
          <w:sz w:val="24"/>
          <w:szCs w:val="24"/>
        </w:rPr>
      </w:pPr>
    </w:p>
    <w:p w:rsidR="00073047" w:rsidRPr="00073047" w:rsidRDefault="00073047" w:rsidP="00073047">
      <w:pPr>
        <w:spacing w:after="0" w:line="480" w:lineRule="auto"/>
        <w:jc w:val="both"/>
        <w:rPr>
          <w:b/>
          <w:bCs/>
          <w:i/>
          <w:sz w:val="24"/>
          <w:szCs w:val="24"/>
        </w:rPr>
      </w:pPr>
      <w:r w:rsidRPr="00073047">
        <w:rPr>
          <w:b/>
          <w:bCs/>
          <w:i/>
          <w:sz w:val="24"/>
          <w:szCs w:val="24"/>
        </w:rPr>
        <w:t>Test failures</w:t>
      </w:r>
    </w:p>
    <w:p w:rsidR="00073047" w:rsidRDefault="00073047" w:rsidP="00073047">
      <w:pPr>
        <w:spacing w:after="0" w:line="480" w:lineRule="auto"/>
        <w:jc w:val="both"/>
        <w:rPr>
          <w:bCs/>
          <w:sz w:val="24"/>
          <w:szCs w:val="24"/>
        </w:rPr>
      </w:pPr>
      <w:r w:rsidRPr="00073047">
        <w:rPr>
          <w:bCs/>
          <w:sz w:val="24"/>
          <w:szCs w:val="24"/>
        </w:rPr>
        <w:t xml:space="preserve">As detailed above, some FebriDx tests failed to give a valid result </w:t>
      </w:r>
      <w:r w:rsidR="0014259C">
        <w:rPr>
          <w:bCs/>
          <w:sz w:val="24"/>
          <w:szCs w:val="24"/>
        </w:rPr>
        <w:t>on the first attempt. T</w:t>
      </w:r>
      <w:r w:rsidRPr="00073047">
        <w:rPr>
          <w:bCs/>
          <w:sz w:val="24"/>
          <w:szCs w:val="24"/>
        </w:rPr>
        <w:t>ests could fail by blood clotting in the sample collection tube so that no blood would p</w:t>
      </w:r>
      <w:r w:rsidR="0014259C">
        <w:rPr>
          <w:bCs/>
          <w:sz w:val="24"/>
          <w:szCs w:val="24"/>
        </w:rPr>
        <w:t xml:space="preserve">ass onto the lateral flow strip. </w:t>
      </w:r>
      <w:r>
        <w:rPr>
          <w:bCs/>
          <w:sz w:val="24"/>
          <w:szCs w:val="24"/>
        </w:rPr>
        <w:t xml:space="preserve"> </w:t>
      </w:r>
    </w:p>
    <w:p w:rsidR="00073047" w:rsidRPr="00073047" w:rsidRDefault="00073047" w:rsidP="00073047">
      <w:pPr>
        <w:spacing w:after="0" w:line="480" w:lineRule="auto"/>
        <w:jc w:val="both"/>
        <w:rPr>
          <w:bCs/>
          <w:sz w:val="24"/>
          <w:szCs w:val="24"/>
        </w:rPr>
      </w:pPr>
    </w:p>
    <w:p w:rsidR="00073047" w:rsidRPr="00073047" w:rsidRDefault="00073047" w:rsidP="00073047">
      <w:pPr>
        <w:spacing w:after="0" w:line="480" w:lineRule="auto"/>
        <w:jc w:val="both"/>
        <w:rPr>
          <w:b/>
          <w:bCs/>
          <w:i/>
          <w:sz w:val="24"/>
          <w:szCs w:val="24"/>
        </w:rPr>
      </w:pPr>
      <w:r w:rsidRPr="00073047">
        <w:rPr>
          <w:b/>
          <w:bCs/>
          <w:i/>
          <w:sz w:val="24"/>
          <w:szCs w:val="24"/>
        </w:rPr>
        <w:t>Safety</w:t>
      </w:r>
    </w:p>
    <w:p w:rsidR="00BC356A" w:rsidRDefault="00073047" w:rsidP="00073047">
      <w:pPr>
        <w:spacing w:after="0" w:line="480" w:lineRule="auto"/>
        <w:jc w:val="both"/>
        <w:rPr>
          <w:bCs/>
          <w:sz w:val="24"/>
          <w:szCs w:val="24"/>
        </w:rPr>
      </w:pPr>
      <w:r w:rsidRPr="00073047">
        <w:rPr>
          <w:bCs/>
          <w:sz w:val="24"/>
          <w:szCs w:val="24"/>
        </w:rPr>
        <w:t>There were no adverse events seen with FebriDx testing. A single patient suffered brief epistaxis following nasal swabbing for PCR testing.</w:t>
      </w:r>
    </w:p>
    <w:p w:rsidR="00073047" w:rsidRDefault="00073047" w:rsidP="00073047">
      <w:pPr>
        <w:spacing w:after="0" w:line="480" w:lineRule="auto"/>
        <w:jc w:val="both"/>
        <w:rPr>
          <w:bCs/>
          <w:sz w:val="24"/>
          <w:szCs w:val="24"/>
        </w:rPr>
      </w:pPr>
    </w:p>
    <w:p w:rsidR="00BA6ED9" w:rsidRPr="00BC356A" w:rsidRDefault="0091644D" w:rsidP="00BC356A">
      <w:pPr>
        <w:spacing w:after="0" w:line="480" w:lineRule="auto"/>
        <w:jc w:val="both"/>
        <w:rPr>
          <w:bCs/>
          <w:sz w:val="24"/>
          <w:szCs w:val="24"/>
        </w:rPr>
      </w:pPr>
      <w:r w:rsidRPr="00BC356A">
        <w:rPr>
          <w:b/>
          <w:bCs/>
          <w:sz w:val="32"/>
          <w:szCs w:val="32"/>
        </w:rPr>
        <w:t>Discussion</w:t>
      </w:r>
    </w:p>
    <w:p w:rsidR="006F0A4B" w:rsidRPr="000758A9" w:rsidRDefault="008017A4" w:rsidP="00BC356A">
      <w:pPr>
        <w:spacing w:after="0" w:line="480" w:lineRule="auto"/>
        <w:jc w:val="both"/>
        <w:rPr>
          <w:bCs/>
          <w:sz w:val="24"/>
          <w:szCs w:val="24"/>
        </w:rPr>
      </w:pPr>
      <w:r w:rsidRPr="000758A9">
        <w:rPr>
          <w:bCs/>
          <w:sz w:val="24"/>
          <w:szCs w:val="24"/>
        </w:rPr>
        <w:t>In this large, re</w:t>
      </w:r>
      <w:r w:rsidR="00397F41" w:rsidRPr="000758A9">
        <w:rPr>
          <w:bCs/>
          <w:sz w:val="24"/>
          <w:szCs w:val="24"/>
        </w:rPr>
        <w:t>al-</w:t>
      </w:r>
      <w:r w:rsidRPr="000758A9">
        <w:rPr>
          <w:bCs/>
          <w:sz w:val="24"/>
          <w:szCs w:val="24"/>
        </w:rPr>
        <w:t xml:space="preserve">world study we </w:t>
      </w:r>
      <w:r w:rsidR="000821C5">
        <w:rPr>
          <w:bCs/>
          <w:sz w:val="24"/>
          <w:szCs w:val="24"/>
        </w:rPr>
        <w:t xml:space="preserve">have shown that that the detection of the antiviral host response protein MxA using the </w:t>
      </w:r>
      <w:r w:rsidRPr="000758A9">
        <w:rPr>
          <w:bCs/>
          <w:sz w:val="24"/>
          <w:szCs w:val="24"/>
        </w:rPr>
        <w:t>FebriDx poin</w:t>
      </w:r>
      <w:r w:rsidR="00556CAC" w:rsidRPr="000758A9">
        <w:rPr>
          <w:bCs/>
          <w:sz w:val="24"/>
          <w:szCs w:val="24"/>
        </w:rPr>
        <w:t xml:space="preserve">t-of-care </w:t>
      </w:r>
      <w:r w:rsidR="003E5677">
        <w:rPr>
          <w:bCs/>
          <w:sz w:val="24"/>
          <w:szCs w:val="24"/>
        </w:rPr>
        <w:t xml:space="preserve">test </w:t>
      </w:r>
      <w:r w:rsidR="00EE5AD2">
        <w:rPr>
          <w:bCs/>
          <w:sz w:val="24"/>
          <w:szCs w:val="24"/>
        </w:rPr>
        <w:t xml:space="preserve">had </w:t>
      </w:r>
      <w:r w:rsidRPr="000758A9">
        <w:rPr>
          <w:bCs/>
          <w:sz w:val="24"/>
          <w:szCs w:val="24"/>
        </w:rPr>
        <w:t>high</w:t>
      </w:r>
      <w:r w:rsidR="0058635A" w:rsidRPr="000758A9">
        <w:rPr>
          <w:bCs/>
          <w:sz w:val="24"/>
          <w:szCs w:val="24"/>
        </w:rPr>
        <w:t xml:space="preserve"> sensitivity</w:t>
      </w:r>
      <w:r w:rsidR="000F1016" w:rsidRPr="000758A9">
        <w:rPr>
          <w:bCs/>
          <w:sz w:val="24"/>
          <w:szCs w:val="24"/>
        </w:rPr>
        <w:t xml:space="preserve"> </w:t>
      </w:r>
      <w:r w:rsidR="00B72621">
        <w:rPr>
          <w:bCs/>
          <w:sz w:val="24"/>
          <w:szCs w:val="24"/>
        </w:rPr>
        <w:t>for the identification</w:t>
      </w:r>
      <w:r w:rsidR="004022B4" w:rsidRPr="000758A9">
        <w:rPr>
          <w:bCs/>
          <w:sz w:val="24"/>
          <w:szCs w:val="24"/>
        </w:rPr>
        <w:t xml:space="preserve"> of COVID</w:t>
      </w:r>
      <w:r w:rsidRPr="000758A9">
        <w:rPr>
          <w:bCs/>
          <w:sz w:val="24"/>
          <w:szCs w:val="24"/>
        </w:rPr>
        <w:t>-19</w:t>
      </w:r>
      <w:r w:rsidR="00556CAC" w:rsidRPr="000758A9">
        <w:rPr>
          <w:bCs/>
          <w:sz w:val="24"/>
          <w:szCs w:val="24"/>
        </w:rPr>
        <w:t xml:space="preserve"> during the first wave of the pandemic. </w:t>
      </w:r>
      <w:r w:rsidRPr="000758A9">
        <w:rPr>
          <w:bCs/>
          <w:sz w:val="24"/>
          <w:szCs w:val="24"/>
        </w:rPr>
        <w:t xml:space="preserve"> </w:t>
      </w:r>
      <w:r w:rsidR="00854B08" w:rsidRPr="000758A9">
        <w:rPr>
          <w:bCs/>
          <w:sz w:val="24"/>
          <w:szCs w:val="24"/>
        </w:rPr>
        <w:t>Although there were differences in baseline characteristics between COVID-19 positive and negative patients</w:t>
      </w:r>
      <w:r w:rsidR="000C594B" w:rsidRPr="000758A9">
        <w:rPr>
          <w:bCs/>
          <w:sz w:val="24"/>
          <w:szCs w:val="24"/>
        </w:rPr>
        <w:t>,</w:t>
      </w:r>
      <w:r w:rsidR="00854B08" w:rsidRPr="000758A9">
        <w:rPr>
          <w:bCs/>
          <w:sz w:val="24"/>
          <w:szCs w:val="24"/>
        </w:rPr>
        <w:t xml:space="preserve"> the multivariate </w:t>
      </w:r>
      <w:r w:rsidR="000C594B" w:rsidRPr="000758A9">
        <w:rPr>
          <w:bCs/>
          <w:sz w:val="24"/>
          <w:szCs w:val="24"/>
        </w:rPr>
        <w:t xml:space="preserve">predictive </w:t>
      </w:r>
      <w:r w:rsidR="00854B08" w:rsidRPr="000758A9">
        <w:rPr>
          <w:bCs/>
          <w:sz w:val="24"/>
          <w:szCs w:val="24"/>
        </w:rPr>
        <w:t>model results show</w:t>
      </w:r>
      <w:r w:rsidR="00556CAC" w:rsidRPr="000758A9">
        <w:rPr>
          <w:bCs/>
          <w:sz w:val="24"/>
          <w:szCs w:val="24"/>
        </w:rPr>
        <w:t>ed</w:t>
      </w:r>
      <w:r w:rsidR="00854B08" w:rsidRPr="000758A9">
        <w:rPr>
          <w:bCs/>
          <w:sz w:val="24"/>
          <w:szCs w:val="24"/>
        </w:rPr>
        <w:t xml:space="preserve"> that clinical features </w:t>
      </w:r>
      <w:r w:rsidR="008A753B" w:rsidRPr="000758A9">
        <w:rPr>
          <w:bCs/>
          <w:sz w:val="24"/>
          <w:szCs w:val="24"/>
        </w:rPr>
        <w:t xml:space="preserve">did not contribute significantly to </w:t>
      </w:r>
      <w:r w:rsidR="00DA66F1" w:rsidRPr="000758A9">
        <w:rPr>
          <w:bCs/>
          <w:sz w:val="24"/>
          <w:szCs w:val="24"/>
        </w:rPr>
        <w:t xml:space="preserve">the effect of </w:t>
      </w:r>
      <w:r w:rsidR="0024287D" w:rsidRPr="000758A9">
        <w:rPr>
          <w:bCs/>
          <w:sz w:val="24"/>
          <w:szCs w:val="24"/>
        </w:rPr>
        <w:t xml:space="preserve">the </w:t>
      </w:r>
      <w:r w:rsidR="008A753B" w:rsidRPr="000758A9">
        <w:rPr>
          <w:bCs/>
          <w:sz w:val="24"/>
          <w:szCs w:val="24"/>
        </w:rPr>
        <w:t xml:space="preserve">FebriDx </w:t>
      </w:r>
      <w:r w:rsidR="00EE5AD2">
        <w:rPr>
          <w:bCs/>
          <w:sz w:val="24"/>
          <w:szCs w:val="24"/>
        </w:rPr>
        <w:t xml:space="preserve">MxA </w:t>
      </w:r>
      <w:r w:rsidR="008A753B" w:rsidRPr="000758A9">
        <w:rPr>
          <w:bCs/>
          <w:sz w:val="24"/>
          <w:szCs w:val="24"/>
        </w:rPr>
        <w:t xml:space="preserve">result in </w:t>
      </w:r>
      <w:r w:rsidR="00854B08" w:rsidRPr="000758A9">
        <w:rPr>
          <w:bCs/>
          <w:sz w:val="24"/>
          <w:szCs w:val="24"/>
        </w:rPr>
        <w:t xml:space="preserve">distinguishing </w:t>
      </w:r>
      <w:r w:rsidR="00556CAC" w:rsidRPr="000758A9">
        <w:rPr>
          <w:bCs/>
          <w:sz w:val="24"/>
          <w:szCs w:val="24"/>
        </w:rPr>
        <w:t>these groups.</w:t>
      </w:r>
      <w:r w:rsidR="0024287D" w:rsidRPr="000758A9">
        <w:rPr>
          <w:bCs/>
          <w:sz w:val="24"/>
          <w:szCs w:val="24"/>
        </w:rPr>
        <w:t xml:space="preserve"> </w:t>
      </w:r>
      <w:r w:rsidR="00556CAC" w:rsidRPr="000758A9">
        <w:rPr>
          <w:bCs/>
          <w:sz w:val="24"/>
          <w:szCs w:val="24"/>
        </w:rPr>
        <w:t xml:space="preserve">MxA detection is a marker of antiviral host response and </w:t>
      </w:r>
      <w:r w:rsidR="00B00D25" w:rsidRPr="000758A9">
        <w:rPr>
          <w:bCs/>
          <w:sz w:val="24"/>
          <w:szCs w:val="24"/>
        </w:rPr>
        <w:t xml:space="preserve">is </w:t>
      </w:r>
      <w:r w:rsidR="00556CAC" w:rsidRPr="000758A9">
        <w:rPr>
          <w:bCs/>
          <w:sz w:val="24"/>
          <w:szCs w:val="24"/>
        </w:rPr>
        <w:t xml:space="preserve">not specific for </w:t>
      </w:r>
      <w:r w:rsidR="00B00D25" w:rsidRPr="000758A9">
        <w:rPr>
          <w:bCs/>
          <w:sz w:val="24"/>
          <w:szCs w:val="24"/>
        </w:rPr>
        <w:t>SARS-CoV-2</w:t>
      </w:r>
      <w:r w:rsidR="0024287D" w:rsidRPr="000758A9">
        <w:rPr>
          <w:bCs/>
          <w:sz w:val="24"/>
          <w:szCs w:val="24"/>
        </w:rPr>
        <w:t xml:space="preserve"> and so the high</w:t>
      </w:r>
      <w:r w:rsidRPr="000758A9">
        <w:rPr>
          <w:bCs/>
          <w:sz w:val="24"/>
          <w:szCs w:val="24"/>
        </w:rPr>
        <w:t xml:space="preserve"> specificity </w:t>
      </w:r>
      <w:r w:rsidR="00854B08" w:rsidRPr="000758A9">
        <w:rPr>
          <w:bCs/>
          <w:sz w:val="24"/>
          <w:szCs w:val="24"/>
        </w:rPr>
        <w:t>of FebriDx</w:t>
      </w:r>
      <w:r w:rsidR="008A753B" w:rsidRPr="000758A9">
        <w:rPr>
          <w:bCs/>
          <w:sz w:val="24"/>
          <w:szCs w:val="24"/>
        </w:rPr>
        <w:t xml:space="preserve"> MxA for</w:t>
      </w:r>
      <w:r w:rsidR="00854B08" w:rsidRPr="000758A9">
        <w:rPr>
          <w:bCs/>
          <w:sz w:val="24"/>
          <w:szCs w:val="24"/>
        </w:rPr>
        <w:t xml:space="preserve"> COVID-19 </w:t>
      </w:r>
      <w:r w:rsidR="00E7780D">
        <w:rPr>
          <w:bCs/>
          <w:sz w:val="24"/>
          <w:szCs w:val="24"/>
        </w:rPr>
        <w:t xml:space="preserve">seen </w:t>
      </w:r>
      <w:r w:rsidR="00556CAC" w:rsidRPr="000758A9">
        <w:rPr>
          <w:bCs/>
          <w:sz w:val="24"/>
          <w:szCs w:val="24"/>
        </w:rPr>
        <w:t xml:space="preserve">in this study </w:t>
      </w:r>
      <w:r w:rsidR="00B00D25" w:rsidRPr="000758A9">
        <w:rPr>
          <w:bCs/>
          <w:sz w:val="24"/>
          <w:szCs w:val="24"/>
        </w:rPr>
        <w:t xml:space="preserve">reflects </w:t>
      </w:r>
      <w:r w:rsidR="00556CAC" w:rsidRPr="000758A9">
        <w:rPr>
          <w:bCs/>
          <w:sz w:val="24"/>
          <w:szCs w:val="24"/>
        </w:rPr>
        <w:t xml:space="preserve">the low levels of other </w:t>
      </w:r>
      <w:r w:rsidR="00556CAC" w:rsidRPr="000758A9">
        <w:rPr>
          <w:bCs/>
          <w:sz w:val="24"/>
          <w:szCs w:val="24"/>
        </w:rPr>
        <w:lastRenderedPageBreak/>
        <w:t xml:space="preserve">respiratory viruses circulating </w:t>
      </w:r>
      <w:r w:rsidR="00B00D25" w:rsidRPr="000758A9">
        <w:rPr>
          <w:bCs/>
          <w:sz w:val="24"/>
          <w:szCs w:val="24"/>
        </w:rPr>
        <w:t>during the study</w:t>
      </w:r>
      <w:r w:rsidR="00EE5AD2">
        <w:rPr>
          <w:bCs/>
          <w:sz w:val="24"/>
          <w:szCs w:val="24"/>
        </w:rPr>
        <w:t xml:space="preserve"> which will change with the seasonal circulation of other viruses such as influenza</w:t>
      </w:r>
      <w:r w:rsidR="00556CAC" w:rsidRPr="000758A9">
        <w:rPr>
          <w:bCs/>
          <w:sz w:val="24"/>
          <w:szCs w:val="24"/>
        </w:rPr>
        <w:t xml:space="preserve">. </w:t>
      </w:r>
      <w:r w:rsidR="00EE5AD2">
        <w:rPr>
          <w:bCs/>
          <w:sz w:val="24"/>
          <w:szCs w:val="24"/>
        </w:rPr>
        <w:t>It</w:t>
      </w:r>
      <w:r w:rsidR="006F0A4B" w:rsidRPr="000758A9">
        <w:rPr>
          <w:bCs/>
          <w:sz w:val="24"/>
          <w:szCs w:val="24"/>
        </w:rPr>
        <w:t xml:space="preserve"> is </w:t>
      </w:r>
      <w:r w:rsidR="00B00D25" w:rsidRPr="000758A9">
        <w:rPr>
          <w:bCs/>
          <w:sz w:val="24"/>
          <w:szCs w:val="24"/>
        </w:rPr>
        <w:t xml:space="preserve">now </w:t>
      </w:r>
      <w:r w:rsidR="006F0A4B" w:rsidRPr="000758A9">
        <w:rPr>
          <w:bCs/>
          <w:sz w:val="24"/>
          <w:szCs w:val="24"/>
        </w:rPr>
        <w:t xml:space="preserve">recognised that </w:t>
      </w:r>
      <w:r w:rsidR="00B00D25" w:rsidRPr="000758A9">
        <w:rPr>
          <w:bCs/>
          <w:sz w:val="24"/>
          <w:szCs w:val="24"/>
        </w:rPr>
        <w:t xml:space="preserve">the diagnostic accuracy of PCR on upper respiratory tract samples is suboptimal and that </w:t>
      </w:r>
      <w:r w:rsidR="006F0A4B" w:rsidRPr="000758A9">
        <w:rPr>
          <w:bCs/>
          <w:sz w:val="24"/>
          <w:szCs w:val="24"/>
        </w:rPr>
        <w:t xml:space="preserve">patients presenting with COVID-19 often </w:t>
      </w:r>
      <w:r w:rsidR="000F0003" w:rsidRPr="000758A9">
        <w:rPr>
          <w:bCs/>
          <w:sz w:val="24"/>
          <w:szCs w:val="24"/>
        </w:rPr>
        <w:t xml:space="preserve">initially </w:t>
      </w:r>
      <w:r w:rsidR="00B00D25" w:rsidRPr="000758A9">
        <w:rPr>
          <w:bCs/>
          <w:sz w:val="24"/>
          <w:szCs w:val="24"/>
        </w:rPr>
        <w:t>test falsely negative when compared to serial PCR testing or CT scanning.</w:t>
      </w:r>
      <w:r w:rsidR="00987078" w:rsidRPr="000758A9">
        <w:rPr>
          <w:bCs/>
          <w:sz w:val="24"/>
          <w:szCs w:val="24"/>
          <w:vertAlign w:val="superscript"/>
        </w:rPr>
        <w:t>16-18</w:t>
      </w:r>
      <w:r w:rsidR="00B00D25" w:rsidRPr="000758A9">
        <w:rPr>
          <w:bCs/>
          <w:sz w:val="24"/>
          <w:szCs w:val="24"/>
        </w:rPr>
        <w:t xml:space="preserve"> </w:t>
      </w:r>
      <w:r w:rsidR="0024287D" w:rsidRPr="000758A9">
        <w:rPr>
          <w:bCs/>
          <w:sz w:val="24"/>
          <w:szCs w:val="24"/>
        </w:rPr>
        <w:t>This means that our reference standard was likely to be suboptimal</w:t>
      </w:r>
      <w:r w:rsidR="00EE5AD2">
        <w:rPr>
          <w:bCs/>
          <w:sz w:val="24"/>
          <w:szCs w:val="24"/>
        </w:rPr>
        <w:t xml:space="preserve"> and it is notable that</w:t>
      </w:r>
      <w:r w:rsidR="000F0003" w:rsidRPr="000758A9">
        <w:rPr>
          <w:bCs/>
          <w:sz w:val="24"/>
          <w:szCs w:val="24"/>
        </w:rPr>
        <w:t xml:space="preserve"> </w:t>
      </w:r>
      <w:r w:rsidR="000F1016" w:rsidRPr="000758A9">
        <w:rPr>
          <w:bCs/>
          <w:sz w:val="24"/>
          <w:szCs w:val="24"/>
        </w:rPr>
        <w:t>several</w:t>
      </w:r>
      <w:r w:rsidR="00CB3A5B" w:rsidRPr="000758A9">
        <w:rPr>
          <w:bCs/>
          <w:sz w:val="24"/>
          <w:szCs w:val="24"/>
        </w:rPr>
        <w:t xml:space="preserve"> of the patients </w:t>
      </w:r>
      <w:r w:rsidR="0024287D" w:rsidRPr="000758A9">
        <w:rPr>
          <w:bCs/>
          <w:sz w:val="24"/>
          <w:szCs w:val="24"/>
        </w:rPr>
        <w:t xml:space="preserve">in our study </w:t>
      </w:r>
      <w:r w:rsidR="00CB3A5B" w:rsidRPr="000758A9">
        <w:rPr>
          <w:bCs/>
          <w:sz w:val="24"/>
          <w:szCs w:val="24"/>
        </w:rPr>
        <w:t xml:space="preserve">with positive MxA results and negative PCR </w:t>
      </w:r>
      <w:r w:rsidR="00EE5AD2">
        <w:rPr>
          <w:bCs/>
          <w:sz w:val="24"/>
          <w:szCs w:val="24"/>
        </w:rPr>
        <w:t xml:space="preserve">for viruses </w:t>
      </w:r>
      <w:r w:rsidR="00CB3A5B" w:rsidRPr="000758A9">
        <w:rPr>
          <w:bCs/>
          <w:sz w:val="24"/>
          <w:szCs w:val="24"/>
        </w:rPr>
        <w:t>(ie</w:t>
      </w:r>
      <w:r w:rsidR="00B00D25" w:rsidRPr="000758A9">
        <w:rPr>
          <w:bCs/>
          <w:sz w:val="24"/>
          <w:szCs w:val="24"/>
        </w:rPr>
        <w:t xml:space="preserve"> those considered to be</w:t>
      </w:r>
      <w:r w:rsidR="00CB3A5B" w:rsidRPr="000758A9">
        <w:rPr>
          <w:bCs/>
          <w:sz w:val="24"/>
          <w:szCs w:val="24"/>
        </w:rPr>
        <w:t xml:space="preserve"> </w:t>
      </w:r>
      <w:r w:rsidR="00C344DB" w:rsidRPr="000758A9">
        <w:rPr>
          <w:bCs/>
          <w:sz w:val="24"/>
          <w:szCs w:val="24"/>
        </w:rPr>
        <w:t xml:space="preserve">false </w:t>
      </w:r>
      <w:r w:rsidR="004F76E5" w:rsidRPr="000758A9">
        <w:rPr>
          <w:bCs/>
          <w:sz w:val="24"/>
          <w:szCs w:val="24"/>
        </w:rPr>
        <w:t>positive MxA</w:t>
      </w:r>
      <w:r w:rsidR="00CB3A5B" w:rsidRPr="000758A9">
        <w:rPr>
          <w:bCs/>
          <w:sz w:val="24"/>
          <w:szCs w:val="24"/>
        </w:rPr>
        <w:t xml:space="preserve">) </w:t>
      </w:r>
      <w:r w:rsidR="004F76E5" w:rsidRPr="000758A9">
        <w:rPr>
          <w:bCs/>
          <w:sz w:val="24"/>
          <w:szCs w:val="24"/>
        </w:rPr>
        <w:t>had classical radio</w:t>
      </w:r>
      <w:r w:rsidR="0024287D" w:rsidRPr="000758A9">
        <w:rPr>
          <w:bCs/>
          <w:sz w:val="24"/>
          <w:szCs w:val="24"/>
        </w:rPr>
        <w:t xml:space="preserve">logical changes of COVID-19, </w:t>
      </w:r>
      <w:r w:rsidR="00B00D25" w:rsidRPr="000758A9">
        <w:rPr>
          <w:bCs/>
          <w:sz w:val="24"/>
          <w:szCs w:val="24"/>
        </w:rPr>
        <w:t xml:space="preserve">strongly suggesting that they </w:t>
      </w:r>
      <w:r w:rsidR="004F76E5" w:rsidRPr="000758A9">
        <w:rPr>
          <w:bCs/>
          <w:sz w:val="24"/>
          <w:szCs w:val="24"/>
        </w:rPr>
        <w:t>had the disease</w:t>
      </w:r>
      <w:r w:rsidR="00854B08" w:rsidRPr="000758A9">
        <w:rPr>
          <w:bCs/>
          <w:sz w:val="24"/>
          <w:szCs w:val="24"/>
        </w:rPr>
        <w:t xml:space="preserve"> despite negative PCR results</w:t>
      </w:r>
      <w:r w:rsidR="000C594B" w:rsidRPr="000758A9">
        <w:rPr>
          <w:bCs/>
          <w:sz w:val="24"/>
          <w:szCs w:val="24"/>
        </w:rPr>
        <w:t xml:space="preserve">. </w:t>
      </w:r>
      <w:r w:rsidR="00B00D25" w:rsidRPr="000758A9">
        <w:rPr>
          <w:bCs/>
          <w:sz w:val="24"/>
          <w:szCs w:val="24"/>
        </w:rPr>
        <w:t>T</w:t>
      </w:r>
      <w:r w:rsidR="000C594B" w:rsidRPr="000758A9">
        <w:rPr>
          <w:bCs/>
          <w:sz w:val="24"/>
          <w:szCs w:val="24"/>
        </w:rPr>
        <w:t xml:space="preserve">he </w:t>
      </w:r>
      <w:r w:rsidR="00F022B9">
        <w:rPr>
          <w:bCs/>
          <w:sz w:val="24"/>
          <w:szCs w:val="24"/>
        </w:rPr>
        <w:t xml:space="preserve">calculated </w:t>
      </w:r>
      <w:r w:rsidR="000C594B" w:rsidRPr="000758A9">
        <w:rPr>
          <w:bCs/>
          <w:sz w:val="24"/>
          <w:szCs w:val="24"/>
        </w:rPr>
        <w:t>specificity</w:t>
      </w:r>
      <w:r w:rsidR="004F76E5" w:rsidRPr="000758A9">
        <w:rPr>
          <w:bCs/>
          <w:sz w:val="24"/>
          <w:szCs w:val="24"/>
        </w:rPr>
        <w:t xml:space="preserve"> of FebriDx </w:t>
      </w:r>
      <w:r w:rsidR="0024287D" w:rsidRPr="000758A9">
        <w:rPr>
          <w:bCs/>
          <w:sz w:val="24"/>
          <w:szCs w:val="24"/>
        </w:rPr>
        <w:t xml:space="preserve">MxA </w:t>
      </w:r>
      <w:r w:rsidR="004F76E5" w:rsidRPr="000758A9">
        <w:rPr>
          <w:bCs/>
          <w:sz w:val="24"/>
          <w:szCs w:val="24"/>
        </w:rPr>
        <w:t>f</w:t>
      </w:r>
      <w:r w:rsidR="00854B08" w:rsidRPr="000758A9">
        <w:rPr>
          <w:bCs/>
          <w:sz w:val="24"/>
          <w:szCs w:val="24"/>
        </w:rPr>
        <w:t xml:space="preserve">or the detection of COVID-19 </w:t>
      </w:r>
      <w:r w:rsidR="00B00D25" w:rsidRPr="000758A9">
        <w:rPr>
          <w:bCs/>
          <w:sz w:val="24"/>
          <w:szCs w:val="24"/>
        </w:rPr>
        <w:t xml:space="preserve">in the first wave was therefore likely to </w:t>
      </w:r>
      <w:r w:rsidR="0024287D" w:rsidRPr="000758A9">
        <w:rPr>
          <w:bCs/>
          <w:sz w:val="24"/>
          <w:szCs w:val="24"/>
        </w:rPr>
        <w:t>have been</w:t>
      </w:r>
      <w:r w:rsidR="00B00D25" w:rsidRPr="000758A9">
        <w:rPr>
          <w:bCs/>
          <w:sz w:val="24"/>
          <w:szCs w:val="24"/>
        </w:rPr>
        <w:t xml:space="preserve"> </w:t>
      </w:r>
      <w:r w:rsidR="00F022B9">
        <w:rPr>
          <w:bCs/>
          <w:sz w:val="24"/>
          <w:szCs w:val="24"/>
        </w:rPr>
        <w:t>an underestimate.</w:t>
      </w:r>
    </w:p>
    <w:p w:rsidR="006F0A4B" w:rsidRPr="000758A9" w:rsidRDefault="006F0A4B" w:rsidP="00A07E92">
      <w:pPr>
        <w:spacing w:after="0" w:line="480" w:lineRule="auto"/>
        <w:jc w:val="both"/>
        <w:rPr>
          <w:bCs/>
          <w:sz w:val="24"/>
          <w:szCs w:val="24"/>
        </w:rPr>
      </w:pPr>
    </w:p>
    <w:p w:rsidR="001F6261" w:rsidRPr="000758A9" w:rsidRDefault="00D252DF" w:rsidP="00A07E92">
      <w:pPr>
        <w:spacing w:after="0" w:line="480" w:lineRule="auto"/>
        <w:jc w:val="both"/>
        <w:rPr>
          <w:bCs/>
          <w:sz w:val="24"/>
          <w:szCs w:val="24"/>
        </w:rPr>
      </w:pPr>
      <w:r w:rsidRPr="000758A9">
        <w:rPr>
          <w:bCs/>
          <w:sz w:val="24"/>
          <w:szCs w:val="24"/>
        </w:rPr>
        <w:t xml:space="preserve">The current reliance on </w:t>
      </w:r>
      <w:r w:rsidR="00DD19D1" w:rsidRPr="000758A9">
        <w:rPr>
          <w:bCs/>
          <w:sz w:val="24"/>
          <w:szCs w:val="24"/>
        </w:rPr>
        <w:t xml:space="preserve">centralised </w:t>
      </w:r>
      <w:r w:rsidRPr="000758A9">
        <w:rPr>
          <w:bCs/>
          <w:sz w:val="24"/>
          <w:szCs w:val="24"/>
        </w:rPr>
        <w:t>labor</w:t>
      </w:r>
      <w:r w:rsidR="004022B4" w:rsidRPr="000758A9">
        <w:rPr>
          <w:bCs/>
          <w:sz w:val="24"/>
          <w:szCs w:val="24"/>
        </w:rPr>
        <w:t xml:space="preserve">atory PCR for </w:t>
      </w:r>
      <w:r w:rsidR="00DD19D1" w:rsidRPr="000758A9">
        <w:rPr>
          <w:bCs/>
          <w:sz w:val="24"/>
          <w:szCs w:val="24"/>
        </w:rPr>
        <w:t xml:space="preserve">the </w:t>
      </w:r>
      <w:r w:rsidR="004022B4" w:rsidRPr="000758A9">
        <w:rPr>
          <w:bCs/>
          <w:sz w:val="24"/>
          <w:szCs w:val="24"/>
        </w:rPr>
        <w:t>diagnosis of COVID</w:t>
      </w:r>
      <w:r w:rsidRPr="000758A9">
        <w:rPr>
          <w:bCs/>
          <w:sz w:val="24"/>
          <w:szCs w:val="24"/>
        </w:rPr>
        <w:t xml:space="preserve">-19 with its </w:t>
      </w:r>
      <w:r w:rsidR="000F0003" w:rsidRPr="000758A9">
        <w:rPr>
          <w:bCs/>
          <w:sz w:val="24"/>
          <w:szCs w:val="24"/>
        </w:rPr>
        <w:t xml:space="preserve">prolonged </w:t>
      </w:r>
      <w:r w:rsidRPr="000758A9">
        <w:rPr>
          <w:bCs/>
          <w:sz w:val="24"/>
          <w:szCs w:val="24"/>
        </w:rPr>
        <w:t>turnaround time, leads to long delays in identification of positive and negative patien</w:t>
      </w:r>
      <w:r w:rsidR="005005B2" w:rsidRPr="000758A9">
        <w:rPr>
          <w:bCs/>
          <w:sz w:val="24"/>
          <w:szCs w:val="24"/>
        </w:rPr>
        <w:t xml:space="preserve">ts, with subsequent </w:t>
      </w:r>
      <w:r w:rsidRPr="000758A9">
        <w:rPr>
          <w:bCs/>
          <w:sz w:val="24"/>
          <w:szCs w:val="24"/>
        </w:rPr>
        <w:t xml:space="preserve">nosocomial transmissions, poor patient flow and reduced operational </w:t>
      </w:r>
      <w:r w:rsidR="000C594B" w:rsidRPr="000758A9">
        <w:rPr>
          <w:bCs/>
          <w:sz w:val="24"/>
          <w:szCs w:val="24"/>
        </w:rPr>
        <w:t>capacity in hospitals</w:t>
      </w:r>
      <w:r w:rsidRPr="000758A9">
        <w:rPr>
          <w:bCs/>
          <w:sz w:val="24"/>
          <w:szCs w:val="24"/>
        </w:rPr>
        <w:t xml:space="preserve">. </w:t>
      </w:r>
      <w:r w:rsidR="001509D5" w:rsidRPr="000758A9">
        <w:rPr>
          <w:bCs/>
          <w:sz w:val="24"/>
          <w:szCs w:val="24"/>
        </w:rPr>
        <w:t>As</w:t>
      </w:r>
      <w:r w:rsidR="00E745A8" w:rsidRPr="000758A9">
        <w:rPr>
          <w:bCs/>
          <w:sz w:val="24"/>
          <w:szCs w:val="24"/>
        </w:rPr>
        <w:t xml:space="preserve"> FebriDx is a low cost (£12 per test), rapid and highly scalable test these findings su</w:t>
      </w:r>
      <w:r w:rsidR="001509D5" w:rsidRPr="000758A9">
        <w:rPr>
          <w:bCs/>
          <w:sz w:val="24"/>
          <w:szCs w:val="24"/>
        </w:rPr>
        <w:t>ggest that</w:t>
      </w:r>
      <w:r w:rsidR="00E745A8" w:rsidRPr="000758A9">
        <w:rPr>
          <w:bCs/>
          <w:sz w:val="24"/>
          <w:szCs w:val="24"/>
        </w:rPr>
        <w:t xml:space="preserve"> FebriDx could be rapidly deployed in hospit</w:t>
      </w:r>
      <w:r w:rsidR="005005B2" w:rsidRPr="000758A9">
        <w:rPr>
          <w:bCs/>
          <w:sz w:val="24"/>
          <w:szCs w:val="24"/>
        </w:rPr>
        <w:t xml:space="preserve">als and urgent care centres to </w:t>
      </w:r>
      <w:r w:rsidR="00E745A8" w:rsidRPr="000758A9">
        <w:rPr>
          <w:bCs/>
          <w:sz w:val="24"/>
          <w:szCs w:val="24"/>
        </w:rPr>
        <w:t>be us</w:t>
      </w:r>
      <w:r w:rsidRPr="000758A9">
        <w:rPr>
          <w:bCs/>
          <w:sz w:val="24"/>
          <w:szCs w:val="24"/>
        </w:rPr>
        <w:t xml:space="preserve">ed as a </w:t>
      </w:r>
      <w:r w:rsidR="005005B2" w:rsidRPr="000758A9">
        <w:rPr>
          <w:bCs/>
          <w:sz w:val="24"/>
          <w:szCs w:val="24"/>
        </w:rPr>
        <w:t>front door triage tool</w:t>
      </w:r>
      <w:r w:rsidR="0024287D" w:rsidRPr="000758A9">
        <w:rPr>
          <w:bCs/>
          <w:sz w:val="24"/>
          <w:szCs w:val="24"/>
        </w:rPr>
        <w:t xml:space="preserve">. </w:t>
      </w:r>
      <w:r w:rsidR="00E745A8" w:rsidRPr="000758A9">
        <w:rPr>
          <w:bCs/>
          <w:sz w:val="24"/>
          <w:szCs w:val="24"/>
        </w:rPr>
        <w:t xml:space="preserve">Because of the high </w:t>
      </w:r>
      <w:r w:rsidR="00F022B9">
        <w:rPr>
          <w:bCs/>
          <w:sz w:val="24"/>
          <w:szCs w:val="24"/>
        </w:rPr>
        <w:t xml:space="preserve">sensitivity and </w:t>
      </w:r>
      <w:r w:rsidR="00E745A8" w:rsidRPr="000758A9">
        <w:rPr>
          <w:bCs/>
          <w:sz w:val="24"/>
          <w:szCs w:val="24"/>
        </w:rPr>
        <w:t>negative predictive value, MxA negative patients</w:t>
      </w:r>
      <w:r w:rsidR="00DD19D1" w:rsidRPr="000758A9">
        <w:rPr>
          <w:bCs/>
          <w:sz w:val="24"/>
          <w:szCs w:val="24"/>
        </w:rPr>
        <w:t xml:space="preserve"> being admitted to hospitals could</w:t>
      </w:r>
      <w:r w:rsidR="00E745A8" w:rsidRPr="000758A9">
        <w:rPr>
          <w:bCs/>
          <w:sz w:val="24"/>
          <w:szCs w:val="24"/>
        </w:rPr>
        <w:t xml:space="preserve"> </w:t>
      </w:r>
      <w:r w:rsidR="004022B4" w:rsidRPr="000758A9">
        <w:rPr>
          <w:bCs/>
          <w:sz w:val="24"/>
          <w:szCs w:val="24"/>
        </w:rPr>
        <w:t>be rapidly directed to non COVID</w:t>
      </w:r>
      <w:r w:rsidR="00E745A8" w:rsidRPr="000758A9">
        <w:rPr>
          <w:bCs/>
          <w:sz w:val="24"/>
          <w:szCs w:val="24"/>
        </w:rPr>
        <w:t xml:space="preserve">-19 areas </w:t>
      </w:r>
      <w:r w:rsidR="00DD19D1" w:rsidRPr="000758A9">
        <w:rPr>
          <w:bCs/>
          <w:sz w:val="24"/>
          <w:szCs w:val="24"/>
        </w:rPr>
        <w:t>whilst MxA positive patients could</w:t>
      </w:r>
      <w:r w:rsidR="00E745A8" w:rsidRPr="000758A9">
        <w:rPr>
          <w:bCs/>
          <w:sz w:val="24"/>
          <w:szCs w:val="24"/>
        </w:rPr>
        <w:t xml:space="preserve"> be moved to assessment areas whilst awaiting confirmatio</w:t>
      </w:r>
      <w:r w:rsidR="004022B4" w:rsidRPr="000758A9">
        <w:rPr>
          <w:bCs/>
          <w:sz w:val="24"/>
          <w:szCs w:val="24"/>
        </w:rPr>
        <w:t xml:space="preserve">n </w:t>
      </w:r>
      <w:r w:rsidR="00EE5AD2">
        <w:rPr>
          <w:bCs/>
          <w:sz w:val="24"/>
          <w:szCs w:val="24"/>
        </w:rPr>
        <w:t xml:space="preserve">or exclusion </w:t>
      </w:r>
      <w:r w:rsidR="004022B4" w:rsidRPr="000758A9">
        <w:rPr>
          <w:bCs/>
          <w:sz w:val="24"/>
          <w:szCs w:val="24"/>
        </w:rPr>
        <w:t>of COVID</w:t>
      </w:r>
      <w:r w:rsidR="00E745A8" w:rsidRPr="000758A9">
        <w:rPr>
          <w:bCs/>
          <w:sz w:val="24"/>
          <w:szCs w:val="24"/>
        </w:rPr>
        <w:t>-19 positive status by PCR</w:t>
      </w:r>
      <w:r w:rsidR="0024287D" w:rsidRPr="000758A9">
        <w:rPr>
          <w:bCs/>
          <w:sz w:val="24"/>
          <w:szCs w:val="24"/>
        </w:rPr>
        <w:t xml:space="preserve"> or CT scanning</w:t>
      </w:r>
      <w:r w:rsidR="00E745A8" w:rsidRPr="000758A9">
        <w:rPr>
          <w:bCs/>
          <w:sz w:val="24"/>
          <w:szCs w:val="24"/>
        </w:rPr>
        <w:t xml:space="preserve">. </w:t>
      </w:r>
    </w:p>
    <w:p w:rsidR="00987078" w:rsidRPr="000758A9" w:rsidRDefault="00987078" w:rsidP="00A07E92">
      <w:pPr>
        <w:spacing w:after="0" w:line="480" w:lineRule="auto"/>
        <w:jc w:val="both"/>
        <w:rPr>
          <w:bCs/>
          <w:sz w:val="24"/>
          <w:szCs w:val="24"/>
        </w:rPr>
      </w:pPr>
    </w:p>
    <w:p w:rsidR="0024287D" w:rsidRPr="000758A9" w:rsidRDefault="001F6261" w:rsidP="00A07E92">
      <w:pPr>
        <w:spacing w:after="0" w:line="480" w:lineRule="auto"/>
        <w:jc w:val="both"/>
        <w:rPr>
          <w:bCs/>
          <w:sz w:val="24"/>
          <w:szCs w:val="24"/>
        </w:rPr>
      </w:pPr>
      <w:r w:rsidRPr="000758A9">
        <w:rPr>
          <w:bCs/>
          <w:sz w:val="24"/>
          <w:szCs w:val="24"/>
        </w:rPr>
        <w:t xml:space="preserve">The manufacturers of FebriDx state that it is intended for use in patients aged over two years of age who have had respiratory symptoms for less than or equal to 7 days and/or fever for </w:t>
      </w:r>
      <w:r w:rsidRPr="000758A9">
        <w:rPr>
          <w:bCs/>
          <w:sz w:val="24"/>
          <w:szCs w:val="24"/>
        </w:rPr>
        <w:lastRenderedPageBreak/>
        <w:t>48 hours duration or less. In this study we have demonstrated that MxA detection by FebriDx remains accurate for the detection of COVID-19 beyond this period, presumably due to a very strong and persistent antiviral host response to SARS-CoV-2.</w:t>
      </w:r>
    </w:p>
    <w:p w:rsidR="0024287D" w:rsidRPr="000758A9" w:rsidRDefault="0024287D" w:rsidP="00A07E92">
      <w:pPr>
        <w:spacing w:after="0" w:line="480" w:lineRule="auto"/>
        <w:jc w:val="both"/>
        <w:rPr>
          <w:bCs/>
          <w:sz w:val="24"/>
          <w:szCs w:val="24"/>
        </w:rPr>
      </w:pPr>
    </w:p>
    <w:p w:rsidR="001F6261" w:rsidRPr="000758A9" w:rsidRDefault="00D252DF" w:rsidP="00A07E92">
      <w:pPr>
        <w:spacing w:after="0" w:line="480" w:lineRule="auto"/>
        <w:jc w:val="both"/>
        <w:rPr>
          <w:bCs/>
          <w:sz w:val="24"/>
          <w:szCs w:val="24"/>
        </w:rPr>
      </w:pPr>
      <w:r w:rsidRPr="000758A9">
        <w:rPr>
          <w:bCs/>
          <w:sz w:val="24"/>
          <w:szCs w:val="24"/>
        </w:rPr>
        <w:t>There are several l</w:t>
      </w:r>
      <w:r w:rsidR="0064282F" w:rsidRPr="000758A9">
        <w:rPr>
          <w:bCs/>
          <w:sz w:val="24"/>
          <w:szCs w:val="24"/>
        </w:rPr>
        <w:t xml:space="preserve">imitations </w:t>
      </w:r>
      <w:r w:rsidRPr="000758A9">
        <w:rPr>
          <w:bCs/>
          <w:sz w:val="24"/>
          <w:szCs w:val="24"/>
        </w:rPr>
        <w:t xml:space="preserve">to </w:t>
      </w:r>
      <w:r w:rsidR="006E7C9A" w:rsidRPr="000758A9">
        <w:rPr>
          <w:bCs/>
          <w:sz w:val="24"/>
          <w:szCs w:val="24"/>
        </w:rPr>
        <w:t xml:space="preserve">the generalisability of </w:t>
      </w:r>
      <w:r w:rsidRPr="000758A9">
        <w:rPr>
          <w:bCs/>
          <w:sz w:val="24"/>
          <w:szCs w:val="24"/>
        </w:rPr>
        <w:t xml:space="preserve">our study. As the study was performed in </w:t>
      </w:r>
      <w:r w:rsidR="00920A2D" w:rsidRPr="000758A9">
        <w:rPr>
          <w:bCs/>
          <w:sz w:val="24"/>
          <w:szCs w:val="24"/>
        </w:rPr>
        <w:t xml:space="preserve">almost exclusively </w:t>
      </w:r>
      <w:r w:rsidRPr="000758A9">
        <w:rPr>
          <w:bCs/>
          <w:sz w:val="24"/>
          <w:szCs w:val="24"/>
        </w:rPr>
        <w:t xml:space="preserve">immunocompetent adults the results cannot be </w:t>
      </w:r>
      <w:r w:rsidR="006E7C9A" w:rsidRPr="000758A9">
        <w:rPr>
          <w:bCs/>
          <w:sz w:val="24"/>
          <w:szCs w:val="24"/>
        </w:rPr>
        <w:t xml:space="preserve">applied </w:t>
      </w:r>
      <w:r w:rsidRPr="000758A9">
        <w:rPr>
          <w:bCs/>
          <w:sz w:val="24"/>
          <w:szCs w:val="24"/>
        </w:rPr>
        <w:t>to immune-compromised patients</w:t>
      </w:r>
      <w:r w:rsidR="00DA66F1" w:rsidRPr="000758A9">
        <w:rPr>
          <w:bCs/>
          <w:sz w:val="24"/>
          <w:szCs w:val="24"/>
        </w:rPr>
        <w:t xml:space="preserve"> </w:t>
      </w:r>
      <w:r w:rsidRPr="000758A9">
        <w:rPr>
          <w:bCs/>
          <w:sz w:val="24"/>
          <w:szCs w:val="24"/>
        </w:rPr>
        <w:t xml:space="preserve">or </w:t>
      </w:r>
      <w:r w:rsidR="006E7C9A" w:rsidRPr="000758A9">
        <w:rPr>
          <w:bCs/>
          <w:sz w:val="24"/>
          <w:szCs w:val="24"/>
        </w:rPr>
        <w:t xml:space="preserve">to </w:t>
      </w:r>
      <w:r w:rsidRPr="000758A9">
        <w:rPr>
          <w:bCs/>
          <w:sz w:val="24"/>
          <w:szCs w:val="24"/>
        </w:rPr>
        <w:t>children and separate evaluations should be urgently undertake</w:t>
      </w:r>
      <w:r w:rsidR="000B0E8C" w:rsidRPr="000758A9">
        <w:rPr>
          <w:bCs/>
          <w:sz w:val="24"/>
          <w:szCs w:val="24"/>
        </w:rPr>
        <w:t>n</w:t>
      </w:r>
      <w:r w:rsidRPr="000758A9">
        <w:rPr>
          <w:bCs/>
          <w:sz w:val="24"/>
          <w:szCs w:val="24"/>
        </w:rPr>
        <w:t xml:space="preserve"> in these important patient groups. In addition the findings of our study cannot be extrapolated to </w:t>
      </w:r>
      <w:r w:rsidR="0064282F" w:rsidRPr="000758A9">
        <w:rPr>
          <w:bCs/>
          <w:sz w:val="24"/>
          <w:szCs w:val="24"/>
        </w:rPr>
        <w:t xml:space="preserve">community </w:t>
      </w:r>
      <w:r w:rsidRPr="000758A9">
        <w:rPr>
          <w:bCs/>
          <w:sz w:val="24"/>
          <w:szCs w:val="24"/>
        </w:rPr>
        <w:t xml:space="preserve">dwelling </w:t>
      </w:r>
      <w:r w:rsidR="0064282F" w:rsidRPr="000758A9">
        <w:rPr>
          <w:bCs/>
          <w:sz w:val="24"/>
          <w:szCs w:val="24"/>
        </w:rPr>
        <w:t xml:space="preserve">patients including </w:t>
      </w:r>
      <w:r w:rsidRPr="000758A9">
        <w:rPr>
          <w:bCs/>
          <w:sz w:val="24"/>
          <w:szCs w:val="24"/>
        </w:rPr>
        <w:t xml:space="preserve">those who are </w:t>
      </w:r>
      <w:r w:rsidR="006E7C9A" w:rsidRPr="000758A9">
        <w:rPr>
          <w:bCs/>
          <w:sz w:val="24"/>
          <w:szCs w:val="24"/>
        </w:rPr>
        <w:t xml:space="preserve">infected but </w:t>
      </w:r>
      <w:r w:rsidRPr="000758A9">
        <w:rPr>
          <w:bCs/>
          <w:sz w:val="24"/>
          <w:szCs w:val="24"/>
        </w:rPr>
        <w:t>asymptomatic or pauci-symptomatic</w:t>
      </w:r>
      <w:r w:rsidR="00DA66F1" w:rsidRPr="000758A9">
        <w:rPr>
          <w:bCs/>
          <w:sz w:val="24"/>
          <w:szCs w:val="24"/>
        </w:rPr>
        <w:t>,</w:t>
      </w:r>
      <w:r w:rsidRPr="000758A9">
        <w:rPr>
          <w:bCs/>
          <w:sz w:val="24"/>
          <w:szCs w:val="24"/>
        </w:rPr>
        <w:t xml:space="preserve"> as it uncertain</w:t>
      </w:r>
      <w:r w:rsidR="008725FA" w:rsidRPr="000758A9">
        <w:rPr>
          <w:bCs/>
          <w:sz w:val="24"/>
          <w:szCs w:val="24"/>
        </w:rPr>
        <w:t xml:space="preserve"> whether their antiviral host response w</w:t>
      </w:r>
      <w:r w:rsidR="001F6261" w:rsidRPr="000758A9">
        <w:rPr>
          <w:bCs/>
          <w:sz w:val="24"/>
          <w:szCs w:val="24"/>
        </w:rPr>
        <w:t>ould</w:t>
      </w:r>
      <w:r w:rsidR="008725FA" w:rsidRPr="000758A9">
        <w:rPr>
          <w:bCs/>
          <w:sz w:val="24"/>
          <w:szCs w:val="24"/>
        </w:rPr>
        <w:t xml:space="preserve"> be </w:t>
      </w:r>
      <w:r w:rsidR="000B0E8C" w:rsidRPr="000758A9">
        <w:rPr>
          <w:bCs/>
          <w:sz w:val="24"/>
          <w:szCs w:val="24"/>
        </w:rPr>
        <w:t>comparable</w:t>
      </w:r>
      <w:r w:rsidR="006E7C9A" w:rsidRPr="000758A9">
        <w:rPr>
          <w:bCs/>
          <w:sz w:val="24"/>
          <w:szCs w:val="24"/>
        </w:rPr>
        <w:t xml:space="preserve"> </w:t>
      </w:r>
      <w:r w:rsidR="00DA66F1" w:rsidRPr="000758A9">
        <w:rPr>
          <w:bCs/>
          <w:sz w:val="24"/>
          <w:szCs w:val="24"/>
        </w:rPr>
        <w:t>t</w:t>
      </w:r>
      <w:r w:rsidR="001F6261" w:rsidRPr="000758A9">
        <w:rPr>
          <w:bCs/>
          <w:sz w:val="24"/>
          <w:szCs w:val="24"/>
        </w:rPr>
        <w:t xml:space="preserve">o hospitalised patients. The diagnostic accuracy of FebriDx reported in this study is in the context of a very high disease prevalence and </w:t>
      </w:r>
      <w:r w:rsidR="00EE5AD2">
        <w:rPr>
          <w:bCs/>
          <w:sz w:val="24"/>
          <w:szCs w:val="24"/>
        </w:rPr>
        <w:t xml:space="preserve">as we have shown </w:t>
      </w:r>
      <w:r w:rsidR="001F6261" w:rsidRPr="000758A9">
        <w:rPr>
          <w:bCs/>
          <w:sz w:val="24"/>
          <w:szCs w:val="24"/>
        </w:rPr>
        <w:t>the performance characteristics will change as the disease prevalence drops</w:t>
      </w:r>
      <w:r w:rsidR="00EE5AD2">
        <w:rPr>
          <w:bCs/>
          <w:sz w:val="24"/>
          <w:szCs w:val="24"/>
        </w:rPr>
        <w:t xml:space="preserve">, </w:t>
      </w:r>
      <w:r w:rsidR="001F6261" w:rsidRPr="000758A9">
        <w:rPr>
          <w:bCs/>
          <w:sz w:val="24"/>
          <w:szCs w:val="24"/>
        </w:rPr>
        <w:t xml:space="preserve">with implications for how the test could be used. In particular the </w:t>
      </w:r>
      <w:r w:rsidR="0036414D" w:rsidRPr="000758A9">
        <w:rPr>
          <w:bCs/>
          <w:sz w:val="24"/>
          <w:szCs w:val="24"/>
        </w:rPr>
        <w:t xml:space="preserve">positive predictive value will decrease now that the first wave is subsiding, </w:t>
      </w:r>
      <w:r w:rsidR="001F6261" w:rsidRPr="000758A9">
        <w:rPr>
          <w:bCs/>
          <w:sz w:val="24"/>
          <w:szCs w:val="24"/>
        </w:rPr>
        <w:t>although the</w:t>
      </w:r>
      <w:r w:rsidR="00987078" w:rsidRPr="000758A9">
        <w:rPr>
          <w:bCs/>
          <w:sz w:val="24"/>
          <w:szCs w:val="24"/>
        </w:rPr>
        <w:t xml:space="preserve"> negative predictive value will</w:t>
      </w:r>
      <w:r w:rsidR="001F6261" w:rsidRPr="000758A9">
        <w:rPr>
          <w:bCs/>
          <w:sz w:val="24"/>
          <w:szCs w:val="24"/>
        </w:rPr>
        <w:t xml:space="preserve"> increase further meaning that a negative FebriDx will remain a useful rule-out test.  </w:t>
      </w:r>
      <w:r w:rsidR="000F0003" w:rsidRPr="000758A9">
        <w:rPr>
          <w:bCs/>
          <w:sz w:val="24"/>
          <w:szCs w:val="24"/>
        </w:rPr>
        <w:t xml:space="preserve">As MxA detection is a marker of antiviral host response </w:t>
      </w:r>
      <w:r w:rsidR="00F022B9">
        <w:rPr>
          <w:bCs/>
          <w:sz w:val="24"/>
          <w:szCs w:val="24"/>
        </w:rPr>
        <w:t xml:space="preserve">and is not specific for COVID-19, the calculated test specificity </w:t>
      </w:r>
      <w:r w:rsidR="000F0003" w:rsidRPr="000758A9">
        <w:rPr>
          <w:bCs/>
          <w:sz w:val="24"/>
          <w:szCs w:val="24"/>
        </w:rPr>
        <w:t xml:space="preserve">will be lower when other viruses such as influenza are </w:t>
      </w:r>
      <w:r w:rsidR="00F022B9">
        <w:rPr>
          <w:bCs/>
          <w:sz w:val="24"/>
          <w:szCs w:val="24"/>
        </w:rPr>
        <w:t>circulating</w:t>
      </w:r>
      <w:r w:rsidR="000F0003" w:rsidRPr="000758A9">
        <w:rPr>
          <w:bCs/>
          <w:sz w:val="24"/>
          <w:szCs w:val="24"/>
        </w:rPr>
        <w:t xml:space="preserve">. </w:t>
      </w:r>
      <w:r w:rsidR="00F022B9">
        <w:rPr>
          <w:bCs/>
          <w:sz w:val="24"/>
          <w:szCs w:val="24"/>
        </w:rPr>
        <w:t xml:space="preserve">As early identification of influenza alongside COVID-19 will remains vitally important in hospitals, a rapid triage tool that detects both influenza and COVID-19 is likely to be of utility in the coming winter months. Finally, as this was a single centre </w:t>
      </w:r>
      <w:r w:rsidR="00E7780D">
        <w:rPr>
          <w:bCs/>
          <w:sz w:val="24"/>
          <w:szCs w:val="24"/>
        </w:rPr>
        <w:t>study the diagnostic accuracy of</w:t>
      </w:r>
      <w:r w:rsidR="00F022B9">
        <w:rPr>
          <w:bCs/>
          <w:sz w:val="24"/>
          <w:szCs w:val="24"/>
        </w:rPr>
        <w:t xml:space="preserve"> FebriDx </w:t>
      </w:r>
      <w:r w:rsidR="00E7780D">
        <w:rPr>
          <w:bCs/>
          <w:sz w:val="24"/>
          <w:szCs w:val="24"/>
        </w:rPr>
        <w:t>MxA for COVID</w:t>
      </w:r>
      <w:r w:rsidR="00F022B9">
        <w:rPr>
          <w:bCs/>
          <w:sz w:val="24"/>
          <w:szCs w:val="24"/>
        </w:rPr>
        <w:t xml:space="preserve">-19 should be external validated </w:t>
      </w:r>
      <w:r w:rsidR="00E7780D">
        <w:rPr>
          <w:bCs/>
          <w:sz w:val="24"/>
          <w:szCs w:val="24"/>
        </w:rPr>
        <w:t xml:space="preserve">in </w:t>
      </w:r>
      <w:r w:rsidR="00F022B9">
        <w:rPr>
          <w:bCs/>
          <w:sz w:val="24"/>
          <w:szCs w:val="24"/>
        </w:rPr>
        <w:t xml:space="preserve">other centres.  </w:t>
      </w:r>
    </w:p>
    <w:p w:rsidR="001F6261" w:rsidRPr="000758A9" w:rsidRDefault="001F6261" w:rsidP="00A07E92">
      <w:pPr>
        <w:spacing w:after="0" w:line="480" w:lineRule="auto"/>
        <w:jc w:val="both"/>
        <w:rPr>
          <w:bCs/>
          <w:sz w:val="24"/>
          <w:szCs w:val="24"/>
        </w:rPr>
      </w:pPr>
    </w:p>
    <w:p w:rsidR="0064282F" w:rsidRDefault="00E5272C" w:rsidP="00A07E92">
      <w:pPr>
        <w:spacing w:after="0" w:line="480" w:lineRule="auto"/>
        <w:jc w:val="both"/>
        <w:rPr>
          <w:bCs/>
          <w:sz w:val="24"/>
          <w:szCs w:val="24"/>
        </w:rPr>
      </w:pPr>
      <w:r w:rsidRPr="000758A9">
        <w:rPr>
          <w:bCs/>
          <w:sz w:val="24"/>
          <w:szCs w:val="24"/>
        </w:rPr>
        <w:lastRenderedPageBreak/>
        <w:t xml:space="preserve">In </w:t>
      </w:r>
      <w:r w:rsidR="006E7C9A" w:rsidRPr="000758A9">
        <w:rPr>
          <w:bCs/>
          <w:sz w:val="24"/>
          <w:szCs w:val="24"/>
        </w:rPr>
        <w:t xml:space="preserve">summary, </w:t>
      </w:r>
      <w:r w:rsidR="001F6261" w:rsidRPr="000758A9">
        <w:rPr>
          <w:bCs/>
          <w:sz w:val="24"/>
          <w:szCs w:val="24"/>
        </w:rPr>
        <w:t xml:space="preserve">FebriDx </w:t>
      </w:r>
      <w:r w:rsidR="00EE5AD2">
        <w:rPr>
          <w:bCs/>
          <w:sz w:val="24"/>
          <w:szCs w:val="24"/>
        </w:rPr>
        <w:t xml:space="preserve">MxA </w:t>
      </w:r>
      <w:r w:rsidR="00B72621">
        <w:rPr>
          <w:bCs/>
          <w:sz w:val="24"/>
          <w:szCs w:val="24"/>
        </w:rPr>
        <w:t>had</w:t>
      </w:r>
      <w:r w:rsidR="006E7C9A" w:rsidRPr="000758A9">
        <w:rPr>
          <w:bCs/>
          <w:sz w:val="24"/>
          <w:szCs w:val="24"/>
        </w:rPr>
        <w:t xml:space="preserve"> high </w:t>
      </w:r>
      <w:r w:rsidR="00B72621">
        <w:rPr>
          <w:bCs/>
          <w:sz w:val="24"/>
          <w:szCs w:val="24"/>
        </w:rPr>
        <w:t xml:space="preserve">accuracy for the identification </w:t>
      </w:r>
      <w:r w:rsidR="004022B4" w:rsidRPr="000758A9">
        <w:rPr>
          <w:bCs/>
          <w:sz w:val="24"/>
          <w:szCs w:val="24"/>
        </w:rPr>
        <w:t>of COVID</w:t>
      </w:r>
      <w:r w:rsidR="006E7C9A" w:rsidRPr="000758A9">
        <w:rPr>
          <w:bCs/>
          <w:sz w:val="24"/>
          <w:szCs w:val="24"/>
        </w:rPr>
        <w:t xml:space="preserve">-19 </w:t>
      </w:r>
      <w:r w:rsidR="001F6261" w:rsidRPr="000758A9">
        <w:rPr>
          <w:bCs/>
          <w:sz w:val="24"/>
          <w:szCs w:val="24"/>
        </w:rPr>
        <w:t>during the first wave of the pandemi</w:t>
      </w:r>
      <w:r w:rsidR="00B72621">
        <w:rPr>
          <w:bCs/>
          <w:sz w:val="24"/>
          <w:szCs w:val="24"/>
        </w:rPr>
        <w:t xml:space="preserve">c and </w:t>
      </w:r>
      <w:r w:rsidRPr="000758A9">
        <w:rPr>
          <w:bCs/>
          <w:sz w:val="24"/>
          <w:szCs w:val="24"/>
        </w:rPr>
        <w:t xml:space="preserve">could be rapidly deployed in secondary care settings </w:t>
      </w:r>
      <w:r w:rsidR="001F6261" w:rsidRPr="000758A9">
        <w:rPr>
          <w:bCs/>
          <w:sz w:val="24"/>
          <w:szCs w:val="24"/>
        </w:rPr>
        <w:t xml:space="preserve">as a </w:t>
      </w:r>
      <w:r w:rsidR="00B72621">
        <w:rPr>
          <w:bCs/>
          <w:sz w:val="24"/>
          <w:szCs w:val="24"/>
        </w:rPr>
        <w:t xml:space="preserve">real-time </w:t>
      </w:r>
      <w:r w:rsidR="001F6261" w:rsidRPr="000758A9">
        <w:rPr>
          <w:bCs/>
          <w:sz w:val="24"/>
          <w:szCs w:val="24"/>
        </w:rPr>
        <w:t xml:space="preserve">triage tool to </w:t>
      </w:r>
      <w:r w:rsidRPr="000758A9">
        <w:rPr>
          <w:bCs/>
          <w:sz w:val="24"/>
          <w:szCs w:val="24"/>
        </w:rPr>
        <w:t xml:space="preserve">address the current problems of delayed diagnosis with laboratory PCR.  </w:t>
      </w:r>
    </w:p>
    <w:p w:rsidR="00EE5AD2" w:rsidRDefault="00EE5AD2" w:rsidP="00A07E92">
      <w:pPr>
        <w:spacing w:after="0" w:line="480" w:lineRule="auto"/>
        <w:jc w:val="both"/>
        <w:rPr>
          <w:bCs/>
          <w:sz w:val="24"/>
          <w:szCs w:val="24"/>
        </w:rPr>
      </w:pPr>
    </w:p>
    <w:p w:rsidR="00EE5AD2" w:rsidRDefault="00EE5AD2" w:rsidP="00A07E92">
      <w:pPr>
        <w:spacing w:after="0" w:line="480" w:lineRule="auto"/>
        <w:jc w:val="both"/>
        <w:rPr>
          <w:bCs/>
          <w:sz w:val="24"/>
          <w:szCs w:val="24"/>
        </w:rPr>
      </w:pPr>
    </w:p>
    <w:p w:rsidR="00EE5AD2" w:rsidRDefault="00EE5AD2" w:rsidP="00A07E92">
      <w:pPr>
        <w:spacing w:after="0" w:line="480" w:lineRule="auto"/>
        <w:jc w:val="both"/>
        <w:rPr>
          <w:bCs/>
          <w:sz w:val="24"/>
          <w:szCs w:val="24"/>
        </w:rPr>
      </w:pPr>
    </w:p>
    <w:p w:rsidR="00EE5AD2" w:rsidRDefault="00EE5AD2" w:rsidP="00A07E92">
      <w:pPr>
        <w:spacing w:after="0" w:line="480" w:lineRule="auto"/>
        <w:jc w:val="both"/>
        <w:rPr>
          <w:bCs/>
          <w:sz w:val="24"/>
          <w:szCs w:val="24"/>
        </w:rPr>
      </w:pPr>
    </w:p>
    <w:p w:rsidR="00EE5AD2" w:rsidRDefault="00EE5AD2" w:rsidP="00A07E92">
      <w:pPr>
        <w:spacing w:after="0" w:line="480" w:lineRule="auto"/>
        <w:jc w:val="both"/>
        <w:rPr>
          <w:bCs/>
          <w:sz w:val="24"/>
          <w:szCs w:val="24"/>
        </w:rPr>
      </w:pPr>
    </w:p>
    <w:p w:rsidR="00EE5AD2" w:rsidRDefault="00EE5AD2" w:rsidP="00A07E92">
      <w:pPr>
        <w:spacing w:after="0" w:line="480" w:lineRule="auto"/>
        <w:jc w:val="both"/>
        <w:rPr>
          <w:bCs/>
          <w:sz w:val="24"/>
          <w:szCs w:val="24"/>
        </w:rPr>
      </w:pPr>
    </w:p>
    <w:p w:rsidR="00EE5AD2" w:rsidRDefault="00EE5AD2" w:rsidP="00A07E92">
      <w:pPr>
        <w:spacing w:after="0" w:line="480" w:lineRule="auto"/>
        <w:jc w:val="both"/>
        <w:rPr>
          <w:bCs/>
          <w:sz w:val="24"/>
          <w:szCs w:val="24"/>
        </w:rPr>
      </w:pPr>
    </w:p>
    <w:p w:rsidR="00EE5AD2" w:rsidRDefault="00EE5AD2" w:rsidP="00A07E92">
      <w:pPr>
        <w:spacing w:after="0" w:line="480" w:lineRule="auto"/>
        <w:jc w:val="both"/>
        <w:rPr>
          <w:bCs/>
          <w:sz w:val="24"/>
          <w:szCs w:val="24"/>
        </w:rPr>
      </w:pPr>
    </w:p>
    <w:p w:rsidR="00EE5AD2" w:rsidRDefault="00EE5AD2" w:rsidP="00A07E92">
      <w:pPr>
        <w:spacing w:after="0" w:line="480" w:lineRule="auto"/>
        <w:jc w:val="both"/>
        <w:rPr>
          <w:bCs/>
          <w:sz w:val="24"/>
          <w:szCs w:val="24"/>
        </w:rPr>
      </w:pPr>
    </w:p>
    <w:p w:rsidR="00EE5AD2" w:rsidRDefault="00EE5AD2" w:rsidP="00A07E92">
      <w:pPr>
        <w:spacing w:after="0" w:line="480" w:lineRule="auto"/>
        <w:jc w:val="both"/>
        <w:rPr>
          <w:bCs/>
          <w:sz w:val="24"/>
          <w:szCs w:val="24"/>
        </w:rPr>
      </w:pPr>
    </w:p>
    <w:p w:rsidR="00EE5AD2" w:rsidRDefault="00EE5AD2" w:rsidP="00A07E92">
      <w:pPr>
        <w:spacing w:after="0" w:line="480" w:lineRule="auto"/>
        <w:jc w:val="both"/>
        <w:rPr>
          <w:bCs/>
          <w:sz w:val="24"/>
          <w:szCs w:val="24"/>
        </w:rPr>
      </w:pPr>
    </w:p>
    <w:p w:rsidR="00EE5AD2" w:rsidRDefault="00EE5AD2" w:rsidP="00A07E92">
      <w:pPr>
        <w:spacing w:after="0" w:line="480" w:lineRule="auto"/>
        <w:jc w:val="both"/>
        <w:rPr>
          <w:bCs/>
          <w:sz w:val="24"/>
          <w:szCs w:val="24"/>
        </w:rPr>
      </w:pPr>
    </w:p>
    <w:p w:rsidR="00EE5AD2" w:rsidRDefault="00EE5AD2" w:rsidP="00A07E92">
      <w:pPr>
        <w:spacing w:after="0" w:line="480" w:lineRule="auto"/>
        <w:jc w:val="both"/>
        <w:rPr>
          <w:bCs/>
          <w:sz w:val="24"/>
          <w:szCs w:val="24"/>
        </w:rPr>
      </w:pPr>
    </w:p>
    <w:p w:rsidR="00EE5AD2" w:rsidRDefault="00EE5AD2" w:rsidP="00A07E92">
      <w:pPr>
        <w:spacing w:after="0" w:line="480" w:lineRule="auto"/>
        <w:jc w:val="both"/>
        <w:rPr>
          <w:bCs/>
          <w:sz w:val="24"/>
          <w:szCs w:val="24"/>
        </w:rPr>
      </w:pPr>
    </w:p>
    <w:p w:rsidR="00EE5AD2" w:rsidRDefault="00EE5AD2" w:rsidP="00A07E92">
      <w:pPr>
        <w:spacing w:after="0" w:line="480" w:lineRule="auto"/>
        <w:jc w:val="both"/>
        <w:rPr>
          <w:bCs/>
          <w:sz w:val="24"/>
          <w:szCs w:val="24"/>
        </w:rPr>
      </w:pPr>
    </w:p>
    <w:p w:rsidR="00EE5AD2" w:rsidRDefault="00EE5AD2" w:rsidP="00A07E92">
      <w:pPr>
        <w:spacing w:after="0" w:line="480" w:lineRule="auto"/>
        <w:jc w:val="both"/>
        <w:rPr>
          <w:bCs/>
          <w:sz w:val="24"/>
          <w:szCs w:val="24"/>
        </w:rPr>
      </w:pPr>
    </w:p>
    <w:p w:rsidR="00EE5AD2" w:rsidRDefault="00EE5AD2" w:rsidP="00A07E92">
      <w:pPr>
        <w:spacing w:after="0" w:line="480" w:lineRule="auto"/>
        <w:jc w:val="both"/>
        <w:rPr>
          <w:bCs/>
          <w:sz w:val="24"/>
          <w:szCs w:val="24"/>
        </w:rPr>
      </w:pPr>
    </w:p>
    <w:p w:rsidR="00EE5AD2" w:rsidRDefault="00EE5AD2" w:rsidP="00A07E92">
      <w:pPr>
        <w:spacing w:after="0" w:line="480" w:lineRule="auto"/>
        <w:jc w:val="both"/>
        <w:rPr>
          <w:bCs/>
          <w:sz w:val="24"/>
          <w:szCs w:val="24"/>
        </w:rPr>
      </w:pPr>
    </w:p>
    <w:p w:rsidR="00EE5AD2" w:rsidRDefault="00EE5AD2" w:rsidP="00A07E92">
      <w:pPr>
        <w:spacing w:after="0" w:line="480" w:lineRule="auto"/>
        <w:jc w:val="both"/>
        <w:rPr>
          <w:bCs/>
          <w:sz w:val="24"/>
          <w:szCs w:val="24"/>
        </w:rPr>
      </w:pPr>
    </w:p>
    <w:p w:rsidR="00EE5AD2" w:rsidRDefault="00EE5AD2" w:rsidP="00A07E92">
      <w:pPr>
        <w:spacing w:after="0" w:line="480" w:lineRule="auto"/>
        <w:jc w:val="both"/>
        <w:rPr>
          <w:bCs/>
          <w:sz w:val="24"/>
          <w:szCs w:val="24"/>
        </w:rPr>
      </w:pPr>
    </w:p>
    <w:p w:rsidR="00EE5AD2" w:rsidRPr="000758A9" w:rsidRDefault="00EE5AD2" w:rsidP="00A07E92">
      <w:pPr>
        <w:spacing w:after="0" w:line="480" w:lineRule="auto"/>
        <w:jc w:val="both"/>
        <w:rPr>
          <w:bCs/>
          <w:sz w:val="24"/>
          <w:szCs w:val="24"/>
        </w:rPr>
      </w:pPr>
    </w:p>
    <w:p w:rsidR="008D7D72" w:rsidRPr="001509D5" w:rsidRDefault="009A1D45" w:rsidP="001509D5">
      <w:pPr>
        <w:tabs>
          <w:tab w:val="left" w:pos="1080"/>
        </w:tabs>
        <w:spacing w:after="0" w:line="480" w:lineRule="auto"/>
        <w:jc w:val="both"/>
        <w:rPr>
          <w:bCs/>
        </w:rPr>
      </w:pPr>
      <w:r w:rsidRPr="00C77CCD">
        <w:rPr>
          <w:b/>
          <w:bCs/>
          <w:sz w:val="32"/>
          <w:szCs w:val="32"/>
        </w:rPr>
        <w:lastRenderedPageBreak/>
        <w:t xml:space="preserve">References </w:t>
      </w:r>
    </w:p>
    <w:p w:rsidR="00C2159B" w:rsidRPr="000758A9" w:rsidRDefault="00895D15" w:rsidP="004156C3">
      <w:pPr>
        <w:spacing w:line="480" w:lineRule="auto"/>
        <w:jc w:val="both"/>
        <w:rPr>
          <w:bCs/>
          <w:sz w:val="24"/>
          <w:szCs w:val="24"/>
        </w:rPr>
      </w:pPr>
      <w:r w:rsidRPr="000758A9">
        <w:rPr>
          <w:bCs/>
          <w:sz w:val="24"/>
          <w:szCs w:val="24"/>
        </w:rPr>
        <w:t>1</w:t>
      </w:r>
      <w:r w:rsidR="004156C3" w:rsidRPr="000758A9">
        <w:rPr>
          <w:bCs/>
          <w:sz w:val="24"/>
          <w:szCs w:val="24"/>
        </w:rPr>
        <w:t>. Nakabayashi</w:t>
      </w:r>
      <w:r w:rsidR="0055249A">
        <w:rPr>
          <w:bCs/>
          <w:sz w:val="24"/>
          <w:szCs w:val="24"/>
        </w:rPr>
        <w:t xml:space="preserve"> M, Adachi Y, Itazawa T, Okabe Y, Kanegane H, Kawamura M, Tomita A, Miyawaki T. </w:t>
      </w:r>
      <w:r w:rsidR="004156C3" w:rsidRPr="000758A9">
        <w:rPr>
          <w:bCs/>
          <w:sz w:val="24"/>
          <w:szCs w:val="24"/>
        </w:rPr>
        <w:t xml:space="preserve">MxA-based recognition of viral illness in febrile children by a </w:t>
      </w:r>
      <w:r w:rsidR="00E449EE" w:rsidRPr="000758A9">
        <w:rPr>
          <w:bCs/>
          <w:sz w:val="24"/>
          <w:szCs w:val="24"/>
        </w:rPr>
        <w:t xml:space="preserve">whole blood assay. </w:t>
      </w:r>
      <w:r w:rsidR="00E449EE" w:rsidRPr="00BC356A">
        <w:rPr>
          <w:bCs/>
          <w:sz w:val="24"/>
          <w:szCs w:val="24"/>
        </w:rPr>
        <w:t>Pediatr Res</w:t>
      </w:r>
      <w:r w:rsidR="00E449EE" w:rsidRPr="000758A9">
        <w:rPr>
          <w:bCs/>
          <w:sz w:val="24"/>
          <w:szCs w:val="24"/>
        </w:rPr>
        <w:t xml:space="preserve"> </w:t>
      </w:r>
      <w:r w:rsidR="004156C3" w:rsidRPr="00BC356A">
        <w:rPr>
          <w:bCs/>
          <w:sz w:val="24"/>
          <w:szCs w:val="24"/>
        </w:rPr>
        <w:t>2006;60:770-4.</w:t>
      </w:r>
    </w:p>
    <w:p w:rsidR="004156C3" w:rsidRPr="000758A9" w:rsidRDefault="00895D15" w:rsidP="004156C3">
      <w:pPr>
        <w:spacing w:line="480" w:lineRule="auto"/>
        <w:jc w:val="both"/>
        <w:rPr>
          <w:bCs/>
          <w:sz w:val="24"/>
          <w:szCs w:val="24"/>
        </w:rPr>
      </w:pPr>
      <w:r w:rsidRPr="000758A9">
        <w:rPr>
          <w:bCs/>
          <w:sz w:val="24"/>
          <w:szCs w:val="24"/>
        </w:rPr>
        <w:t>2</w:t>
      </w:r>
      <w:r w:rsidR="004156C3" w:rsidRPr="000758A9">
        <w:rPr>
          <w:bCs/>
          <w:sz w:val="24"/>
          <w:szCs w:val="24"/>
        </w:rPr>
        <w:t xml:space="preserve">. Engelmann I, Dubos F, Lobert PE, </w:t>
      </w:r>
      <w:r w:rsidR="0055249A">
        <w:rPr>
          <w:bCs/>
          <w:sz w:val="24"/>
          <w:szCs w:val="24"/>
        </w:rPr>
        <w:t>Houssin C, Degas V, Sardet A, Decoster A, Dewilde A, Martinot A, Hober D</w:t>
      </w:r>
      <w:r w:rsidR="004156C3" w:rsidRPr="000758A9">
        <w:rPr>
          <w:bCs/>
          <w:sz w:val="24"/>
          <w:szCs w:val="24"/>
        </w:rPr>
        <w:t>. Diagnosis of viral infections using myxovirus resistance A (M</w:t>
      </w:r>
      <w:r w:rsidR="00E449EE" w:rsidRPr="000758A9">
        <w:rPr>
          <w:bCs/>
          <w:sz w:val="24"/>
          <w:szCs w:val="24"/>
        </w:rPr>
        <w:t>xA).</w:t>
      </w:r>
      <w:r w:rsidR="00E449EE" w:rsidRPr="00BC356A">
        <w:rPr>
          <w:bCs/>
          <w:sz w:val="24"/>
          <w:szCs w:val="24"/>
        </w:rPr>
        <w:t xml:space="preserve"> Pediatrics</w:t>
      </w:r>
      <w:r w:rsidR="00E449EE" w:rsidRPr="000758A9">
        <w:rPr>
          <w:bCs/>
          <w:sz w:val="24"/>
          <w:szCs w:val="24"/>
        </w:rPr>
        <w:t xml:space="preserve"> </w:t>
      </w:r>
      <w:r w:rsidR="004156C3" w:rsidRPr="000758A9">
        <w:rPr>
          <w:bCs/>
          <w:sz w:val="24"/>
          <w:szCs w:val="24"/>
        </w:rPr>
        <w:t>2015</w:t>
      </w:r>
      <w:r w:rsidR="004156C3" w:rsidRPr="00BC356A">
        <w:rPr>
          <w:bCs/>
          <w:sz w:val="24"/>
          <w:szCs w:val="24"/>
        </w:rPr>
        <w:t>;135;e985-93.</w:t>
      </w:r>
    </w:p>
    <w:p w:rsidR="004156C3" w:rsidRPr="000758A9" w:rsidRDefault="00895D15" w:rsidP="004156C3">
      <w:pPr>
        <w:spacing w:line="480" w:lineRule="auto"/>
        <w:jc w:val="both"/>
        <w:rPr>
          <w:bCs/>
          <w:sz w:val="24"/>
          <w:szCs w:val="24"/>
        </w:rPr>
      </w:pPr>
      <w:r w:rsidRPr="000758A9">
        <w:rPr>
          <w:bCs/>
          <w:sz w:val="24"/>
          <w:szCs w:val="24"/>
        </w:rPr>
        <w:t>3</w:t>
      </w:r>
      <w:r w:rsidR="004156C3" w:rsidRPr="000758A9">
        <w:rPr>
          <w:bCs/>
          <w:sz w:val="24"/>
          <w:szCs w:val="24"/>
        </w:rPr>
        <w:t xml:space="preserve">. Self WH, Rosen J, Sharp SC, </w:t>
      </w:r>
      <w:r w:rsidR="0055249A">
        <w:rPr>
          <w:bCs/>
          <w:sz w:val="24"/>
          <w:szCs w:val="24"/>
        </w:rPr>
        <w:t>Filbin MR, Hou PC, Parekh AD, Kutz MC, Shapiro NI.</w:t>
      </w:r>
      <w:r w:rsidR="004156C3" w:rsidRPr="000758A9">
        <w:rPr>
          <w:bCs/>
          <w:sz w:val="24"/>
          <w:szCs w:val="24"/>
        </w:rPr>
        <w:t xml:space="preserve"> Diagnostic accuracy of FebriDx: A rapid test to detect immune responses to viral and bacterial upper respiratory infections. </w:t>
      </w:r>
      <w:r w:rsidR="004156C3" w:rsidRPr="00BC356A">
        <w:rPr>
          <w:bCs/>
          <w:sz w:val="24"/>
          <w:szCs w:val="24"/>
        </w:rPr>
        <w:t>J Clin Med</w:t>
      </w:r>
      <w:r w:rsidR="00E449EE" w:rsidRPr="00BC356A">
        <w:rPr>
          <w:bCs/>
          <w:sz w:val="24"/>
          <w:szCs w:val="24"/>
        </w:rPr>
        <w:t xml:space="preserve"> </w:t>
      </w:r>
      <w:r w:rsidR="004156C3" w:rsidRPr="00BC356A">
        <w:rPr>
          <w:bCs/>
          <w:sz w:val="24"/>
          <w:szCs w:val="24"/>
        </w:rPr>
        <w:t>2017;6:E94</w:t>
      </w:r>
      <w:r w:rsidR="004156C3" w:rsidRPr="000758A9">
        <w:rPr>
          <w:bCs/>
          <w:sz w:val="24"/>
          <w:szCs w:val="24"/>
        </w:rPr>
        <w:t>.</w:t>
      </w:r>
    </w:p>
    <w:p w:rsidR="004156C3" w:rsidRPr="000758A9" w:rsidRDefault="00895D15" w:rsidP="004156C3">
      <w:pPr>
        <w:spacing w:line="480" w:lineRule="auto"/>
        <w:jc w:val="both"/>
        <w:rPr>
          <w:bCs/>
          <w:sz w:val="24"/>
          <w:szCs w:val="24"/>
        </w:rPr>
      </w:pPr>
      <w:r w:rsidRPr="000758A9">
        <w:rPr>
          <w:bCs/>
          <w:sz w:val="24"/>
          <w:szCs w:val="24"/>
        </w:rPr>
        <w:t>4</w:t>
      </w:r>
      <w:r w:rsidR="004156C3" w:rsidRPr="000758A9">
        <w:rPr>
          <w:bCs/>
          <w:sz w:val="24"/>
          <w:szCs w:val="24"/>
        </w:rPr>
        <w:t xml:space="preserve">. Shapiro NI, Self WH, Rosen J, </w:t>
      </w:r>
      <w:r w:rsidR="0055249A">
        <w:rPr>
          <w:bCs/>
          <w:sz w:val="24"/>
          <w:szCs w:val="24"/>
        </w:rPr>
        <w:t xml:space="preserve">Sharo SC, Filbin MR, Hou PC, Parekh AD, Kurz M, Sambursky R. </w:t>
      </w:r>
      <w:r w:rsidR="004156C3" w:rsidRPr="000758A9">
        <w:rPr>
          <w:bCs/>
          <w:sz w:val="24"/>
          <w:szCs w:val="24"/>
        </w:rPr>
        <w:t>A prospective, multi-centre US clinical trial to determine accuracy of FebriDx point-of-care testing for acute upper respiratory infections with and with</w:t>
      </w:r>
      <w:r w:rsidR="00E449EE" w:rsidRPr="000758A9">
        <w:rPr>
          <w:bCs/>
          <w:sz w:val="24"/>
          <w:szCs w:val="24"/>
        </w:rPr>
        <w:t xml:space="preserve">out a confirmed fever. </w:t>
      </w:r>
      <w:r w:rsidR="00E449EE" w:rsidRPr="00BC356A">
        <w:rPr>
          <w:bCs/>
          <w:sz w:val="24"/>
          <w:szCs w:val="24"/>
        </w:rPr>
        <w:t>Ann Med</w:t>
      </w:r>
      <w:r w:rsidR="00E449EE" w:rsidRPr="000758A9">
        <w:rPr>
          <w:bCs/>
          <w:sz w:val="24"/>
          <w:szCs w:val="24"/>
        </w:rPr>
        <w:t xml:space="preserve"> </w:t>
      </w:r>
      <w:r w:rsidR="004156C3" w:rsidRPr="000758A9">
        <w:rPr>
          <w:bCs/>
          <w:sz w:val="24"/>
          <w:szCs w:val="24"/>
        </w:rPr>
        <w:t>2018</w:t>
      </w:r>
      <w:r w:rsidR="004156C3" w:rsidRPr="00BC356A">
        <w:rPr>
          <w:bCs/>
          <w:sz w:val="24"/>
          <w:szCs w:val="24"/>
        </w:rPr>
        <w:t>;18:1-10.</w:t>
      </w:r>
    </w:p>
    <w:p w:rsidR="004156C3" w:rsidRPr="000758A9" w:rsidRDefault="00895D15" w:rsidP="004156C3">
      <w:pPr>
        <w:spacing w:line="480" w:lineRule="auto"/>
        <w:jc w:val="both"/>
        <w:rPr>
          <w:bCs/>
          <w:sz w:val="24"/>
          <w:szCs w:val="24"/>
        </w:rPr>
      </w:pPr>
      <w:r w:rsidRPr="000758A9">
        <w:rPr>
          <w:bCs/>
          <w:sz w:val="24"/>
          <w:szCs w:val="24"/>
        </w:rPr>
        <w:t>5</w:t>
      </w:r>
      <w:r w:rsidR="004156C3" w:rsidRPr="000758A9">
        <w:rPr>
          <w:bCs/>
          <w:sz w:val="24"/>
          <w:szCs w:val="24"/>
        </w:rPr>
        <w:t>. Shirley M. FebriDx: A Rapid Diagnostic Test for Differentiating Bacterial and Viral Aetiologies in Acute Respiratory Infections.</w:t>
      </w:r>
      <w:r w:rsidR="004156C3" w:rsidRPr="000758A9">
        <w:rPr>
          <w:sz w:val="24"/>
          <w:szCs w:val="24"/>
        </w:rPr>
        <w:t xml:space="preserve"> </w:t>
      </w:r>
      <w:r w:rsidR="00E449EE" w:rsidRPr="00BC356A">
        <w:rPr>
          <w:bCs/>
          <w:sz w:val="24"/>
          <w:szCs w:val="24"/>
        </w:rPr>
        <w:t>Mol Diagn Ther</w:t>
      </w:r>
      <w:r w:rsidR="00E449EE" w:rsidRPr="000758A9">
        <w:rPr>
          <w:bCs/>
          <w:sz w:val="24"/>
          <w:szCs w:val="24"/>
        </w:rPr>
        <w:t xml:space="preserve"> 2019</w:t>
      </w:r>
      <w:r w:rsidR="004156C3" w:rsidRPr="000758A9">
        <w:rPr>
          <w:bCs/>
          <w:sz w:val="24"/>
          <w:szCs w:val="24"/>
        </w:rPr>
        <w:t>;</w:t>
      </w:r>
      <w:r w:rsidR="004156C3" w:rsidRPr="00BC356A">
        <w:rPr>
          <w:bCs/>
          <w:sz w:val="24"/>
          <w:szCs w:val="24"/>
        </w:rPr>
        <w:t>23:803</w:t>
      </w:r>
      <w:r w:rsidR="004156C3" w:rsidRPr="000758A9">
        <w:rPr>
          <w:bCs/>
          <w:sz w:val="24"/>
          <w:szCs w:val="24"/>
        </w:rPr>
        <w:t>-809.</w:t>
      </w:r>
    </w:p>
    <w:p w:rsidR="004156C3" w:rsidRPr="000758A9" w:rsidRDefault="00895D15" w:rsidP="004156C3">
      <w:pPr>
        <w:spacing w:line="480" w:lineRule="auto"/>
        <w:jc w:val="both"/>
        <w:rPr>
          <w:bCs/>
          <w:sz w:val="24"/>
          <w:szCs w:val="24"/>
        </w:rPr>
      </w:pPr>
      <w:r w:rsidRPr="000758A9">
        <w:rPr>
          <w:bCs/>
          <w:sz w:val="24"/>
          <w:szCs w:val="24"/>
        </w:rPr>
        <w:t>6</w:t>
      </w:r>
      <w:r w:rsidR="004156C3" w:rsidRPr="000758A9">
        <w:rPr>
          <w:bCs/>
          <w:sz w:val="24"/>
          <w:szCs w:val="24"/>
        </w:rPr>
        <w:t>. Beard K, Chan C, Mills S, Poole S, Brendish NJ and Clark TW. Evaluation of the Febridx Host Response Point-of-Care Test to Differentiate Viral From Bacterial Aetiology in Adults Hospitalized with Acute Respiratory Illness During Influenza Season</w:t>
      </w:r>
      <w:r w:rsidR="004156C3" w:rsidRPr="00BC356A">
        <w:rPr>
          <w:bCs/>
          <w:sz w:val="24"/>
          <w:szCs w:val="24"/>
        </w:rPr>
        <w:t>. Open</w:t>
      </w:r>
      <w:r w:rsidR="00E449EE" w:rsidRPr="00BC356A">
        <w:rPr>
          <w:bCs/>
          <w:sz w:val="24"/>
          <w:szCs w:val="24"/>
        </w:rPr>
        <w:t xml:space="preserve"> Forum Infectious Diseases 2019;</w:t>
      </w:r>
      <w:r w:rsidR="004156C3" w:rsidRPr="00BC356A">
        <w:rPr>
          <w:bCs/>
          <w:sz w:val="24"/>
          <w:szCs w:val="24"/>
        </w:rPr>
        <w:t>6</w:t>
      </w:r>
      <w:r w:rsidR="00E449EE" w:rsidRPr="00BC356A">
        <w:rPr>
          <w:bCs/>
          <w:sz w:val="24"/>
          <w:szCs w:val="24"/>
        </w:rPr>
        <w:t>:</w:t>
      </w:r>
      <w:r w:rsidR="004156C3" w:rsidRPr="00BC356A">
        <w:rPr>
          <w:bCs/>
          <w:sz w:val="24"/>
          <w:szCs w:val="24"/>
        </w:rPr>
        <w:t>S300–S301.</w:t>
      </w:r>
    </w:p>
    <w:p w:rsidR="006F327E" w:rsidRPr="000758A9" w:rsidRDefault="00895D15" w:rsidP="004156C3">
      <w:pPr>
        <w:spacing w:line="480" w:lineRule="auto"/>
        <w:jc w:val="both"/>
        <w:rPr>
          <w:bCs/>
          <w:color w:val="0000FF" w:themeColor="hyperlink"/>
          <w:sz w:val="24"/>
          <w:szCs w:val="24"/>
          <w:u w:val="single"/>
        </w:rPr>
      </w:pPr>
      <w:r w:rsidRPr="000758A9">
        <w:rPr>
          <w:bCs/>
          <w:sz w:val="24"/>
          <w:szCs w:val="24"/>
        </w:rPr>
        <w:t>7</w:t>
      </w:r>
      <w:r w:rsidR="006F327E" w:rsidRPr="000758A9">
        <w:rPr>
          <w:bCs/>
          <w:sz w:val="24"/>
          <w:szCs w:val="24"/>
        </w:rPr>
        <w:t xml:space="preserve">. </w:t>
      </w:r>
      <w:hyperlink r:id="rId10" w:history="1">
        <w:r w:rsidR="00A65941" w:rsidRPr="000758A9">
          <w:rPr>
            <w:rStyle w:val="Hyperlink"/>
            <w:bCs/>
            <w:sz w:val="24"/>
            <w:szCs w:val="24"/>
          </w:rPr>
          <w:t>https://www.fda.gov/media/136571/download</w:t>
        </w:r>
      </w:hyperlink>
      <w:r w:rsidR="00A65941" w:rsidRPr="000758A9">
        <w:rPr>
          <w:bCs/>
          <w:sz w:val="24"/>
          <w:szCs w:val="24"/>
        </w:rPr>
        <w:t>. Accessed 09</w:t>
      </w:r>
      <w:r w:rsidR="00A65941" w:rsidRPr="000758A9">
        <w:rPr>
          <w:bCs/>
          <w:sz w:val="24"/>
          <w:szCs w:val="24"/>
          <w:vertAlign w:val="superscript"/>
        </w:rPr>
        <w:t>th</w:t>
      </w:r>
      <w:r w:rsidR="00A65941" w:rsidRPr="000758A9">
        <w:rPr>
          <w:bCs/>
          <w:sz w:val="24"/>
          <w:szCs w:val="24"/>
        </w:rPr>
        <w:t xml:space="preserve"> April 2020</w:t>
      </w:r>
    </w:p>
    <w:p w:rsidR="006F327E" w:rsidRPr="000758A9" w:rsidRDefault="00895D15" w:rsidP="006F327E">
      <w:pPr>
        <w:spacing w:line="480" w:lineRule="auto"/>
        <w:jc w:val="both"/>
        <w:rPr>
          <w:bCs/>
          <w:sz w:val="24"/>
          <w:szCs w:val="24"/>
        </w:rPr>
      </w:pPr>
      <w:r w:rsidRPr="000758A9">
        <w:rPr>
          <w:bCs/>
          <w:sz w:val="24"/>
          <w:szCs w:val="24"/>
        </w:rPr>
        <w:lastRenderedPageBreak/>
        <w:t>8</w:t>
      </w:r>
      <w:r w:rsidR="006F327E" w:rsidRPr="000758A9">
        <w:rPr>
          <w:bCs/>
          <w:sz w:val="24"/>
          <w:szCs w:val="24"/>
        </w:rPr>
        <w:t>. Parčina M, Schneider UV, Visseaux B, Jozić R, Hannet I and Lisby JG. Multicenter evaluation of the QIAstat Respiratory Panel-A new rapid highly multiplexed PCR based assay for diagnosis of acute respiratory tract infections. PLoS One 2020;15:e0230183</w:t>
      </w:r>
      <w:r w:rsidR="00A65941" w:rsidRPr="000758A9">
        <w:rPr>
          <w:bCs/>
          <w:sz w:val="24"/>
          <w:szCs w:val="24"/>
        </w:rPr>
        <w:t>.</w:t>
      </w:r>
    </w:p>
    <w:p w:rsidR="006F327E" w:rsidRPr="000758A9" w:rsidRDefault="00895D15" w:rsidP="006F327E">
      <w:pPr>
        <w:spacing w:line="480" w:lineRule="auto"/>
        <w:jc w:val="both"/>
        <w:rPr>
          <w:bCs/>
          <w:sz w:val="24"/>
          <w:szCs w:val="24"/>
        </w:rPr>
      </w:pPr>
      <w:r w:rsidRPr="000758A9">
        <w:rPr>
          <w:bCs/>
          <w:sz w:val="24"/>
          <w:szCs w:val="24"/>
        </w:rPr>
        <w:t>9</w:t>
      </w:r>
      <w:r w:rsidR="006F327E" w:rsidRPr="000758A9">
        <w:rPr>
          <w:bCs/>
          <w:sz w:val="24"/>
          <w:szCs w:val="24"/>
        </w:rPr>
        <w:t xml:space="preserve">. Leber AL, Lisby JG, Hansen G, </w:t>
      </w:r>
      <w:r w:rsidR="0055249A">
        <w:rPr>
          <w:bCs/>
          <w:sz w:val="24"/>
          <w:szCs w:val="24"/>
        </w:rPr>
        <w:t>Relich RF, Schneider UV, Granato P, Young S, Pareja J, Hannett I</w:t>
      </w:r>
      <w:r w:rsidR="006F327E" w:rsidRPr="000758A9">
        <w:rPr>
          <w:bCs/>
          <w:sz w:val="24"/>
          <w:szCs w:val="24"/>
        </w:rPr>
        <w:t>. Multicenter Evaluation of the QIAstat-Dx Respiratory Panel for the Detection of Viruses and Bacteria in Nasopharyngeal Swab Specimens. J Clin Microbiol 2020</w:t>
      </w:r>
      <w:r w:rsidR="0055249A">
        <w:rPr>
          <w:bCs/>
          <w:sz w:val="24"/>
          <w:szCs w:val="24"/>
        </w:rPr>
        <w:t>;58:</w:t>
      </w:r>
      <w:r w:rsidR="0055249A" w:rsidRPr="0055249A">
        <w:rPr>
          <w:bCs/>
          <w:sz w:val="24"/>
          <w:szCs w:val="24"/>
        </w:rPr>
        <w:t>e00155-20.</w:t>
      </w:r>
    </w:p>
    <w:p w:rsidR="00800F0D" w:rsidRPr="000758A9" w:rsidRDefault="00895D15" w:rsidP="004156C3">
      <w:pPr>
        <w:spacing w:line="480" w:lineRule="auto"/>
        <w:jc w:val="both"/>
        <w:rPr>
          <w:bCs/>
          <w:sz w:val="24"/>
          <w:szCs w:val="24"/>
        </w:rPr>
      </w:pPr>
      <w:r w:rsidRPr="000758A9">
        <w:rPr>
          <w:bCs/>
          <w:sz w:val="24"/>
          <w:szCs w:val="24"/>
        </w:rPr>
        <w:t>10</w:t>
      </w:r>
      <w:r w:rsidR="00800F0D" w:rsidRPr="000758A9">
        <w:rPr>
          <w:bCs/>
          <w:sz w:val="24"/>
          <w:szCs w:val="24"/>
        </w:rPr>
        <w:t xml:space="preserve">. </w:t>
      </w:r>
      <w:r w:rsidR="00BC356A" w:rsidRPr="00BC356A">
        <w:rPr>
          <w:bCs/>
          <w:sz w:val="24"/>
          <w:szCs w:val="24"/>
        </w:rPr>
        <w:t>Corman</w:t>
      </w:r>
      <w:r w:rsidR="00BC356A">
        <w:rPr>
          <w:bCs/>
          <w:sz w:val="24"/>
          <w:szCs w:val="24"/>
        </w:rPr>
        <w:t xml:space="preserve"> VM, </w:t>
      </w:r>
      <w:r w:rsidR="00BC356A" w:rsidRPr="00BC356A">
        <w:rPr>
          <w:bCs/>
          <w:sz w:val="24"/>
          <w:szCs w:val="24"/>
        </w:rPr>
        <w:t>Landt</w:t>
      </w:r>
      <w:r w:rsidR="00BC356A">
        <w:rPr>
          <w:bCs/>
          <w:sz w:val="24"/>
          <w:szCs w:val="24"/>
        </w:rPr>
        <w:t xml:space="preserve"> O, </w:t>
      </w:r>
      <w:r w:rsidR="00BC356A" w:rsidRPr="00BC356A">
        <w:rPr>
          <w:bCs/>
          <w:sz w:val="24"/>
          <w:szCs w:val="24"/>
        </w:rPr>
        <w:t>Kaiser</w:t>
      </w:r>
      <w:r w:rsidR="00BC356A">
        <w:rPr>
          <w:bCs/>
          <w:sz w:val="24"/>
          <w:szCs w:val="24"/>
        </w:rPr>
        <w:t xml:space="preserve"> M, </w:t>
      </w:r>
      <w:r w:rsidR="00BC356A" w:rsidRPr="00BC356A">
        <w:rPr>
          <w:bCs/>
          <w:sz w:val="24"/>
          <w:szCs w:val="24"/>
        </w:rPr>
        <w:t>Molenkamp</w:t>
      </w:r>
      <w:r w:rsidR="00BC356A">
        <w:rPr>
          <w:bCs/>
          <w:sz w:val="24"/>
          <w:szCs w:val="24"/>
        </w:rPr>
        <w:t xml:space="preserve"> R, </w:t>
      </w:r>
      <w:r w:rsidR="00BC356A" w:rsidRPr="00BC356A">
        <w:rPr>
          <w:bCs/>
          <w:sz w:val="24"/>
          <w:szCs w:val="24"/>
        </w:rPr>
        <w:t>Meijer</w:t>
      </w:r>
      <w:r w:rsidR="00BC356A">
        <w:rPr>
          <w:bCs/>
          <w:sz w:val="24"/>
          <w:szCs w:val="24"/>
        </w:rPr>
        <w:t xml:space="preserve"> A,</w:t>
      </w:r>
      <w:r w:rsidR="00BC356A" w:rsidRPr="00BC356A">
        <w:rPr>
          <w:bCs/>
          <w:sz w:val="24"/>
          <w:szCs w:val="24"/>
        </w:rPr>
        <w:t xml:space="preserve"> Chu</w:t>
      </w:r>
      <w:r w:rsidR="00BC356A">
        <w:rPr>
          <w:bCs/>
          <w:sz w:val="24"/>
          <w:szCs w:val="24"/>
        </w:rPr>
        <w:t xml:space="preserve"> D, </w:t>
      </w:r>
      <w:r w:rsidR="00BC356A" w:rsidRPr="00BC356A">
        <w:rPr>
          <w:bCs/>
          <w:sz w:val="24"/>
          <w:szCs w:val="24"/>
        </w:rPr>
        <w:t>Bleicker</w:t>
      </w:r>
      <w:r w:rsidR="00BC356A">
        <w:rPr>
          <w:bCs/>
          <w:sz w:val="24"/>
          <w:szCs w:val="24"/>
        </w:rPr>
        <w:t xml:space="preserve"> T</w:t>
      </w:r>
      <w:r w:rsidR="00BC356A" w:rsidRPr="00BC356A">
        <w:rPr>
          <w:bCs/>
          <w:sz w:val="24"/>
          <w:szCs w:val="24"/>
        </w:rPr>
        <w:t>, Brünink</w:t>
      </w:r>
      <w:r w:rsidR="00BC356A">
        <w:rPr>
          <w:bCs/>
          <w:sz w:val="24"/>
          <w:szCs w:val="24"/>
        </w:rPr>
        <w:t xml:space="preserve"> S</w:t>
      </w:r>
      <w:r w:rsidR="00BC356A" w:rsidRPr="00BC356A">
        <w:rPr>
          <w:bCs/>
          <w:sz w:val="24"/>
          <w:szCs w:val="24"/>
        </w:rPr>
        <w:t>, Schneider</w:t>
      </w:r>
      <w:r w:rsidR="00BC356A">
        <w:rPr>
          <w:bCs/>
          <w:sz w:val="24"/>
          <w:szCs w:val="24"/>
        </w:rPr>
        <w:t xml:space="preserve"> J</w:t>
      </w:r>
      <w:r w:rsidR="00BC356A" w:rsidRPr="00BC356A">
        <w:rPr>
          <w:bCs/>
          <w:sz w:val="24"/>
          <w:szCs w:val="24"/>
        </w:rPr>
        <w:t>, Luisa Schmidt</w:t>
      </w:r>
      <w:r w:rsidR="00BC356A">
        <w:rPr>
          <w:bCs/>
          <w:sz w:val="24"/>
          <w:szCs w:val="24"/>
        </w:rPr>
        <w:t xml:space="preserve"> M</w:t>
      </w:r>
      <w:r w:rsidR="00BC356A" w:rsidRPr="00BC356A">
        <w:rPr>
          <w:bCs/>
          <w:sz w:val="24"/>
          <w:szCs w:val="24"/>
        </w:rPr>
        <w:t>, Mulders</w:t>
      </w:r>
      <w:r w:rsidR="00BC356A">
        <w:rPr>
          <w:bCs/>
          <w:sz w:val="24"/>
          <w:szCs w:val="24"/>
        </w:rPr>
        <w:t xml:space="preserve"> D</w:t>
      </w:r>
      <w:r w:rsidR="00BC356A" w:rsidRPr="00BC356A">
        <w:rPr>
          <w:bCs/>
          <w:sz w:val="24"/>
          <w:szCs w:val="24"/>
        </w:rPr>
        <w:t>, Haagmans</w:t>
      </w:r>
      <w:r w:rsidR="00BC356A">
        <w:rPr>
          <w:bCs/>
          <w:sz w:val="24"/>
          <w:szCs w:val="24"/>
        </w:rPr>
        <w:t xml:space="preserve"> B, </w:t>
      </w:r>
      <w:r w:rsidR="00BC356A" w:rsidRPr="00BC356A">
        <w:rPr>
          <w:bCs/>
          <w:sz w:val="24"/>
          <w:szCs w:val="24"/>
        </w:rPr>
        <w:t>van der Veer</w:t>
      </w:r>
      <w:r w:rsidR="00BC356A">
        <w:rPr>
          <w:bCs/>
          <w:sz w:val="24"/>
          <w:szCs w:val="24"/>
        </w:rPr>
        <w:t xml:space="preserve"> B, </w:t>
      </w:r>
      <w:r w:rsidR="00BC356A" w:rsidRPr="00BC356A">
        <w:rPr>
          <w:bCs/>
          <w:sz w:val="24"/>
          <w:szCs w:val="24"/>
        </w:rPr>
        <w:t>van den Brink</w:t>
      </w:r>
      <w:r w:rsidR="00BC356A">
        <w:rPr>
          <w:bCs/>
          <w:sz w:val="24"/>
          <w:szCs w:val="24"/>
        </w:rPr>
        <w:t xml:space="preserve"> S</w:t>
      </w:r>
      <w:r w:rsidR="00BC356A" w:rsidRPr="00BC356A">
        <w:rPr>
          <w:bCs/>
          <w:sz w:val="24"/>
          <w:szCs w:val="24"/>
        </w:rPr>
        <w:t>, Wijsman</w:t>
      </w:r>
      <w:r w:rsidR="00BC356A">
        <w:rPr>
          <w:bCs/>
          <w:sz w:val="24"/>
          <w:szCs w:val="24"/>
        </w:rPr>
        <w:t xml:space="preserve"> L, </w:t>
      </w:r>
      <w:r w:rsidR="00BC356A" w:rsidRPr="00BC356A">
        <w:rPr>
          <w:bCs/>
          <w:sz w:val="24"/>
          <w:szCs w:val="24"/>
        </w:rPr>
        <w:t xml:space="preserve"> Goderski</w:t>
      </w:r>
      <w:r w:rsidR="00BC356A">
        <w:rPr>
          <w:bCs/>
          <w:sz w:val="24"/>
          <w:szCs w:val="24"/>
        </w:rPr>
        <w:t xml:space="preserve"> G</w:t>
      </w:r>
      <w:r w:rsidR="00BC356A" w:rsidRPr="00BC356A">
        <w:rPr>
          <w:bCs/>
          <w:sz w:val="24"/>
          <w:szCs w:val="24"/>
        </w:rPr>
        <w:t>, Romette</w:t>
      </w:r>
      <w:r w:rsidR="00BC356A">
        <w:rPr>
          <w:bCs/>
          <w:sz w:val="24"/>
          <w:szCs w:val="24"/>
        </w:rPr>
        <w:t xml:space="preserve"> J</w:t>
      </w:r>
      <w:r w:rsidR="00BC356A" w:rsidRPr="00BC356A">
        <w:rPr>
          <w:bCs/>
          <w:sz w:val="24"/>
          <w:szCs w:val="24"/>
        </w:rPr>
        <w:t>, Ellis</w:t>
      </w:r>
      <w:r w:rsidR="00BC356A">
        <w:rPr>
          <w:bCs/>
          <w:sz w:val="24"/>
          <w:szCs w:val="24"/>
        </w:rPr>
        <w:t xml:space="preserve"> J, </w:t>
      </w:r>
      <w:r w:rsidR="00BC356A" w:rsidRPr="00BC356A">
        <w:rPr>
          <w:bCs/>
          <w:sz w:val="24"/>
          <w:szCs w:val="24"/>
        </w:rPr>
        <w:t>Zambon</w:t>
      </w:r>
      <w:r w:rsidR="00BC356A">
        <w:rPr>
          <w:bCs/>
          <w:sz w:val="24"/>
          <w:szCs w:val="24"/>
        </w:rPr>
        <w:t xml:space="preserve"> M, </w:t>
      </w:r>
      <w:r w:rsidR="00BC356A" w:rsidRPr="00BC356A">
        <w:rPr>
          <w:bCs/>
          <w:sz w:val="24"/>
          <w:szCs w:val="24"/>
        </w:rPr>
        <w:t>Peiris</w:t>
      </w:r>
      <w:r w:rsidR="00BC356A">
        <w:rPr>
          <w:bCs/>
          <w:sz w:val="24"/>
          <w:szCs w:val="24"/>
        </w:rPr>
        <w:t xml:space="preserve"> M, </w:t>
      </w:r>
      <w:r w:rsidR="00BC356A" w:rsidRPr="00BC356A">
        <w:rPr>
          <w:bCs/>
          <w:sz w:val="24"/>
          <w:szCs w:val="24"/>
        </w:rPr>
        <w:t xml:space="preserve"> Goossens</w:t>
      </w:r>
      <w:r w:rsidR="00BC356A">
        <w:rPr>
          <w:bCs/>
          <w:sz w:val="24"/>
          <w:szCs w:val="24"/>
        </w:rPr>
        <w:t xml:space="preserve"> H</w:t>
      </w:r>
      <w:r w:rsidR="00BC356A" w:rsidRPr="00BC356A">
        <w:rPr>
          <w:bCs/>
          <w:sz w:val="24"/>
          <w:szCs w:val="24"/>
        </w:rPr>
        <w:t>, Reusken</w:t>
      </w:r>
      <w:r w:rsidR="00BC356A">
        <w:rPr>
          <w:bCs/>
          <w:sz w:val="24"/>
          <w:szCs w:val="24"/>
        </w:rPr>
        <w:t xml:space="preserve"> C</w:t>
      </w:r>
      <w:r w:rsidR="00BC356A" w:rsidRPr="00BC356A">
        <w:rPr>
          <w:bCs/>
          <w:sz w:val="24"/>
          <w:szCs w:val="24"/>
        </w:rPr>
        <w:t>, Koopmans</w:t>
      </w:r>
      <w:r w:rsidR="00BC356A">
        <w:rPr>
          <w:bCs/>
          <w:sz w:val="24"/>
          <w:szCs w:val="24"/>
        </w:rPr>
        <w:t xml:space="preserve"> M, </w:t>
      </w:r>
      <w:r w:rsidR="00BC356A" w:rsidRPr="00BC356A">
        <w:rPr>
          <w:bCs/>
          <w:sz w:val="24"/>
          <w:szCs w:val="24"/>
        </w:rPr>
        <w:t>Drosten</w:t>
      </w:r>
      <w:r w:rsidR="00BC356A">
        <w:rPr>
          <w:bCs/>
          <w:sz w:val="24"/>
          <w:szCs w:val="24"/>
        </w:rPr>
        <w:t xml:space="preserve"> C. </w:t>
      </w:r>
      <w:r w:rsidR="00800F0D" w:rsidRPr="000758A9">
        <w:rPr>
          <w:bCs/>
          <w:sz w:val="24"/>
          <w:szCs w:val="24"/>
        </w:rPr>
        <w:t>Detection of 2019 novel coronavirus (2019-nCoV) by r</w:t>
      </w:r>
      <w:r w:rsidR="00E449EE" w:rsidRPr="000758A9">
        <w:rPr>
          <w:bCs/>
          <w:sz w:val="24"/>
          <w:szCs w:val="24"/>
        </w:rPr>
        <w:t xml:space="preserve">eal-time RT-PCR. </w:t>
      </w:r>
      <w:r w:rsidR="00E449EE" w:rsidRPr="000758A9">
        <w:rPr>
          <w:bCs/>
          <w:i/>
          <w:sz w:val="24"/>
          <w:szCs w:val="24"/>
        </w:rPr>
        <w:t>Euro Surveill</w:t>
      </w:r>
      <w:r w:rsidR="00E449EE" w:rsidRPr="000758A9">
        <w:rPr>
          <w:bCs/>
          <w:sz w:val="24"/>
          <w:szCs w:val="24"/>
        </w:rPr>
        <w:t xml:space="preserve"> 2020</w:t>
      </w:r>
      <w:r w:rsidR="00800F0D" w:rsidRPr="00BC356A">
        <w:rPr>
          <w:bCs/>
          <w:sz w:val="24"/>
          <w:szCs w:val="24"/>
        </w:rPr>
        <w:t>;25</w:t>
      </w:r>
      <w:r w:rsidR="00BC356A">
        <w:rPr>
          <w:bCs/>
          <w:sz w:val="24"/>
          <w:szCs w:val="24"/>
        </w:rPr>
        <w:t>:2000045</w:t>
      </w:r>
    </w:p>
    <w:p w:rsidR="00800F0D" w:rsidRPr="000758A9" w:rsidRDefault="00895D15" w:rsidP="004156C3">
      <w:pPr>
        <w:spacing w:line="480" w:lineRule="auto"/>
        <w:jc w:val="both"/>
        <w:rPr>
          <w:bCs/>
          <w:sz w:val="24"/>
          <w:szCs w:val="24"/>
        </w:rPr>
      </w:pPr>
      <w:r w:rsidRPr="000758A9">
        <w:rPr>
          <w:bCs/>
          <w:sz w:val="24"/>
          <w:szCs w:val="24"/>
        </w:rPr>
        <w:t>11</w:t>
      </w:r>
      <w:r w:rsidR="00800F0D" w:rsidRPr="000758A9">
        <w:rPr>
          <w:bCs/>
          <w:sz w:val="24"/>
          <w:szCs w:val="24"/>
        </w:rPr>
        <w:t>.</w:t>
      </w:r>
      <w:hyperlink r:id="rId11" w:history="1">
        <w:r w:rsidR="00800F0D" w:rsidRPr="000758A9">
          <w:rPr>
            <w:rStyle w:val="Hyperlink"/>
            <w:bCs/>
            <w:sz w:val="24"/>
            <w:szCs w:val="24"/>
          </w:rPr>
          <w:t>https://www.england.nhs.uk/coronavirus/wpcontent/uploads/sites/52/2020/03/guidance-and-sop-covid-19-virus-testing-in-nhs-laboratories-v1.pdf</w:t>
        </w:r>
      </w:hyperlink>
      <w:r w:rsidR="00800F0D" w:rsidRPr="000758A9">
        <w:rPr>
          <w:bCs/>
          <w:sz w:val="24"/>
          <w:szCs w:val="24"/>
        </w:rPr>
        <w:t>. Accessed 09th April 2020</w:t>
      </w:r>
    </w:p>
    <w:p w:rsidR="0015173D" w:rsidRPr="000758A9" w:rsidRDefault="00895D15" w:rsidP="00800F0D">
      <w:pPr>
        <w:spacing w:line="480" w:lineRule="auto"/>
        <w:jc w:val="both"/>
        <w:rPr>
          <w:bCs/>
          <w:sz w:val="24"/>
          <w:szCs w:val="24"/>
        </w:rPr>
      </w:pPr>
      <w:r w:rsidRPr="000758A9">
        <w:rPr>
          <w:bCs/>
          <w:sz w:val="24"/>
          <w:szCs w:val="24"/>
        </w:rPr>
        <w:t>12</w:t>
      </w:r>
      <w:r w:rsidR="00EF1FE9" w:rsidRPr="000758A9">
        <w:rPr>
          <w:bCs/>
          <w:sz w:val="24"/>
          <w:szCs w:val="24"/>
        </w:rPr>
        <w:t xml:space="preserve">. Riley RD, Snell KI, Ensor J, </w:t>
      </w:r>
      <w:r w:rsidR="004E373F">
        <w:rPr>
          <w:bCs/>
          <w:sz w:val="24"/>
          <w:szCs w:val="24"/>
        </w:rPr>
        <w:t>Burke DL, Frank EH, Moons KGM, Collins GS</w:t>
      </w:r>
      <w:r w:rsidR="00EF1FE9" w:rsidRPr="000758A9">
        <w:rPr>
          <w:bCs/>
          <w:sz w:val="24"/>
          <w:szCs w:val="24"/>
        </w:rPr>
        <w:t xml:space="preserve">. Minimum sample size for developing a multivariable prediction model: PART II - binary and time-to-event </w:t>
      </w:r>
      <w:r w:rsidR="00EF1FE9" w:rsidRPr="00600FB6">
        <w:rPr>
          <w:bCs/>
          <w:sz w:val="24"/>
          <w:szCs w:val="24"/>
        </w:rPr>
        <w:t>outcomes.</w:t>
      </w:r>
      <w:r w:rsidR="00EF1FE9" w:rsidRPr="00600FB6">
        <w:rPr>
          <w:sz w:val="24"/>
          <w:szCs w:val="24"/>
        </w:rPr>
        <w:t xml:space="preserve"> </w:t>
      </w:r>
      <w:r w:rsidR="007F77AF" w:rsidRPr="00600FB6">
        <w:rPr>
          <w:bCs/>
          <w:sz w:val="24"/>
          <w:szCs w:val="24"/>
        </w:rPr>
        <w:t>Stat Med 2019;38</w:t>
      </w:r>
      <w:r w:rsidR="00EF1FE9" w:rsidRPr="00600FB6">
        <w:rPr>
          <w:bCs/>
          <w:sz w:val="24"/>
          <w:szCs w:val="24"/>
        </w:rPr>
        <w:t>:1276-1296.</w:t>
      </w:r>
    </w:p>
    <w:p w:rsidR="00EF1FE9" w:rsidRPr="000758A9" w:rsidRDefault="00895D15" w:rsidP="00800F0D">
      <w:pPr>
        <w:spacing w:line="480" w:lineRule="auto"/>
        <w:jc w:val="both"/>
        <w:rPr>
          <w:bCs/>
          <w:sz w:val="24"/>
          <w:szCs w:val="24"/>
        </w:rPr>
      </w:pPr>
      <w:r w:rsidRPr="000758A9">
        <w:rPr>
          <w:bCs/>
          <w:sz w:val="24"/>
          <w:szCs w:val="24"/>
        </w:rPr>
        <w:t>13</w:t>
      </w:r>
      <w:r w:rsidR="00EF1FE9" w:rsidRPr="000758A9">
        <w:rPr>
          <w:bCs/>
          <w:sz w:val="24"/>
          <w:szCs w:val="24"/>
        </w:rPr>
        <w:t xml:space="preserve">. </w:t>
      </w:r>
      <w:r w:rsidR="0015173D" w:rsidRPr="000758A9">
        <w:rPr>
          <w:bCs/>
          <w:sz w:val="24"/>
          <w:szCs w:val="24"/>
        </w:rPr>
        <w:t>Julious SA.</w:t>
      </w:r>
      <w:r w:rsidR="0015173D" w:rsidRPr="000758A9">
        <w:rPr>
          <w:sz w:val="24"/>
          <w:szCs w:val="24"/>
        </w:rPr>
        <w:t xml:space="preserve"> </w:t>
      </w:r>
      <w:r w:rsidR="0015173D" w:rsidRPr="000758A9">
        <w:rPr>
          <w:bCs/>
          <w:sz w:val="24"/>
          <w:szCs w:val="24"/>
        </w:rPr>
        <w:t xml:space="preserve">Two-sided confidence intervals for the single proportion: comparison of seven </w:t>
      </w:r>
      <w:r w:rsidR="0015173D" w:rsidRPr="00600FB6">
        <w:rPr>
          <w:bCs/>
          <w:sz w:val="24"/>
          <w:szCs w:val="24"/>
        </w:rPr>
        <w:t>methods</w:t>
      </w:r>
      <w:r w:rsidR="007F77AF" w:rsidRPr="00600FB6">
        <w:rPr>
          <w:bCs/>
          <w:sz w:val="24"/>
          <w:szCs w:val="24"/>
        </w:rPr>
        <w:t xml:space="preserve"> by Robert G. Newcombe. </w:t>
      </w:r>
      <w:r w:rsidR="0015173D" w:rsidRPr="00600FB6">
        <w:rPr>
          <w:bCs/>
          <w:sz w:val="24"/>
          <w:szCs w:val="24"/>
        </w:rPr>
        <w:t>Statistics in Medicine</w:t>
      </w:r>
      <w:r w:rsidR="007F77AF" w:rsidRPr="00600FB6">
        <w:rPr>
          <w:bCs/>
          <w:sz w:val="24"/>
          <w:szCs w:val="24"/>
        </w:rPr>
        <w:t xml:space="preserve"> 1998;</w:t>
      </w:r>
      <w:r w:rsidR="0015173D" w:rsidRPr="00600FB6">
        <w:rPr>
          <w:bCs/>
          <w:sz w:val="24"/>
          <w:szCs w:val="24"/>
        </w:rPr>
        <w:t>17:857-872.</w:t>
      </w:r>
      <w:r w:rsidR="0015173D" w:rsidRPr="00600FB6">
        <w:rPr>
          <w:sz w:val="24"/>
          <w:szCs w:val="24"/>
        </w:rPr>
        <w:t xml:space="preserve"> </w:t>
      </w:r>
      <w:r w:rsidR="007F77AF" w:rsidRPr="00600FB6">
        <w:rPr>
          <w:bCs/>
          <w:sz w:val="24"/>
          <w:szCs w:val="24"/>
        </w:rPr>
        <w:t xml:space="preserve">Stat Med </w:t>
      </w:r>
      <w:r w:rsidR="0015173D" w:rsidRPr="00600FB6">
        <w:rPr>
          <w:bCs/>
          <w:sz w:val="24"/>
          <w:szCs w:val="24"/>
        </w:rPr>
        <w:t>2005;24:3383-4.</w:t>
      </w:r>
    </w:p>
    <w:p w:rsidR="00BF793C" w:rsidRPr="000758A9" w:rsidRDefault="00895D15" w:rsidP="00800F0D">
      <w:pPr>
        <w:spacing w:line="480" w:lineRule="auto"/>
        <w:jc w:val="both"/>
        <w:rPr>
          <w:bCs/>
          <w:sz w:val="24"/>
          <w:szCs w:val="24"/>
        </w:rPr>
      </w:pPr>
      <w:r w:rsidRPr="000758A9">
        <w:rPr>
          <w:bCs/>
          <w:sz w:val="24"/>
          <w:szCs w:val="24"/>
        </w:rPr>
        <w:t>14</w:t>
      </w:r>
      <w:r w:rsidR="00BF793C" w:rsidRPr="000758A9">
        <w:rPr>
          <w:bCs/>
          <w:sz w:val="24"/>
          <w:szCs w:val="24"/>
        </w:rPr>
        <w:t xml:space="preserve">. Wynants L, Van Calster B, Bonten MMJ, </w:t>
      </w:r>
      <w:r w:rsidR="004E373F">
        <w:rPr>
          <w:bCs/>
          <w:sz w:val="24"/>
          <w:szCs w:val="24"/>
        </w:rPr>
        <w:t xml:space="preserve">Collins GS, Debray TPA, De Vos M, Haller MC, Heinze G, Moons KGM, Riley RD, Schuit E, Smits LJM, Snell KIE, Steyerberg EW, Wallisch C, van </w:t>
      </w:r>
      <w:r w:rsidR="004E373F">
        <w:rPr>
          <w:bCs/>
          <w:sz w:val="24"/>
          <w:szCs w:val="24"/>
        </w:rPr>
        <w:lastRenderedPageBreak/>
        <w:t>Smeden M.</w:t>
      </w:r>
      <w:r w:rsidR="00BF793C" w:rsidRPr="000758A9">
        <w:rPr>
          <w:bCs/>
          <w:sz w:val="24"/>
          <w:szCs w:val="24"/>
        </w:rPr>
        <w:t xml:space="preserve"> Prediction models for diagnosis and </w:t>
      </w:r>
      <w:r w:rsidR="00BF793C" w:rsidRPr="00600FB6">
        <w:rPr>
          <w:bCs/>
          <w:sz w:val="24"/>
          <w:szCs w:val="24"/>
        </w:rPr>
        <w:t>prognosis of covid-19 infection: systematic review and critical appraisal. BMJ 2020;369:m1328.</w:t>
      </w:r>
    </w:p>
    <w:p w:rsidR="005C0D8A" w:rsidRPr="000758A9" w:rsidRDefault="00895D15" w:rsidP="00800F0D">
      <w:pPr>
        <w:spacing w:line="480" w:lineRule="auto"/>
        <w:jc w:val="both"/>
        <w:rPr>
          <w:bCs/>
          <w:sz w:val="24"/>
          <w:szCs w:val="24"/>
        </w:rPr>
      </w:pPr>
      <w:r w:rsidRPr="000758A9">
        <w:rPr>
          <w:bCs/>
          <w:sz w:val="24"/>
          <w:szCs w:val="24"/>
        </w:rPr>
        <w:t>15</w:t>
      </w:r>
      <w:r w:rsidR="0015173D" w:rsidRPr="000758A9">
        <w:rPr>
          <w:bCs/>
          <w:sz w:val="24"/>
          <w:szCs w:val="24"/>
        </w:rPr>
        <w:t xml:space="preserve">. Harrell FE Jr, Lee KL, Califf RM, Pryor DB, Rosati RA. Regression modelling strategies for improved prognostic prediction. </w:t>
      </w:r>
      <w:r w:rsidR="0015173D" w:rsidRPr="00600FB6">
        <w:rPr>
          <w:bCs/>
          <w:sz w:val="24"/>
          <w:szCs w:val="24"/>
        </w:rPr>
        <w:t>Stat Med</w:t>
      </w:r>
      <w:r w:rsidR="007F77AF" w:rsidRPr="00600FB6">
        <w:rPr>
          <w:bCs/>
          <w:sz w:val="24"/>
          <w:szCs w:val="24"/>
        </w:rPr>
        <w:t xml:space="preserve"> 1984</w:t>
      </w:r>
      <w:r w:rsidR="0015173D" w:rsidRPr="00600FB6">
        <w:rPr>
          <w:bCs/>
          <w:sz w:val="24"/>
          <w:szCs w:val="24"/>
        </w:rPr>
        <w:t>;3:143-52.</w:t>
      </w:r>
    </w:p>
    <w:p w:rsidR="00CF4650" w:rsidRDefault="00987078" w:rsidP="00142F60">
      <w:pPr>
        <w:spacing w:line="480" w:lineRule="auto"/>
        <w:jc w:val="both"/>
        <w:rPr>
          <w:bCs/>
          <w:sz w:val="24"/>
          <w:szCs w:val="24"/>
        </w:rPr>
      </w:pPr>
      <w:r w:rsidRPr="000758A9">
        <w:rPr>
          <w:bCs/>
          <w:sz w:val="24"/>
          <w:szCs w:val="24"/>
        </w:rPr>
        <w:t xml:space="preserve">16. </w:t>
      </w:r>
      <w:r w:rsidR="00CF4650" w:rsidRPr="000758A9">
        <w:rPr>
          <w:bCs/>
          <w:sz w:val="24"/>
          <w:szCs w:val="24"/>
        </w:rPr>
        <w:t>Ai T, Yang Z, Hou H,</w:t>
      </w:r>
      <w:r w:rsidR="004E373F">
        <w:rPr>
          <w:bCs/>
          <w:sz w:val="24"/>
          <w:szCs w:val="24"/>
        </w:rPr>
        <w:t xml:space="preserve"> Zhan C, Chen C, Lv W, Tao Q, Sun Z, Xia L</w:t>
      </w:r>
      <w:r w:rsidR="00CF4650" w:rsidRPr="000758A9">
        <w:rPr>
          <w:bCs/>
          <w:sz w:val="24"/>
          <w:szCs w:val="24"/>
        </w:rPr>
        <w:t>. Correlation of chest CT and RT-PCR testing in coronavirus disease 2019 (COVID-19) in China: a report of 1014 cases. Radiology. 2020:200642.</w:t>
      </w:r>
    </w:p>
    <w:p w:rsidR="00600FB6" w:rsidRPr="00600FB6" w:rsidRDefault="00600FB6" w:rsidP="00142F60">
      <w:pPr>
        <w:spacing w:line="480" w:lineRule="auto"/>
        <w:jc w:val="both"/>
        <w:rPr>
          <w:bCs/>
          <w:sz w:val="24"/>
          <w:szCs w:val="24"/>
        </w:rPr>
      </w:pPr>
      <w:r w:rsidRPr="00600FB6">
        <w:rPr>
          <w:bCs/>
          <w:sz w:val="24"/>
          <w:szCs w:val="24"/>
        </w:rPr>
        <w:t>17.</w:t>
      </w:r>
      <w:r w:rsidRPr="00600FB6">
        <w:rPr>
          <w:sz w:val="24"/>
          <w:szCs w:val="24"/>
        </w:rPr>
        <w:t xml:space="preserve"> He J</w:t>
      </w:r>
      <w:r w:rsidR="004E373F">
        <w:rPr>
          <w:sz w:val="24"/>
          <w:szCs w:val="24"/>
        </w:rPr>
        <w:t>L</w:t>
      </w:r>
      <w:r w:rsidRPr="00600FB6">
        <w:rPr>
          <w:sz w:val="24"/>
          <w:szCs w:val="24"/>
        </w:rPr>
        <w:t xml:space="preserve">, </w:t>
      </w:r>
      <w:r w:rsidR="004E373F">
        <w:rPr>
          <w:sz w:val="24"/>
          <w:szCs w:val="24"/>
        </w:rPr>
        <w:t xml:space="preserve">Luo L, Luo ZD, Lyu JX, Ng MY, Shen XP, Wen Z. </w:t>
      </w:r>
      <w:r w:rsidRPr="00600FB6">
        <w:rPr>
          <w:bCs/>
          <w:sz w:val="24"/>
          <w:szCs w:val="24"/>
        </w:rPr>
        <w:t>Diagnostic performance between CT and initial real-time RT-PCR for clinically suspected 2019 coronavirus disease (COVID-19) patients outside Wuha</w:t>
      </w:r>
      <w:r w:rsidR="00BC7699">
        <w:rPr>
          <w:bCs/>
          <w:sz w:val="24"/>
          <w:szCs w:val="24"/>
        </w:rPr>
        <w:t>n, China. Respir Med. 2020;168:</w:t>
      </w:r>
      <w:r w:rsidRPr="00600FB6">
        <w:rPr>
          <w:bCs/>
          <w:sz w:val="24"/>
          <w:szCs w:val="24"/>
        </w:rPr>
        <w:t>105980.</w:t>
      </w:r>
    </w:p>
    <w:p w:rsidR="00CF4650" w:rsidRPr="000758A9" w:rsidRDefault="00600FB6" w:rsidP="00142F60">
      <w:pPr>
        <w:spacing w:line="480" w:lineRule="auto"/>
        <w:jc w:val="both"/>
        <w:rPr>
          <w:bCs/>
          <w:sz w:val="24"/>
          <w:szCs w:val="24"/>
        </w:rPr>
      </w:pPr>
      <w:r>
        <w:rPr>
          <w:bCs/>
          <w:sz w:val="24"/>
          <w:szCs w:val="24"/>
        </w:rPr>
        <w:t>18</w:t>
      </w:r>
      <w:r w:rsidR="00987078" w:rsidRPr="000758A9">
        <w:rPr>
          <w:bCs/>
          <w:sz w:val="24"/>
          <w:szCs w:val="24"/>
        </w:rPr>
        <w:t xml:space="preserve">. </w:t>
      </w:r>
      <w:r w:rsidR="008F14C6" w:rsidRPr="000758A9">
        <w:rPr>
          <w:bCs/>
          <w:sz w:val="24"/>
          <w:szCs w:val="24"/>
        </w:rPr>
        <w:t>Kucirka LM, Laue</w:t>
      </w:r>
      <w:r>
        <w:rPr>
          <w:bCs/>
          <w:sz w:val="24"/>
          <w:szCs w:val="24"/>
        </w:rPr>
        <w:t xml:space="preserve">r S, Laeyendecker O, Boon D, </w:t>
      </w:r>
      <w:r w:rsidR="008F14C6" w:rsidRPr="000758A9">
        <w:rPr>
          <w:bCs/>
          <w:sz w:val="24"/>
          <w:szCs w:val="24"/>
        </w:rPr>
        <w:t xml:space="preserve">Lessler J. </w:t>
      </w:r>
      <w:r w:rsidR="00CF4650" w:rsidRPr="000758A9">
        <w:rPr>
          <w:bCs/>
          <w:sz w:val="24"/>
          <w:szCs w:val="24"/>
        </w:rPr>
        <w:t>Variation in False-Negative Rate of Reverse Transcriptase Polymerase Chain Reaction–Based SARS-CoV-2 Tests by Time Since Exposure</w:t>
      </w:r>
      <w:r w:rsidR="00BC7699">
        <w:rPr>
          <w:bCs/>
          <w:sz w:val="24"/>
          <w:szCs w:val="24"/>
        </w:rPr>
        <w:t>. Ann Intern Med. 2020;M20-1495.</w:t>
      </w:r>
    </w:p>
    <w:p w:rsidR="000B0E8C" w:rsidRDefault="000B0E8C" w:rsidP="008D7D72">
      <w:pPr>
        <w:spacing w:line="480" w:lineRule="auto"/>
        <w:rPr>
          <w:b/>
          <w:bCs/>
          <w:sz w:val="32"/>
          <w:szCs w:val="32"/>
        </w:rPr>
      </w:pPr>
    </w:p>
    <w:p w:rsidR="000758A9" w:rsidRDefault="000758A9" w:rsidP="008D7D72">
      <w:pPr>
        <w:spacing w:line="480" w:lineRule="auto"/>
        <w:rPr>
          <w:b/>
          <w:bCs/>
          <w:sz w:val="32"/>
          <w:szCs w:val="32"/>
        </w:rPr>
      </w:pPr>
    </w:p>
    <w:p w:rsidR="000758A9" w:rsidRDefault="000758A9" w:rsidP="008D7D72">
      <w:pPr>
        <w:spacing w:line="480" w:lineRule="auto"/>
        <w:rPr>
          <w:b/>
          <w:bCs/>
          <w:sz w:val="32"/>
          <w:szCs w:val="32"/>
        </w:rPr>
      </w:pPr>
    </w:p>
    <w:p w:rsidR="000758A9" w:rsidRDefault="000758A9" w:rsidP="008D7D72">
      <w:pPr>
        <w:spacing w:line="480" w:lineRule="auto"/>
        <w:rPr>
          <w:b/>
          <w:bCs/>
          <w:sz w:val="32"/>
          <w:szCs w:val="32"/>
        </w:rPr>
      </w:pPr>
    </w:p>
    <w:p w:rsidR="00BC7699" w:rsidRDefault="00BC7699" w:rsidP="008D7D72">
      <w:pPr>
        <w:spacing w:line="480" w:lineRule="auto"/>
        <w:rPr>
          <w:b/>
          <w:bCs/>
          <w:sz w:val="32"/>
          <w:szCs w:val="32"/>
        </w:rPr>
      </w:pPr>
    </w:p>
    <w:p w:rsidR="00BC7699" w:rsidRDefault="00BC7699" w:rsidP="008D7D72">
      <w:pPr>
        <w:spacing w:line="480" w:lineRule="auto"/>
        <w:rPr>
          <w:b/>
          <w:bCs/>
          <w:sz w:val="32"/>
          <w:szCs w:val="32"/>
        </w:rPr>
      </w:pPr>
    </w:p>
    <w:p w:rsidR="00B73A43" w:rsidRPr="00B73A43" w:rsidRDefault="00B73A43" w:rsidP="00B73A43">
      <w:pPr>
        <w:spacing w:after="0" w:line="480" w:lineRule="auto"/>
        <w:jc w:val="both"/>
        <w:rPr>
          <w:b/>
          <w:sz w:val="24"/>
          <w:szCs w:val="24"/>
        </w:rPr>
      </w:pPr>
      <w:r w:rsidRPr="00B73A43">
        <w:rPr>
          <w:b/>
          <w:sz w:val="24"/>
          <w:szCs w:val="24"/>
        </w:rPr>
        <w:lastRenderedPageBreak/>
        <w:t>Author contributions</w:t>
      </w:r>
    </w:p>
    <w:p w:rsidR="00B73A43" w:rsidRPr="00B73A43" w:rsidRDefault="00B73A43" w:rsidP="00B73A43">
      <w:pPr>
        <w:spacing w:after="0" w:line="480" w:lineRule="auto"/>
        <w:jc w:val="both"/>
        <w:rPr>
          <w:sz w:val="24"/>
          <w:szCs w:val="24"/>
        </w:rPr>
      </w:pPr>
      <w:r w:rsidRPr="00B73A43">
        <w:rPr>
          <w:sz w:val="24"/>
          <w:szCs w:val="24"/>
        </w:rPr>
        <w:t xml:space="preserve">TWC reviewed the medical literature, conceived of and designed the study, oversaw the conduct of the study, participated in the analysis and interpretation or results, drafted and wrote the manuscript. NJB assisted with the design of the study, screened and recruited patients and collected data. SP, CM, NN, VN, HW and LP screened and recruited patients and collected data. SE analysed the data and created and internally validated the multivariate model. All authors reviewed and contributed to the manuscript during its development. </w:t>
      </w:r>
    </w:p>
    <w:p w:rsidR="00B73A43" w:rsidRPr="00B73A43" w:rsidRDefault="00B73A43" w:rsidP="00B73A43">
      <w:pPr>
        <w:spacing w:after="0" w:line="480" w:lineRule="auto"/>
        <w:jc w:val="both"/>
        <w:rPr>
          <w:sz w:val="24"/>
          <w:szCs w:val="24"/>
        </w:rPr>
      </w:pPr>
    </w:p>
    <w:p w:rsidR="00B73A43" w:rsidRPr="00B73A43" w:rsidRDefault="00B73A43" w:rsidP="00B73A43">
      <w:pPr>
        <w:spacing w:after="0" w:line="480" w:lineRule="auto"/>
        <w:jc w:val="both"/>
        <w:rPr>
          <w:b/>
          <w:sz w:val="24"/>
          <w:szCs w:val="24"/>
        </w:rPr>
      </w:pPr>
      <w:r w:rsidRPr="00B73A43">
        <w:rPr>
          <w:b/>
          <w:sz w:val="24"/>
          <w:szCs w:val="24"/>
        </w:rPr>
        <w:t>Funding and support</w:t>
      </w:r>
    </w:p>
    <w:p w:rsidR="00474463" w:rsidRDefault="00B73A43" w:rsidP="00B73A43">
      <w:pPr>
        <w:spacing w:after="0" w:line="480" w:lineRule="auto"/>
        <w:jc w:val="both"/>
        <w:rPr>
          <w:sz w:val="24"/>
          <w:szCs w:val="24"/>
        </w:rPr>
      </w:pPr>
      <w:r w:rsidRPr="00B73A43">
        <w:rPr>
          <w:sz w:val="24"/>
          <w:szCs w:val="24"/>
        </w:rPr>
        <w:t>This study was funded by University Hospital Southampton Foundation NHS trust and supported by the NIHR Southampton Biomedical Research Centre. Statistical analysis was supported by Cancer Research UK core funding and NIHR CTU support funding at the Southampton Clinical Trials Unit. The FebriDx kits were purchased independently from a UK distributer and the manufacturer (Lumos Diagnostics, Sarasota, Florida, USA) had no role in the study conception, design, data analysis or manuscript preparation. The parent study is supported by Qiagen in the form of discounted equipment and consumables. The corresponding author had full access to all of the data and the final responsibility to submit for publication.</w:t>
      </w:r>
    </w:p>
    <w:p w:rsidR="00165157" w:rsidRDefault="00165157" w:rsidP="00B73A43">
      <w:pPr>
        <w:spacing w:after="0" w:line="480" w:lineRule="auto"/>
        <w:jc w:val="both"/>
        <w:rPr>
          <w:sz w:val="24"/>
          <w:szCs w:val="24"/>
        </w:rPr>
      </w:pPr>
    </w:p>
    <w:p w:rsidR="00165157" w:rsidRPr="00165157" w:rsidRDefault="00165157" w:rsidP="00165157">
      <w:pPr>
        <w:spacing w:after="0" w:line="480" w:lineRule="auto"/>
        <w:jc w:val="both"/>
        <w:rPr>
          <w:b/>
          <w:sz w:val="24"/>
          <w:szCs w:val="24"/>
        </w:rPr>
      </w:pPr>
      <w:r w:rsidRPr="00165157">
        <w:rPr>
          <w:b/>
          <w:sz w:val="24"/>
          <w:szCs w:val="24"/>
        </w:rPr>
        <w:t>Declaration of competing interests</w:t>
      </w:r>
    </w:p>
    <w:p w:rsidR="00165157" w:rsidRPr="000758A9" w:rsidRDefault="00165157" w:rsidP="00165157">
      <w:pPr>
        <w:spacing w:after="0" w:line="480" w:lineRule="auto"/>
        <w:jc w:val="both"/>
        <w:rPr>
          <w:sz w:val="24"/>
          <w:szCs w:val="24"/>
        </w:rPr>
      </w:pPr>
      <w:r w:rsidRPr="00165157">
        <w:rPr>
          <w:sz w:val="24"/>
          <w:szCs w:val="24"/>
        </w:rPr>
        <w:t xml:space="preserve">TWC has received speaker fees, honoraria, travel reimbursement, and equipment and consumables free of charge for the purposes of research outside of this submitted study, from BioFire diagnostics LLC and BioMerieux. TWC has received consultancy fees from Synairgen research Ltd, Randox laboratories Ltd and Cidara therapeutics. He a member of an advisory </w:t>
      </w:r>
      <w:r w:rsidRPr="00165157">
        <w:rPr>
          <w:sz w:val="24"/>
          <w:szCs w:val="24"/>
        </w:rPr>
        <w:lastRenderedPageBreak/>
        <w:t>board for Roche and a member of two independent data monitoring committees for trials sponsored by Roche. He has acted as the UK chief investigator for an IMP study sponsored by Janssen. All other authors have completed the Unified Competing Interest form (available on request from the corresponding author) and declare: no support from any organisation for the submitted work no financial relationships with any organisations that might have an interest in the submitted work in the previous three years, no other relationships or activities that could appear to have influenced the submitted work.</w:t>
      </w:r>
    </w:p>
    <w:p w:rsidR="000C7042" w:rsidRPr="000758A9" w:rsidRDefault="000C7042" w:rsidP="000C7042">
      <w:pPr>
        <w:spacing w:after="0" w:line="480" w:lineRule="auto"/>
        <w:jc w:val="both"/>
        <w:rPr>
          <w:sz w:val="24"/>
          <w:szCs w:val="24"/>
        </w:rPr>
      </w:pPr>
    </w:p>
    <w:p w:rsidR="00032CC1" w:rsidRPr="000758A9" w:rsidRDefault="003F5E2E" w:rsidP="00032CC1">
      <w:pPr>
        <w:spacing w:after="0" w:line="480" w:lineRule="auto"/>
        <w:jc w:val="both"/>
        <w:rPr>
          <w:b/>
          <w:bCs/>
          <w:sz w:val="24"/>
          <w:szCs w:val="24"/>
        </w:rPr>
      </w:pPr>
      <w:r w:rsidRPr="000758A9">
        <w:rPr>
          <w:b/>
          <w:bCs/>
          <w:sz w:val="24"/>
          <w:szCs w:val="24"/>
        </w:rPr>
        <w:t>Acknowledgements</w:t>
      </w:r>
    </w:p>
    <w:p w:rsidR="00DA66F1" w:rsidRPr="000758A9" w:rsidRDefault="004022B4" w:rsidP="00CD2533">
      <w:pPr>
        <w:spacing w:after="0" w:line="480" w:lineRule="auto"/>
        <w:jc w:val="both"/>
        <w:rPr>
          <w:bCs/>
          <w:sz w:val="24"/>
          <w:szCs w:val="24"/>
        </w:rPr>
      </w:pPr>
      <w:r w:rsidRPr="000758A9">
        <w:rPr>
          <w:bCs/>
          <w:sz w:val="24"/>
          <w:szCs w:val="24"/>
        </w:rPr>
        <w:t>We would like to acknowledge and gives thanks to all the patient who kindly participated in this study and to all the clinical staff at Universi</w:t>
      </w:r>
      <w:r w:rsidR="00A65941" w:rsidRPr="000758A9">
        <w:rPr>
          <w:bCs/>
          <w:sz w:val="24"/>
          <w:szCs w:val="24"/>
        </w:rPr>
        <w:t>ty Hospital Southampton who cared for</w:t>
      </w:r>
      <w:r w:rsidRPr="000758A9">
        <w:rPr>
          <w:bCs/>
          <w:sz w:val="24"/>
          <w:szCs w:val="24"/>
        </w:rPr>
        <w:t xml:space="preserve"> them. </w:t>
      </w:r>
      <w:r w:rsidR="00A47750" w:rsidRPr="000758A9">
        <w:rPr>
          <w:bCs/>
          <w:sz w:val="24"/>
          <w:szCs w:val="24"/>
        </w:rPr>
        <w:t xml:space="preserve">We would also like to give thanks to Richard Poole for assistance in data management. </w:t>
      </w:r>
    </w:p>
    <w:p w:rsidR="000C7042" w:rsidRPr="000758A9" w:rsidRDefault="000C7042" w:rsidP="00CD2533">
      <w:pPr>
        <w:spacing w:after="0" w:line="480" w:lineRule="auto"/>
        <w:jc w:val="both"/>
        <w:rPr>
          <w:bCs/>
          <w:sz w:val="24"/>
          <w:szCs w:val="24"/>
        </w:rPr>
      </w:pPr>
    </w:p>
    <w:p w:rsidR="00F65C5F" w:rsidRDefault="00FF43A7" w:rsidP="00CD2533">
      <w:pPr>
        <w:spacing w:line="480" w:lineRule="auto"/>
        <w:jc w:val="both"/>
        <w:rPr>
          <w:sz w:val="24"/>
          <w:szCs w:val="24"/>
        </w:rPr>
      </w:pPr>
      <w:r w:rsidRPr="000758A9">
        <w:rPr>
          <w:sz w:val="24"/>
          <w:szCs w:val="24"/>
        </w:rPr>
        <w:t>This report is independent research supported by the National Institute for Health Research (</w:t>
      </w:r>
      <w:r w:rsidRPr="000758A9">
        <w:rPr>
          <w:b/>
          <w:bCs/>
          <w:sz w:val="24"/>
          <w:szCs w:val="24"/>
        </w:rPr>
        <w:t>NIHR Post Doctorial Fellowship, Dr Tristan Clark, PDF 2016-09-061</w:t>
      </w:r>
      <w:r w:rsidRPr="000758A9">
        <w:rPr>
          <w:sz w:val="24"/>
          <w:szCs w:val="24"/>
        </w:rPr>
        <w:t>). The views expressed in this publication are those of the author(s) and not necessarily those of the NHS, the National Institute for Health Research or the Department of Health.</w:t>
      </w:r>
    </w:p>
    <w:p w:rsidR="000821C5" w:rsidRDefault="000821C5" w:rsidP="00CD2533">
      <w:pPr>
        <w:spacing w:line="480" w:lineRule="auto"/>
        <w:jc w:val="both"/>
        <w:rPr>
          <w:sz w:val="24"/>
          <w:szCs w:val="24"/>
        </w:rPr>
      </w:pPr>
    </w:p>
    <w:p w:rsidR="00B73A43" w:rsidRDefault="00B73A43" w:rsidP="00CD2533">
      <w:pPr>
        <w:spacing w:line="480" w:lineRule="auto"/>
        <w:jc w:val="both"/>
        <w:rPr>
          <w:sz w:val="24"/>
          <w:szCs w:val="24"/>
        </w:rPr>
      </w:pPr>
    </w:p>
    <w:p w:rsidR="00B73A43" w:rsidRDefault="00B73A43" w:rsidP="00CD2533">
      <w:pPr>
        <w:spacing w:line="480" w:lineRule="auto"/>
        <w:jc w:val="both"/>
        <w:rPr>
          <w:sz w:val="24"/>
          <w:szCs w:val="24"/>
        </w:rPr>
      </w:pPr>
    </w:p>
    <w:p w:rsidR="00B73A43" w:rsidRDefault="00B73A43" w:rsidP="00CD2533">
      <w:pPr>
        <w:spacing w:line="480" w:lineRule="auto"/>
        <w:jc w:val="both"/>
        <w:rPr>
          <w:sz w:val="24"/>
          <w:szCs w:val="24"/>
        </w:rPr>
      </w:pPr>
    </w:p>
    <w:p w:rsidR="00B73A43" w:rsidRDefault="00B73A43" w:rsidP="00CD2533">
      <w:pPr>
        <w:spacing w:line="480" w:lineRule="auto"/>
        <w:jc w:val="both"/>
        <w:rPr>
          <w:sz w:val="24"/>
          <w:szCs w:val="24"/>
        </w:rPr>
      </w:pPr>
    </w:p>
    <w:p w:rsidR="00032CC1" w:rsidRPr="00FC3D26" w:rsidRDefault="0096692C" w:rsidP="00F65C5F">
      <w:pPr>
        <w:spacing w:line="480" w:lineRule="auto"/>
        <w:jc w:val="both"/>
        <w:rPr>
          <w:b/>
          <w:sz w:val="32"/>
          <w:szCs w:val="32"/>
        </w:rPr>
      </w:pPr>
      <w:r w:rsidRPr="0096692C">
        <w:rPr>
          <w:b/>
          <w:sz w:val="32"/>
          <w:szCs w:val="32"/>
        </w:rPr>
        <w:lastRenderedPageBreak/>
        <w:t>Figure legends</w:t>
      </w:r>
    </w:p>
    <w:p w:rsidR="00E27700" w:rsidRPr="000758A9" w:rsidRDefault="00076E94" w:rsidP="00F65C5F">
      <w:pPr>
        <w:spacing w:line="480" w:lineRule="auto"/>
        <w:jc w:val="both"/>
        <w:rPr>
          <w:bCs/>
          <w:sz w:val="24"/>
          <w:szCs w:val="24"/>
        </w:rPr>
      </w:pPr>
      <w:r w:rsidRPr="000758A9">
        <w:rPr>
          <w:b/>
          <w:bCs/>
          <w:sz w:val="24"/>
          <w:szCs w:val="24"/>
        </w:rPr>
        <w:t>Figure 1</w:t>
      </w:r>
      <w:r w:rsidR="007E0451" w:rsidRPr="000758A9">
        <w:rPr>
          <w:bCs/>
          <w:sz w:val="24"/>
          <w:szCs w:val="24"/>
        </w:rPr>
        <w:t xml:space="preserve">. </w:t>
      </w:r>
      <w:r w:rsidR="007735F5" w:rsidRPr="000758A9">
        <w:rPr>
          <w:bCs/>
          <w:sz w:val="24"/>
          <w:szCs w:val="24"/>
        </w:rPr>
        <w:t xml:space="preserve">Flow of participants through the study </w:t>
      </w:r>
    </w:p>
    <w:p w:rsidR="00AF35EF" w:rsidRPr="000758A9" w:rsidRDefault="00076E94" w:rsidP="00F65C5F">
      <w:pPr>
        <w:spacing w:line="480" w:lineRule="auto"/>
        <w:jc w:val="both"/>
        <w:rPr>
          <w:bCs/>
          <w:sz w:val="24"/>
          <w:szCs w:val="24"/>
        </w:rPr>
      </w:pPr>
      <w:r w:rsidRPr="000758A9">
        <w:rPr>
          <w:b/>
          <w:bCs/>
          <w:sz w:val="24"/>
          <w:szCs w:val="24"/>
        </w:rPr>
        <w:t>Figure 2</w:t>
      </w:r>
      <w:r w:rsidR="007E0451" w:rsidRPr="000758A9">
        <w:rPr>
          <w:bCs/>
          <w:sz w:val="24"/>
          <w:szCs w:val="24"/>
        </w:rPr>
        <w:t xml:space="preserve">. </w:t>
      </w:r>
      <w:r w:rsidR="00B52494" w:rsidRPr="000758A9">
        <w:rPr>
          <w:bCs/>
          <w:sz w:val="24"/>
          <w:szCs w:val="24"/>
        </w:rPr>
        <w:t>Examples of positive and negative FebriDx read</w:t>
      </w:r>
      <w:r w:rsidR="0096692C" w:rsidRPr="000758A9">
        <w:rPr>
          <w:bCs/>
          <w:sz w:val="24"/>
          <w:szCs w:val="24"/>
        </w:rPr>
        <w:t>-</w:t>
      </w:r>
      <w:r w:rsidR="00B52494" w:rsidRPr="000758A9">
        <w:rPr>
          <w:bCs/>
          <w:sz w:val="24"/>
          <w:szCs w:val="24"/>
        </w:rPr>
        <w:t>outs</w:t>
      </w:r>
    </w:p>
    <w:p w:rsidR="007E0451" w:rsidRPr="000758A9" w:rsidRDefault="007E0451" w:rsidP="000758A9">
      <w:pPr>
        <w:spacing w:after="0" w:line="480" w:lineRule="auto"/>
        <w:jc w:val="both"/>
        <w:rPr>
          <w:b/>
          <w:bCs/>
          <w:i/>
          <w:sz w:val="32"/>
          <w:szCs w:val="32"/>
        </w:rPr>
      </w:pPr>
    </w:p>
    <w:p w:rsidR="000758A9" w:rsidRPr="000758A9" w:rsidRDefault="000758A9" w:rsidP="000758A9">
      <w:pPr>
        <w:spacing w:after="0" w:line="480" w:lineRule="auto"/>
        <w:jc w:val="both"/>
        <w:rPr>
          <w:b/>
          <w:sz w:val="32"/>
          <w:szCs w:val="32"/>
        </w:rPr>
      </w:pPr>
      <w:r w:rsidRPr="000758A9">
        <w:rPr>
          <w:b/>
          <w:sz w:val="32"/>
          <w:szCs w:val="32"/>
        </w:rPr>
        <w:t>Supplement</w:t>
      </w:r>
      <w:r w:rsidR="00B73A43">
        <w:rPr>
          <w:b/>
          <w:sz w:val="32"/>
          <w:szCs w:val="32"/>
        </w:rPr>
        <w:t>ary appendix</w:t>
      </w:r>
    </w:p>
    <w:p w:rsidR="000758A9" w:rsidRPr="000758A9" w:rsidRDefault="000758A9" w:rsidP="000758A9">
      <w:pPr>
        <w:spacing w:after="0" w:line="480" w:lineRule="auto"/>
        <w:jc w:val="both"/>
        <w:rPr>
          <w:sz w:val="24"/>
          <w:szCs w:val="24"/>
        </w:rPr>
      </w:pPr>
      <w:r w:rsidRPr="000758A9">
        <w:rPr>
          <w:sz w:val="24"/>
          <w:szCs w:val="24"/>
        </w:rPr>
        <w:t>Pathogens tested for by QIAstat-Dx Respiratory SARS-CoV-2 Panel</w:t>
      </w:r>
    </w:p>
    <w:p w:rsidR="000758A9" w:rsidRPr="000758A9" w:rsidRDefault="000758A9" w:rsidP="000758A9">
      <w:pPr>
        <w:spacing w:after="0" w:line="480" w:lineRule="auto"/>
        <w:jc w:val="both"/>
        <w:rPr>
          <w:sz w:val="24"/>
          <w:szCs w:val="24"/>
        </w:rPr>
      </w:pPr>
      <w:r w:rsidRPr="000758A9">
        <w:rPr>
          <w:sz w:val="24"/>
          <w:szCs w:val="24"/>
        </w:rPr>
        <w:t>Sample size justification and methods for multivariable predictive model</w:t>
      </w:r>
    </w:p>
    <w:p w:rsidR="000758A9" w:rsidRPr="000758A9" w:rsidRDefault="000758A9" w:rsidP="000758A9">
      <w:pPr>
        <w:spacing w:after="0" w:line="480" w:lineRule="auto"/>
        <w:jc w:val="both"/>
        <w:rPr>
          <w:sz w:val="24"/>
          <w:szCs w:val="24"/>
        </w:rPr>
      </w:pPr>
      <w:r w:rsidRPr="000758A9">
        <w:rPr>
          <w:sz w:val="24"/>
          <w:szCs w:val="24"/>
        </w:rPr>
        <w:t xml:space="preserve">Calibration plot for multivariate model  </w:t>
      </w:r>
    </w:p>
    <w:sectPr w:rsidR="000758A9" w:rsidRPr="000758A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F60" w:rsidRDefault="00142F60" w:rsidP="00D81623">
      <w:pPr>
        <w:spacing w:after="0" w:line="240" w:lineRule="auto"/>
      </w:pPr>
      <w:r>
        <w:separator/>
      </w:r>
    </w:p>
  </w:endnote>
  <w:endnote w:type="continuationSeparator" w:id="0">
    <w:p w:rsidR="00142F60" w:rsidRDefault="00142F60" w:rsidP="00D81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038571"/>
      <w:docPartObj>
        <w:docPartGallery w:val="Page Numbers (Bottom of Page)"/>
        <w:docPartUnique/>
      </w:docPartObj>
    </w:sdtPr>
    <w:sdtEndPr>
      <w:rPr>
        <w:noProof/>
      </w:rPr>
    </w:sdtEndPr>
    <w:sdtContent>
      <w:p w:rsidR="00142F60" w:rsidRDefault="00142F60">
        <w:pPr>
          <w:pStyle w:val="Footer"/>
          <w:jc w:val="center"/>
        </w:pPr>
        <w:r>
          <w:fldChar w:fldCharType="begin"/>
        </w:r>
        <w:r>
          <w:instrText xml:space="preserve"> PAGE   \* MERGEFORMAT </w:instrText>
        </w:r>
        <w:r>
          <w:fldChar w:fldCharType="separate"/>
        </w:r>
        <w:r w:rsidR="006A07B5">
          <w:rPr>
            <w:noProof/>
          </w:rPr>
          <w:t>1</w:t>
        </w:r>
        <w:r>
          <w:rPr>
            <w:noProof/>
          </w:rPr>
          <w:fldChar w:fldCharType="end"/>
        </w:r>
      </w:p>
    </w:sdtContent>
  </w:sdt>
  <w:p w:rsidR="00142F60" w:rsidRDefault="00142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F60" w:rsidRDefault="00142F60" w:rsidP="00D81623">
      <w:pPr>
        <w:spacing w:after="0" w:line="240" w:lineRule="auto"/>
      </w:pPr>
      <w:r>
        <w:separator/>
      </w:r>
    </w:p>
  </w:footnote>
  <w:footnote w:type="continuationSeparator" w:id="0">
    <w:p w:rsidR="00142F60" w:rsidRDefault="00142F60" w:rsidP="00D81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E45D2"/>
    <w:multiLevelType w:val="hybridMultilevel"/>
    <w:tmpl w:val="DA4632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403C24"/>
    <w:multiLevelType w:val="hybridMultilevel"/>
    <w:tmpl w:val="16BC7FAC"/>
    <w:lvl w:ilvl="0" w:tplc="919A4E68">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FA3CD5"/>
    <w:multiLevelType w:val="hybridMultilevel"/>
    <w:tmpl w:val="F1305C82"/>
    <w:lvl w:ilvl="0" w:tplc="4EC2C18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166286"/>
    <w:multiLevelType w:val="hybridMultilevel"/>
    <w:tmpl w:val="4642D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196B4B"/>
    <w:multiLevelType w:val="hybridMultilevel"/>
    <w:tmpl w:val="8A56A616"/>
    <w:lvl w:ilvl="0" w:tplc="463239D2">
      <w:start w:val="1"/>
      <w:numFmt w:val="decimal"/>
      <w:lvlText w:val="%1."/>
      <w:lvlJc w:val="left"/>
      <w:pPr>
        <w:ind w:left="72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B46C72"/>
    <w:multiLevelType w:val="hybridMultilevel"/>
    <w:tmpl w:val="57DE7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9D26BE"/>
    <w:multiLevelType w:val="hybridMultilevel"/>
    <w:tmpl w:val="996A1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8E762D"/>
    <w:multiLevelType w:val="hybridMultilevel"/>
    <w:tmpl w:val="D0C8F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E92B85"/>
    <w:multiLevelType w:val="hybridMultilevel"/>
    <w:tmpl w:val="C15EC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9816B5"/>
    <w:multiLevelType w:val="hybridMultilevel"/>
    <w:tmpl w:val="04408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205EBA"/>
    <w:multiLevelType w:val="hybridMultilevel"/>
    <w:tmpl w:val="18A6F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DE2A04"/>
    <w:multiLevelType w:val="hybridMultilevel"/>
    <w:tmpl w:val="80628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D73128"/>
    <w:multiLevelType w:val="hybridMultilevel"/>
    <w:tmpl w:val="D89E9E4C"/>
    <w:lvl w:ilvl="0" w:tplc="44FC0C8C">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E0FB0"/>
    <w:multiLevelType w:val="hybridMultilevel"/>
    <w:tmpl w:val="713CAC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11"/>
  </w:num>
  <w:num w:numId="5">
    <w:abstractNumId w:val="3"/>
  </w:num>
  <w:num w:numId="6">
    <w:abstractNumId w:val="7"/>
  </w:num>
  <w:num w:numId="7">
    <w:abstractNumId w:val="10"/>
  </w:num>
  <w:num w:numId="8">
    <w:abstractNumId w:val="2"/>
  </w:num>
  <w:num w:numId="9">
    <w:abstractNumId w:val="4"/>
  </w:num>
  <w:num w:numId="10">
    <w:abstractNumId w:val="1"/>
  </w:num>
  <w:num w:numId="11">
    <w:abstractNumId w:val="6"/>
  </w:num>
  <w:num w:numId="12">
    <w:abstractNumId w:val="13"/>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BA0"/>
    <w:rsid w:val="000015C0"/>
    <w:rsid w:val="0000178B"/>
    <w:rsid w:val="00004463"/>
    <w:rsid w:val="00005700"/>
    <w:rsid w:val="000070DA"/>
    <w:rsid w:val="00010EEF"/>
    <w:rsid w:val="000143D6"/>
    <w:rsid w:val="0002047E"/>
    <w:rsid w:val="0002329B"/>
    <w:rsid w:val="000274C0"/>
    <w:rsid w:val="00032CC1"/>
    <w:rsid w:val="000340D3"/>
    <w:rsid w:val="0003582C"/>
    <w:rsid w:val="000379E5"/>
    <w:rsid w:val="00041B98"/>
    <w:rsid w:val="0004498B"/>
    <w:rsid w:val="0004733C"/>
    <w:rsid w:val="000511FD"/>
    <w:rsid w:val="00052549"/>
    <w:rsid w:val="000525EF"/>
    <w:rsid w:val="00052707"/>
    <w:rsid w:val="0006002B"/>
    <w:rsid w:val="0006017F"/>
    <w:rsid w:val="00061BBB"/>
    <w:rsid w:val="000621E3"/>
    <w:rsid w:val="0006500E"/>
    <w:rsid w:val="00073047"/>
    <w:rsid w:val="00073295"/>
    <w:rsid w:val="000748C4"/>
    <w:rsid w:val="000758A9"/>
    <w:rsid w:val="00076E94"/>
    <w:rsid w:val="000777C3"/>
    <w:rsid w:val="00077C2C"/>
    <w:rsid w:val="000814DC"/>
    <w:rsid w:val="000821C5"/>
    <w:rsid w:val="00085BA9"/>
    <w:rsid w:val="000911EE"/>
    <w:rsid w:val="000914C5"/>
    <w:rsid w:val="00093E6A"/>
    <w:rsid w:val="000A0C99"/>
    <w:rsid w:val="000A4342"/>
    <w:rsid w:val="000A4660"/>
    <w:rsid w:val="000A5D43"/>
    <w:rsid w:val="000A6874"/>
    <w:rsid w:val="000A6AEE"/>
    <w:rsid w:val="000B0E25"/>
    <w:rsid w:val="000B0E8C"/>
    <w:rsid w:val="000B250C"/>
    <w:rsid w:val="000B3E7C"/>
    <w:rsid w:val="000B3FC3"/>
    <w:rsid w:val="000C0CC9"/>
    <w:rsid w:val="000C15E5"/>
    <w:rsid w:val="000C1CBA"/>
    <w:rsid w:val="000C594B"/>
    <w:rsid w:val="000C7042"/>
    <w:rsid w:val="000D072E"/>
    <w:rsid w:val="000D59E4"/>
    <w:rsid w:val="000D7BDC"/>
    <w:rsid w:val="000E0D48"/>
    <w:rsid w:val="000E1CCA"/>
    <w:rsid w:val="000F0003"/>
    <w:rsid w:val="000F1016"/>
    <w:rsid w:val="000F5FB5"/>
    <w:rsid w:val="000F7D39"/>
    <w:rsid w:val="00100A5C"/>
    <w:rsid w:val="0010265A"/>
    <w:rsid w:val="00103D4C"/>
    <w:rsid w:val="00106FBF"/>
    <w:rsid w:val="00112452"/>
    <w:rsid w:val="001132FC"/>
    <w:rsid w:val="00116EEC"/>
    <w:rsid w:val="001172F9"/>
    <w:rsid w:val="00123799"/>
    <w:rsid w:val="001258AE"/>
    <w:rsid w:val="00126978"/>
    <w:rsid w:val="00131BE2"/>
    <w:rsid w:val="00131C0D"/>
    <w:rsid w:val="0013301F"/>
    <w:rsid w:val="001340C4"/>
    <w:rsid w:val="00135088"/>
    <w:rsid w:val="0014259C"/>
    <w:rsid w:val="00142F60"/>
    <w:rsid w:val="001509D5"/>
    <w:rsid w:val="0015173D"/>
    <w:rsid w:val="00152CFD"/>
    <w:rsid w:val="00153EBD"/>
    <w:rsid w:val="00163E2E"/>
    <w:rsid w:val="00165157"/>
    <w:rsid w:val="00167744"/>
    <w:rsid w:val="00170040"/>
    <w:rsid w:val="00171CC4"/>
    <w:rsid w:val="00176452"/>
    <w:rsid w:val="0018178F"/>
    <w:rsid w:val="001830CE"/>
    <w:rsid w:val="001866C2"/>
    <w:rsid w:val="00191078"/>
    <w:rsid w:val="00194BDA"/>
    <w:rsid w:val="0019759F"/>
    <w:rsid w:val="001A04CA"/>
    <w:rsid w:val="001A33CE"/>
    <w:rsid w:val="001A7509"/>
    <w:rsid w:val="001B2B34"/>
    <w:rsid w:val="001B5CDA"/>
    <w:rsid w:val="001C0B67"/>
    <w:rsid w:val="001C5054"/>
    <w:rsid w:val="001C7D2C"/>
    <w:rsid w:val="001D0EE0"/>
    <w:rsid w:val="001D27FD"/>
    <w:rsid w:val="001D5DB2"/>
    <w:rsid w:val="001E59C5"/>
    <w:rsid w:val="001F2347"/>
    <w:rsid w:val="001F3594"/>
    <w:rsid w:val="001F6261"/>
    <w:rsid w:val="00202014"/>
    <w:rsid w:val="002045FF"/>
    <w:rsid w:val="0020630A"/>
    <w:rsid w:val="00207502"/>
    <w:rsid w:val="002129FA"/>
    <w:rsid w:val="00215D8B"/>
    <w:rsid w:val="00223748"/>
    <w:rsid w:val="00223D11"/>
    <w:rsid w:val="00226B2F"/>
    <w:rsid w:val="00226F1A"/>
    <w:rsid w:val="00227485"/>
    <w:rsid w:val="00231723"/>
    <w:rsid w:val="0023208A"/>
    <w:rsid w:val="00233A41"/>
    <w:rsid w:val="002373BD"/>
    <w:rsid w:val="00237E19"/>
    <w:rsid w:val="002416F2"/>
    <w:rsid w:val="00242082"/>
    <w:rsid w:val="0024287D"/>
    <w:rsid w:val="0024524B"/>
    <w:rsid w:val="00246FB7"/>
    <w:rsid w:val="00252B12"/>
    <w:rsid w:val="002555E9"/>
    <w:rsid w:val="002568D1"/>
    <w:rsid w:val="0026540E"/>
    <w:rsid w:val="00267F14"/>
    <w:rsid w:val="00271525"/>
    <w:rsid w:val="00272E54"/>
    <w:rsid w:val="002743D8"/>
    <w:rsid w:val="00275327"/>
    <w:rsid w:val="002813F2"/>
    <w:rsid w:val="00283AD8"/>
    <w:rsid w:val="00283C46"/>
    <w:rsid w:val="00286094"/>
    <w:rsid w:val="00286AE5"/>
    <w:rsid w:val="00286AF5"/>
    <w:rsid w:val="00287519"/>
    <w:rsid w:val="002905A0"/>
    <w:rsid w:val="002928C0"/>
    <w:rsid w:val="00293079"/>
    <w:rsid w:val="00294D64"/>
    <w:rsid w:val="00294F70"/>
    <w:rsid w:val="0029590F"/>
    <w:rsid w:val="002A6C30"/>
    <w:rsid w:val="002B1C7A"/>
    <w:rsid w:val="002B68B9"/>
    <w:rsid w:val="002B69BF"/>
    <w:rsid w:val="002C0250"/>
    <w:rsid w:val="002C7CE5"/>
    <w:rsid w:val="002D1B7E"/>
    <w:rsid w:val="002D2F35"/>
    <w:rsid w:val="002E0610"/>
    <w:rsid w:val="002E2D4D"/>
    <w:rsid w:val="002E4F4C"/>
    <w:rsid w:val="002E58AD"/>
    <w:rsid w:val="002E6C05"/>
    <w:rsid w:val="002E75C6"/>
    <w:rsid w:val="002F1E00"/>
    <w:rsid w:val="002F3269"/>
    <w:rsid w:val="002F7020"/>
    <w:rsid w:val="00302398"/>
    <w:rsid w:val="00304E0E"/>
    <w:rsid w:val="0030542C"/>
    <w:rsid w:val="003063B4"/>
    <w:rsid w:val="003122FF"/>
    <w:rsid w:val="00313C56"/>
    <w:rsid w:val="00314E89"/>
    <w:rsid w:val="00315AD0"/>
    <w:rsid w:val="003205BB"/>
    <w:rsid w:val="00322D43"/>
    <w:rsid w:val="003230B4"/>
    <w:rsid w:val="003248F7"/>
    <w:rsid w:val="0032797B"/>
    <w:rsid w:val="00330970"/>
    <w:rsid w:val="0033196B"/>
    <w:rsid w:val="00336D42"/>
    <w:rsid w:val="00342A1F"/>
    <w:rsid w:val="00353190"/>
    <w:rsid w:val="0035323F"/>
    <w:rsid w:val="003563BE"/>
    <w:rsid w:val="00361554"/>
    <w:rsid w:val="0036414D"/>
    <w:rsid w:val="00365A51"/>
    <w:rsid w:val="00365BF7"/>
    <w:rsid w:val="003770B1"/>
    <w:rsid w:val="0038006E"/>
    <w:rsid w:val="00385FFD"/>
    <w:rsid w:val="00386DF9"/>
    <w:rsid w:val="00387FF7"/>
    <w:rsid w:val="00393547"/>
    <w:rsid w:val="003956EC"/>
    <w:rsid w:val="00397CC4"/>
    <w:rsid w:val="00397F41"/>
    <w:rsid w:val="003A08D7"/>
    <w:rsid w:val="003A54FE"/>
    <w:rsid w:val="003A7DEE"/>
    <w:rsid w:val="003B00DE"/>
    <w:rsid w:val="003B2BB9"/>
    <w:rsid w:val="003B2CD0"/>
    <w:rsid w:val="003B4F6F"/>
    <w:rsid w:val="003C3074"/>
    <w:rsid w:val="003D380B"/>
    <w:rsid w:val="003D4AB6"/>
    <w:rsid w:val="003D6CC1"/>
    <w:rsid w:val="003D7710"/>
    <w:rsid w:val="003E22FB"/>
    <w:rsid w:val="003E3331"/>
    <w:rsid w:val="003E5677"/>
    <w:rsid w:val="003E7593"/>
    <w:rsid w:val="003F0590"/>
    <w:rsid w:val="003F58F0"/>
    <w:rsid w:val="003F5E2E"/>
    <w:rsid w:val="00400608"/>
    <w:rsid w:val="00401156"/>
    <w:rsid w:val="004022B4"/>
    <w:rsid w:val="004022C4"/>
    <w:rsid w:val="0040287B"/>
    <w:rsid w:val="004064DB"/>
    <w:rsid w:val="00406F73"/>
    <w:rsid w:val="004156C3"/>
    <w:rsid w:val="00423965"/>
    <w:rsid w:val="00424174"/>
    <w:rsid w:val="00424E3D"/>
    <w:rsid w:val="00425477"/>
    <w:rsid w:val="00431305"/>
    <w:rsid w:val="00432CA7"/>
    <w:rsid w:val="0043437F"/>
    <w:rsid w:val="00442682"/>
    <w:rsid w:val="0044344E"/>
    <w:rsid w:val="00446292"/>
    <w:rsid w:val="00446F84"/>
    <w:rsid w:val="00447D89"/>
    <w:rsid w:val="004574F7"/>
    <w:rsid w:val="0046002D"/>
    <w:rsid w:val="00461417"/>
    <w:rsid w:val="00466DCC"/>
    <w:rsid w:val="004739C1"/>
    <w:rsid w:val="00474463"/>
    <w:rsid w:val="00482B3E"/>
    <w:rsid w:val="00482DD3"/>
    <w:rsid w:val="00483376"/>
    <w:rsid w:val="004919BC"/>
    <w:rsid w:val="004935EE"/>
    <w:rsid w:val="00495C4A"/>
    <w:rsid w:val="0049641D"/>
    <w:rsid w:val="004A392A"/>
    <w:rsid w:val="004A3949"/>
    <w:rsid w:val="004A652E"/>
    <w:rsid w:val="004A6BA4"/>
    <w:rsid w:val="004B3784"/>
    <w:rsid w:val="004B3ED5"/>
    <w:rsid w:val="004B4802"/>
    <w:rsid w:val="004C35B1"/>
    <w:rsid w:val="004C46E9"/>
    <w:rsid w:val="004C4C52"/>
    <w:rsid w:val="004C66C9"/>
    <w:rsid w:val="004D0373"/>
    <w:rsid w:val="004D4214"/>
    <w:rsid w:val="004D6FC9"/>
    <w:rsid w:val="004E0E6A"/>
    <w:rsid w:val="004E15EB"/>
    <w:rsid w:val="004E373F"/>
    <w:rsid w:val="004E3B3A"/>
    <w:rsid w:val="004E5D0E"/>
    <w:rsid w:val="004F76E5"/>
    <w:rsid w:val="00500377"/>
    <w:rsid w:val="005005B2"/>
    <w:rsid w:val="00510766"/>
    <w:rsid w:val="00511115"/>
    <w:rsid w:val="0051295E"/>
    <w:rsid w:val="005142EC"/>
    <w:rsid w:val="0051715D"/>
    <w:rsid w:val="0051776E"/>
    <w:rsid w:val="00524DF9"/>
    <w:rsid w:val="00524F10"/>
    <w:rsid w:val="00526B34"/>
    <w:rsid w:val="00527354"/>
    <w:rsid w:val="00530FEA"/>
    <w:rsid w:val="00531FE1"/>
    <w:rsid w:val="00532853"/>
    <w:rsid w:val="00536F74"/>
    <w:rsid w:val="005376F8"/>
    <w:rsid w:val="00540F30"/>
    <w:rsid w:val="005436A4"/>
    <w:rsid w:val="005442C9"/>
    <w:rsid w:val="00545F9A"/>
    <w:rsid w:val="00546B43"/>
    <w:rsid w:val="00546BE1"/>
    <w:rsid w:val="005479C1"/>
    <w:rsid w:val="00547BB3"/>
    <w:rsid w:val="0055249A"/>
    <w:rsid w:val="00552E3B"/>
    <w:rsid w:val="00553429"/>
    <w:rsid w:val="00556CAC"/>
    <w:rsid w:val="005621A2"/>
    <w:rsid w:val="005637BC"/>
    <w:rsid w:val="00570636"/>
    <w:rsid w:val="00572561"/>
    <w:rsid w:val="00575547"/>
    <w:rsid w:val="005762D6"/>
    <w:rsid w:val="005775CF"/>
    <w:rsid w:val="00577A14"/>
    <w:rsid w:val="00581B26"/>
    <w:rsid w:val="00582336"/>
    <w:rsid w:val="0058464B"/>
    <w:rsid w:val="0058635A"/>
    <w:rsid w:val="005868BA"/>
    <w:rsid w:val="005923B0"/>
    <w:rsid w:val="00593D48"/>
    <w:rsid w:val="00595B17"/>
    <w:rsid w:val="00597854"/>
    <w:rsid w:val="00597935"/>
    <w:rsid w:val="005A02C8"/>
    <w:rsid w:val="005A4F04"/>
    <w:rsid w:val="005A6847"/>
    <w:rsid w:val="005B06E0"/>
    <w:rsid w:val="005B21F7"/>
    <w:rsid w:val="005C009D"/>
    <w:rsid w:val="005C0D8A"/>
    <w:rsid w:val="005C1144"/>
    <w:rsid w:val="005C4530"/>
    <w:rsid w:val="005D5188"/>
    <w:rsid w:val="005D5FD5"/>
    <w:rsid w:val="005E2067"/>
    <w:rsid w:val="005E7700"/>
    <w:rsid w:val="005F0442"/>
    <w:rsid w:val="005F2A1C"/>
    <w:rsid w:val="005F371F"/>
    <w:rsid w:val="005F4DCC"/>
    <w:rsid w:val="005F583E"/>
    <w:rsid w:val="005F715B"/>
    <w:rsid w:val="00600FB6"/>
    <w:rsid w:val="0060183C"/>
    <w:rsid w:val="00602FB6"/>
    <w:rsid w:val="0060347E"/>
    <w:rsid w:val="00605639"/>
    <w:rsid w:val="00607B30"/>
    <w:rsid w:val="00610725"/>
    <w:rsid w:val="00612801"/>
    <w:rsid w:val="006145C7"/>
    <w:rsid w:val="00616DEC"/>
    <w:rsid w:val="006244C2"/>
    <w:rsid w:val="0062589C"/>
    <w:rsid w:val="00627E13"/>
    <w:rsid w:val="00637286"/>
    <w:rsid w:val="00642814"/>
    <w:rsid w:val="0064282F"/>
    <w:rsid w:val="006430B4"/>
    <w:rsid w:val="0064335A"/>
    <w:rsid w:val="00646D92"/>
    <w:rsid w:val="00651BB3"/>
    <w:rsid w:val="0065474B"/>
    <w:rsid w:val="0065746D"/>
    <w:rsid w:val="0066012F"/>
    <w:rsid w:val="00660326"/>
    <w:rsid w:val="006615E3"/>
    <w:rsid w:val="00661DBC"/>
    <w:rsid w:val="0066259A"/>
    <w:rsid w:val="00667552"/>
    <w:rsid w:val="00672506"/>
    <w:rsid w:val="006811DF"/>
    <w:rsid w:val="00681987"/>
    <w:rsid w:val="00683984"/>
    <w:rsid w:val="00683CEB"/>
    <w:rsid w:val="00685DB9"/>
    <w:rsid w:val="00690153"/>
    <w:rsid w:val="00690E76"/>
    <w:rsid w:val="006929E6"/>
    <w:rsid w:val="00694896"/>
    <w:rsid w:val="00696592"/>
    <w:rsid w:val="00697562"/>
    <w:rsid w:val="006A07B5"/>
    <w:rsid w:val="006A0A19"/>
    <w:rsid w:val="006A330F"/>
    <w:rsid w:val="006A7C6B"/>
    <w:rsid w:val="006B2009"/>
    <w:rsid w:val="006B65C5"/>
    <w:rsid w:val="006B6C33"/>
    <w:rsid w:val="006C453E"/>
    <w:rsid w:val="006C6A24"/>
    <w:rsid w:val="006C73FD"/>
    <w:rsid w:val="006D229E"/>
    <w:rsid w:val="006D3F5E"/>
    <w:rsid w:val="006D6D80"/>
    <w:rsid w:val="006E7C9A"/>
    <w:rsid w:val="006F0A4B"/>
    <w:rsid w:val="006F327E"/>
    <w:rsid w:val="006F55F2"/>
    <w:rsid w:val="006F5AB1"/>
    <w:rsid w:val="006F5E09"/>
    <w:rsid w:val="007040D8"/>
    <w:rsid w:val="007042F0"/>
    <w:rsid w:val="00704D66"/>
    <w:rsid w:val="0070566D"/>
    <w:rsid w:val="0070651B"/>
    <w:rsid w:val="00707098"/>
    <w:rsid w:val="007071CE"/>
    <w:rsid w:val="00707E4A"/>
    <w:rsid w:val="00717C06"/>
    <w:rsid w:val="00723421"/>
    <w:rsid w:val="007239CC"/>
    <w:rsid w:val="00726395"/>
    <w:rsid w:val="00732CED"/>
    <w:rsid w:val="00740576"/>
    <w:rsid w:val="00741898"/>
    <w:rsid w:val="007427AA"/>
    <w:rsid w:val="00745B22"/>
    <w:rsid w:val="007518B2"/>
    <w:rsid w:val="00751D99"/>
    <w:rsid w:val="0075239B"/>
    <w:rsid w:val="007546B9"/>
    <w:rsid w:val="007574C0"/>
    <w:rsid w:val="00764D4B"/>
    <w:rsid w:val="007735F5"/>
    <w:rsid w:val="00773657"/>
    <w:rsid w:val="007755EA"/>
    <w:rsid w:val="007813B2"/>
    <w:rsid w:val="007961F3"/>
    <w:rsid w:val="007A29DE"/>
    <w:rsid w:val="007A3ECB"/>
    <w:rsid w:val="007A46E0"/>
    <w:rsid w:val="007B27A8"/>
    <w:rsid w:val="007B2B5B"/>
    <w:rsid w:val="007B5361"/>
    <w:rsid w:val="007B7071"/>
    <w:rsid w:val="007B7091"/>
    <w:rsid w:val="007B729E"/>
    <w:rsid w:val="007C191D"/>
    <w:rsid w:val="007C4B37"/>
    <w:rsid w:val="007C4BEE"/>
    <w:rsid w:val="007C5487"/>
    <w:rsid w:val="007D3E34"/>
    <w:rsid w:val="007D6B2B"/>
    <w:rsid w:val="007D6FA1"/>
    <w:rsid w:val="007D74DF"/>
    <w:rsid w:val="007E0451"/>
    <w:rsid w:val="007E0B21"/>
    <w:rsid w:val="007E5C40"/>
    <w:rsid w:val="007F36E9"/>
    <w:rsid w:val="007F7298"/>
    <w:rsid w:val="007F77AF"/>
    <w:rsid w:val="00800F0D"/>
    <w:rsid w:val="008017A4"/>
    <w:rsid w:val="00802D60"/>
    <w:rsid w:val="00805CCC"/>
    <w:rsid w:val="00806809"/>
    <w:rsid w:val="0080769F"/>
    <w:rsid w:val="00810CB6"/>
    <w:rsid w:val="008117CE"/>
    <w:rsid w:val="00817B30"/>
    <w:rsid w:val="008218FE"/>
    <w:rsid w:val="00821D59"/>
    <w:rsid w:val="0082718B"/>
    <w:rsid w:val="008336DB"/>
    <w:rsid w:val="00841582"/>
    <w:rsid w:val="0084745E"/>
    <w:rsid w:val="008478DD"/>
    <w:rsid w:val="00847B74"/>
    <w:rsid w:val="00854B08"/>
    <w:rsid w:val="00856366"/>
    <w:rsid w:val="008639BF"/>
    <w:rsid w:val="00864E84"/>
    <w:rsid w:val="00865BA1"/>
    <w:rsid w:val="008725FA"/>
    <w:rsid w:val="0087536A"/>
    <w:rsid w:val="008842AE"/>
    <w:rsid w:val="00885CBF"/>
    <w:rsid w:val="00890BD1"/>
    <w:rsid w:val="00895D15"/>
    <w:rsid w:val="008968D7"/>
    <w:rsid w:val="008A1912"/>
    <w:rsid w:val="008A2262"/>
    <w:rsid w:val="008A5607"/>
    <w:rsid w:val="008A57FB"/>
    <w:rsid w:val="008A6DD7"/>
    <w:rsid w:val="008A753B"/>
    <w:rsid w:val="008B653E"/>
    <w:rsid w:val="008C4E44"/>
    <w:rsid w:val="008D0D76"/>
    <w:rsid w:val="008D1FCB"/>
    <w:rsid w:val="008D3B4B"/>
    <w:rsid w:val="008D7D72"/>
    <w:rsid w:val="008E04B1"/>
    <w:rsid w:val="008E47B6"/>
    <w:rsid w:val="008E4C85"/>
    <w:rsid w:val="008E7288"/>
    <w:rsid w:val="008F14C6"/>
    <w:rsid w:val="008F5A0D"/>
    <w:rsid w:val="008F79F6"/>
    <w:rsid w:val="00900CB6"/>
    <w:rsid w:val="00901A5A"/>
    <w:rsid w:val="00905347"/>
    <w:rsid w:val="00905A0C"/>
    <w:rsid w:val="00910021"/>
    <w:rsid w:val="009113DF"/>
    <w:rsid w:val="0091435B"/>
    <w:rsid w:val="009158FA"/>
    <w:rsid w:val="0091644D"/>
    <w:rsid w:val="00916528"/>
    <w:rsid w:val="00920A2D"/>
    <w:rsid w:val="00922E97"/>
    <w:rsid w:val="00922FDA"/>
    <w:rsid w:val="00923273"/>
    <w:rsid w:val="00923AAD"/>
    <w:rsid w:val="009251AE"/>
    <w:rsid w:val="00927602"/>
    <w:rsid w:val="00930BCD"/>
    <w:rsid w:val="009375E2"/>
    <w:rsid w:val="0094748C"/>
    <w:rsid w:val="0095722B"/>
    <w:rsid w:val="009617FA"/>
    <w:rsid w:val="00963A96"/>
    <w:rsid w:val="0096692C"/>
    <w:rsid w:val="00971DC7"/>
    <w:rsid w:val="00973849"/>
    <w:rsid w:val="00975261"/>
    <w:rsid w:val="00976AB7"/>
    <w:rsid w:val="009828E1"/>
    <w:rsid w:val="009841DB"/>
    <w:rsid w:val="00987078"/>
    <w:rsid w:val="009939CA"/>
    <w:rsid w:val="009A1D45"/>
    <w:rsid w:val="009A760A"/>
    <w:rsid w:val="009B160E"/>
    <w:rsid w:val="009B61B3"/>
    <w:rsid w:val="009B7182"/>
    <w:rsid w:val="009C4EE6"/>
    <w:rsid w:val="009C78F7"/>
    <w:rsid w:val="009D154E"/>
    <w:rsid w:val="009E3A3A"/>
    <w:rsid w:val="009E53A8"/>
    <w:rsid w:val="009E5A31"/>
    <w:rsid w:val="009E777C"/>
    <w:rsid w:val="009F066B"/>
    <w:rsid w:val="009F32C8"/>
    <w:rsid w:val="009F4A78"/>
    <w:rsid w:val="009F6A7B"/>
    <w:rsid w:val="00A00496"/>
    <w:rsid w:val="00A07E92"/>
    <w:rsid w:val="00A128D4"/>
    <w:rsid w:val="00A14E93"/>
    <w:rsid w:val="00A1550D"/>
    <w:rsid w:val="00A34080"/>
    <w:rsid w:val="00A3538F"/>
    <w:rsid w:val="00A3677E"/>
    <w:rsid w:val="00A42461"/>
    <w:rsid w:val="00A429E7"/>
    <w:rsid w:val="00A4355F"/>
    <w:rsid w:val="00A45DC0"/>
    <w:rsid w:val="00A47750"/>
    <w:rsid w:val="00A52CDB"/>
    <w:rsid w:val="00A62C79"/>
    <w:rsid w:val="00A65941"/>
    <w:rsid w:val="00A65A7E"/>
    <w:rsid w:val="00A66C3D"/>
    <w:rsid w:val="00A823ED"/>
    <w:rsid w:val="00A8306C"/>
    <w:rsid w:val="00A83D6C"/>
    <w:rsid w:val="00A933B1"/>
    <w:rsid w:val="00A94701"/>
    <w:rsid w:val="00AA5E36"/>
    <w:rsid w:val="00AB0C37"/>
    <w:rsid w:val="00AB2301"/>
    <w:rsid w:val="00AB6657"/>
    <w:rsid w:val="00AB68CE"/>
    <w:rsid w:val="00AC2BFE"/>
    <w:rsid w:val="00AC3084"/>
    <w:rsid w:val="00AC4A46"/>
    <w:rsid w:val="00AD03C8"/>
    <w:rsid w:val="00AD6B09"/>
    <w:rsid w:val="00AE111B"/>
    <w:rsid w:val="00AE262E"/>
    <w:rsid w:val="00AE4287"/>
    <w:rsid w:val="00AF2144"/>
    <w:rsid w:val="00AF35EF"/>
    <w:rsid w:val="00AF4090"/>
    <w:rsid w:val="00AF6823"/>
    <w:rsid w:val="00AF7C1A"/>
    <w:rsid w:val="00AF7EBA"/>
    <w:rsid w:val="00B00D25"/>
    <w:rsid w:val="00B02508"/>
    <w:rsid w:val="00B03C2A"/>
    <w:rsid w:val="00B118B2"/>
    <w:rsid w:val="00B120C0"/>
    <w:rsid w:val="00B13E39"/>
    <w:rsid w:val="00B1404A"/>
    <w:rsid w:val="00B14A68"/>
    <w:rsid w:val="00B160C3"/>
    <w:rsid w:val="00B1711A"/>
    <w:rsid w:val="00B17D13"/>
    <w:rsid w:val="00B214AD"/>
    <w:rsid w:val="00B22657"/>
    <w:rsid w:val="00B2519D"/>
    <w:rsid w:val="00B26777"/>
    <w:rsid w:val="00B31814"/>
    <w:rsid w:val="00B3740B"/>
    <w:rsid w:val="00B40936"/>
    <w:rsid w:val="00B410EC"/>
    <w:rsid w:val="00B41BCC"/>
    <w:rsid w:val="00B41D0A"/>
    <w:rsid w:val="00B50ACF"/>
    <w:rsid w:val="00B52494"/>
    <w:rsid w:val="00B54304"/>
    <w:rsid w:val="00B546A2"/>
    <w:rsid w:val="00B65862"/>
    <w:rsid w:val="00B67368"/>
    <w:rsid w:val="00B72621"/>
    <w:rsid w:val="00B72B07"/>
    <w:rsid w:val="00B73A43"/>
    <w:rsid w:val="00B73EC2"/>
    <w:rsid w:val="00B8008B"/>
    <w:rsid w:val="00B83BF6"/>
    <w:rsid w:val="00BA2B6A"/>
    <w:rsid w:val="00BA2CF1"/>
    <w:rsid w:val="00BA6A81"/>
    <w:rsid w:val="00BA6ED9"/>
    <w:rsid w:val="00BA77D9"/>
    <w:rsid w:val="00BC0F87"/>
    <w:rsid w:val="00BC21C5"/>
    <w:rsid w:val="00BC29CB"/>
    <w:rsid w:val="00BC2B53"/>
    <w:rsid w:val="00BC356A"/>
    <w:rsid w:val="00BC643B"/>
    <w:rsid w:val="00BC7699"/>
    <w:rsid w:val="00BD0345"/>
    <w:rsid w:val="00BD4A53"/>
    <w:rsid w:val="00BD6EB0"/>
    <w:rsid w:val="00BE1306"/>
    <w:rsid w:val="00BE19F7"/>
    <w:rsid w:val="00BE1B98"/>
    <w:rsid w:val="00BE23B6"/>
    <w:rsid w:val="00BE581A"/>
    <w:rsid w:val="00BF2109"/>
    <w:rsid w:val="00BF491A"/>
    <w:rsid w:val="00BF793C"/>
    <w:rsid w:val="00C00C8F"/>
    <w:rsid w:val="00C01ADA"/>
    <w:rsid w:val="00C06CB7"/>
    <w:rsid w:val="00C11D85"/>
    <w:rsid w:val="00C12979"/>
    <w:rsid w:val="00C13541"/>
    <w:rsid w:val="00C1688E"/>
    <w:rsid w:val="00C179F9"/>
    <w:rsid w:val="00C2159B"/>
    <w:rsid w:val="00C223CA"/>
    <w:rsid w:val="00C22626"/>
    <w:rsid w:val="00C2353E"/>
    <w:rsid w:val="00C32AA7"/>
    <w:rsid w:val="00C33D9A"/>
    <w:rsid w:val="00C344DB"/>
    <w:rsid w:val="00C35C8F"/>
    <w:rsid w:val="00C40F9B"/>
    <w:rsid w:val="00C431E5"/>
    <w:rsid w:val="00C46CDC"/>
    <w:rsid w:val="00C51C28"/>
    <w:rsid w:val="00C5294D"/>
    <w:rsid w:val="00C5635D"/>
    <w:rsid w:val="00C65E30"/>
    <w:rsid w:val="00C72C0C"/>
    <w:rsid w:val="00C73845"/>
    <w:rsid w:val="00C74DD4"/>
    <w:rsid w:val="00C77ABF"/>
    <w:rsid w:val="00C8221F"/>
    <w:rsid w:val="00C839E6"/>
    <w:rsid w:val="00C85A6F"/>
    <w:rsid w:val="00C9278B"/>
    <w:rsid w:val="00C93994"/>
    <w:rsid w:val="00C93E74"/>
    <w:rsid w:val="00C94A9F"/>
    <w:rsid w:val="00C94C05"/>
    <w:rsid w:val="00C95138"/>
    <w:rsid w:val="00C9771A"/>
    <w:rsid w:val="00CA1850"/>
    <w:rsid w:val="00CB0D33"/>
    <w:rsid w:val="00CB3A5B"/>
    <w:rsid w:val="00CB5F82"/>
    <w:rsid w:val="00CB68D9"/>
    <w:rsid w:val="00CC0DEB"/>
    <w:rsid w:val="00CC1D6B"/>
    <w:rsid w:val="00CD13FC"/>
    <w:rsid w:val="00CD2533"/>
    <w:rsid w:val="00CD2D53"/>
    <w:rsid w:val="00CD3142"/>
    <w:rsid w:val="00CE0089"/>
    <w:rsid w:val="00CE181B"/>
    <w:rsid w:val="00CE1DB8"/>
    <w:rsid w:val="00CE721D"/>
    <w:rsid w:val="00CF3BE4"/>
    <w:rsid w:val="00CF4650"/>
    <w:rsid w:val="00CF76CF"/>
    <w:rsid w:val="00D00B45"/>
    <w:rsid w:val="00D03127"/>
    <w:rsid w:val="00D04478"/>
    <w:rsid w:val="00D074F0"/>
    <w:rsid w:val="00D13992"/>
    <w:rsid w:val="00D1630C"/>
    <w:rsid w:val="00D1735E"/>
    <w:rsid w:val="00D20A74"/>
    <w:rsid w:val="00D25270"/>
    <w:rsid w:val="00D252DF"/>
    <w:rsid w:val="00D279AC"/>
    <w:rsid w:val="00D314A1"/>
    <w:rsid w:val="00D3248F"/>
    <w:rsid w:val="00D343D5"/>
    <w:rsid w:val="00D366CB"/>
    <w:rsid w:val="00D40089"/>
    <w:rsid w:val="00D47897"/>
    <w:rsid w:val="00D554E2"/>
    <w:rsid w:val="00D556D5"/>
    <w:rsid w:val="00D56DE9"/>
    <w:rsid w:val="00D65474"/>
    <w:rsid w:val="00D66668"/>
    <w:rsid w:val="00D67CD7"/>
    <w:rsid w:val="00D71753"/>
    <w:rsid w:val="00D722C1"/>
    <w:rsid w:val="00D73973"/>
    <w:rsid w:val="00D7451F"/>
    <w:rsid w:val="00D81623"/>
    <w:rsid w:val="00D82860"/>
    <w:rsid w:val="00D85F5B"/>
    <w:rsid w:val="00D90DF3"/>
    <w:rsid w:val="00DA117F"/>
    <w:rsid w:val="00DA170B"/>
    <w:rsid w:val="00DA66F1"/>
    <w:rsid w:val="00DA7205"/>
    <w:rsid w:val="00DB5A37"/>
    <w:rsid w:val="00DB747F"/>
    <w:rsid w:val="00DC0F45"/>
    <w:rsid w:val="00DC3BAE"/>
    <w:rsid w:val="00DD19D1"/>
    <w:rsid w:val="00DD2F25"/>
    <w:rsid w:val="00DD7F5C"/>
    <w:rsid w:val="00DF2DA8"/>
    <w:rsid w:val="00DF4F9E"/>
    <w:rsid w:val="00DF57E8"/>
    <w:rsid w:val="00DF6288"/>
    <w:rsid w:val="00DF62C0"/>
    <w:rsid w:val="00DF74DC"/>
    <w:rsid w:val="00E12100"/>
    <w:rsid w:val="00E15FDB"/>
    <w:rsid w:val="00E175F6"/>
    <w:rsid w:val="00E255DA"/>
    <w:rsid w:val="00E27700"/>
    <w:rsid w:val="00E30436"/>
    <w:rsid w:val="00E30E27"/>
    <w:rsid w:val="00E3159F"/>
    <w:rsid w:val="00E318F9"/>
    <w:rsid w:val="00E359EA"/>
    <w:rsid w:val="00E411BB"/>
    <w:rsid w:val="00E41340"/>
    <w:rsid w:val="00E42196"/>
    <w:rsid w:val="00E449EE"/>
    <w:rsid w:val="00E44D2C"/>
    <w:rsid w:val="00E46468"/>
    <w:rsid w:val="00E5002D"/>
    <w:rsid w:val="00E5272C"/>
    <w:rsid w:val="00E56AC1"/>
    <w:rsid w:val="00E61BA0"/>
    <w:rsid w:val="00E637F8"/>
    <w:rsid w:val="00E65462"/>
    <w:rsid w:val="00E65951"/>
    <w:rsid w:val="00E65B4C"/>
    <w:rsid w:val="00E745A8"/>
    <w:rsid w:val="00E74CF4"/>
    <w:rsid w:val="00E7732E"/>
    <w:rsid w:val="00E7780D"/>
    <w:rsid w:val="00E802AE"/>
    <w:rsid w:val="00E804C9"/>
    <w:rsid w:val="00E849EC"/>
    <w:rsid w:val="00E855EE"/>
    <w:rsid w:val="00E87132"/>
    <w:rsid w:val="00E90E8A"/>
    <w:rsid w:val="00E95D3C"/>
    <w:rsid w:val="00E95EC0"/>
    <w:rsid w:val="00E96996"/>
    <w:rsid w:val="00EA0576"/>
    <w:rsid w:val="00EA0FF5"/>
    <w:rsid w:val="00EA194A"/>
    <w:rsid w:val="00EA537E"/>
    <w:rsid w:val="00EA6BE4"/>
    <w:rsid w:val="00EB4279"/>
    <w:rsid w:val="00EB54C1"/>
    <w:rsid w:val="00EC46B9"/>
    <w:rsid w:val="00EC71B2"/>
    <w:rsid w:val="00ED73D6"/>
    <w:rsid w:val="00EE06A1"/>
    <w:rsid w:val="00EE23FE"/>
    <w:rsid w:val="00EE4380"/>
    <w:rsid w:val="00EE5AD2"/>
    <w:rsid w:val="00EE6BDB"/>
    <w:rsid w:val="00EE7535"/>
    <w:rsid w:val="00EF1FE9"/>
    <w:rsid w:val="00F01AFE"/>
    <w:rsid w:val="00F022B9"/>
    <w:rsid w:val="00F06E81"/>
    <w:rsid w:val="00F104D7"/>
    <w:rsid w:val="00F1473F"/>
    <w:rsid w:val="00F14DC8"/>
    <w:rsid w:val="00F1780E"/>
    <w:rsid w:val="00F24174"/>
    <w:rsid w:val="00F24E7A"/>
    <w:rsid w:val="00F261B8"/>
    <w:rsid w:val="00F3174E"/>
    <w:rsid w:val="00F334FF"/>
    <w:rsid w:val="00F35996"/>
    <w:rsid w:val="00F40164"/>
    <w:rsid w:val="00F417A6"/>
    <w:rsid w:val="00F4347E"/>
    <w:rsid w:val="00F453A8"/>
    <w:rsid w:val="00F46226"/>
    <w:rsid w:val="00F46C6D"/>
    <w:rsid w:val="00F55815"/>
    <w:rsid w:val="00F60D51"/>
    <w:rsid w:val="00F62903"/>
    <w:rsid w:val="00F6330A"/>
    <w:rsid w:val="00F63C35"/>
    <w:rsid w:val="00F65C5F"/>
    <w:rsid w:val="00F66C82"/>
    <w:rsid w:val="00F679B0"/>
    <w:rsid w:val="00F71E8E"/>
    <w:rsid w:val="00F743F1"/>
    <w:rsid w:val="00F749AD"/>
    <w:rsid w:val="00F74D9C"/>
    <w:rsid w:val="00F75657"/>
    <w:rsid w:val="00F81AC9"/>
    <w:rsid w:val="00F857CC"/>
    <w:rsid w:val="00F86C6B"/>
    <w:rsid w:val="00F871F7"/>
    <w:rsid w:val="00F9344B"/>
    <w:rsid w:val="00F96EC1"/>
    <w:rsid w:val="00FA3899"/>
    <w:rsid w:val="00FA5901"/>
    <w:rsid w:val="00FA713A"/>
    <w:rsid w:val="00FB31EB"/>
    <w:rsid w:val="00FB379F"/>
    <w:rsid w:val="00FB62CB"/>
    <w:rsid w:val="00FB7015"/>
    <w:rsid w:val="00FC0D16"/>
    <w:rsid w:val="00FC0EEC"/>
    <w:rsid w:val="00FC0FC2"/>
    <w:rsid w:val="00FC12E7"/>
    <w:rsid w:val="00FC3D26"/>
    <w:rsid w:val="00FC4551"/>
    <w:rsid w:val="00FC542E"/>
    <w:rsid w:val="00FC7827"/>
    <w:rsid w:val="00FD06E3"/>
    <w:rsid w:val="00FD12E0"/>
    <w:rsid w:val="00FD2E69"/>
    <w:rsid w:val="00FD3E9D"/>
    <w:rsid w:val="00FD501F"/>
    <w:rsid w:val="00FD53E7"/>
    <w:rsid w:val="00FE07B6"/>
    <w:rsid w:val="00FE0BE7"/>
    <w:rsid w:val="00FE0C48"/>
    <w:rsid w:val="00FE2020"/>
    <w:rsid w:val="00FE2E56"/>
    <w:rsid w:val="00FE3924"/>
    <w:rsid w:val="00FF2AD2"/>
    <w:rsid w:val="00FF43A7"/>
    <w:rsid w:val="00FF5516"/>
    <w:rsid w:val="00FF574C"/>
    <w:rsid w:val="00FF59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AEE1"/>
  <w15:docId w15:val="{81E72963-7540-4E42-B9A9-C233A787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44D"/>
    <w:pPr>
      <w:ind w:left="720"/>
      <w:contextualSpacing/>
    </w:pPr>
  </w:style>
  <w:style w:type="character" w:styleId="Hyperlink">
    <w:name w:val="Hyperlink"/>
    <w:basedOn w:val="DefaultParagraphFont"/>
    <w:uiPriority w:val="99"/>
    <w:unhideWhenUsed/>
    <w:rsid w:val="0082718B"/>
    <w:rPr>
      <w:color w:val="0000FF" w:themeColor="hyperlink"/>
      <w:u w:val="single"/>
    </w:rPr>
  </w:style>
  <w:style w:type="paragraph" w:styleId="BodyText">
    <w:name w:val="Body Text"/>
    <w:basedOn w:val="Normal"/>
    <w:link w:val="BodyTextChar"/>
    <w:uiPriority w:val="1"/>
    <w:qFormat/>
    <w:rsid w:val="00D279AC"/>
    <w:pPr>
      <w:widowControl w:val="0"/>
      <w:spacing w:after="0" w:line="240" w:lineRule="auto"/>
      <w:ind w:left="190"/>
    </w:pPr>
    <w:rPr>
      <w:rFonts w:ascii="Arial" w:eastAsia="Arial" w:hAnsi="Arial"/>
      <w:sz w:val="20"/>
      <w:szCs w:val="20"/>
      <w:lang w:val="en-US" w:eastAsia="en-US"/>
    </w:rPr>
  </w:style>
  <w:style w:type="character" w:customStyle="1" w:styleId="BodyTextChar">
    <w:name w:val="Body Text Char"/>
    <w:basedOn w:val="DefaultParagraphFont"/>
    <w:link w:val="BodyText"/>
    <w:uiPriority w:val="1"/>
    <w:rsid w:val="00D279AC"/>
    <w:rPr>
      <w:rFonts w:ascii="Arial" w:eastAsia="Arial" w:hAnsi="Arial"/>
      <w:sz w:val="20"/>
      <w:szCs w:val="20"/>
      <w:lang w:val="en-US" w:eastAsia="en-US"/>
    </w:rPr>
  </w:style>
  <w:style w:type="character" w:customStyle="1" w:styleId="highlight2">
    <w:name w:val="highlight2"/>
    <w:basedOn w:val="DefaultParagraphFont"/>
    <w:rsid w:val="00D1735E"/>
  </w:style>
  <w:style w:type="character" w:styleId="FollowedHyperlink">
    <w:name w:val="FollowedHyperlink"/>
    <w:basedOn w:val="DefaultParagraphFont"/>
    <w:uiPriority w:val="99"/>
    <w:semiHidden/>
    <w:unhideWhenUsed/>
    <w:rsid w:val="007B7091"/>
    <w:rPr>
      <w:color w:val="800080" w:themeColor="followedHyperlink"/>
      <w:u w:val="single"/>
    </w:rPr>
  </w:style>
  <w:style w:type="paragraph" w:styleId="Header">
    <w:name w:val="header"/>
    <w:basedOn w:val="Normal"/>
    <w:link w:val="HeaderChar"/>
    <w:uiPriority w:val="99"/>
    <w:unhideWhenUsed/>
    <w:rsid w:val="00D81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623"/>
  </w:style>
  <w:style w:type="paragraph" w:styleId="Footer">
    <w:name w:val="footer"/>
    <w:basedOn w:val="Normal"/>
    <w:link w:val="FooterChar"/>
    <w:uiPriority w:val="99"/>
    <w:unhideWhenUsed/>
    <w:rsid w:val="00D81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623"/>
  </w:style>
  <w:style w:type="character" w:styleId="PlaceholderText">
    <w:name w:val="Placeholder Text"/>
    <w:basedOn w:val="DefaultParagraphFont"/>
    <w:uiPriority w:val="99"/>
    <w:semiHidden/>
    <w:rsid w:val="00C95138"/>
    <w:rPr>
      <w:color w:val="808080"/>
    </w:rPr>
  </w:style>
  <w:style w:type="paragraph" w:styleId="BalloonText">
    <w:name w:val="Balloon Text"/>
    <w:basedOn w:val="Normal"/>
    <w:link w:val="BalloonTextChar"/>
    <w:uiPriority w:val="99"/>
    <w:semiHidden/>
    <w:unhideWhenUsed/>
    <w:rsid w:val="00C95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138"/>
    <w:rPr>
      <w:rFonts w:ascii="Tahoma" w:hAnsi="Tahoma" w:cs="Tahoma"/>
      <w:sz w:val="16"/>
      <w:szCs w:val="16"/>
    </w:rPr>
  </w:style>
  <w:style w:type="character" w:styleId="CommentReference">
    <w:name w:val="annotation reference"/>
    <w:basedOn w:val="DefaultParagraphFont"/>
    <w:uiPriority w:val="99"/>
    <w:semiHidden/>
    <w:unhideWhenUsed/>
    <w:rsid w:val="004D6FC9"/>
    <w:rPr>
      <w:sz w:val="16"/>
      <w:szCs w:val="16"/>
    </w:rPr>
  </w:style>
  <w:style w:type="paragraph" w:styleId="CommentText">
    <w:name w:val="annotation text"/>
    <w:basedOn w:val="Normal"/>
    <w:link w:val="CommentTextChar"/>
    <w:uiPriority w:val="99"/>
    <w:semiHidden/>
    <w:unhideWhenUsed/>
    <w:rsid w:val="004D6FC9"/>
    <w:pPr>
      <w:spacing w:line="240" w:lineRule="auto"/>
    </w:pPr>
    <w:rPr>
      <w:sz w:val="20"/>
      <w:szCs w:val="20"/>
    </w:rPr>
  </w:style>
  <w:style w:type="character" w:customStyle="1" w:styleId="CommentTextChar">
    <w:name w:val="Comment Text Char"/>
    <w:basedOn w:val="DefaultParagraphFont"/>
    <w:link w:val="CommentText"/>
    <w:uiPriority w:val="99"/>
    <w:semiHidden/>
    <w:rsid w:val="004D6FC9"/>
    <w:rPr>
      <w:sz w:val="20"/>
      <w:szCs w:val="20"/>
    </w:rPr>
  </w:style>
  <w:style w:type="paragraph" w:styleId="CommentSubject">
    <w:name w:val="annotation subject"/>
    <w:basedOn w:val="CommentText"/>
    <w:next w:val="CommentText"/>
    <w:link w:val="CommentSubjectChar"/>
    <w:uiPriority w:val="99"/>
    <w:semiHidden/>
    <w:unhideWhenUsed/>
    <w:rsid w:val="004D6FC9"/>
    <w:rPr>
      <w:b/>
      <w:bCs/>
    </w:rPr>
  </w:style>
  <w:style w:type="character" w:customStyle="1" w:styleId="CommentSubjectChar">
    <w:name w:val="Comment Subject Char"/>
    <w:basedOn w:val="CommentTextChar"/>
    <w:link w:val="CommentSubject"/>
    <w:uiPriority w:val="99"/>
    <w:semiHidden/>
    <w:rsid w:val="004D6FC9"/>
    <w:rPr>
      <w:b/>
      <w:bCs/>
      <w:sz w:val="20"/>
      <w:szCs w:val="20"/>
    </w:rPr>
  </w:style>
  <w:style w:type="table" w:styleId="TableGrid">
    <w:name w:val="Table Grid"/>
    <w:basedOn w:val="TableNormal"/>
    <w:uiPriority w:val="39"/>
    <w:rsid w:val="00577A1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16671">
      <w:bodyDiv w:val="1"/>
      <w:marLeft w:val="0"/>
      <w:marRight w:val="0"/>
      <w:marTop w:val="0"/>
      <w:marBottom w:val="0"/>
      <w:divBdr>
        <w:top w:val="none" w:sz="0" w:space="0" w:color="auto"/>
        <w:left w:val="none" w:sz="0" w:space="0" w:color="auto"/>
        <w:bottom w:val="none" w:sz="0" w:space="0" w:color="auto"/>
        <w:right w:val="none" w:sz="0" w:space="0" w:color="auto"/>
      </w:divBdr>
    </w:div>
    <w:div w:id="737822686">
      <w:bodyDiv w:val="1"/>
      <w:marLeft w:val="0"/>
      <w:marRight w:val="0"/>
      <w:marTop w:val="0"/>
      <w:marBottom w:val="0"/>
      <w:divBdr>
        <w:top w:val="none" w:sz="0" w:space="0" w:color="auto"/>
        <w:left w:val="none" w:sz="0" w:space="0" w:color="auto"/>
        <w:bottom w:val="none" w:sz="0" w:space="0" w:color="auto"/>
        <w:right w:val="none" w:sz="0" w:space="0" w:color="auto"/>
      </w:divBdr>
    </w:div>
    <w:div w:id="944311029">
      <w:bodyDiv w:val="1"/>
      <w:marLeft w:val="0"/>
      <w:marRight w:val="0"/>
      <w:marTop w:val="0"/>
      <w:marBottom w:val="0"/>
      <w:divBdr>
        <w:top w:val="none" w:sz="0" w:space="0" w:color="auto"/>
        <w:left w:val="none" w:sz="0" w:space="0" w:color="auto"/>
        <w:bottom w:val="none" w:sz="0" w:space="0" w:color="auto"/>
        <w:right w:val="none" w:sz="0" w:space="0" w:color="auto"/>
      </w:divBdr>
    </w:div>
    <w:div w:id="1106189801">
      <w:bodyDiv w:val="1"/>
      <w:marLeft w:val="0"/>
      <w:marRight w:val="0"/>
      <w:marTop w:val="0"/>
      <w:marBottom w:val="0"/>
      <w:divBdr>
        <w:top w:val="none" w:sz="0" w:space="0" w:color="auto"/>
        <w:left w:val="none" w:sz="0" w:space="0" w:color="auto"/>
        <w:bottom w:val="none" w:sz="0" w:space="0" w:color="auto"/>
        <w:right w:val="none" w:sz="0" w:space="0" w:color="auto"/>
      </w:divBdr>
    </w:div>
    <w:div w:id="1302732249">
      <w:bodyDiv w:val="1"/>
      <w:marLeft w:val="0"/>
      <w:marRight w:val="0"/>
      <w:marTop w:val="0"/>
      <w:marBottom w:val="0"/>
      <w:divBdr>
        <w:top w:val="none" w:sz="0" w:space="0" w:color="auto"/>
        <w:left w:val="none" w:sz="0" w:space="0" w:color="auto"/>
        <w:bottom w:val="none" w:sz="0" w:space="0" w:color="auto"/>
        <w:right w:val="none" w:sz="0" w:space="0" w:color="auto"/>
      </w:divBdr>
    </w:div>
    <w:div w:id="1629319591">
      <w:bodyDiv w:val="1"/>
      <w:marLeft w:val="0"/>
      <w:marRight w:val="0"/>
      <w:marTop w:val="0"/>
      <w:marBottom w:val="0"/>
      <w:divBdr>
        <w:top w:val="none" w:sz="0" w:space="0" w:color="auto"/>
        <w:left w:val="none" w:sz="0" w:space="0" w:color="auto"/>
        <w:bottom w:val="none" w:sz="0" w:space="0" w:color="auto"/>
        <w:right w:val="none" w:sz="0" w:space="0" w:color="auto"/>
      </w:divBdr>
    </w:div>
    <w:div w:id="1791700628">
      <w:bodyDiv w:val="1"/>
      <w:marLeft w:val="0"/>
      <w:marRight w:val="0"/>
      <w:marTop w:val="0"/>
      <w:marBottom w:val="0"/>
      <w:divBdr>
        <w:top w:val="none" w:sz="0" w:space="0" w:color="auto"/>
        <w:left w:val="none" w:sz="0" w:space="0" w:color="auto"/>
        <w:bottom w:val="none" w:sz="0" w:space="0" w:color="auto"/>
        <w:right w:val="none" w:sz="0" w:space="0" w:color="auto"/>
      </w:divBdr>
      <w:divsChild>
        <w:div w:id="1179075842">
          <w:marLeft w:val="0"/>
          <w:marRight w:val="1"/>
          <w:marTop w:val="0"/>
          <w:marBottom w:val="0"/>
          <w:divBdr>
            <w:top w:val="none" w:sz="0" w:space="0" w:color="auto"/>
            <w:left w:val="none" w:sz="0" w:space="0" w:color="auto"/>
            <w:bottom w:val="none" w:sz="0" w:space="0" w:color="auto"/>
            <w:right w:val="none" w:sz="0" w:space="0" w:color="auto"/>
          </w:divBdr>
          <w:divsChild>
            <w:div w:id="1543321018">
              <w:marLeft w:val="0"/>
              <w:marRight w:val="0"/>
              <w:marTop w:val="0"/>
              <w:marBottom w:val="0"/>
              <w:divBdr>
                <w:top w:val="none" w:sz="0" w:space="0" w:color="auto"/>
                <w:left w:val="none" w:sz="0" w:space="0" w:color="auto"/>
                <w:bottom w:val="none" w:sz="0" w:space="0" w:color="auto"/>
                <w:right w:val="none" w:sz="0" w:space="0" w:color="auto"/>
              </w:divBdr>
              <w:divsChild>
                <w:div w:id="1295454008">
                  <w:marLeft w:val="0"/>
                  <w:marRight w:val="1"/>
                  <w:marTop w:val="0"/>
                  <w:marBottom w:val="0"/>
                  <w:divBdr>
                    <w:top w:val="none" w:sz="0" w:space="0" w:color="auto"/>
                    <w:left w:val="none" w:sz="0" w:space="0" w:color="auto"/>
                    <w:bottom w:val="none" w:sz="0" w:space="0" w:color="auto"/>
                    <w:right w:val="none" w:sz="0" w:space="0" w:color="auto"/>
                  </w:divBdr>
                  <w:divsChild>
                    <w:div w:id="558368270">
                      <w:marLeft w:val="0"/>
                      <w:marRight w:val="0"/>
                      <w:marTop w:val="0"/>
                      <w:marBottom w:val="0"/>
                      <w:divBdr>
                        <w:top w:val="none" w:sz="0" w:space="0" w:color="auto"/>
                        <w:left w:val="none" w:sz="0" w:space="0" w:color="auto"/>
                        <w:bottom w:val="none" w:sz="0" w:space="0" w:color="auto"/>
                        <w:right w:val="none" w:sz="0" w:space="0" w:color="auto"/>
                      </w:divBdr>
                      <w:divsChild>
                        <w:div w:id="843055209">
                          <w:marLeft w:val="0"/>
                          <w:marRight w:val="0"/>
                          <w:marTop w:val="0"/>
                          <w:marBottom w:val="0"/>
                          <w:divBdr>
                            <w:top w:val="none" w:sz="0" w:space="0" w:color="auto"/>
                            <w:left w:val="none" w:sz="0" w:space="0" w:color="auto"/>
                            <w:bottom w:val="none" w:sz="0" w:space="0" w:color="auto"/>
                            <w:right w:val="none" w:sz="0" w:space="0" w:color="auto"/>
                          </w:divBdr>
                          <w:divsChild>
                            <w:div w:id="1355419820">
                              <w:marLeft w:val="0"/>
                              <w:marRight w:val="0"/>
                              <w:marTop w:val="0"/>
                              <w:marBottom w:val="0"/>
                              <w:divBdr>
                                <w:top w:val="none" w:sz="0" w:space="0" w:color="auto"/>
                                <w:left w:val="none" w:sz="0" w:space="0" w:color="auto"/>
                                <w:bottom w:val="none" w:sz="0" w:space="0" w:color="auto"/>
                                <w:right w:val="none" w:sz="0" w:space="0" w:color="auto"/>
                              </w:divBdr>
                            </w:div>
                          </w:divsChild>
                        </w:div>
                        <w:div w:id="529689345">
                          <w:marLeft w:val="0"/>
                          <w:marRight w:val="0"/>
                          <w:marTop w:val="0"/>
                          <w:marBottom w:val="0"/>
                          <w:divBdr>
                            <w:top w:val="none" w:sz="0" w:space="0" w:color="auto"/>
                            <w:left w:val="none" w:sz="0" w:space="0" w:color="auto"/>
                            <w:bottom w:val="none" w:sz="0" w:space="0" w:color="auto"/>
                            <w:right w:val="none" w:sz="0" w:space="0" w:color="auto"/>
                          </w:divBdr>
                          <w:divsChild>
                            <w:div w:id="1642342113">
                              <w:marLeft w:val="0"/>
                              <w:marRight w:val="0"/>
                              <w:marTop w:val="120"/>
                              <w:marBottom w:val="360"/>
                              <w:divBdr>
                                <w:top w:val="none" w:sz="0" w:space="0" w:color="auto"/>
                                <w:left w:val="none" w:sz="0" w:space="0" w:color="auto"/>
                                <w:bottom w:val="none" w:sz="0" w:space="0" w:color="auto"/>
                                <w:right w:val="none" w:sz="0" w:space="0" w:color="auto"/>
                              </w:divBdr>
                              <w:divsChild>
                                <w:div w:id="13059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ints.soton.ac.uk/439309/1/CoV_19POC_Protocol_v1.1_eprint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W.Clark@soton.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gland.nhs.uk/coronavirus/wpcontent/uploads/sites/52/2020/03/guidance-and-sop-covid-19-virus-testing-in-nhs-laboratories-v1.pdf" TargetMode="External"/><Relationship Id="rId5" Type="http://schemas.openxmlformats.org/officeDocument/2006/relationships/footnotes" Target="footnotes.xml"/><Relationship Id="rId10" Type="http://schemas.openxmlformats.org/officeDocument/2006/relationships/hyperlink" Target="https://www.fda.gov/media/136571/download" TargetMode="External"/><Relationship Id="rId4" Type="http://schemas.openxmlformats.org/officeDocument/2006/relationships/webSettings" Target="webSettings.xml"/><Relationship Id="rId9" Type="http://schemas.openxmlformats.org/officeDocument/2006/relationships/hyperlink" Target="https://www.febridx.com/how-to-us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4608</Words>
  <Characters>26268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 T.W.</dc:creator>
  <cp:lastModifiedBy>Clark T.W.</cp:lastModifiedBy>
  <cp:revision>2</cp:revision>
  <dcterms:created xsi:type="dcterms:W3CDTF">2020-06-18T16:06:00Z</dcterms:created>
  <dcterms:modified xsi:type="dcterms:W3CDTF">2020-06-18T16:06:00Z</dcterms:modified>
</cp:coreProperties>
</file>