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56640" w:rsidRDefault="00AC3D86">
      <w:pPr>
        <w:spacing w:after="120" w:line="36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Abstract (250 words)</w:t>
      </w:r>
    </w:p>
    <w:p w14:paraId="00000002" w14:textId="77777777"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Objective</w:t>
      </w:r>
      <w:r>
        <w:rPr>
          <w:rFonts w:ascii="Times New Roman" w:eastAsia="Times New Roman" w:hAnsi="Times New Roman" w:cs="Times New Roman"/>
          <w:sz w:val="24"/>
          <w:szCs w:val="24"/>
        </w:rPr>
        <w:t>: To explore adolescents’ perceptions, knowledge and behaviors regarding nutrition and physical activity in low-income districts of Abidjan, Côte d’Ivoire, taking into consideration their caregivers’ perspectives.</w:t>
      </w:r>
    </w:p>
    <w:p w14:paraId="00000003" w14:textId="77777777"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Design</w:t>
      </w:r>
      <w:r>
        <w:rPr>
          <w:rFonts w:ascii="Times New Roman" w:eastAsia="Times New Roman" w:hAnsi="Times New Roman" w:cs="Times New Roman"/>
          <w:sz w:val="24"/>
          <w:szCs w:val="24"/>
        </w:rPr>
        <w:t>: Two investigators conducted six focus group discussions (FGDs).</w:t>
      </w:r>
    </w:p>
    <w:p w14:paraId="00000004" w14:textId="77777777"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Setting</w:t>
      </w:r>
      <w:r>
        <w:rPr>
          <w:rFonts w:ascii="Times New Roman" w:eastAsia="Times New Roman" w:hAnsi="Times New Roman" w:cs="Times New Roman"/>
          <w:sz w:val="24"/>
          <w:szCs w:val="24"/>
        </w:rPr>
        <w:t>: The study was carried out in two low-income suburbs, Yopougon and Port-Bouët in Abidjan, Côte d’Ivoire.</w:t>
      </w:r>
    </w:p>
    <w:p w14:paraId="00000005" w14:textId="77777777"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Subjects</w:t>
      </w:r>
      <w:r>
        <w:rPr>
          <w:rFonts w:ascii="Times New Roman" w:eastAsia="Times New Roman" w:hAnsi="Times New Roman" w:cs="Times New Roman"/>
          <w:sz w:val="24"/>
          <w:szCs w:val="24"/>
        </w:rPr>
        <w:t>: Adolescents and their caregivers were recruited into the study via local head teachers and heads of settlement.</w:t>
      </w:r>
    </w:p>
    <w:p w14:paraId="00000006" w14:textId="77777777" w:rsidR="00556640" w:rsidRDefault="00AC3D86">
      <w:pPr>
        <w:spacing w:after="12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 xml:space="preserve">Results: </w:t>
      </w:r>
      <w:r>
        <w:rPr>
          <w:rFonts w:ascii="Times New Roman" w:eastAsia="Times New Roman" w:hAnsi="Times New Roman" w:cs="Times New Roman"/>
          <w:sz w:val="24"/>
          <w:szCs w:val="24"/>
        </w:rPr>
        <w:t>Overall, 72 participants, including 46 adolescents and 26 caregivers took part. Participants demonstrated good nutrition knowledge, relating nutritional health to a balanced diet and hygiene. Sustained physical activity was reported. However, adopting good practices was challenging due to participant’s economic circumstances. Their environment was a barrier to improving health due to dirtiness and violence, with a lack of space limiting the possibility to practice sport. Adolescents and their caregivers differed in their response to these constraints. Many caregivers felt powerless and suggested a political response was the solution. Alternatively, adolescents were more likely to suggest new creative solutions such as youth-friendly centers within their community.</w:t>
      </w:r>
    </w:p>
    <w:p w14:paraId="00000007" w14:textId="77777777"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Conclusions: </w:t>
      </w:r>
      <w:r>
        <w:rPr>
          <w:rFonts w:ascii="Times New Roman" w:eastAsia="Times New Roman" w:hAnsi="Times New Roman" w:cs="Times New Roman"/>
          <w:sz w:val="24"/>
          <w:szCs w:val="24"/>
        </w:rPr>
        <w:t xml:space="preserve">Participants were aware that their nutritional habits were not in line with what they had learnt to be good nutritional practices, due to socio-economic constraints. Physical activity was part of adolescent life but opportunities to exercise were restricted by their environment. Strategies for improving adolescent health in these settings need to be developed in collaboration with adolescents in a manner that accommodates their opinions and solutions. </w:t>
      </w:r>
    </w:p>
    <w:p w14:paraId="00000008" w14:textId="77777777" w:rsidR="00556640" w:rsidRDefault="00556640">
      <w:pPr>
        <w:spacing w:after="120" w:line="360" w:lineRule="auto"/>
        <w:jc w:val="both"/>
        <w:rPr>
          <w:rFonts w:ascii="Times New Roman" w:eastAsia="Times New Roman" w:hAnsi="Times New Roman" w:cs="Times New Roman"/>
          <w:sz w:val="24"/>
          <w:szCs w:val="24"/>
        </w:rPr>
      </w:pPr>
    </w:p>
    <w:p w14:paraId="00000009" w14:textId="77777777" w:rsidR="00556640" w:rsidRDefault="00AC3D86">
      <w:pPr>
        <w:spacing w:after="120" w:line="36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Keywords: </w:t>
      </w:r>
    </w:p>
    <w:p w14:paraId="0000000A" w14:textId="77777777" w:rsidR="00556640" w:rsidRDefault="00AC3D86">
      <w:pPr>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Adolescents, Caregivers, West Africa, Nutrition, Physical activity</w:t>
      </w:r>
    </w:p>
    <w:p w14:paraId="0000000B" w14:textId="77777777" w:rsidR="00556640" w:rsidRDefault="00AC3D86">
      <w:pPr>
        <w:spacing w:after="120" w:line="360" w:lineRule="auto"/>
        <w:rPr>
          <w:rFonts w:ascii="Times New Roman" w:eastAsia="Times New Roman" w:hAnsi="Times New Roman" w:cs="Times New Roman"/>
          <w:b/>
          <w:sz w:val="24"/>
          <w:szCs w:val="24"/>
          <w:u w:val="single"/>
        </w:rPr>
      </w:pPr>
      <w:r>
        <w:br w:type="page"/>
      </w:r>
    </w:p>
    <w:p w14:paraId="0000000C" w14:textId="77777777" w:rsidR="00556640" w:rsidRDefault="00AC3D86">
      <w:pPr>
        <w:spacing w:after="12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Introduction</w:t>
      </w:r>
    </w:p>
    <w:p w14:paraId="0000000D" w14:textId="1E97F28F" w:rsidR="00556640" w:rsidRPr="00DC180C" w:rsidRDefault="00AC3D86">
      <w:pPr>
        <w:spacing w:after="120" w:line="360" w:lineRule="auto"/>
        <w:jc w:val="both"/>
        <w:rPr>
          <w:rFonts w:ascii="Times New Roman" w:eastAsia="Times New Roman" w:hAnsi="Times New Roman" w:cs="Times New Roman"/>
          <w:sz w:val="24"/>
          <w:szCs w:val="24"/>
        </w:rPr>
      </w:pPr>
      <w:r w:rsidRPr="00DC180C">
        <w:rPr>
          <w:rFonts w:ascii="Times New Roman" w:eastAsia="Times New Roman" w:hAnsi="Times New Roman" w:cs="Times New Roman"/>
          <w:sz w:val="24"/>
          <w:szCs w:val="24"/>
        </w:rPr>
        <w:t xml:space="preserve">Adolescents in West Africa face a high risk of malnutrition during childhood and throughout their life (1-2). In this region, malnutrition can be caused by poor and unsanitary living conditions, lack of agricultural productivity combined with rapid population growth leading to food insecurity, as well as geopolitical conflicts and infectious diseases (1). Moreover, West African countries are at the early stages of nutrition transition with increasing incidence of diabetes and obesity (2-4). While </w:t>
      </w:r>
      <w:r>
        <w:rPr>
          <w:rFonts w:ascii="Times New Roman" w:eastAsia="Times New Roman" w:hAnsi="Times New Roman" w:cs="Times New Roman"/>
          <w:sz w:val="24"/>
          <w:szCs w:val="24"/>
        </w:rPr>
        <w:t xml:space="preserve">the burden of malnutrition is high, and its consequences on development are salient, the nutritional health of adolescents living in these settings is under-researched (5). Studies on adolescent health in </w:t>
      </w:r>
      <w:r w:rsidRPr="00DC180C">
        <w:rPr>
          <w:rFonts w:ascii="Times New Roman" w:eastAsia="Times New Roman" w:hAnsi="Times New Roman" w:cs="Times New Roman"/>
          <w:sz w:val="24"/>
          <w:szCs w:val="24"/>
        </w:rPr>
        <w:t xml:space="preserve">sub-Saharan Africa have mainly focused on sexual and reproductive health (6) and HIV/AIDS (7), but other topics remain neglected (8). Adolescents in such societies are usually considered healthy in comparison to others in the population </w:t>
      </w:r>
      <w:sdt>
        <w:sdtPr>
          <w:tag w:val="goog_rdk_0"/>
          <w:id w:val="-373459200"/>
        </w:sdtPr>
        <w:sdtEndPr/>
        <w:sdtContent/>
      </w:sdt>
      <w:r w:rsidR="00703E60" w:rsidRPr="00DC180C">
        <w:rPr>
          <w:rFonts w:ascii="Times New Roman" w:eastAsia="Times New Roman" w:hAnsi="Times New Roman" w:cs="Times New Roman"/>
          <w:sz w:val="24"/>
          <w:szCs w:val="24"/>
        </w:rPr>
        <w:t>(9</w:t>
      </w:r>
      <w:r w:rsidRPr="00DC180C">
        <w:rPr>
          <w:rFonts w:ascii="Times New Roman" w:eastAsia="Times New Roman" w:hAnsi="Times New Roman" w:cs="Times New Roman"/>
          <w:sz w:val="24"/>
          <w:szCs w:val="24"/>
        </w:rPr>
        <w:t>). Furthermore, adolescence is seen as a period of great cha</w:t>
      </w:r>
      <w:r w:rsidR="00703E60" w:rsidRPr="00DC180C">
        <w:rPr>
          <w:rFonts w:ascii="Times New Roman" w:eastAsia="Times New Roman" w:hAnsi="Times New Roman" w:cs="Times New Roman"/>
          <w:sz w:val="24"/>
          <w:szCs w:val="24"/>
        </w:rPr>
        <w:t>nge, with increasing autonomy (10</w:t>
      </w:r>
      <w:r w:rsidRPr="00DC180C">
        <w:rPr>
          <w:rFonts w:ascii="Times New Roman" w:eastAsia="Times New Roman" w:hAnsi="Times New Roman" w:cs="Times New Roman"/>
          <w:sz w:val="24"/>
          <w:szCs w:val="24"/>
        </w:rPr>
        <w:t>). Taking adolescents’ perspectives into account is essential to developing interventions and global health responses that address their needs and priorities, and understand the contexts in which they live. Despite growing awareness of the importance of engaging</w:t>
      </w:r>
      <w:r w:rsidR="00703E60" w:rsidRPr="00DC180C">
        <w:rPr>
          <w:rFonts w:ascii="Times New Roman" w:eastAsia="Times New Roman" w:hAnsi="Times New Roman" w:cs="Times New Roman"/>
          <w:sz w:val="24"/>
          <w:szCs w:val="24"/>
        </w:rPr>
        <w:t xml:space="preserve"> adolescents in this process (11</w:t>
      </w:r>
      <w:r w:rsidRPr="00DC180C">
        <w:rPr>
          <w:rFonts w:ascii="Times New Roman" w:eastAsia="Times New Roman" w:hAnsi="Times New Roman" w:cs="Times New Roman"/>
          <w:sz w:val="24"/>
          <w:szCs w:val="24"/>
        </w:rPr>
        <w:t>), few studies have done so. To our knowledge, adolescents’ and caregivers’ perspectives on diet and physical activity remain under-do</w:t>
      </w:r>
      <w:r w:rsidR="00703E60" w:rsidRPr="00DC180C">
        <w:rPr>
          <w:rFonts w:ascii="Times New Roman" w:eastAsia="Times New Roman" w:hAnsi="Times New Roman" w:cs="Times New Roman"/>
          <w:sz w:val="24"/>
          <w:szCs w:val="24"/>
        </w:rPr>
        <w:t>cumented in West Africa (12,13</w:t>
      </w:r>
      <w:r w:rsidRPr="00DC180C">
        <w:rPr>
          <w:rFonts w:ascii="Times New Roman" w:eastAsia="Times New Roman" w:hAnsi="Times New Roman" w:cs="Times New Roman"/>
          <w:sz w:val="24"/>
          <w:szCs w:val="24"/>
        </w:rPr>
        <w:t xml:space="preserve">).   </w:t>
      </w:r>
    </w:p>
    <w:p w14:paraId="0000000E" w14:textId="73F7F6DD"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low-income settings, nutritional practices are often shaped by education and a lack of resources </w:t>
      </w:r>
      <w:r w:rsidRPr="00DC180C">
        <w:rPr>
          <w:rFonts w:ascii="Times New Roman" w:eastAsia="Times New Roman" w:hAnsi="Times New Roman" w:cs="Times New Roman"/>
          <w:sz w:val="24"/>
          <w:szCs w:val="24"/>
        </w:rPr>
        <w:t>rather than perceptions and knowledge, as has been described in a quantitative s</w:t>
      </w:r>
      <w:r w:rsidR="00703E60" w:rsidRPr="00DC180C">
        <w:rPr>
          <w:rFonts w:ascii="Times New Roman" w:eastAsia="Times New Roman" w:hAnsi="Times New Roman" w:cs="Times New Roman"/>
          <w:sz w:val="24"/>
          <w:szCs w:val="24"/>
        </w:rPr>
        <w:t>tudy with mothers in Senegal (14</w:t>
      </w:r>
      <w:r w:rsidRPr="00DC180C">
        <w:rPr>
          <w:rFonts w:ascii="Times New Roman" w:eastAsia="Times New Roman" w:hAnsi="Times New Roman" w:cs="Times New Roman"/>
          <w:sz w:val="24"/>
          <w:szCs w:val="24"/>
        </w:rPr>
        <w:t xml:space="preserve">). We wanted to explore this potential gap between behaviors and knowledge using a qualitative approach that incorporated the voices of adolescents and their caregivers. Thus, our </w:t>
      </w:r>
      <w:r>
        <w:rPr>
          <w:rFonts w:ascii="Times New Roman" w:eastAsia="Times New Roman" w:hAnsi="Times New Roman" w:cs="Times New Roman"/>
          <w:sz w:val="24"/>
          <w:szCs w:val="24"/>
        </w:rPr>
        <w:t>objective was to explore adolescents’ perceptions, knowledge and behaviors in relation to nutrition and physical activity, taking into consideration their caregivers’ perspectives and their living conditions in low-income districts of Abidjan, Côte d’Ivoire.</w:t>
      </w:r>
    </w:p>
    <w:p w14:paraId="0000000F" w14:textId="77777777" w:rsidR="00556640" w:rsidRDefault="00556640">
      <w:pPr>
        <w:spacing w:after="120" w:line="360" w:lineRule="auto"/>
        <w:jc w:val="both"/>
        <w:rPr>
          <w:rFonts w:ascii="Times New Roman" w:eastAsia="Times New Roman" w:hAnsi="Times New Roman" w:cs="Times New Roman"/>
          <w:b/>
          <w:sz w:val="24"/>
          <w:szCs w:val="24"/>
          <w:u w:val="single"/>
        </w:rPr>
      </w:pPr>
    </w:p>
    <w:p w14:paraId="00000010" w14:textId="77777777" w:rsidR="00556640" w:rsidRDefault="00AC3D86">
      <w:pPr>
        <w:spacing w:after="12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Methods</w:t>
      </w:r>
    </w:p>
    <w:p w14:paraId="00000011" w14:textId="77777777" w:rsidR="00556640" w:rsidRDefault="00AC3D86">
      <w:pPr>
        <w:spacing w:after="1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Setting, participants and research design</w:t>
      </w:r>
    </w:p>
    <w:p w14:paraId="00000012" w14:textId="4641292C" w:rsidR="00556640" w:rsidRPr="00DC180C"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Abidjan is the economic capital of Côte d’Ivoire. It is characterized by increasing urbanization due to a rural exodus and successive geopolitical crises in 2002 and 2011, which has led to the development of unplanned and informal settlements. The study took place in two districts of Abidjan. The first community was the settlement of Micao, an industrial zone in the municipality of Yopougon, in Northern Abidjan. Yopougon is the largest and most populated municipality with 1 million inhabitants in an area of 153 km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The second district was the settlement of Derrière Wharf, in the </w:t>
      </w:r>
      <w:r>
        <w:rPr>
          <w:rFonts w:ascii="Times New Roman" w:eastAsia="Times New Roman" w:hAnsi="Times New Roman" w:cs="Times New Roman"/>
          <w:sz w:val="24"/>
          <w:szCs w:val="24"/>
        </w:rPr>
        <w:lastRenderedPageBreak/>
        <w:t xml:space="preserve">municipality of Port-Bouët, in Southern Abidjan, along the coast and close to the </w:t>
      </w:r>
      <w:r w:rsidRPr="00DC180C">
        <w:rPr>
          <w:rFonts w:ascii="Times New Roman" w:eastAsia="Times New Roman" w:hAnsi="Times New Roman" w:cs="Times New Roman"/>
          <w:sz w:val="24"/>
          <w:szCs w:val="24"/>
        </w:rPr>
        <w:t>international airport, with 420,000 inhabitants in an area of 111 km</w:t>
      </w:r>
      <w:r w:rsidRPr="00DC180C">
        <w:rPr>
          <w:rFonts w:ascii="Times New Roman" w:eastAsia="Times New Roman" w:hAnsi="Times New Roman" w:cs="Times New Roman"/>
          <w:sz w:val="24"/>
          <w:szCs w:val="24"/>
          <w:vertAlign w:val="superscript"/>
        </w:rPr>
        <w:t>2</w:t>
      </w:r>
      <w:r w:rsidR="00703E60" w:rsidRPr="00DC180C">
        <w:rPr>
          <w:rFonts w:ascii="Times New Roman" w:eastAsia="Times New Roman" w:hAnsi="Times New Roman" w:cs="Times New Roman"/>
          <w:sz w:val="24"/>
          <w:szCs w:val="24"/>
        </w:rPr>
        <w:t xml:space="preserve"> (15</w:t>
      </w:r>
      <w:r w:rsidRPr="00DC180C">
        <w:rPr>
          <w:rFonts w:ascii="Times New Roman" w:eastAsia="Times New Roman" w:hAnsi="Times New Roman" w:cs="Times New Roman"/>
          <w:sz w:val="24"/>
          <w:szCs w:val="24"/>
        </w:rPr>
        <w:t xml:space="preserve">). These two communities mainly comprise low-income families living in poor housing conditions (such as limited space, access to electricity, and poor sanitation). Food supplies are purchased from market stalls along the main roads or close to public buildings such as schools. </w:t>
      </w:r>
    </w:p>
    <w:p w14:paraId="00000013" w14:textId="4CD552ED" w:rsidR="00556640" w:rsidRPr="00DC180C" w:rsidRDefault="00AC3D86">
      <w:pPr>
        <w:spacing w:after="120" w:line="360" w:lineRule="auto"/>
        <w:jc w:val="both"/>
        <w:rPr>
          <w:rFonts w:ascii="Times New Roman" w:eastAsia="Times New Roman" w:hAnsi="Times New Roman" w:cs="Times New Roman"/>
          <w:sz w:val="24"/>
          <w:szCs w:val="24"/>
        </w:rPr>
      </w:pPr>
      <w:r w:rsidRPr="00DC180C">
        <w:rPr>
          <w:rFonts w:ascii="Times New Roman" w:eastAsia="Times New Roman" w:hAnsi="Times New Roman" w:cs="Times New Roman"/>
          <w:sz w:val="24"/>
          <w:szCs w:val="24"/>
        </w:rPr>
        <w:t xml:space="preserve">Younger (aged 10 to 12) and older (aged 15 to 17) adolescents and their caregivers were recruited using a purposive sampling technique. The head teacher and head of community for each settlement acted as intermediaries passing on information about the study to schools and community-based associations. After giving their written and oral informed consent, participants filled out a preliminary quantitative survey. Then a sub-sample of those who wanted to talk further about their health, nutrition, and physical activity, and who were fluent in French, were selected to engage in focus group discussions (FGDs). Four FGDs were conducted with adolescents, one per age group and for each gender; two FGDs were conducted among caregivers, one including a mixed group of mothers and fathers from Yopougon, and one group of mothers from Port Bouet. </w:t>
      </w:r>
      <w:r w:rsidRPr="00DC180C">
        <w:rPr>
          <w:rFonts w:ascii="Times New Roman" w:eastAsia="Times New Roman" w:hAnsi="Times New Roman" w:cs="Times New Roman"/>
          <w:strike/>
          <w:color w:val="FF0000"/>
          <w:sz w:val="24"/>
          <w:szCs w:val="24"/>
        </w:rPr>
        <w:t>This study was approved by the National Research Ethics Review Board of Côte d’Ivoire.</w:t>
      </w:r>
    </w:p>
    <w:p w14:paraId="00000014" w14:textId="77777777" w:rsidR="00556640" w:rsidRPr="00DC180C" w:rsidRDefault="00556640">
      <w:pPr>
        <w:spacing w:after="120" w:line="360" w:lineRule="auto"/>
        <w:jc w:val="both"/>
        <w:rPr>
          <w:rFonts w:ascii="Times New Roman" w:eastAsia="Times New Roman" w:hAnsi="Times New Roman" w:cs="Times New Roman"/>
          <w:sz w:val="24"/>
          <w:szCs w:val="24"/>
        </w:rPr>
      </w:pPr>
    </w:p>
    <w:p w14:paraId="00000015" w14:textId="77777777" w:rsidR="00556640" w:rsidRPr="00DC180C" w:rsidRDefault="00AC3D86">
      <w:pPr>
        <w:spacing w:after="120" w:line="360" w:lineRule="auto"/>
        <w:jc w:val="both"/>
        <w:rPr>
          <w:rFonts w:ascii="Times New Roman" w:eastAsia="Times New Roman" w:hAnsi="Times New Roman" w:cs="Times New Roman"/>
          <w:i/>
          <w:sz w:val="24"/>
          <w:szCs w:val="24"/>
        </w:rPr>
      </w:pPr>
      <w:r w:rsidRPr="00DC180C">
        <w:rPr>
          <w:rFonts w:ascii="Times New Roman" w:eastAsia="Times New Roman" w:hAnsi="Times New Roman" w:cs="Times New Roman"/>
          <w:i/>
          <w:sz w:val="24"/>
          <w:szCs w:val="24"/>
        </w:rPr>
        <w:t>Data collection</w:t>
      </w:r>
    </w:p>
    <w:p w14:paraId="00000016" w14:textId="2EDB350D" w:rsidR="00556640" w:rsidRPr="00DC180C" w:rsidRDefault="00AC3D86">
      <w:pPr>
        <w:spacing w:after="120" w:line="360" w:lineRule="auto"/>
        <w:jc w:val="both"/>
        <w:rPr>
          <w:rFonts w:ascii="Times New Roman" w:eastAsia="Times New Roman" w:hAnsi="Times New Roman" w:cs="Times New Roman"/>
          <w:sz w:val="24"/>
          <w:szCs w:val="24"/>
        </w:rPr>
      </w:pPr>
      <w:r w:rsidRPr="00DC180C">
        <w:rPr>
          <w:rFonts w:ascii="Times New Roman" w:eastAsia="Times New Roman" w:hAnsi="Times New Roman" w:cs="Times New Roman"/>
          <w:sz w:val="24"/>
          <w:szCs w:val="24"/>
        </w:rPr>
        <w:t xml:space="preserve">FGDs were conducted by two trained qualitative researchers (Editorial, this issue) (E.K, nutritionist, as facilitator; J.J, epidemiologist, as observer). Research assistants, all postgraduates with training in nutrition, sociology or anthropology, administered the preliminary quantitative </w:t>
      </w:r>
      <w:r w:rsidR="002B7E4F" w:rsidRPr="00DC180C">
        <w:rPr>
          <w:rFonts w:ascii="Times New Roman" w:eastAsia="Times New Roman" w:hAnsi="Times New Roman" w:cs="Times New Roman"/>
          <w:sz w:val="24"/>
          <w:szCs w:val="24"/>
        </w:rPr>
        <w:t>questionnaire.</w:t>
      </w:r>
      <w:r w:rsidRPr="00DC180C">
        <w:rPr>
          <w:rFonts w:ascii="Times New Roman" w:eastAsia="Times New Roman" w:hAnsi="Times New Roman" w:cs="Times New Roman"/>
          <w:strike/>
          <w:sz w:val="24"/>
          <w:szCs w:val="24"/>
        </w:rPr>
        <w:t xml:space="preserve"> </w:t>
      </w:r>
    </w:p>
    <w:p w14:paraId="00000017" w14:textId="6A41E461" w:rsidR="00556640" w:rsidRPr="00DC180C" w:rsidRDefault="00AC3D86">
      <w:pPr>
        <w:spacing w:after="120" w:line="360" w:lineRule="auto"/>
        <w:jc w:val="both"/>
        <w:rPr>
          <w:rFonts w:ascii="Times New Roman" w:eastAsia="Times New Roman" w:hAnsi="Times New Roman" w:cs="Times New Roman"/>
          <w:sz w:val="24"/>
          <w:szCs w:val="24"/>
        </w:rPr>
      </w:pPr>
      <w:r w:rsidRPr="00DC180C">
        <w:rPr>
          <w:rFonts w:ascii="Times New Roman" w:eastAsia="Times New Roman" w:hAnsi="Times New Roman" w:cs="Times New Roman"/>
          <w:sz w:val="24"/>
          <w:szCs w:val="24"/>
        </w:rPr>
        <w:t>This quantitative questionnaire was used to describe the characteristics of the FGDs participants and their peers who lived in the same neighborhood, documenting their socio-economic level, as well as their nutritional habits, their mobile phone use and screen time. Weight and height were measured using standard methods and malnutrition was defined following th</w:t>
      </w:r>
      <w:r w:rsidR="00703E60" w:rsidRPr="00DC180C">
        <w:rPr>
          <w:rFonts w:ascii="Times New Roman" w:eastAsia="Times New Roman" w:hAnsi="Times New Roman" w:cs="Times New Roman"/>
          <w:sz w:val="24"/>
          <w:szCs w:val="24"/>
        </w:rPr>
        <w:t>e WHO Child Growth Standards (16</w:t>
      </w:r>
      <w:r w:rsidRPr="00DC180C">
        <w:rPr>
          <w:rFonts w:ascii="Times New Roman" w:eastAsia="Times New Roman" w:hAnsi="Times New Roman" w:cs="Times New Roman"/>
          <w:sz w:val="24"/>
          <w:szCs w:val="24"/>
        </w:rPr>
        <w:t>). Diet quality was assessed with Dietary Diversity Questionnaires and the Minimum Dieta</w:t>
      </w:r>
      <w:r w:rsidR="00703E60" w:rsidRPr="00DC180C">
        <w:rPr>
          <w:rFonts w:ascii="Times New Roman" w:eastAsia="Times New Roman" w:hAnsi="Times New Roman" w:cs="Times New Roman"/>
          <w:sz w:val="24"/>
          <w:szCs w:val="24"/>
        </w:rPr>
        <w:t>ry Diversity Score for Women (17</w:t>
      </w:r>
      <w:r w:rsidRPr="00DC180C">
        <w:rPr>
          <w:rFonts w:ascii="Times New Roman" w:eastAsia="Times New Roman" w:hAnsi="Times New Roman" w:cs="Times New Roman"/>
          <w:sz w:val="24"/>
          <w:szCs w:val="24"/>
        </w:rPr>
        <w:t>). More information on the conduct and the results of the quantitative questionnaire in each study setting can be found in this issue (Fall et al., this issue).</w:t>
      </w:r>
    </w:p>
    <w:p w14:paraId="00000018" w14:textId="77777777" w:rsidR="00556640" w:rsidRDefault="00AC3D86">
      <w:pPr>
        <w:spacing w:after="120" w:line="360" w:lineRule="auto"/>
        <w:jc w:val="both"/>
        <w:rPr>
          <w:rFonts w:ascii="Times New Roman" w:eastAsia="Times New Roman" w:hAnsi="Times New Roman" w:cs="Times New Roman"/>
          <w:sz w:val="24"/>
          <w:szCs w:val="24"/>
        </w:rPr>
      </w:pPr>
      <w:r w:rsidRPr="00DC180C">
        <w:rPr>
          <w:rFonts w:ascii="Times New Roman" w:eastAsia="Times New Roman" w:hAnsi="Times New Roman" w:cs="Times New Roman"/>
          <w:sz w:val="24"/>
          <w:szCs w:val="24"/>
        </w:rPr>
        <w:t xml:space="preserve">The FGD guides were developed during the first Transforming Adolescent Lives Through Nutrition (TALENT) workshop (see Barker et al, this issue), and then tested during four pilot FGDs with </w:t>
      </w:r>
      <w:r>
        <w:rPr>
          <w:rFonts w:ascii="Times New Roman" w:eastAsia="Times New Roman" w:hAnsi="Times New Roman" w:cs="Times New Roman"/>
          <w:sz w:val="24"/>
          <w:szCs w:val="24"/>
        </w:rPr>
        <w:t xml:space="preserve">mixed groups of caregivers and adolescents in settings with similar socio-economic status (Abobo district and another settlement of Yopougon). The FGD guides were then finalized in collaboration with a local sociologist and a local nutritionist to adapt the level of language to suit the younger adolescents. Three main topics were explored: </w:t>
      </w:r>
    </w:p>
    <w:p w14:paraId="00000019" w14:textId="77777777" w:rsidR="00556640" w:rsidRDefault="00AC3D8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Nutrition (including definitions/understandings of healthy diets and foods, nutritional habits, perspectives on their own diet)</w:t>
      </w:r>
    </w:p>
    <w:p w14:paraId="0000001A" w14:textId="77777777" w:rsidR="00556640" w:rsidRDefault="00AC3D8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Health (for instance, definitions of health and what it means to be healthy) </w:t>
      </w:r>
    </w:p>
    <w:p w14:paraId="0000001B" w14:textId="77777777" w:rsidR="00556640" w:rsidRDefault="00AC3D86">
      <w:pPr>
        <w:numPr>
          <w:ilvl w:val="0"/>
          <w:numId w:val="1"/>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Physical activity (for example, views on, and definitions of their own engagement with exercise, and opportunities for/barriers to physical activity in their own environment).</w:t>
      </w:r>
    </w:p>
    <w:p w14:paraId="0000001C" w14:textId="2A8EFD3B"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FGDs were conducted in unoccupied school buildings at weekends. Participants were supplied with bread and water, and a meal was offered at the end of the study. A digital audio recorder (</w:t>
      </w:r>
      <w:r>
        <w:rPr>
          <w:rFonts w:ascii="Times New Roman" w:eastAsia="Times New Roman" w:hAnsi="Times New Roman" w:cs="Times New Roman"/>
        </w:rPr>
        <w:t>Olympus VN-541PC, Vietnam</w:t>
      </w:r>
      <w:r>
        <w:rPr>
          <w:rFonts w:ascii="Times New Roman" w:eastAsia="Times New Roman" w:hAnsi="Times New Roman" w:cs="Times New Roman"/>
          <w:sz w:val="24"/>
          <w:szCs w:val="24"/>
        </w:rPr>
        <w:t xml:space="preserve">) was used to capture the discussions. At the beginning of each FGD, the discussion topics were briefly introduced, along with details about confidentiality and etiquette (e.g. mute phone, talk freely, respect others). The FGDs conducted with adolescents lasted approximately 60 minutes, and 90 minutes with caregivers. To build rapport, general questions were </w:t>
      </w:r>
      <w:r w:rsidRPr="00DC180C">
        <w:rPr>
          <w:rFonts w:ascii="Times New Roman" w:eastAsia="Times New Roman" w:hAnsi="Times New Roman" w:cs="Times New Roman"/>
          <w:sz w:val="24"/>
          <w:szCs w:val="24"/>
        </w:rPr>
        <w:t xml:space="preserve">asked about their favorite classes, foods and games. To put participants at ease, some opted to sing, </w:t>
      </w:r>
      <w:r>
        <w:rPr>
          <w:rFonts w:ascii="Times New Roman" w:eastAsia="Times New Roman" w:hAnsi="Times New Roman" w:cs="Times New Roman"/>
          <w:sz w:val="24"/>
          <w:szCs w:val="24"/>
        </w:rPr>
        <w:t>or tell jokes or stories.</w:t>
      </w:r>
    </w:p>
    <w:p w14:paraId="0000001D" w14:textId="77777777" w:rsidR="00556640" w:rsidRDefault="00556640">
      <w:pPr>
        <w:spacing w:after="120" w:line="360" w:lineRule="auto"/>
        <w:jc w:val="both"/>
        <w:rPr>
          <w:rFonts w:ascii="Times New Roman" w:eastAsia="Times New Roman" w:hAnsi="Times New Roman" w:cs="Times New Roman"/>
          <w:sz w:val="24"/>
          <w:szCs w:val="24"/>
        </w:rPr>
      </w:pPr>
    </w:p>
    <w:p w14:paraId="0000001E" w14:textId="77777777" w:rsidR="00556640" w:rsidRDefault="00AC3D86">
      <w:pPr>
        <w:tabs>
          <w:tab w:val="left" w:pos="3198"/>
        </w:tabs>
        <w:spacing w:after="12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Data analysis</w:t>
      </w:r>
      <w:r>
        <w:rPr>
          <w:rFonts w:ascii="Times New Roman" w:eastAsia="Times New Roman" w:hAnsi="Times New Roman" w:cs="Times New Roman"/>
          <w:i/>
          <w:sz w:val="24"/>
          <w:szCs w:val="24"/>
        </w:rPr>
        <w:tab/>
      </w:r>
    </w:p>
    <w:p w14:paraId="0000001F" w14:textId="0DA75161" w:rsidR="00556640" w:rsidRPr="00DC180C" w:rsidRDefault="00AC3D8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FGDs were carried out and transcribed verbatim in French, before being translated and analyzed in English, to aid analysis across the TALENT data sets. Transcriptions, completed by one professional, were checked by both investigators. Two professionals translated the transcripts into English. The caregiver FGDs were translated by a professional from France with a background in </w:t>
      </w:r>
      <w:r w:rsidRPr="00DC180C">
        <w:rPr>
          <w:rFonts w:ascii="Times New Roman" w:eastAsia="Times New Roman" w:hAnsi="Times New Roman" w:cs="Times New Roman"/>
          <w:sz w:val="24"/>
          <w:szCs w:val="24"/>
        </w:rPr>
        <w:t>local expressions used in Côte d’Ivoire. The adolescent FGDs were translated by a professional from Abidjan, who collaborated with the investigators to ensure accuracy. The illustrative examples given in the article are translations as close to the original meaning as possible. All transcripts were read repeatedly to aid familiarization and then the English transcripts were uploaded into the qualitative data analysis software package NVivo (version 12) and coded by the FGD facilitator. Braun and Clarke’s (2006) step-by-ste</w:t>
      </w:r>
      <w:r w:rsidR="00703E60" w:rsidRPr="00DC180C">
        <w:rPr>
          <w:rFonts w:ascii="Times New Roman" w:eastAsia="Times New Roman" w:hAnsi="Times New Roman" w:cs="Times New Roman"/>
          <w:sz w:val="24"/>
          <w:szCs w:val="24"/>
        </w:rPr>
        <w:t>p guide to thematic analysis (18</w:t>
      </w:r>
      <w:r w:rsidRPr="00DC180C">
        <w:rPr>
          <w:rFonts w:ascii="Times New Roman" w:eastAsia="Times New Roman" w:hAnsi="Times New Roman" w:cs="Times New Roman"/>
          <w:sz w:val="24"/>
          <w:szCs w:val="24"/>
        </w:rPr>
        <w:t xml:space="preserve">) shaped the process. Final codes were </w:t>
      </w:r>
      <w:r w:rsidR="00DC180C" w:rsidRPr="00DC180C">
        <w:rPr>
          <w:rFonts w:ascii="Times New Roman" w:eastAsia="Times New Roman" w:hAnsi="Times New Roman" w:cs="Times New Roman"/>
          <w:sz w:val="24"/>
          <w:szCs w:val="24"/>
        </w:rPr>
        <w:t>discussed and approved by</w:t>
      </w:r>
      <w:r w:rsidRPr="00DC180C">
        <w:rPr>
          <w:rFonts w:ascii="Times New Roman" w:eastAsia="Times New Roman" w:hAnsi="Times New Roman" w:cs="Times New Roman"/>
          <w:sz w:val="24"/>
          <w:szCs w:val="24"/>
        </w:rPr>
        <w:t xml:space="preserve"> the observer and qualitative researchers from TALENT. The </w:t>
      </w:r>
      <w:r>
        <w:rPr>
          <w:rFonts w:ascii="Times New Roman" w:eastAsia="Times New Roman" w:hAnsi="Times New Roman" w:cs="Times New Roman"/>
          <w:sz w:val="24"/>
          <w:szCs w:val="24"/>
        </w:rPr>
        <w:t>codes were developed deductively from the FGD guide (e.g. perceptions, knowledge and behaviors on nutrition, health and physical activity) and inductively from study findings (e.g. economic difficulties, conflicts between caregivers and adolescents, environment constraints and solutions).  The codes were organized into categories from which a thematic map (Figure 1) was developed to describe relationships between the themes. Two workshops with the entire TALENT group helped with the development of the coding frame and identification of the main themes</w:t>
      </w:r>
      <w:r w:rsidR="00DC180C">
        <w:rPr>
          <w:rFonts w:ascii="Times New Roman" w:eastAsia="Times New Roman" w:hAnsi="Times New Roman" w:cs="Times New Roman"/>
          <w:sz w:val="24"/>
          <w:szCs w:val="24"/>
        </w:rPr>
        <w:t xml:space="preserve"> </w:t>
      </w:r>
      <w:r w:rsidR="00A1297C" w:rsidRPr="00A1297C">
        <w:rPr>
          <w:rFonts w:ascii="Times New Roman" w:eastAsia="Times New Roman" w:hAnsi="Times New Roman" w:cs="Times New Roman"/>
          <w:color w:val="FF0000"/>
          <w:sz w:val="24"/>
          <w:szCs w:val="24"/>
        </w:rPr>
        <w:t xml:space="preserve">(Barker M et al., this issue). </w:t>
      </w:r>
      <w:r>
        <w:rPr>
          <w:rFonts w:ascii="Times New Roman" w:eastAsia="Times New Roman" w:hAnsi="Times New Roman" w:cs="Times New Roman"/>
          <w:sz w:val="24"/>
          <w:szCs w:val="24"/>
        </w:rPr>
        <w:t>Relevant direct quotes from the transcripts are shown in English for each topic, indicating from which FGD they originate. We adhered to the Consolidated Criteria for Reporting Qualitative Resea</w:t>
      </w:r>
      <w:r w:rsidR="00703E60">
        <w:rPr>
          <w:rFonts w:ascii="Times New Roman" w:eastAsia="Times New Roman" w:hAnsi="Times New Roman" w:cs="Times New Roman"/>
          <w:sz w:val="24"/>
          <w:szCs w:val="24"/>
        </w:rPr>
        <w:t xml:space="preserve">rch (COREQ) </w:t>
      </w:r>
      <w:r w:rsidR="00703E60" w:rsidRPr="00DC180C">
        <w:rPr>
          <w:rFonts w:ascii="Times New Roman" w:eastAsia="Times New Roman" w:hAnsi="Times New Roman" w:cs="Times New Roman"/>
          <w:sz w:val="24"/>
          <w:szCs w:val="24"/>
        </w:rPr>
        <w:t>guidelines (19</w:t>
      </w:r>
      <w:r w:rsidRPr="00DC180C">
        <w:rPr>
          <w:rFonts w:ascii="Times New Roman" w:eastAsia="Times New Roman" w:hAnsi="Times New Roman" w:cs="Times New Roman"/>
          <w:sz w:val="24"/>
          <w:szCs w:val="24"/>
        </w:rPr>
        <w:t>).</w:t>
      </w:r>
    </w:p>
    <w:p w14:paraId="00000020" w14:textId="77777777" w:rsidR="00556640" w:rsidRDefault="00556640">
      <w:pPr>
        <w:spacing w:line="360" w:lineRule="auto"/>
        <w:rPr>
          <w:rFonts w:ascii="Times New Roman" w:eastAsia="Times New Roman" w:hAnsi="Times New Roman" w:cs="Times New Roman"/>
          <w:b/>
          <w:sz w:val="24"/>
          <w:szCs w:val="24"/>
        </w:rPr>
      </w:pPr>
    </w:p>
    <w:p w14:paraId="00000021" w14:textId="77777777" w:rsidR="00556640" w:rsidRDefault="00AC3D86">
      <w:pPr>
        <w:spacing w:after="12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14:paraId="00000022" w14:textId="77777777"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six FGDs were conducted with 72 participants (46 adolescents and 26 caregivers). The sample reflected the diversity of those who responded to the preliminary quantitative survey, which included 109 adolescents. The main results of this survey are summarized in Table 1. Respectively 8%, 10% and 17% were stunted, wasted, or overweight/obese, with differences by age (older adolescents being more often stunted) and by gender (girls being more often overweight). Overall, 76% scored 5 out of 10 or more on the dietary diversity score.  The main sources of drinking water were ‘public tap’ and ‘piped to house’, 81% had their own toilet (pit or flush). More than 90% had access to electricity and 10% had internet access, 50% owned a fridge, 89% a TV, 28% a computer and 22% had a car, 50% reported to have a table. Also, respectively, 34% and 67% of 10-12 and 15-17 adolescents had their own phone, which was a smartphone in 70% of cases. They reported spending on average three hours per day watching entertainment programmes and two hours per day playing on a computer. </w:t>
      </w:r>
    </w:p>
    <w:p w14:paraId="00000023" w14:textId="77777777"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describes the composition of each FGD.</w:t>
      </w:r>
    </w:p>
    <w:p w14:paraId="00000024" w14:textId="77777777"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Across the data set</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two main themes were identified. The first one concerned the perceptions and knowledge of adolescents and their caregivers about health, nutrition and physical activity.  The second one related to economic difficulties and environmental barriers to achieving good nutritional habits and physical activity practices, with differences between caregivers’ and adolescents’ feelings regarding their socio-economic situation and possible solutions. </w:t>
      </w:r>
    </w:p>
    <w:p w14:paraId="00000025" w14:textId="77777777" w:rsidR="00556640" w:rsidRDefault="00AC3D86">
      <w:pPr>
        <w:spacing w:after="12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Theme 1: Perceptions and knowledge about adolescent health, nutrition and physical activity</w:t>
      </w:r>
    </w:p>
    <w:p w14:paraId="00000026" w14:textId="77777777" w:rsidR="00556640" w:rsidRDefault="00AC3D86">
      <w:pPr>
        <w:spacing w:after="120" w:line="36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Perceptions of health</w:t>
      </w:r>
    </w:p>
    <w:p w14:paraId="00000027" w14:textId="77777777"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both adolescents and their caregivers, health was related to their </w:t>
      </w:r>
      <w:r>
        <w:rPr>
          <w:rFonts w:ascii="Times New Roman" w:eastAsia="Times New Roman" w:hAnsi="Times New Roman" w:cs="Times New Roman"/>
          <w:i/>
          <w:sz w:val="24"/>
          <w:szCs w:val="24"/>
        </w:rPr>
        <w:t>lifestyle habits</w:t>
      </w:r>
      <w:r>
        <w:rPr>
          <w:rFonts w:ascii="Times New Roman" w:eastAsia="Times New Roman" w:hAnsi="Times New Roman" w:cs="Times New Roman"/>
          <w:sz w:val="24"/>
          <w:szCs w:val="24"/>
        </w:rPr>
        <w:t xml:space="preserve">. They perceived that someone healthy ate well, had a good appetite and exercised regularly, while someone who had an undiversified diet, ate too much, or was inactive was unhealthy. Health was also reported to be linked to their </w:t>
      </w:r>
      <w:r>
        <w:rPr>
          <w:rFonts w:ascii="Times New Roman" w:eastAsia="Times New Roman" w:hAnsi="Times New Roman" w:cs="Times New Roman"/>
          <w:i/>
          <w:sz w:val="24"/>
          <w:szCs w:val="24"/>
        </w:rPr>
        <w:t>environment</w:t>
      </w:r>
      <w:r>
        <w:rPr>
          <w:rFonts w:ascii="Times New Roman" w:eastAsia="Times New Roman" w:hAnsi="Times New Roman" w:cs="Times New Roman"/>
          <w:sz w:val="24"/>
          <w:szCs w:val="24"/>
        </w:rPr>
        <w:t xml:space="preserve">, which must be clean and safe to be healthy while a dirty, polluted environment (litter and air pollution) where there is violence was seen as unhealthy. Also, some participants mentioned </w:t>
      </w:r>
      <w:r>
        <w:rPr>
          <w:rFonts w:ascii="Times New Roman" w:eastAsia="Times New Roman" w:hAnsi="Times New Roman" w:cs="Times New Roman"/>
          <w:i/>
          <w:sz w:val="24"/>
          <w:szCs w:val="24"/>
        </w:rPr>
        <w:t xml:space="preserve">mental health </w:t>
      </w:r>
      <w:r>
        <w:rPr>
          <w:rFonts w:ascii="Times New Roman" w:eastAsia="Times New Roman" w:hAnsi="Times New Roman" w:cs="Times New Roman"/>
          <w:sz w:val="24"/>
          <w:szCs w:val="24"/>
        </w:rPr>
        <w:t xml:space="preserve">as salient, stating that a healthy person was someone who felt comfortable and happy. Health was also related to </w:t>
      </w:r>
      <w:r>
        <w:rPr>
          <w:rFonts w:ascii="Times New Roman" w:eastAsia="Times New Roman" w:hAnsi="Times New Roman" w:cs="Times New Roman"/>
          <w:i/>
          <w:sz w:val="24"/>
          <w:szCs w:val="24"/>
        </w:rPr>
        <w:t>physical condition</w:t>
      </w:r>
      <w:r>
        <w:rPr>
          <w:rFonts w:ascii="Times New Roman" w:eastAsia="Times New Roman" w:hAnsi="Times New Roman" w:cs="Times New Roman"/>
          <w:sz w:val="24"/>
          <w:szCs w:val="24"/>
        </w:rPr>
        <w:t>. Someone viewed as healthy was described as being in good shape, fit, having a powerful body and/or gaining weight (i.e. recovering from malnutrition without becoming overweight). Finally, one caregiver reported that being healthy meant having financial resources:</w:t>
      </w:r>
    </w:p>
    <w:p w14:paraId="00000028" w14:textId="49F7563E" w:rsidR="00556640" w:rsidRDefault="00AC3D86">
      <w:pPr>
        <w:spacing w:after="120" w:line="36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(caregivers) say our health is not good because all </w:t>
      </w:r>
      <w:r w:rsidR="00DC180C">
        <w:rPr>
          <w:rFonts w:ascii="Times New Roman" w:eastAsia="Times New Roman" w:hAnsi="Times New Roman" w:cs="Times New Roman"/>
          <w:color w:val="FF0000"/>
          <w:sz w:val="24"/>
          <w:szCs w:val="24"/>
        </w:rPr>
        <w:t xml:space="preserve">of </w:t>
      </w:r>
      <w:r>
        <w:rPr>
          <w:rFonts w:ascii="Times New Roman" w:eastAsia="Times New Roman" w:hAnsi="Times New Roman" w:cs="Times New Roman"/>
          <w:sz w:val="24"/>
          <w:szCs w:val="24"/>
        </w:rPr>
        <w:t xml:space="preserve">the foods we eat </w:t>
      </w:r>
      <w:r w:rsidRPr="00DC180C">
        <w:rPr>
          <w:rFonts w:ascii="Times New Roman" w:eastAsia="Times New Roman" w:hAnsi="Times New Roman" w:cs="Times New Roman"/>
          <w:strike/>
          <w:color w:val="FF0000"/>
          <w:sz w:val="24"/>
          <w:szCs w:val="24"/>
        </w:rPr>
        <w:t>there</w:t>
      </w:r>
      <w:r>
        <w:rPr>
          <w:rFonts w:ascii="Times New Roman" w:eastAsia="Times New Roman" w:hAnsi="Times New Roman" w:cs="Times New Roman"/>
          <w:sz w:val="24"/>
          <w:szCs w:val="24"/>
        </w:rPr>
        <w:t xml:space="preserve">, it just </w:t>
      </w:r>
      <w:r w:rsidRPr="00DC180C">
        <w:rPr>
          <w:rFonts w:ascii="Times New Roman" w:eastAsia="Times New Roman" w:hAnsi="Times New Roman" w:cs="Times New Roman"/>
          <w:sz w:val="24"/>
          <w:szCs w:val="24"/>
        </w:rPr>
        <w:t xml:space="preserve">makes our body unhealthy because it's filled with garbage, it's filled with sugar because we </w:t>
      </w:r>
      <w:r>
        <w:rPr>
          <w:rFonts w:ascii="Times New Roman" w:eastAsia="Times New Roman" w:hAnsi="Times New Roman" w:cs="Times New Roman"/>
          <w:sz w:val="24"/>
          <w:szCs w:val="24"/>
        </w:rPr>
        <w:t>eat a lot of chocolate, and candy.”(FGD1, younger girls, Yopougon).</w:t>
      </w:r>
    </w:p>
    <w:p w14:paraId="00000029" w14:textId="77777777"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Many older adolescents felt that their caregivers considered them to be very healthy, and except for routine consultations for deworming for example, would not take them to the hospital:</w:t>
      </w:r>
    </w:p>
    <w:p w14:paraId="0000002A" w14:textId="77777777" w:rsidR="00556640" w:rsidRDefault="00AC3D86">
      <w:pPr>
        <w:spacing w:after="12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 when we say that we are sick and we have a headache, they don’t take it seriously. As long as we are not bed bound, they will not take us to the hospital." (FGD3, older girls, Port-Bouët)</w:t>
      </w:r>
    </w:p>
    <w:p w14:paraId="0000002B" w14:textId="77777777" w:rsidR="00556640" w:rsidRDefault="00AC3D86">
      <w:pPr>
        <w:spacing w:after="12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“They don’t worry about anything because when they see us grow up, they think everything is fine. They don’t actually know what is going on in our bodies. All parents don’t take their children to the hospital for consultation or medical check-up.” (FGD4, older boys, Port-Bouët)</w:t>
      </w:r>
    </w:p>
    <w:p w14:paraId="0000002C" w14:textId="77777777"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 adolescents and their caregivers had similar understandings of what it meant to be healthy/unhealthy, which were systematically related to nutrition and physical activity, the two other main themes of our discussions. In the following sections, we will highlight specifically their perceptions and knowledge about nutrition and physical activity.</w:t>
      </w:r>
    </w:p>
    <w:p w14:paraId="0000002D" w14:textId="77777777" w:rsidR="00556640" w:rsidRDefault="00556640">
      <w:pPr>
        <w:spacing w:after="120" w:line="360" w:lineRule="auto"/>
        <w:jc w:val="both"/>
        <w:rPr>
          <w:rFonts w:ascii="Times New Roman" w:eastAsia="Times New Roman" w:hAnsi="Times New Roman" w:cs="Times New Roman"/>
          <w:sz w:val="24"/>
          <w:szCs w:val="24"/>
        </w:rPr>
      </w:pPr>
    </w:p>
    <w:p w14:paraId="0000002E" w14:textId="77777777" w:rsidR="00556640" w:rsidRDefault="00AC3D86">
      <w:pPr>
        <w:spacing w:after="120" w:line="36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Perceptions and knowledge about nutrition</w:t>
      </w:r>
    </w:p>
    <w:p w14:paraId="0000002F" w14:textId="77777777"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both caregivers and adolescents, a healthy diet had to be diverse, balanced, and rich in fruit and vegetables. Nutrients, vitamins and proteins were also mentioned:</w:t>
      </w:r>
    </w:p>
    <w:p w14:paraId="00000030" w14:textId="77777777" w:rsidR="00556640" w:rsidRDefault="00AC3D86">
      <w:pPr>
        <w:spacing w:after="12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“Good food is a food which brings us vitamins and which helps us to grow well […] is when there is no sugar in it or salt, when it is not too salty or too sweet.”(FGD1, younger girls, Yopougon).</w:t>
      </w:r>
    </w:p>
    <w:p w14:paraId="00000031" w14:textId="77777777"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of the adolescents reported consuming sweets and sweet fizzy drinks, popular because of their taste. Some suggested that soda helped with digestion. Also, many participants, both adolescents and caregivers, linked excessive sweet consumption to diseases such as diabetes: </w:t>
      </w:r>
    </w:p>
    <w:p w14:paraId="00000032" w14:textId="77777777" w:rsidR="00556640" w:rsidRDefault="00AC3D86">
      <w:pPr>
        <w:spacing w:after="12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"Sugar is not good because it gives diabetes. And it is a dangerous disease that leads to death."(FGD3, older girls, Port-Bouët)</w:t>
      </w:r>
    </w:p>
    <w:p w14:paraId="00000033" w14:textId="77777777" w:rsidR="00556640" w:rsidRDefault="00AC3D86">
      <w:pPr>
        <w:spacing w:after="12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“He (his child) must reduce the quantities of sugar, because with too much sugar, he is at risk of having diabetes.”(FGD5, father, Yopougon)</w:t>
      </w:r>
    </w:p>
    <w:p w14:paraId="00000034" w14:textId="77777777"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Caregivers were particularly concerned about sugar consumption and their adolescent’s health and felt either responsible or powerless to deal with the problem:</w:t>
      </w:r>
    </w:p>
    <w:p w14:paraId="00000035" w14:textId="77777777" w:rsidR="00556640" w:rsidRDefault="00AC3D86">
      <w:pPr>
        <w:spacing w:after="12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matter of fact, there is no way to control this. Outside of the house, people buy them sweets.”(FGD6, mother, Port-Bouët)</w:t>
      </w:r>
    </w:p>
    <w:p w14:paraId="00000036" w14:textId="2BB43121" w:rsidR="00556640" w:rsidRDefault="00AC3D86">
      <w:pPr>
        <w:spacing w:after="120" w:line="360" w:lineRule="auto"/>
        <w:ind w:left="708"/>
        <w:jc w:val="both"/>
        <w:rPr>
          <w:rFonts w:ascii="Times New Roman" w:eastAsia="Times New Roman" w:hAnsi="Times New Roman" w:cs="Times New Roman"/>
          <w:sz w:val="24"/>
          <w:szCs w:val="24"/>
        </w:rPr>
      </w:pPr>
      <w:r w:rsidRPr="00DC180C">
        <w:rPr>
          <w:rFonts w:ascii="Times New Roman" w:eastAsia="Times New Roman" w:hAnsi="Times New Roman" w:cs="Times New Roman"/>
          <w:sz w:val="24"/>
          <w:szCs w:val="24"/>
        </w:rPr>
        <w:t xml:space="preserve"> “</w:t>
      </w:r>
      <w:r w:rsidRPr="00DC180C">
        <w:rPr>
          <w:rFonts w:ascii="Times New Roman" w:eastAsia="Times New Roman" w:hAnsi="Times New Roman" w:cs="Times New Roman"/>
          <w:strike/>
          <w:color w:val="FF0000"/>
          <w:sz w:val="24"/>
          <w:szCs w:val="24"/>
        </w:rPr>
        <w:t xml:space="preserve">As for my teenager, the “sweet thing” is too much! </w:t>
      </w:r>
      <w:r w:rsidR="00DC180C">
        <w:rPr>
          <w:rFonts w:ascii="Times New Roman" w:eastAsia="Times New Roman" w:hAnsi="Times New Roman" w:cs="Times New Roman"/>
          <w:color w:val="FF0000"/>
          <w:sz w:val="24"/>
          <w:szCs w:val="24"/>
        </w:rPr>
        <w:t xml:space="preserve">The sweet consumption of my teenager is too much! </w:t>
      </w:r>
      <w:r w:rsidR="00DC180C" w:rsidRPr="00DC180C">
        <w:rPr>
          <w:rFonts w:ascii="Times New Roman" w:eastAsia="Times New Roman" w:hAnsi="Times New Roman" w:cs="Times New Roman"/>
          <w:sz w:val="24"/>
          <w:szCs w:val="24"/>
        </w:rPr>
        <w:t>Because I am addicted myself</w:t>
      </w:r>
      <w:r w:rsidRPr="00DC180C">
        <w:rPr>
          <w:rFonts w:ascii="Times New Roman" w:eastAsia="Times New Roman" w:hAnsi="Times New Roman" w:cs="Times New Roman"/>
          <w:sz w:val="24"/>
          <w:szCs w:val="24"/>
        </w:rPr>
        <w:t xml:space="preserve">. I like </w:t>
      </w:r>
      <w:r>
        <w:rPr>
          <w:rFonts w:ascii="Times New Roman" w:eastAsia="Times New Roman" w:hAnsi="Times New Roman" w:cs="Times New Roman"/>
          <w:sz w:val="24"/>
          <w:szCs w:val="24"/>
        </w:rPr>
        <w:t>anything sweet. […] So, my daughter has inherited this from me” (FGD5, mother, Yopougon)</w:t>
      </w:r>
    </w:p>
    <w:p w14:paraId="00000037" w14:textId="77777777" w:rsidR="00556640" w:rsidRDefault="00AC3D86">
      <w:pPr>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Besides food consumption, healthy nutritional practices were also related to hygiene.  As most purchased their supplies from street markets, they were concerned about cleanliness and adequate food storage: </w:t>
      </w:r>
    </w:p>
    <w:p w14:paraId="00000038" w14:textId="24C728B4" w:rsidR="00556640" w:rsidRDefault="00AC3D86">
      <w:pPr>
        <w:spacing w:after="120" w:line="36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bad food because it is sold near gutters or near dirty water that makes the food rotten, that makes the food </w:t>
      </w:r>
      <w:r w:rsidRPr="00DC180C">
        <w:rPr>
          <w:rFonts w:ascii="Times New Roman" w:eastAsia="Times New Roman" w:hAnsi="Times New Roman" w:cs="Times New Roman"/>
          <w:strike/>
          <w:color w:val="FF0000"/>
          <w:sz w:val="24"/>
          <w:szCs w:val="24"/>
        </w:rPr>
        <w:t>smelling</w:t>
      </w:r>
      <w:r w:rsidR="00DC180C" w:rsidRPr="00DC180C">
        <w:rPr>
          <w:rFonts w:ascii="Times New Roman" w:eastAsia="Times New Roman" w:hAnsi="Times New Roman" w:cs="Times New Roman"/>
          <w:color w:val="FF0000"/>
          <w:sz w:val="24"/>
          <w:szCs w:val="24"/>
        </w:rPr>
        <w:t xml:space="preserve"> smell</w:t>
      </w:r>
      <w:r w:rsidRPr="00DC180C">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bad” (FGD1, younger girls, Yopougon)</w:t>
      </w:r>
    </w:p>
    <w:p w14:paraId="00000039" w14:textId="07714E32"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both adolescents and caregivers, nutritional knowledge </w:t>
      </w:r>
      <w:r w:rsidRPr="00DC180C">
        <w:rPr>
          <w:rFonts w:ascii="Times New Roman" w:eastAsia="Times New Roman" w:hAnsi="Times New Roman" w:cs="Times New Roman"/>
          <w:strike/>
          <w:color w:val="FF0000"/>
          <w:sz w:val="24"/>
          <w:szCs w:val="24"/>
        </w:rPr>
        <w:t>mainly originated from</w:t>
      </w:r>
      <w:r w:rsidRPr="00DC180C">
        <w:rPr>
          <w:rFonts w:ascii="Times New Roman" w:eastAsia="Times New Roman" w:hAnsi="Times New Roman" w:cs="Times New Roman"/>
          <w:color w:val="FF0000"/>
          <w:sz w:val="24"/>
          <w:szCs w:val="24"/>
        </w:rPr>
        <w:t xml:space="preserve"> </w:t>
      </w:r>
      <w:r w:rsidR="00DC180C" w:rsidRPr="00DC180C">
        <w:rPr>
          <w:rFonts w:ascii="Times New Roman" w:eastAsia="Times New Roman" w:hAnsi="Times New Roman" w:cs="Times New Roman"/>
          <w:color w:val="FF0000"/>
          <w:sz w:val="24"/>
          <w:szCs w:val="24"/>
        </w:rPr>
        <w:t xml:space="preserve">seemed to be enhanced in </w:t>
      </w:r>
      <w:r>
        <w:rPr>
          <w:rFonts w:ascii="Times New Roman" w:eastAsia="Times New Roman" w:hAnsi="Times New Roman" w:cs="Times New Roman"/>
          <w:sz w:val="24"/>
          <w:szCs w:val="24"/>
        </w:rPr>
        <w:t>school where they participated in classes on the topic. TV advertisements and their local doctor were also influential:</w:t>
      </w:r>
    </w:p>
    <w:p w14:paraId="0000003A" w14:textId="77777777" w:rsidR="00556640" w:rsidRDefault="00AC3D86">
      <w:pPr>
        <w:spacing w:after="12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impose eating habits, including to myself. After all, we went to school up to secondary school, so, we learnt how to diversify our food, in particular for children under 10 or 15.”(FGD5, father, Yopougon).</w:t>
      </w:r>
    </w:p>
    <w:p w14:paraId="0000003B" w14:textId="77777777" w:rsidR="00556640" w:rsidRDefault="00AC3D86">
      <w:pPr>
        <w:spacing w:after="120" w:line="360" w:lineRule="auto"/>
        <w:ind w:left="708"/>
        <w:jc w:val="both"/>
        <w:rPr>
          <w:rFonts w:ascii="Times New Roman" w:eastAsia="Times New Roman" w:hAnsi="Times New Roman" w:cs="Times New Roman"/>
          <w:sz w:val="24"/>
          <w:szCs w:val="24"/>
        </w:rPr>
      </w:pPr>
      <w:r>
        <w:t xml:space="preserve"> “</w:t>
      </w:r>
      <w:r>
        <w:rPr>
          <w:rFonts w:ascii="Times New Roman" w:eastAsia="Times New Roman" w:hAnsi="Times New Roman" w:cs="Times New Roman"/>
          <w:sz w:val="24"/>
          <w:szCs w:val="24"/>
        </w:rPr>
        <w:t>Since we watch TV shows and documentaries a lot, we were recommended to avoid eating foods that are too salty, sweet or fatty.” (FGD4, older boys, Port-Bouët).</w:t>
      </w:r>
    </w:p>
    <w:p w14:paraId="0000003C" w14:textId="77777777" w:rsidR="00556640" w:rsidRDefault="00AC3D86">
      <w:pPr>
        <w:spacing w:after="12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mum teaches me how to eat well, because sometimes when I choose a food, she tells me not to eat it because it contains too many things that are not good." (FGD3, older girls, Port-Bouët).</w:t>
      </w:r>
    </w:p>
    <w:p w14:paraId="0000003D" w14:textId="77777777" w:rsidR="00556640" w:rsidRDefault="00AC3D86">
      <w:pPr>
        <w:spacing w:after="120" w:line="36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Perceptions and knowledge about physical activity</w:t>
      </w:r>
    </w:p>
    <w:p w14:paraId="0000003E" w14:textId="77777777"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participants defined themselves as physically active. Some caregivers stated that being physically activity formed part of their everyday lives, with many undertaking manual labour and/or relying on walking as their only means of transport:</w:t>
      </w:r>
    </w:p>
    <w:p w14:paraId="0000003F" w14:textId="77777777" w:rsidR="00556640" w:rsidRDefault="00AC3D86">
      <w:pPr>
        <w:spacing w:after="12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who live in the lower neighborhood, do not necessarily need to “play” sports. Because we practice exercise every day. We do. We are running here and there all the time” (FGD5, mother, Yopougon).</w:t>
      </w:r>
    </w:p>
    <w:p w14:paraId="00000040" w14:textId="47F1F73C" w:rsidR="00556640" w:rsidRDefault="00AC3D86">
      <w:pPr>
        <w:spacing w:after="120" w:line="360" w:lineRule="auto"/>
        <w:ind w:left="708"/>
        <w:jc w:val="both"/>
        <w:rPr>
          <w:rFonts w:ascii="Times New Roman" w:eastAsia="Times New Roman" w:hAnsi="Times New Roman" w:cs="Times New Roman"/>
          <w:sz w:val="24"/>
          <w:szCs w:val="24"/>
        </w:rPr>
      </w:pPr>
      <w:r w:rsidRPr="00DC180C">
        <w:rPr>
          <w:rFonts w:ascii="Times New Roman" w:eastAsia="Times New Roman" w:hAnsi="Times New Roman" w:cs="Times New Roman"/>
          <w:sz w:val="24"/>
          <w:szCs w:val="24"/>
        </w:rPr>
        <w:t xml:space="preserve"> “We struggle a lot every day and waste much energy. That is why we eat heavy stuff each </w:t>
      </w:r>
      <w:r>
        <w:rPr>
          <w:rFonts w:ascii="Times New Roman" w:eastAsia="Times New Roman" w:hAnsi="Times New Roman" w:cs="Times New Roman"/>
          <w:sz w:val="24"/>
          <w:szCs w:val="24"/>
        </w:rPr>
        <w:t>day.” (FGD5, mother, Yopougon).</w:t>
      </w:r>
    </w:p>
    <w:p w14:paraId="00000041" w14:textId="77777777"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Adolescents, both the oldest and the youngest, talked about the benefits of physical activity and sport on their physical development. They felt that it helped them to be fit and in good shape, gave them strength and reduced fatigue. Some of them, especially the youngest, saw sport as a means of relaxation, making them feel happy and providing them with an opportunity to play with their friends.</w:t>
      </w:r>
    </w:p>
    <w:p w14:paraId="00000042" w14:textId="77777777"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the FGDs with adolescents and caregivers suggested many had adequate knowledge about nutritional requirements, and that they were keen to participate in/encourage participation in sport, there was a gap between what they would like to achieve in terms of nutritional habits and physical activity, and what their socio-economic conditions would allow. </w:t>
      </w:r>
    </w:p>
    <w:p w14:paraId="00000043" w14:textId="77777777" w:rsidR="00556640" w:rsidRDefault="00AC3D86">
      <w:pPr>
        <w:spacing w:after="12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Theme 2: Socio-economic constraints on nutritional choices and physical activity practices for adolescents</w:t>
      </w:r>
    </w:p>
    <w:p w14:paraId="00000044" w14:textId="77777777" w:rsidR="00556640" w:rsidRDefault="00AC3D86">
      <w:pPr>
        <w:spacing w:after="120" w:line="36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Economic difficulties</w:t>
      </w:r>
    </w:p>
    <w:p w14:paraId="00000045" w14:textId="77777777"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mostly caregivers, were concerned about their lack of resources to afford their children the balanced, diverse diet they needed to grow and thrive. They were keen to send their adolescents to private sports clubs but lacked the resources to do so. Many struggled to buy good quality food in their neighborhood. This lack of food choices was reported by most participants, who complained about their monotonous diet and eating rice every day:</w:t>
      </w:r>
    </w:p>
    <w:p w14:paraId="00000046" w14:textId="77777777" w:rsidR="00556640" w:rsidRDefault="00AC3D86">
      <w:pPr>
        <w:spacing w:after="12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truth is that it is a matter of resources that we don’t have. Because times are hard here, and what we earn is not enough to feed the children properly. […] Today, when we cook the same thing twice, the kids get upset, they refuse to eat and things become difficult at home. So, I really think that it is because we lack resources that we often eat the same dishes, and not because we like this.”(FGD5, mother, Yopougon)</w:t>
      </w:r>
    </w:p>
    <w:p w14:paraId="00000047" w14:textId="77777777"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Adolescents were asked what, if given more resources, they would eat. Some replied that they would like to eat more fruit and vegetables, varieties that were not available or unaffordable.  Some wished to go to restaurants, but these were either too expensive or just absent from their suburb. </w:t>
      </w:r>
    </w:p>
    <w:p w14:paraId="00000048" w14:textId="77777777"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Food choices and resource limitations were seen by caregivers as a source of conflict with their adolescents, who they felt were bored of their diet and sometimes reluctant to eat at home. Two different attitudes were reported. On one hand, caregivers were simply not in a position to offer adolescents a choice, because the family lacked resources to offer a range of foods. On the other hand, some caregivers felt responsible for providing their children with a sustainable, good quality diet.</w:t>
      </w:r>
    </w:p>
    <w:p w14:paraId="00000049" w14:textId="77777777" w:rsidR="00556640" w:rsidRDefault="00AC3D86">
      <w:pPr>
        <w:spacing w:after="12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would like to state that, currently, where we are, the child does not have any choice to make.”(FGD5, mother, Yopougon).</w:t>
      </w:r>
    </w:p>
    <w:p w14:paraId="0000004A" w14:textId="77777777" w:rsidR="00556640" w:rsidRDefault="00AC3D86">
      <w:pPr>
        <w:spacing w:after="12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properly feed children, you need foods of strength, of growth, of protection. This is not the case with us. With poverty and what we earn, it is what we cook in the pot that the child has to eat.”(FGD6, mother, Port-Bouët).</w:t>
      </w:r>
    </w:p>
    <w:p w14:paraId="0000004B" w14:textId="1B1A8B75" w:rsidR="00556640" w:rsidRDefault="00AC3D86">
      <w:pPr>
        <w:spacing w:after="12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 food to the child, rather than letting him go and buy it on his own.[…] I have to impose my choice because I care for his health, because these habits bring diseases, and </w:t>
      </w:r>
      <w:r w:rsidRPr="00DC180C">
        <w:rPr>
          <w:rFonts w:ascii="Times New Roman" w:eastAsia="Times New Roman" w:hAnsi="Times New Roman" w:cs="Times New Roman"/>
          <w:sz w:val="24"/>
          <w:szCs w:val="24"/>
        </w:rPr>
        <w:t xml:space="preserve">when these come, we parents, have to spend money to treat them.”(FGD5, father, </w:t>
      </w:r>
      <w:r>
        <w:rPr>
          <w:rFonts w:ascii="Times New Roman" w:eastAsia="Times New Roman" w:hAnsi="Times New Roman" w:cs="Times New Roman"/>
          <w:sz w:val="24"/>
          <w:szCs w:val="24"/>
        </w:rPr>
        <w:t>Yopougon).</w:t>
      </w:r>
    </w:p>
    <w:p w14:paraId="0000004C" w14:textId="77777777"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group reported disagreements between themselves and their children, who sometimes preferred to avoid eating altogether. At times, caregivers felt powerless, unable to convince them otherwise:</w:t>
      </w:r>
    </w:p>
    <w:p w14:paraId="0000004D" w14:textId="77777777" w:rsidR="00556640" w:rsidRDefault="00AC3D86">
      <w:pPr>
        <w:spacing w:after="12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would like to know what to do with the children’s behavior, I mean, they often confront parents who don’t have resources, and they behave in such a way, we should find a way to make them reasonable. What can we do to convince the kids that they should eat?”(FGD5, mother, Yopougon).</w:t>
      </w:r>
    </w:p>
    <w:p w14:paraId="0000004E" w14:textId="77777777"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avoid conflict, some caregivers provided their children with money to buy their own food at, for example, at street markets:</w:t>
      </w:r>
    </w:p>
    <w:p w14:paraId="0000004F" w14:textId="77777777" w:rsidR="00556640" w:rsidRDefault="00AC3D86">
      <w:pPr>
        <w:spacing w:after="12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complain, but she does not eat. Now, when we realize that she does not eat, we give her the money and she goes out to buy something else.”(FGD5, mother, Yopougon)</w:t>
      </w:r>
    </w:p>
    <w:p w14:paraId="00000050" w14:textId="77777777"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Caregivers also saw it as a way of affording their children freedom and independence; to teach them how to make their own choices while they were growing up:</w:t>
      </w:r>
    </w:p>
    <w:p w14:paraId="00000051" w14:textId="77777777" w:rsidR="00556640" w:rsidRDefault="00AC3D86">
      <w:pPr>
        <w:spacing w:after="12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also think that the child should exercise his choice. That’s the way things are: we, grown-ups, have choices, so children have their choices too.”(FGD5, mother, Yopougon)  </w:t>
      </w:r>
    </w:p>
    <w:p w14:paraId="00000052" w14:textId="77777777"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adolescents did not report any conflicts with their caregivers. Some of them mentioned that they could buy food with their own money, mostly the oldest group, while the others, mostly the younger participants, stated that their parents were in charge of their diet. </w:t>
      </w:r>
    </w:p>
    <w:p w14:paraId="00000053" w14:textId="77777777" w:rsidR="00556640" w:rsidRDefault="00AC3D86">
      <w:pPr>
        <w:spacing w:after="120" w:line="36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Barriers due to the environment</w:t>
      </w:r>
    </w:p>
    <w:p w14:paraId="00000054" w14:textId="77777777"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Caregivers and adolescents both discussed environmental barriers to accessing safe, good quality food, and clean, safe places to engage in physical activity. Most schools in these suburbs did not provide food, requiring adolescents either to buy food outside from sellers located near the school entrance, or to go home, where most would eat an undiversified diet. All the adolescents described the local environment as dirty, polluted, and potentially disease-ridden. Street markets sometimes provided unsecured, poorly stored food, with health risks of which participants were aware:</w:t>
      </w:r>
    </w:p>
    <w:p w14:paraId="00000055" w14:textId="77777777" w:rsidR="00556640" w:rsidRDefault="00AC3D86">
      <w:pPr>
        <w:spacing w:after="12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be healthy in our suburb, you have to avoid buying too much food on the street, food that is not clean, you have to control what you buy.  […] and avoid paying for food that is not secured.”(FGD2, younger girls, Port-Bouët)</w:t>
      </w:r>
    </w:p>
    <w:p w14:paraId="00000056" w14:textId="77777777" w:rsidR="00556640" w:rsidRDefault="00AC3D86">
      <w:pPr>
        <w:spacing w:after="12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“When people drink the water in the plastic bags, they throw it everywhere, that's what makes our environment dirty, because all sanitary towels are thrown everywhere.”(FGD1, younger girls, Yopougon)</w:t>
      </w:r>
    </w:p>
    <w:p w14:paraId="00000057" w14:textId="77777777" w:rsidR="00556640" w:rsidRDefault="00AC3D86">
      <w:pPr>
        <w:spacing w:after="120" w:line="360" w:lineRule="auto"/>
        <w:jc w:val="both"/>
        <w:rPr>
          <w:rFonts w:ascii="Times New Roman" w:eastAsia="Times New Roman" w:hAnsi="Times New Roman" w:cs="Times New Roman"/>
          <w:sz w:val="24"/>
          <w:szCs w:val="24"/>
        </w:rPr>
      </w:pPr>
      <w:r w:rsidRPr="00DC180C">
        <w:rPr>
          <w:rFonts w:ascii="Times New Roman" w:eastAsia="Times New Roman" w:hAnsi="Times New Roman" w:cs="Times New Roman"/>
          <w:sz w:val="24"/>
          <w:szCs w:val="24"/>
        </w:rPr>
        <w:t xml:space="preserve">Finally, perceptions of risk/safety in these suburbs were also regarded as having an impact on their </w:t>
      </w:r>
      <w:r>
        <w:rPr>
          <w:rFonts w:ascii="Times New Roman" w:eastAsia="Times New Roman" w:hAnsi="Times New Roman" w:cs="Times New Roman"/>
          <w:sz w:val="24"/>
          <w:szCs w:val="24"/>
        </w:rPr>
        <w:t>health, especially on opportunities to engage in physical activity. Indeed, both of these low-income suburbs were facing multiple problems, including violence and the presence of gangs of youths - known as ‘Microbes’ - renowned for their criminal activity. These gangs appeared after the political-military crisis in the early 2000s:</w:t>
      </w:r>
    </w:p>
    <w:p w14:paraId="00000058" w14:textId="77777777" w:rsidR="00556640" w:rsidRDefault="00AC3D86">
      <w:pPr>
        <w:spacing w:after="12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neighborhood is full of “microbes” -Facilitator: “Microbes are young people who have knives, who drink? Children in conflict with the law?”-“yes” (FGD1, younger girls, Yopougon).</w:t>
      </w:r>
    </w:p>
    <w:p w14:paraId="00000059" w14:textId="77777777" w:rsidR="00556640" w:rsidRDefault="00AC3D86">
      <w:pPr>
        <w:spacing w:after="12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“There are many drug addicts everywhere who attack people”- “That is why we cannot go for a stroll along the beach. When strolling, they attack and rape some girls.”(FGD3, older girls, Port-Bouët).</w:t>
      </w:r>
    </w:p>
    <w:p w14:paraId="0000005A" w14:textId="77777777" w:rsidR="00556640" w:rsidRDefault="00AC3D86">
      <w:pPr>
        <w:spacing w:after="12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“Every time we play, there are people who come and smoke around.”(FGD4, older boys, Port-Bouët).</w:t>
      </w:r>
    </w:p>
    <w:p w14:paraId="0000005B" w14:textId="77777777"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Opportunities for physical activity were also hindered by a lack of space dedicated to exercise. This was reported by every group:</w:t>
      </w:r>
    </w:p>
    <w:p w14:paraId="0000005C" w14:textId="77777777" w:rsidR="00556640" w:rsidRDefault="00AC3D86">
      <w:pPr>
        <w:spacing w:after="12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like exercising but I don’t do it at home because our house is not big enough. There is no place where I can go and workout; there is no center around here.”(FGD3, older girls, Port-Bouët).</w:t>
      </w:r>
    </w:p>
    <w:p w14:paraId="0000005D" w14:textId="77777777" w:rsidR="00556640" w:rsidRDefault="00AC3D86">
      <w:pPr>
        <w:spacing w:after="12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“What makes it difficult is the fact that there is no infrastructure to facilitate the games and no equipment required to play. There are people who are available and good at playing but we can’t play for lack of equipment.”(FGD4, older boys, Port-Bouët).</w:t>
      </w:r>
    </w:p>
    <w:p w14:paraId="0000005E" w14:textId="77777777" w:rsidR="00556640" w:rsidRDefault="00AC3D86">
      <w:pPr>
        <w:spacing w:after="12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“Most of the time, there is lack of fields. For instance, people have destroyed the former field where we use to play football in order to build companies and warehouses.”(FGD4, older boys, Port-Bouët).</w:t>
      </w:r>
    </w:p>
    <w:p w14:paraId="0000005F" w14:textId="77777777" w:rsidR="00556640" w:rsidRDefault="00556640">
      <w:pPr>
        <w:spacing w:after="120" w:line="360" w:lineRule="auto"/>
        <w:ind w:left="708"/>
        <w:jc w:val="both"/>
        <w:rPr>
          <w:rFonts w:ascii="Times New Roman" w:eastAsia="Times New Roman" w:hAnsi="Times New Roman" w:cs="Times New Roman"/>
          <w:sz w:val="24"/>
          <w:szCs w:val="24"/>
        </w:rPr>
      </w:pPr>
    </w:p>
    <w:p w14:paraId="00000060" w14:textId="77777777" w:rsidR="00556640" w:rsidRDefault="00AC3D86">
      <w:pPr>
        <w:spacing w:after="120" w:line="36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Different responses from caregivers and adolescents on how to cope with these challenges</w:t>
      </w:r>
    </w:p>
    <w:p w14:paraId="00000061" w14:textId="77777777"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end of each FGD, participants were asked how these challenges could be resolved. Adolescents and caregivers gave different responses. Most caregivers felt either powerless, accepting their fate:</w:t>
      </w:r>
    </w:p>
    <w:p w14:paraId="00000062" w14:textId="40E77C2B" w:rsidR="00556640" w:rsidRDefault="00AC3D86">
      <w:pPr>
        <w:pStyle w:val="Heading2"/>
        <w:spacing w:before="0" w:after="120" w:line="360" w:lineRule="auto"/>
        <w:ind w:left="708"/>
        <w:jc w:val="both"/>
        <w:rPr>
          <w:rFonts w:ascii="Times New Roman" w:eastAsia="Times New Roman" w:hAnsi="Times New Roman" w:cs="Times New Roman"/>
          <w:b w:val="0"/>
          <w:color w:val="000000"/>
          <w:sz w:val="24"/>
          <w:szCs w:val="24"/>
        </w:rPr>
      </w:pPr>
      <w:r w:rsidRPr="00DC180C">
        <w:rPr>
          <w:rFonts w:ascii="Times New Roman" w:eastAsia="Times New Roman" w:hAnsi="Times New Roman" w:cs="Times New Roman"/>
          <w:b w:val="0"/>
          <w:color w:val="auto"/>
          <w:sz w:val="24"/>
          <w:szCs w:val="24"/>
        </w:rPr>
        <w:t xml:space="preserve">“They (the tenants) consider that, because we live in these lower neighborhoods, we are not </w:t>
      </w:r>
      <w:r>
        <w:rPr>
          <w:rFonts w:ascii="Times New Roman" w:eastAsia="Times New Roman" w:hAnsi="Times New Roman" w:cs="Times New Roman"/>
          <w:b w:val="0"/>
          <w:color w:val="000000"/>
          <w:sz w:val="24"/>
          <w:szCs w:val="24"/>
        </w:rPr>
        <w:t>aware of our rights. […] What can we do? Nothing! So, we sit down, we watch them, and we live in the mess.” (FGD5, mother, Yopougon)</w:t>
      </w:r>
    </w:p>
    <w:p w14:paraId="00000063" w14:textId="77777777" w:rsidR="00556640" w:rsidRDefault="00AC3D86">
      <w:pPr>
        <w:spacing w:after="12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thanks to God that we are kept alive in this neighborhood.” (FGD5, mother, Yopougon)</w:t>
      </w:r>
    </w:p>
    <w:p w14:paraId="00000064" w14:textId="0B9352F8" w:rsidR="00556640" w:rsidRDefault="00AC3D86">
      <w:pPr>
        <w:spacing w:after="120" w:line="360" w:lineRule="auto"/>
        <w:ind w:left="708"/>
        <w:jc w:val="both"/>
        <w:rPr>
          <w:rFonts w:ascii="Times New Roman" w:eastAsia="Times New Roman" w:hAnsi="Times New Roman" w:cs="Times New Roman"/>
          <w:sz w:val="24"/>
          <w:szCs w:val="24"/>
        </w:rPr>
      </w:pPr>
      <w:r w:rsidRPr="00DC180C">
        <w:rPr>
          <w:rFonts w:ascii="Times New Roman" w:eastAsia="Times New Roman" w:hAnsi="Times New Roman" w:cs="Times New Roman"/>
          <w:sz w:val="24"/>
          <w:szCs w:val="24"/>
        </w:rPr>
        <w:t xml:space="preserve"> “Humans do not ask God to let them live in poverty, but if you don’t have the resources, </w:t>
      </w:r>
      <w:r>
        <w:rPr>
          <w:rFonts w:ascii="Times New Roman" w:eastAsia="Times New Roman" w:hAnsi="Times New Roman" w:cs="Times New Roman"/>
          <w:sz w:val="24"/>
          <w:szCs w:val="24"/>
        </w:rPr>
        <w:t>you must accept your fate.”(FGD6, mother, Port-Bouët)</w:t>
      </w:r>
    </w:p>
    <w:p w14:paraId="00000065" w14:textId="77777777"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reported that these FGDs were the first time anyone had shown any interest in their situation. A political response to solve their socio-economic difficulties was mentioned, as well as NGOs and development aid programs. Also, specific TV programmes and training sessions on how to negotiate with their adolescent children were requested.</w:t>
      </w:r>
    </w:p>
    <w:p w14:paraId="00000066" w14:textId="77777777"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adolescents did not talk about the lack of resources available to them. Nor did they discuss parent-child conflict. Like their caregivers, some did ask for an external response, whilst others suggested initiatives such as the development of canteens: </w:t>
      </w:r>
    </w:p>
    <w:p w14:paraId="00000067" w14:textId="2DE2A34D" w:rsidR="00556640" w:rsidRPr="00DC180C" w:rsidRDefault="00AC3D86">
      <w:pPr>
        <w:spacing w:after="120" w:line="36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“If they run an advertisement on TV to show how to eat, to adapt to one’s living </w:t>
      </w:r>
      <w:r w:rsidRPr="00DC180C">
        <w:rPr>
          <w:rFonts w:ascii="Times New Roman" w:eastAsia="Times New Roman" w:hAnsi="Times New Roman" w:cs="Times New Roman"/>
          <w:sz w:val="24"/>
          <w:szCs w:val="24"/>
        </w:rPr>
        <w:t xml:space="preserve">environment, and to be healthy, it will be fine.” (FGD4, older boys, Port-Bouët)) </w:t>
      </w:r>
    </w:p>
    <w:p w14:paraId="00000068" w14:textId="77777777" w:rsidR="00556640" w:rsidRDefault="00AC3D86">
      <w:pPr>
        <w:spacing w:after="120" w:line="36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"You should normally build a canteen to encourage us to eat fruits and a few desserts, and also centers where we can study." (FGD3, older girls, Port-Bouët)</w:t>
      </w:r>
    </w:p>
    <w:p w14:paraId="00000069" w14:textId="77777777"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oldest adolescents requested a youth-friendly place, such as a multi-activities centre, where they could practice sport in a safe environment, and chat with other adolescents. This idea was also suggested by some mothers.</w:t>
      </w:r>
    </w:p>
    <w:p w14:paraId="0000006A" w14:textId="6A9F8515" w:rsidR="00556640" w:rsidRPr="00DC180C" w:rsidRDefault="00AC3D86">
      <w:pPr>
        <w:spacing w:after="120" w:line="36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“Creating parks for chatting, because when some people want to chat, they are forced to go </w:t>
      </w:r>
      <w:r w:rsidRPr="00DC180C">
        <w:rPr>
          <w:rFonts w:ascii="Times New Roman" w:eastAsia="Times New Roman" w:hAnsi="Times New Roman" w:cs="Times New Roman"/>
          <w:sz w:val="24"/>
          <w:szCs w:val="24"/>
        </w:rPr>
        <w:t>in narrow streets and corners and it is not safe.” FGD3, older girls, Port-Bouët)</w:t>
      </w:r>
    </w:p>
    <w:p w14:paraId="0000006B" w14:textId="77777777" w:rsidR="00556640" w:rsidRDefault="00AC3D86">
      <w:pPr>
        <w:spacing w:after="120" w:line="36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“They could create a center. A center not only dedicated to football, as there are many other </w:t>
      </w:r>
      <w:r w:rsidRPr="00DC180C">
        <w:rPr>
          <w:rFonts w:ascii="Times New Roman" w:eastAsia="Times New Roman" w:hAnsi="Times New Roman" w:cs="Times New Roman"/>
          <w:sz w:val="24"/>
          <w:szCs w:val="24"/>
        </w:rPr>
        <w:t xml:space="preserve">sports that kids can enjoy when they do not have to be at school. Also, during the holidays, </w:t>
      </w:r>
      <w:r>
        <w:rPr>
          <w:rFonts w:ascii="Times New Roman" w:eastAsia="Times New Roman" w:hAnsi="Times New Roman" w:cs="Times New Roman"/>
          <w:sz w:val="24"/>
          <w:szCs w:val="24"/>
        </w:rPr>
        <w:t>when the kids are here, wandering in the neighborhood. If there is a center, at least they could practice activities, even competitions maybe, or organize committees.” (FGD6, mother, Port-Bouët)</w:t>
      </w:r>
    </w:p>
    <w:p w14:paraId="0000006C" w14:textId="77777777" w:rsidR="00556640" w:rsidRDefault="00AC3D86">
      <w:pPr>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Thus, a gap was identified between the two main themes developed in these FGDs. The main results of each theme and how to fill the gap between them are summarized in Figure 1.</w:t>
      </w:r>
    </w:p>
    <w:p w14:paraId="0000006D" w14:textId="77777777" w:rsidR="00556640" w:rsidRDefault="00556640">
      <w:pPr>
        <w:spacing w:after="120" w:line="360" w:lineRule="auto"/>
        <w:jc w:val="center"/>
        <w:rPr>
          <w:rFonts w:ascii="Times New Roman" w:eastAsia="Times New Roman" w:hAnsi="Times New Roman" w:cs="Times New Roman"/>
          <w:sz w:val="24"/>
          <w:szCs w:val="24"/>
        </w:rPr>
      </w:pPr>
    </w:p>
    <w:p w14:paraId="0000006E" w14:textId="3090BBA6" w:rsidR="00556640" w:rsidRDefault="00AC3D86">
      <w:pPr>
        <w:spacing w:after="120" w:line="360" w:lineRule="auto"/>
        <w:rPr>
          <w:rFonts w:ascii="Times New Roman" w:eastAsia="Times New Roman" w:hAnsi="Times New Roman" w:cs="Times New Roman"/>
          <w:sz w:val="24"/>
          <w:szCs w:val="24"/>
        </w:rPr>
      </w:pPr>
      <w:bookmarkStart w:id="1" w:name="_heading=h.gjdgxs" w:colFirst="0" w:colLast="0"/>
      <w:bookmarkEnd w:id="1"/>
      <w:r>
        <w:br w:type="page"/>
      </w:r>
    </w:p>
    <w:p w14:paraId="0000006F" w14:textId="77777777" w:rsidR="00556640" w:rsidRDefault="00AC3D86">
      <w:pPr>
        <w:spacing w:after="12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Discussion </w:t>
      </w:r>
    </w:p>
    <w:p w14:paraId="00000070" w14:textId="42DD80F4" w:rsidR="00556640" w:rsidRPr="00DC180C"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highlighted adolescents’ and caregivers’ awareness of the importance of a healthy diet and the benefits of regular physical activity. They were also conscious that their socio-economic </w:t>
      </w:r>
      <w:r w:rsidRPr="00DC180C">
        <w:rPr>
          <w:rFonts w:ascii="Times New Roman" w:eastAsia="Times New Roman" w:hAnsi="Times New Roman" w:cs="Times New Roman"/>
          <w:sz w:val="24"/>
          <w:szCs w:val="24"/>
        </w:rPr>
        <w:t xml:space="preserve">status and the environment in which they lived strongly hindered adolescents’ capacity to adopt good nutritional habits and practice sport/exercise. The quantitative survey showed that these adolescents were living in an environment where the nutrition transition is ongoing, with both undernutrition and overweight prevalence over 10%. </w:t>
      </w:r>
      <w:r w:rsidR="00793DE4" w:rsidRPr="00A1297C">
        <w:rPr>
          <w:rFonts w:ascii="Times New Roman" w:eastAsia="Times New Roman" w:hAnsi="Times New Roman" w:cs="Times New Roman"/>
          <w:color w:val="FF0000"/>
          <w:sz w:val="24"/>
          <w:szCs w:val="24"/>
        </w:rPr>
        <w:t xml:space="preserve">Their socio-economic living conditions were similar across neighborhoods, with poverty issues and a lack of some material possessions (half of them reported having a fridge at home) that could be related to their difficulties to adopt healthy food choices. </w:t>
      </w:r>
      <w:r w:rsidRPr="00DC180C">
        <w:rPr>
          <w:rFonts w:ascii="Times New Roman" w:eastAsia="Times New Roman" w:hAnsi="Times New Roman" w:cs="Times New Roman"/>
          <w:sz w:val="24"/>
          <w:szCs w:val="24"/>
        </w:rPr>
        <w:t xml:space="preserve">To our knowledge, this study is the first to explore adolescent health, focusing on diet and physical activity, in Côte d’Ivoire, especially in a low-income district of Abidjan. A qualitative study on adolescents living in poor urban settlements in West Africa is innovative, and therefore difficult to compare with previous work. </w:t>
      </w:r>
    </w:p>
    <w:p w14:paraId="00000071" w14:textId="04C154BE" w:rsidR="00556640" w:rsidRPr="00DC180C" w:rsidRDefault="00AC3D86">
      <w:pPr>
        <w:spacing w:after="120" w:line="360" w:lineRule="auto"/>
        <w:jc w:val="both"/>
        <w:rPr>
          <w:rFonts w:ascii="Times New Roman" w:eastAsia="Times New Roman" w:hAnsi="Times New Roman" w:cs="Times New Roman"/>
          <w:sz w:val="24"/>
          <w:szCs w:val="24"/>
        </w:rPr>
      </w:pPr>
      <w:r w:rsidRPr="00DC180C">
        <w:rPr>
          <w:rFonts w:ascii="Times New Roman" w:eastAsia="Times New Roman" w:hAnsi="Times New Roman" w:cs="Times New Roman"/>
          <w:sz w:val="24"/>
          <w:szCs w:val="24"/>
        </w:rPr>
        <w:t>Despite having good knowledge of nutrition and health, participants reported some unhealthy behaviors, such as sweet consumption. Indeed, sweet consumption is rapidly increasing in sub-Saharan Africa, with currently not enough public health efforts to address this issue and its consequences on non-comm</w:t>
      </w:r>
      <w:r w:rsidR="00703E60" w:rsidRPr="00DC180C">
        <w:rPr>
          <w:rFonts w:ascii="Times New Roman" w:eastAsia="Times New Roman" w:hAnsi="Times New Roman" w:cs="Times New Roman"/>
          <w:sz w:val="24"/>
          <w:szCs w:val="24"/>
        </w:rPr>
        <w:t>unicable disease development (20</w:t>
      </w:r>
      <w:r w:rsidRPr="00DC180C">
        <w:rPr>
          <w:rFonts w:ascii="Times New Roman" w:eastAsia="Times New Roman" w:hAnsi="Times New Roman" w:cs="Times New Roman"/>
          <w:sz w:val="24"/>
          <w:szCs w:val="24"/>
        </w:rPr>
        <w:t>). A study conducted in 2016 in Abidjan found a prevalence of 17.2% of impaired fasting glycaemia and 0.4% of diabetes among adolescents; this rate is expected to increase if public policies are not implemented to reduce sweet consumption in these settings</w:t>
      </w:r>
      <w:r w:rsidR="00703E60" w:rsidRPr="00DC180C">
        <w:rPr>
          <w:rFonts w:ascii="Times New Roman" w:eastAsia="Times New Roman" w:hAnsi="Times New Roman" w:cs="Times New Roman"/>
          <w:sz w:val="24"/>
          <w:szCs w:val="24"/>
        </w:rPr>
        <w:t xml:space="preserve"> (21</w:t>
      </w:r>
      <w:r w:rsidRPr="00DC180C">
        <w:rPr>
          <w:rFonts w:ascii="Times New Roman" w:eastAsia="Times New Roman" w:hAnsi="Times New Roman" w:cs="Times New Roman"/>
          <w:sz w:val="24"/>
          <w:szCs w:val="24"/>
        </w:rPr>
        <w:t>). In this study, caregivers were particularly concerned about adolescents becoming accustomed to regularly consuming sugary foods/beverages. This trend is supported by a recent multiregional cross-sectional survey highlighting high levels of soft drink consumption in adolescents living in sub-Saharan Africa, in addition to inadequate f</w:t>
      </w:r>
      <w:r w:rsidR="00703E60" w:rsidRPr="00DC180C">
        <w:rPr>
          <w:rFonts w:ascii="Times New Roman" w:eastAsia="Times New Roman" w:hAnsi="Times New Roman" w:cs="Times New Roman"/>
          <w:sz w:val="24"/>
          <w:szCs w:val="24"/>
        </w:rPr>
        <w:t>ruit and vegetable intake (22</w:t>
      </w:r>
      <w:r w:rsidRPr="00DC180C">
        <w:rPr>
          <w:rFonts w:ascii="Times New Roman" w:eastAsia="Times New Roman" w:hAnsi="Times New Roman" w:cs="Times New Roman"/>
          <w:sz w:val="24"/>
          <w:szCs w:val="24"/>
        </w:rPr>
        <w:t>). Environmental hygiene and safety were also pressing issues regarding adolescent health, which have been described in other l</w:t>
      </w:r>
      <w:r w:rsidR="00703E60" w:rsidRPr="00DC180C">
        <w:rPr>
          <w:rFonts w:ascii="Times New Roman" w:eastAsia="Times New Roman" w:hAnsi="Times New Roman" w:cs="Times New Roman"/>
          <w:sz w:val="24"/>
          <w:szCs w:val="24"/>
        </w:rPr>
        <w:t>ow-income settings worldwide (23</w:t>
      </w:r>
      <w:r w:rsidRPr="00DC180C">
        <w:rPr>
          <w:rFonts w:ascii="Times New Roman" w:eastAsia="Times New Roman" w:hAnsi="Times New Roman" w:cs="Times New Roman"/>
          <w:sz w:val="24"/>
          <w:szCs w:val="24"/>
        </w:rPr>
        <w:t xml:space="preserve">).  </w:t>
      </w:r>
    </w:p>
    <w:p w14:paraId="00000072" w14:textId="22C8228C" w:rsidR="00556640" w:rsidRPr="00DC180C" w:rsidRDefault="00AC3D86">
      <w:pPr>
        <w:spacing w:after="120" w:line="360" w:lineRule="auto"/>
        <w:jc w:val="both"/>
        <w:rPr>
          <w:rFonts w:ascii="Times New Roman" w:eastAsia="Times New Roman" w:hAnsi="Times New Roman" w:cs="Times New Roman"/>
          <w:sz w:val="24"/>
          <w:szCs w:val="24"/>
        </w:rPr>
      </w:pPr>
      <w:r w:rsidRPr="00DC180C">
        <w:rPr>
          <w:rFonts w:ascii="Times New Roman" w:eastAsia="Times New Roman" w:hAnsi="Times New Roman" w:cs="Times New Roman"/>
          <w:sz w:val="24"/>
          <w:szCs w:val="24"/>
        </w:rPr>
        <w:t>Overall, socio-economic constraints played a major role in shaping nutritional and physical activity habits. Poverty and a lack of resources, also described in different se</w:t>
      </w:r>
      <w:r w:rsidR="00703E60" w:rsidRPr="00DC180C">
        <w:rPr>
          <w:rFonts w:ascii="Times New Roman" w:eastAsia="Times New Roman" w:hAnsi="Times New Roman" w:cs="Times New Roman"/>
          <w:sz w:val="24"/>
          <w:szCs w:val="24"/>
        </w:rPr>
        <w:t>ttings in sub-Saharan Africa (23-27</w:t>
      </w:r>
      <w:r w:rsidRPr="00DC180C">
        <w:rPr>
          <w:rFonts w:ascii="Times New Roman" w:eastAsia="Times New Roman" w:hAnsi="Times New Roman" w:cs="Times New Roman"/>
          <w:sz w:val="24"/>
          <w:szCs w:val="24"/>
        </w:rPr>
        <w:t xml:space="preserve">), were barriers to comply with healthy eating habits. The high cost of healthy foods, alongside </w:t>
      </w:r>
      <w:sdt>
        <w:sdtPr>
          <w:tag w:val="goog_rdk_1"/>
          <w:id w:val="-1432346666"/>
        </w:sdtPr>
        <w:sdtEndPr/>
        <w:sdtContent/>
      </w:sdt>
      <w:r w:rsidRPr="00DC180C">
        <w:rPr>
          <w:rFonts w:ascii="Times New Roman" w:eastAsia="Times New Roman" w:hAnsi="Times New Roman" w:cs="Times New Roman"/>
          <w:sz w:val="24"/>
          <w:szCs w:val="24"/>
        </w:rPr>
        <w:t>an unhealthy</w:t>
      </w:r>
      <w:r w:rsidR="002B7E4F" w:rsidRPr="00DC180C">
        <w:rPr>
          <w:rFonts w:ascii="Times New Roman" w:eastAsia="Times New Roman" w:hAnsi="Times New Roman" w:cs="Times New Roman"/>
          <w:sz w:val="24"/>
          <w:szCs w:val="24"/>
        </w:rPr>
        <w:t xml:space="preserve"> food</w:t>
      </w:r>
      <w:r w:rsidRPr="00DC180C">
        <w:rPr>
          <w:rFonts w:ascii="Times New Roman" w:eastAsia="Times New Roman" w:hAnsi="Times New Roman" w:cs="Times New Roman"/>
          <w:sz w:val="24"/>
          <w:szCs w:val="24"/>
        </w:rPr>
        <w:t xml:space="preserve"> environment are not only associated to undernutrition risk, but are also contextual factors influencing overweight and obesity risk, as seen in a qualitative synthesis among women living in sub-Saharan A</w:t>
      </w:r>
      <w:r w:rsidR="00703E60" w:rsidRPr="00DC180C">
        <w:rPr>
          <w:rFonts w:ascii="Times New Roman" w:eastAsia="Times New Roman" w:hAnsi="Times New Roman" w:cs="Times New Roman"/>
          <w:sz w:val="24"/>
          <w:szCs w:val="24"/>
        </w:rPr>
        <w:t>frica (27</w:t>
      </w:r>
      <w:r w:rsidRPr="00DC180C">
        <w:rPr>
          <w:rFonts w:ascii="Times New Roman" w:eastAsia="Times New Roman" w:hAnsi="Times New Roman" w:cs="Times New Roman"/>
          <w:sz w:val="24"/>
          <w:szCs w:val="24"/>
        </w:rPr>
        <w:t>). The lack of safe neighborhood spaces were barriers to physical activity practices, which were previously</w:t>
      </w:r>
      <w:r w:rsidR="00703E60" w:rsidRPr="00DC180C">
        <w:rPr>
          <w:rFonts w:ascii="Times New Roman" w:eastAsia="Times New Roman" w:hAnsi="Times New Roman" w:cs="Times New Roman"/>
          <w:sz w:val="24"/>
          <w:szCs w:val="24"/>
        </w:rPr>
        <w:t xml:space="preserve"> found in sub-Saharan Africa (23, 27-28</w:t>
      </w:r>
      <w:r w:rsidRPr="00DC180C">
        <w:rPr>
          <w:rFonts w:ascii="Times New Roman" w:eastAsia="Times New Roman" w:hAnsi="Times New Roman" w:cs="Times New Roman"/>
          <w:sz w:val="24"/>
          <w:szCs w:val="24"/>
        </w:rPr>
        <w:t xml:space="preserve">) and also in </w:t>
      </w:r>
      <w:sdt>
        <w:sdtPr>
          <w:tag w:val="goog_rdk_2"/>
          <w:id w:val="764344457"/>
        </w:sdtPr>
        <w:sdtEndPr/>
        <w:sdtContent/>
      </w:sdt>
      <w:r w:rsidR="002B7E4F" w:rsidRPr="00DC180C">
        <w:rPr>
          <w:rFonts w:ascii="Times New Roman" w:eastAsia="Times New Roman" w:hAnsi="Times New Roman" w:cs="Times New Roman"/>
          <w:sz w:val="24"/>
          <w:szCs w:val="24"/>
        </w:rPr>
        <w:t>developed countries</w:t>
      </w:r>
      <w:r w:rsidRPr="00DC180C">
        <w:rPr>
          <w:rFonts w:ascii="Times New Roman" w:eastAsia="Times New Roman" w:hAnsi="Times New Roman" w:cs="Times New Roman"/>
          <w:sz w:val="24"/>
          <w:szCs w:val="24"/>
        </w:rPr>
        <w:t xml:space="preserve"> </w:t>
      </w:r>
      <w:r w:rsidR="00703E60" w:rsidRPr="00DC180C">
        <w:rPr>
          <w:rFonts w:ascii="Times New Roman" w:eastAsia="Times New Roman" w:hAnsi="Times New Roman" w:cs="Times New Roman"/>
          <w:sz w:val="24"/>
          <w:szCs w:val="24"/>
        </w:rPr>
        <w:t>among poor communities (29-31</w:t>
      </w:r>
      <w:r w:rsidRPr="00DC180C">
        <w:rPr>
          <w:rFonts w:ascii="Times New Roman" w:eastAsia="Times New Roman" w:hAnsi="Times New Roman" w:cs="Times New Roman"/>
          <w:sz w:val="24"/>
          <w:szCs w:val="24"/>
        </w:rPr>
        <w:t>). Despite good knowledge and perceptions on health, nutrition and physical activity, these socio-economic and environmental constraints led to a gap betwe</w:t>
      </w:r>
      <w:r w:rsidR="00703E60" w:rsidRPr="00DC180C">
        <w:rPr>
          <w:rFonts w:ascii="Times New Roman" w:eastAsia="Times New Roman" w:hAnsi="Times New Roman" w:cs="Times New Roman"/>
          <w:sz w:val="24"/>
          <w:szCs w:val="24"/>
        </w:rPr>
        <w:t>en perceptions and behaviors (14</w:t>
      </w:r>
      <w:r w:rsidRPr="00DC180C">
        <w:rPr>
          <w:rFonts w:ascii="Times New Roman" w:eastAsia="Times New Roman" w:hAnsi="Times New Roman" w:cs="Times New Roman"/>
          <w:sz w:val="24"/>
          <w:szCs w:val="24"/>
        </w:rPr>
        <w:t>).</w:t>
      </w:r>
    </w:p>
    <w:p w14:paraId="00000073" w14:textId="133AC49B" w:rsidR="00556640" w:rsidRPr="00DC180C"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Conflicting relationships between caregivers and their adolescents were also frequently mentioned by caregivers. Adolescents did not report these conflicts; they may not perceive these situations as </w:t>
      </w:r>
      <w:r w:rsidRPr="00DC180C">
        <w:rPr>
          <w:rFonts w:ascii="Times New Roman" w:eastAsia="Times New Roman" w:hAnsi="Times New Roman" w:cs="Times New Roman"/>
          <w:sz w:val="24"/>
          <w:szCs w:val="24"/>
        </w:rPr>
        <w:t xml:space="preserve">conflicting or did not discuss it out of fear or respect for their parents. </w:t>
      </w:r>
      <w:sdt>
        <w:sdtPr>
          <w:tag w:val="goog_rdk_3"/>
          <w:id w:val="1539708854"/>
        </w:sdtPr>
        <w:sdtEndPr/>
        <w:sdtContent/>
      </w:sdt>
      <w:r w:rsidRPr="00DC180C">
        <w:rPr>
          <w:rFonts w:ascii="Times New Roman" w:eastAsia="Times New Roman" w:hAnsi="Times New Roman" w:cs="Times New Roman"/>
          <w:sz w:val="24"/>
          <w:szCs w:val="24"/>
        </w:rPr>
        <w:t>Documenting further conflictual relationships between adolescents and their parents regarding nutritional habits and physical activity could allow better understanding nutritional behavior changes. These intergenerational relationships have been explored in South Africa among daughters and mothers regarding diet and obesity risk, which could help to design appropriate public health response to improve nutrition and physical act</w:t>
      </w:r>
      <w:r w:rsidR="00703E60" w:rsidRPr="00DC180C">
        <w:rPr>
          <w:rFonts w:ascii="Times New Roman" w:eastAsia="Times New Roman" w:hAnsi="Times New Roman" w:cs="Times New Roman"/>
          <w:sz w:val="24"/>
          <w:szCs w:val="24"/>
        </w:rPr>
        <w:t>ivity for this population (32</w:t>
      </w:r>
      <w:r w:rsidRPr="00DC180C">
        <w:rPr>
          <w:rFonts w:ascii="Times New Roman" w:eastAsia="Times New Roman" w:hAnsi="Times New Roman" w:cs="Times New Roman"/>
          <w:sz w:val="24"/>
          <w:szCs w:val="24"/>
        </w:rPr>
        <w:t>).</w:t>
      </w:r>
      <w:r w:rsidR="002B7E4F" w:rsidRPr="00DC180C">
        <w:rPr>
          <w:rFonts w:ascii="Times New Roman" w:eastAsia="Times New Roman" w:hAnsi="Times New Roman" w:cs="Times New Roman"/>
          <w:sz w:val="24"/>
          <w:szCs w:val="24"/>
        </w:rPr>
        <w:t>This also highlights the importance of taking relational approach to understanding diet and physical activity in families</w:t>
      </w:r>
    </w:p>
    <w:p w14:paraId="00000074" w14:textId="07DCB5E6" w:rsidR="00556640" w:rsidRDefault="00C84FBF">
      <w:pPr>
        <w:spacing w:after="120" w:line="360" w:lineRule="auto"/>
        <w:jc w:val="both"/>
        <w:rPr>
          <w:rFonts w:ascii="Times New Roman" w:eastAsia="Times New Roman" w:hAnsi="Times New Roman" w:cs="Times New Roman"/>
          <w:sz w:val="24"/>
          <w:szCs w:val="24"/>
        </w:rPr>
      </w:pPr>
      <w:sdt>
        <w:sdtPr>
          <w:tag w:val="goog_rdk_4"/>
          <w:id w:val="75790572"/>
        </w:sdtPr>
        <w:sdtEndPr/>
        <w:sdtContent/>
      </w:sdt>
      <w:r w:rsidR="00AC3D86" w:rsidRPr="00DC180C">
        <w:rPr>
          <w:rFonts w:ascii="Times New Roman" w:eastAsia="Times New Roman" w:hAnsi="Times New Roman" w:cs="Times New Roman"/>
          <w:sz w:val="24"/>
          <w:szCs w:val="24"/>
        </w:rPr>
        <w:t>Caregivers seemed to be more affected by their living conditions than adolescents. Indeed, caregivers could have lived in another environment prior to residing in the capital, such as a rural region with potentially better access to a more healthy, diversified</w:t>
      </w:r>
      <w:r w:rsidR="00703E60" w:rsidRPr="00DC180C">
        <w:rPr>
          <w:rFonts w:ascii="Times New Roman" w:eastAsia="Times New Roman" w:hAnsi="Times New Roman" w:cs="Times New Roman"/>
          <w:sz w:val="24"/>
          <w:szCs w:val="24"/>
        </w:rPr>
        <w:t xml:space="preserve"> diet (33</w:t>
      </w:r>
      <w:r w:rsidR="00AC3D86" w:rsidRPr="00DC180C">
        <w:rPr>
          <w:rFonts w:ascii="Times New Roman" w:eastAsia="Times New Roman" w:hAnsi="Times New Roman" w:cs="Times New Roman"/>
          <w:sz w:val="24"/>
          <w:szCs w:val="24"/>
        </w:rPr>
        <w:t>), and a larger house with more outside space. The adolescents however were more likely to be born and raised in Abidjan and were, perhaps, more accepting of their living conditions.</w:t>
      </w:r>
      <w:r w:rsidR="002B7E4F" w:rsidRPr="00DC180C">
        <w:rPr>
          <w:rFonts w:ascii="Times New Roman" w:eastAsia="Times New Roman" w:hAnsi="Times New Roman" w:cs="Times New Roman"/>
          <w:sz w:val="24"/>
          <w:szCs w:val="24"/>
        </w:rPr>
        <w:t xml:space="preserve"> This situation may be very common among families in Abidjan due to the rural exodus occurring in Côte d’Ivoire over the past two decades.</w:t>
      </w:r>
      <w:r w:rsidR="00AC3D86" w:rsidRPr="00DC180C">
        <w:rPr>
          <w:rFonts w:ascii="Times New Roman" w:eastAsia="Times New Roman" w:hAnsi="Times New Roman" w:cs="Times New Roman"/>
          <w:sz w:val="24"/>
          <w:szCs w:val="24"/>
        </w:rPr>
        <w:t xml:space="preserve"> </w:t>
      </w:r>
    </w:p>
    <w:p w14:paraId="3DC4DFDE" w14:textId="421715C3" w:rsidR="002B1A47" w:rsidRPr="00A1297C" w:rsidRDefault="008B2867">
      <w:pPr>
        <w:spacing w:after="120" w:line="360" w:lineRule="auto"/>
        <w:jc w:val="both"/>
        <w:rPr>
          <w:rFonts w:ascii="Times New Roman" w:eastAsia="Times New Roman" w:hAnsi="Times New Roman" w:cs="Times New Roman"/>
          <w:color w:val="FF0000"/>
          <w:sz w:val="24"/>
          <w:szCs w:val="24"/>
        </w:rPr>
      </w:pPr>
      <w:r w:rsidRPr="00A1297C">
        <w:rPr>
          <w:rFonts w:ascii="Times New Roman" w:eastAsia="Times New Roman" w:hAnsi="Times New Roman" w:cs="Times New Roman"/>
          <w:color w:val="FF0000"/>
          <w:sz w:val="24"/>
          <w:szCs w:val="24"/>
        </w:rPr>
        <w:t xml:space="preserve">Our findings are in line with the conceptual map developed by </w:t>
      </w:r>
      <w:r w:rsidR="00A1297C" w:rsidRPr="00A1297C">
        <w:rPr>
          <w:rFonts w:ascii="Times New Roman" w:eastAsia="Times New Roman" w:hAnsi="Times New Roman" w:cs="Times New Roman"/>
          <w:color w:val="FF0000"/>
          <w:sz w:val="24"/>
          <w:szCs w:val="24"/>
        </w:rPr>
        <w:t xml:space="preserve">Barker M et al. (ref introductory paper, this issue) </w:t>
      </w:r>
      <w:r w:rsidRPr="00A1297C">
        <w:rPr>
          <w:rFonts w:ascii="Times New Roman" w:eastAsia="Times New Roman" w:hAnsi="Times New Roman" w:cs="Times New Roman"/>
          <w:color w:val="FF0000"/>
          <w:sz w:val="24"/>
          <w:szCs w:val="24"/>
        </w:rPr>
        <w:t>about the dynamic relations between national, cultural, familial and individual-level factors and adolescent nutritional status. Participants in Côte d’Ivoire emphasized</w:t>
      </w:r>
      <w:r w:rsidR="00A1297C" w:rsidRPr="00A1297C">
        <w:rPr>
          <w:rFonts w:ascii="Times New Roman" w:eastAsia="Times New Roman" w:hAnsi="Times New Roman" w:cs="Times New Roman"/>
          <w:color w:val="FF0000"/>
          <w:sz w:val="24"/>
          <w:szCs w:val="24"/>
        </w:rPr>
        <w:t xml:space="preserve"> the difficulties of adopting </w:t>
      </w:r>
      <w:r w:rsidRPr="00A1297C">
        <w:rPr>
          <w:rFonts w:ascii="Times New Roman" w:eastAsia="Times New Roman" w:hAnsi="Times New Roman" w:cs="Times New Roman"/>
          <w:color w:val="FF0000"/>
          <w:sz w:val="24"/>
          <w:szCs w:val="24"/>
        </w:rPr>
        <w:t>healthy food choices, due especially to poor food availability and affordability. Settings where they live, low-income suburbs in a growing urban city, do not provide them with healthy food choices or the opportunity to engage in physical activity as they would like. Their personal choices in terms of nutritional habits are thus highly impacted by their environment. The national response to address adolescent nutrition challenges currently remains limited in Côte d'Ivoire.</w:t>
      </w:r>
      <w:r w:rsidR="00BC6D23" w:rsidRPr="00A1297C">
        <w:rPr>
          <w:rFonts w:ascii="Times New Roman" w:eastAsia="Times New Roman" w:hAnsi="Times New Roman" w:cs="Times New Roman"/>
          <w:color w:val="FF0000"/>
          <w:sz w:val="24"/>
          <w:szCs w:val="24"/>
        </w:rPr>
        <w:t xml:space="preserve"> T</w:t>
      </w:r>
      <w:r w:rsidRPr="00A1297C">
        <w:rPr>
          <w:rFonts w:ascii="Times New Roman" w:eastAsia="Times New Roman" w:hAnsi="Times New Roman" w:cs="Times New Roman"/>
          <w:color w:val="FF0000"/>
          <w:sz w:val="24"/>
          <w:szCs w:val="24"/>
        </w:rPr>
        <w:t>here is a growing risk that adolescents are becoming new target customers for food industries that promote junk food, sweetened beverages and other unhealthy food products.</w:t>
      </w:r>
    </w:p>
    <w:p w14:paraId="00000075" w14:textId="77777777" w:rsidR="00556640" w:rsidRPr="008B2867" w:rsidRDefault="00556640">
      <w:pPr>
        <w:spacing w:after="120" w:line="360" w:lineRule="auto"/>
        <w:jc w:val="both"/>
        <w:rPr>
          <w:rFonts w:ascii="Times New Roman" w:eastAsia="Times New Roman" w:hAnsi="Times New Roman" w:cs="Times New Roman"/>
          <w:sz w:val="24"/>
          <w:szCs w:val="24"/>
        </w:rPr>
      </w:pPr>
    </w:p>
    <w:p w14:paraId="00000076" w14:textId="77777777" w:rsidR="00556640" w:rsidRDefault="00AC3D86">
      <w:pPr>
        <w:spacing w:after="12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Implications </w:t>
      </w:r>
    </w:p>
    <w:p w14:paraId="00000077" w14:textId="449B2AF2" w:rsidR="00556640" w:rsidRPr="00DC180C"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Participants raised significant socio-economic issues; living in undeveloped settlements where they feel neglected and left behind, for which a public health response may not completely solve all their </w:t>
      </w:r>
      <w:r w:rsidRPr="00DC180C">
        <w:rPr>
          <w:rFonts w:ascii="Times New Roman" w:eastAsia="Times New Roman" w:hAnsi="Times New Roman" w:cs="Times New Roman"/>
          <w:sz w:val="24"/>
          <w:szCs w:val="24"/>
        </w:rPr>
        <w:t>issues. During the FGDs, adolescents expressed their desire and willingness to engage in community development and decision-making. The importance of youth participation in social development, as well as the role of peer-educators, has</w:t>
      </w:r>
      <w:r w:rsidR="00703E60" w:rsidRPr="00DC180C">
        <w:rPr>
          <w:rFonts w:ascii="Times New Roman" w:eastAsia="Times New Roman" w:hAnsi="Times New Roman" w:cs="Times New Roman"/>
          <w:sz w:val="24"/>
          <w:szCs w:val="24"/>
        </w:rPr>
        <w:t xml:space="preserve"> been shown in the HIV field (34-36</w:t>
      </w:r>
      <w:r w:rsidRPr="00DC180C">
        <w:rPr>
          <w:rFonts w:ascii="Times New Roman" w:eastAsia="Times New Roman" w:hAnsi="Times New Roman" w:cs="Times New Roman"/>
          <w:sz w:val="24"/>
          <w:szCs w:val="24"/>
        </w:rPr>
        <w:t>), but their role in other public health and development sectors is still small. The need for community-based youth services has also been raised in a Kenyan study, emphasizing the benefits</w:t>
      </w:r>
      <w:r w:rsidR="002B7E4F" w:rsidRPr="00DC180C">
        <w:rPr>
          <w:rFonts w:ascii="Times New Roman" w:eastAsia="Times New Roman" w:hAnsi="Times New Roman" w:cs="Times New Roman"/>
          <w:sz w:val="24"/>
          <w:szCs w:val="24"/>
        </w:rPr>
        <w:t xml:space="preserve"> of</w:t>
      </w:r>
      <w:r w:rsidRPr="00DC180C">
        <w:rPr>
          <w:rFonts w:ascii="Times New Roman" w:eastAsia="Times New Roman" w:hAnsi="Times New Roman" w:cs="Times New Roman"/>
          <w:sz w:val="24"/>
          <w:szCs w:val="24"/>
        </w:rPr>
        <w:t xml:space="preserve"> </w:t>
      </w:r>
      <w:r w:rsidR="002B7E4F" w:rsidRPr="00DC180C">
        <w:rPr>
          <w:rFonts w:ascii="Times New Roman" w:eastAsia="Times New Roman" w:hAnsi="Times New Roman" w:cs="Times New Roman"/>
          <w:sz w:val="24"/>
          <w:szCs w:val="24"/>
        </w:rPr>
        <w:t xml:space="preserve">a safe environment </w:t>
      </w:r>
      <w:r w:rsidRPr="00DC180C">
        <w:rPr>
          <w:rFonts w:ascii="Times New Roman" w:eastAsia="Times New Roman" w:hAnsi="Times New Roman" w:cs="Times New Roman"/>
          <w:sz w:val="24"/>
          <w:szCs w:val="24"/>
        </w:rPr>
        <w:t xml:space="preserve">in terms of physical activity </w:t>
      </w:r>
      <w:sdt>
        <w:sdtPr>
          <w:tag w:val="goog_rdk_5"/>
          <w:id w:val="-852026880"/>
        </w:sdtPr>
        <w:sdtEndPr/>
        <w:sdtContent/>
      </w:sdt>
      <w:r w:rsidRPr="00DC180C">
        <w:rPr>
          <w:rFonts w:ascii="Times New Roman" w:eastAsia="Times New Roman" w:hAnsi="Times New Roman" w:cs="Times New Roman"/>
          <w:sz w:val="24"/>
          <w:szCs w:val="24"/>
        </w:rPr>
        <w:t xml:space="preserve">practices </w:t>
      </w:r>
      <w:r w:rsidR="00703E60" w:rsidRPr="00DC180C">
        <w:rPr>
          <w:rFonts w:ascii="Times New Roman" w:eastAsia="Times New Roman" w:hAnsi="Times New Roman" w:cs="Times New Roman"/>
          <w:sz w:val="24"/>
          <w:szCs w:val="24"/>
        </w:rPr>
        <w:t>(37</w:t>
      </w:r>
      <w:r w:rsidRPr="00DC180C">
        <w:rPr>
          <w:rFonts w:ascii="Times New Roman" w:eastAsia="Times New Roman" w:hAnsi="Times New Roman" w:cs="Times New Roman"/>
          <w:sz w:val="24"/>
          <w:szCs w:val="24"/>
        </w:rPr>
        <w:t>), this was also highlighted in other conte</w:t>
      </w:r>
      <w:r w:rsidR="00703E60" w:rsidRPr="00DC180C">
        <w:rPr>
          <w:rFonts w:ascii="Times New Roman" w:eastAsia="Times New Roman" w:hAnsi="Times New Roman" w:cs="Times New Roman"/>
          <w:sz w:val="24"/>
          <w:szCs w:val="24"/>
        </w:rPr>
        <w:t>xts in sub-Saharan Africa (27</w:t>
      </w:r>
      <w:r w:rsidRPr="00DC180C">
        <w:rPr>
          <w:rFonts w:ascii="Times New Roman" w:eastAsia="Times New Roman" w:hAnsi="Times New Roman" w:cs="Times New Roman"/>
          <w:sz w:val="24"/>
          <w:szCs w:val="24"/>
        </w:rPr>
        <w:t>). Our participants requested youth-friendly centers to practice sport but also to socialize in a safe environment. Youth-clubs, explored in previous studies in Africa regarding se</w:t>
      </w:r>
      <w:r w:rsidR="00703E60" w:rsidRPr="00DC180C">
        <w:rPr>
          <w:rFonts w:ascii="Times New Roman" w:eastAsia="Times New Roman" w:hAnsi="Times New Roman" w:cs="Times New Roman"/>
          <w:sz w:val="24"/>
          <w:szCs w:val="24"/>
        </w:rPr>
        <w:t>xual and reproductive health (38, 39</w:t>
      </w:r>
      <w:r w:rsidRPr="00DC180C">
        <w:rPr>
          <w:rFonts w:ascii="Times New Roman" w:eastAsia="Times New Roman" w:hAnsi="Times New Roman" w:cs="Times New Roman"/>
          <w:sz w:val="24"/>
          <w:szCs w:val="24"/>
        </w:rPr>
        <w:t>), could help them to develop their ideas and empower them, whilst also having broader</w:t>
      </w:r>
      <w:r w:rsidR="00703E60" w:rsidRPr="00DC180C">
        <w:rPr>
          <w:rFonts w:ascii="Times New Roman" w:eastAsia="Times New Roman" w:hAnsi="Times New Roman" w:cs="Times New Roman"/>
          <w:sz w:val="24"/>
          <w:szCs w:val="24"/>
        </w:rPr>
        <w:t xml:space="preserve"> benefits for their community (10, 40</w:t>
      </w:r>
      <w:r w:rsidRPr="00DC180C">
        <w:rPr>
          <w:rFonts w:ascii="Times New Roman" w:eastAsia="Times New Roman" w:hAnsi="Times New Roman" w:cs="Times New Roman"/>
          <w:sz w:val="24"/>
          <w:szCs w:val="24"/>
        </w:rPr>
        <w:t xml:space="preserve">). Initiatives for caregivers are also needed to increase their awareness of the importance of adolescent health and nutrition, and to help them to communicate and negotiate with their adolescent children on these subjects. </w:t>
      </w:r>
    </w:p>
    <w:p w14:paraId="00000078" w14:textId="0A65139E" w:rsidR="00556640" w:rsidRPr="00DC180C" w:rsidRDefault="00AC3D86">
      <w:pPr>
        <w:spacing w:after="120" w:line="360" w:lineRule="auto"/>
        <w:jc w:val="both"/>
        <w:rPr>
          <w:rFonts w:ascii="Times New Roman" w:eastAsia="Times New Roman" w:hAnsi="Times New Roman" w:cs="Times New Roman"/>
          <w:sz w:val="24"/>
          <w:szCs w:val="24"/>
        </w:rPr>
      </w:pPr>
      <w:r w:rsidRPr="00DC180C">
        <w:rPr>
          <w:rFonts w:ascii="Times New Roman" w:eastAsia="Times New Roman" w:hAnsi="Times New Roman" w:cs="Times New Roman"/>
          <w:sz w:val="24"/>
          <w:szCs w:val="24"/>
        </w:rPr>
        <w:t>For interventions to be effective in improving the diet and physical activity of adolescents living in resource-limited settings, it is important to assess the community readiness, i.e the “degree to which a community is prepared to</w:t>
      </w:r>
      <w:r w:rsidR="002B7E4F" w:rsidRPr="00DC180C">
        <w:rPr>
          <w:rFonts w:ascii="Times New Roman" w:eastAsia="Times New Roman" w:hAnsi="Times New Roman" w:cs="Times New Roman"/>
          <w:sz w:val="24"/>
          <w:szCs w:val="24"/>
        </w:rPr>
        <w:t xml:space="preserve"> take action in an issue” (41</w:t>
      </w:r>
      <w:r w:rsidRPr="00DC180C">
        <w:rPr>
          <w:rFonts w:ascii="Times New Roman" w:eastAsia="Times New Roman" w:hAnsi="Times New Roman" w:cs="Times New Roman"/>
          <w:sz w:val="24"/>
          <w:szCs w:val="24"/>
        </w:rPr>
        <w:t xml:space="preserve">). </w:t>
      </w:r>
      <w:sdt>
        <w:sdtPr>
          <w:tag w:val="goog_rdk_6"/>
          <w:id w:val="616947987"/>
        </w:sdtPr>
        <w:sdtEndPr/>
        <w:sdtContent/>
      </w:sdt>
      <w:r w:rsidRPr="00DC180C">
        <w:rPr>
          <w:rFonts w:ascii="Times New Roman" w:eastAsia="Times New Roman" w:hAnsi="Times New Roman" w:cs="Times New Roman"/>
          <w:sz w:val="24"/>
          <w:szCs w:val="24"/>
        </w:rPr>
        <w:t xml:space="preserve">This has been examined, for example, in </w:t>
      </w:r>
      <w:r w:rsidR="002B7E4F" w:rsidRPr="00DC180C">
        <w:rPr>
          <w:rFonts w:ascii="Times New Roman" w:eastAsia="Times New Roman" w:hAnsi="Times New Roman" w:cs="Times New Roman"/>
          <w:sz w:val="24"/>
          <w:szCs w:val="24"/>
        </w:rPr>
        <w:t>Ghana (42</w:t>
      </w:r>
      <w:r w:rsidR="00703E60" w:rsidRPr="00DC180C">
        <w:rPr>
          <w:rFonts w:ascii="Times New Roman" w:eastAsia="Times New Roman" w:hAnsi="Times New Roman" w:cs="Times New Roman"/>
          <w:sz w:val="24"/>
          <w:szCs w:val="24"/>
        </w:rPr>
        <w:t>)</w:t>
      </w:r>
      <w:r w:rsidR="002B7E4F" w:rsidRPr="00DC180C">
        <w:rPr>
          <w:rFonts w:ascii="Times New Roman" w:eastAsia="Times New Roman" w:hAnsi="Times New Roman" w:cs="Times New Roman"/>
          <w:sz w:val="24"/>
          <w:szCs w:val="24"/>
        </w:rPr>
        <w:t xml:space="preserve"> and South Africa (43</w:t>
      </w:r>
      <w:r w:rsidRPr="00DC180C">
        <w:rPr>
          <w:rFonts w:ascii="Times New Roman" w:eastAsia="Times New Roman" w:hAnsi="Times New Roman" w:cs="Times New Roman"/>
          <w:sz w:val="24"/>
          <w:szCs w:val="24"/>
        </w:rPr>
        <w:t>), where a low community readiness</w:t>
      </w:r>
      <w:r w:rsidR="002B7E4F" w:rsidRPr="00DC180C">
        <w:rPr>
          <w:rFonts w:ascii="Times New Roman" w:eastAsia="Times New Roman" w:hAnsi="Times New Roman" w:cs="Times New Roman"/>
          <w:sz w:val="24"/>
          <w:szCs w:val="24"/>
        </w:rPr>
        <w:t xml:space="preserve"> was assessed regarding nutritional intervention to improve diet. This emphasizes the</w:t>
      </w:r>
      <w:r w:rsidRPr="00DC180C">
        <w:rPr>
          <w:rFonts w:ascii="Times New Roman" w:eastAsia="Times New Roman" w:hAnsi="Times New Roman" w:cs="Times New Roman"/>
          <w:sz w:val="24"/>
          <w:szCs w:val="24"/>
        </w:rPr>
        <w:t xml:space="preserve"> need to increase awareness about unhealthy diets before to intervene, and to develop initiatives that could be actively shared by the communities involved.</w:t>
      </w:r>
    </w:p>
    <w:p w14:paraId="00000079" w14:textId="34325507" w:rsidR="00556640" w:rsidRPr="00A1297C" w:rsidRDefault="00AC3D86">
      <w:pPr>
        <w:spacing w:after="120" w:line="360" w:lineRule="auto"/>
        <w:jc w:val="both"/>
        <w:rPr>
          <w:rFonts w:ascii="Times New Roman" w:eastAsia="Times New Roman" w:hAnsi="Times New Roman" w:cs="Times New Roman"/>
          <w:color w:val="FF0000"/>
          <w:sz w:val="24"/>
          <w:szCs w:val="24"/>
        </w:rPr>
      </w:pPr>
      <w:r w:rsidRPr="00DC180C">
        <w:rPr>
          <w:rFonts w:ascii="Times New Roman" w:eastAsia="Times New Roman" w:hAnsi="Times New Roman" w:cs="Times New Roman"/>
          <w:sz w:val="24"/>
          <w:szCs w:val="24"/>
        </w:rPr>
        <w:t xml:space="preserve">The results of this study could be of interest to stakeholders and policymakers in designing and delivering interventions for adolescents living in low-income suburbs of Abidjan. Abidjan is a rapidly growing city with an emerging socio-economic middle-class, alongside widening inequalities. The marketing of junk foods, high in saturated fats, sugars, or salt is currently rising, especially in the higher income districts and is expected to spread across the entire city in the next few years, as already observed in other settings in sub-Saharan Africa (2, 3). Suitable interventions need to be developed to prevent wider impact in low-income suburbs where little public health response is currently offered. </w:t>
      </w:r>
      <w:r w:rsidR="006E0A4A">
        <w:rPr>
          <w:rFonts w:ascii="Times New Roman" w:eastAsia="Times New Roman" w:hAnsi="Times New Roman" w:cs="Times New Roman"/>
          <w:color w:val="FF0000"/>
          <w:sz w:val="24"/>
          <w:szCs w:val="24"/>
        </w:rPr>
        <w:t>Among our study participants, two thirds</w:t>
      </w:r>
      <w:r w:rsidR="00793DE4" w:rsidRPr="00A1297C">
        <w:rPr>
          <w:rFonts w:ascii="Times New Roman" w:eastAsia="Times New Roman" w:hAnsi="Times New Roman" w:cs="Times New Roman"/>
          <w:color w:val="FF0000"/>
          <w:sz w:val="24"/>
          <w:szCs w:val="24"/>
        </w:rPr>
        <w:t xml:space="preserve"> of adolescents aged 15-17 years reported to have a mobile phone, which </w:t>
      </w:r>
      <w:r w:rsidR="0005498C" w:rsidRPr="00A1297C">
        <w:rPr>
          <w:rFonts w:ascii="Times New Roman" w:eastAsia="Times New Roman" w:hAnsi="Times New Roman" w:cs="Times New Roman"/>
          <w:color w:val="FF0000"/>
          <w:sz w:val="24"/>
          <w:szCs w:val="24"/>
        </w:rPr>
        <w:t>could</w:t>
      </w:r>
      <w:r w:rsidR="00793DE4" w:rsidRPr="00A1297C">
        <w:rPr>
          <w:rFonts w:ascii="Times New Roman" w:eastAsia="Times New Roman" w:hAnsi="Times New Roman" w:cs="Times New Roman"/>
          <w:color w:val="FF0000"/>
          <w:sz w:val="24"/>
          <w:szCs w:val="24"/>
        </w:rPr>
        <w:t xml:space="preserve"> be used as a tool to provide messages of </w:t>
      </w:r>
      <w:r w:rsidR="00A1297C" w:rsidRPr="00A1297C">
        <w:rPr>
          <w:rFonts w:ascii="Times New Roman" w:eastAsia="Times New Roman" w:hAnsi="Times New Roman" w:cs="Times New Roman"/>
          <w:color w:val="FF0000"/>
          <w:sz w:val="24"/>
          <w:szCs w:val="24"/>
        </w:rPr>
        <w:t xml:space="preserve">health </w:t>
      </w:r>
      <w:r w:rsidR="00793DE4" w:rsidRPr="00A1297C">
        <w:rPr>
          <w:rFonts w:ascii="Times New Roman" w:eastAsia="Times New Roman" w:hAnsi="Times New Roman" w:cs="Times New Roman"/>
          <w:color w:val="FF0000"/>
          <w:sz w:val="24"/>
          <w:szCs w:val="24"/>
        </w:rPr>
        <w:t>prevention and nutritional advices. Mobile phone programs for adolescents living in low-and-middle income countries is slowly developing, with promising results to achieve knowledge and behavior change regarding sexual and reproductive health (</w:t>
      </w:r>
      <w:r w:rsidR="0005498C" w:rsidRPr="00A1297C">
        <w:rPr>
          <w:rFonts w:ascii="Times New Roman" w:eastAsia="Times New Roman" w:hAnsi="Times New Roman" w:cs="Times New Roman"/>
          <w:color w:val="FF0000"/>
          <w:sz w:val="24"/>
          <w:szCs w:val="24"/>
        </w:rPr>
        <w:t>44</w:t>
      </w:r>
      <w:r w:rsidR="00793DE4" w:rsidRPr="00A1297C">
        <w:rPr>
          <w:rFonts w:ascii="Times New Roman" w:eastAsia="Times New Roman" w:hAnsi="Times New Roman" w:cs="Times New Roman"/>
          <w:color w:val="FF0000"/>
          <w:sz w:val="24"/>
          <w:szCs w:val="24"/>
        </w:rPr>
        <w:t xml:space="preserve">). However, there is currently a lack of data regarding nutritional intervention using mobile technology in adolescents living in resource-limited settings. </w:t>
      </w:r>
      <w:r w:rsidRPr="00DC180C">
        <w:rPr>
          <w:rFonts w:ascii="Times New Roman" w:eastAsia="Times New Roman" w:hAnsi="Times New Roman" w:cs="Times New Roman"/>
          <w:sz w:val="24"/>
          <w:szCs w:val="24"/>
        </w:rPr>
        <w:t xml:space="preserve">The need for a public health response by governmental organizations </w:t>
      </w:r>
      <w:sdt>
        <w:sdtPr>
          <w:tag w:val="goog_rdk_7"/>
          <w:id w:val="855544782"/>
        </w:sdtPr>
        <w:sdtEndPr/>
        <w:sdtContent/>
      </w:sdt>
      <w:r w:rsidRPr="00DC180C">
        <w:rPr>
          <w:rFonts w:ascii="Times New Roman" w:eastAsia="Times New Roman" w:hAnsi="Times New Roman" w:cs="Times New Roman"/>
          <w:sz w:val="24"/>
          <w:szCs w:val="24"/>
        </w:rPr>
        <w:t xml:space="preserve">to provide </w:t>
      </w:r>
      <w:r w:rsidR="002B7E4F" w:rsidRPr="00DC180C">
        <w:rPr>
          <w:rFonts w:ascii="Times New Roman" w:eastAsia="Times New Roman" w:hAnsi="Times New Roman" w:cs="Times New Roman"/>
          <w:sz w:val="24"/>
          <w:szCs w:val="24"/>
        </w:rPr>
        <w:t xml:space="preserve">nutritional </w:t>
      </w:r>
      <w:r w:rsidRPr="00DC180C">
        <w:rPr>
          <w:rFonts w:ascii="Times New Roman" w:eastAsia="Times New Roman" w:hAnsi="Times New Roman" w:cs="Times New Roman"/>
          <w:sz w:val="24"/>
          <w:szCs w:val="24"/>
        </w:rPr>
        <w:t>education and awareness was also</w:t>
      </w:r>
      <w:r w:rsidR="00703E60" w:rsidRPr="00DC180C">
        <w:rPr>
          <w:rFonts w:ascii="Times New Roman" w:eastAsia="Times New Roman" w:hAnsi="Times New Roman" w:cs="Times New Roman"/>
          <w:sz w:val="24"/>
          <w:szCs w:val="24"/>
        </w:rPr>
        <w:t xml:space="preserve"> raised in other contexts (27, 37</w:t>
      </w:r>
      <w:r w:rsidRPr="00DC180C">
        <w:rPr>
          <w:rFonts w:ascii="Times New Roman" w:eastAsia="Times New Roman" w:hAnsi="Times New Roman" w:cs="Times New Roman"/>
          <w:sz w:val="24"/>
          <w:szCs w:val="24"/>
        </w:rPr>
        <w:t>). Especially, the question of how to adopt healthy habits while living in a poor socio-economic context r</w:t>
      </w:r>
      <w:r w:rsidR="00703E60" w:rsidRPr="00DC180C">
        <w:rPr>
          <w:rFonts w:ascii="Times New Roman" w:eastAsia="Times New Roman" w:hAnsi="Times New Roman" w:cs="Times New Roman"/>
          <w:sz w:val="24"/>
          <w:szCs w:val="24"/>
        </w:rPr>
        <w:t>emains challenging to answer (32</w:t>
      </w:r>
      <w:r w:rsidRPr="00DC180C">
        <w:rPr>
          <w:rFonts w:ascii="Times New Roman" w:eastAsia="Times New Roman" w:hAnsi="Times New Roman" w:cs="Times New Roman"/>
          <w:sz w:val="24"/>
          <w:szCs w:val="24"/>
        </w:rPr>
        <w:t>).</w:t>
      </w:r>
      <w:r w:rsidR="00A1297C">
        <w:rPr>
          <w:rFonts w:ascii="Times New Roman" w:eastAsia="Times New Roman" w:hAnsi="Times New Roman" w:cs="Times New Roman"/>
          <w:sz w:val="24"/>
          <w:szCs w:val="24"/>
        </w:rPr>
        <w:t xml:space="preserve"> </w:t>
      </w:r>
      <w:r w:rsidR="00A1297C" w:rsidRPr="00A1297C">
        <w:rPr>
          <w:rFonts w:ascii="Times New Roman" w:eastAsia="Times New Roman" w:hAnsi="Times New Roman" w:cs="Times New Roman"/>
          <w:color w:val="FF0000"/>
          <w:sz w:val="24"/>
          <w:szCs w:val="24"/>
        </w:rPr>
        <w:t>Although this study was conducted before the global COVID-19 epidemic, these results could also suggest that barrier measures imposing physical distancing to prevent this epidemic may be difficult to adopt for these adolescents living in low-income settings in Abidjan, implying, as for the topic of nutrition and physical activity, innovative ways to communicate on this public health problem and to develop solutions with them.</w:t>
      </w:r>
    </w:p>
    <w:p w14:paraId="0000007A" w14:textId="77777777" w:rsidR="00556640" w:rsidRDefault="00556640">
      <w:pPr>
        <w:spacing w:after="120" w:line="360" w:lineRule="auto"/>
        <w:jc w:val="both"/>
        <w:rPr>
          <w:rFonts w:ascii="Times New Roman" w:eastAsia="Times New Roman" w:hAnsi="Times New Roman" w:cs="Times New Roman"/>
          <w:sz w:val="24"/>
          <w:szCs w:val="24"/>
        </w:rPr>
      </w:pPr>
    </w:p>
    <w:p w14:paraId="0000007B" w14:textId="77777777" w:rsidR="00556640" w:rsidRDefault="00AC3D86">
      <w:pPr>
        <w:spacing w:after="12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Strengths and weaknesses</w:t>
      </w:r>
    </w:p>
    <w:p w14:paraId="0000007C" w14:textId="77777777" w:rsidR="00556640"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a qualitative approach provided novel results on this topic, emphasizing the opinions of adolescents from different age groups. Including caregivers in this process gave further insights, especially on parent-child conflict around diet and physical activity. Another strength of this study </w:t>
      </w:r>
      <w:r w:rsidRPr="00DC180C">
        <w:rPr>
          <w:rFonts w:ascii="Times New Roman" w:eastAsia="Times New Roman" w:hAnsi="Times New Roman" w:cs="Times New Roman"/>
          <w:sz w:val="24"/>
          <w:szCs w:val="24"/>
        </w:rPr>
        <w:t xml:space="preserve">was the collaborative approach used within the international TALENT consortium. Multiple </w:t>
      </w:r>
      <w:r>
        <w:rPr>
          <w:rFonts w:ascii="Times New Roman" w:eastAsia="Times New Roman" w:hAnsi="Times New Roman" w:cs="Times New Roman"/>
          <w:sz w:val="24"/>
          <w:szCs w:val="24"/>
        </w:rPr>
        <w:t>training workshops and iterative discussions with experienced qualitative researchers helped to develop the FGD guide, conduct the analysis, and write the results. Working with local professionals from Côte d’Ivoire was key to building relationships with participants and developing appropriate lines of questioning. For participants, this was the first opportunity to express their views and be listened to by those from outside their community, which helped foster engagement with the project.</w:t>
      </w:r>
    </w:p>
    <w:p w14:paraId="0000007D" w14:textId="77777777" w:rsidR="00556640" w:rsidRDefault="00556640">
      <w:pPr>
        <w:spacing w:after="120" w:line="360" w:lineRule="auto"/>
        <w:jc w:val="both"/>
        <w:rPr>
          <w:rFonts w:ascii="Times New Roman" w:eastAsia="Times New Roman" w:hAnsi="Times New Roman" w:cs="Times New Roman"/>
          <w:sz w:val="24"/>
          <w:szCs w:val="24"/>
        </w:rPr>
      </w:pPr>
    </w:p>
    <w:p w14:paraId="0000007E" w14:textId="4A733E49" w:rsidR="00556640" w:rsidRPr="00DC180C" w:rsidRDefault="00AC3D86">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 FGDs in different districts of Abidjan with higher income participants, where nutritional habits differ, would also be fruitful. The inclusion of non-French-speaking participants would also help garner a broader range of views. Results related to the topic of health were closely linked to nutrition and physical activity, probably because the investigators introduced the FGDs on these </w:t>
      </w:r>
      <w:r w:rsidRPr="00DC180C">
        <w:rPr>
          <w:rFonts w:ascii="Times New Roman" w:eastAsia="Times New Roman" w:hAnsi="Times New Roman" w:cs="Times New Roman"/>
          <w:sz w:val="24"/>
          <w:szCs w:val="24"/>
        </w:rPr>
        <w:t>grounds. Other perceptions about health could have been raised with a d</w:t>
      </w:r>
      <w:r w:rsidR="00703E60" w:rsidRPr="00DC180C">
        <w:rPr>
          <w:rFonts w:ascii="Times New Roman" w:eastAsia="Times New Roman" w:hAnsi="Times New Roman" w:cs="Times New Roman"/>
          <w:sz w:val="24"/>
          <w:szCs w:val="24"/>
        </w:rPr>
        <w:t xml:space="preserve">ifferent FGD guide structure (24, </w:t>
      </w:r>
      <w:r w:rsidR="002B7E4F" w:rsidRPr="00DC180C">
        <w:rPr>
          <w:rFonts w:ascii="Times New Roman" w:eastAsia="Times New Roman" w:hAnsi="Times New Roman" w:cs="Times New Roman"/>
          <w:sz w:val="24"/>
          <w:szCs w:val="24"/>
        </w:rPr>
        <w:t>4</w:t>
      </w:r>
      <w:r w:rsidR="0005498C">
        <w:rPr>
          <w:rFonts w:ascii="Times New Roman" w:eastAsia="Times New Roman" w:hAnsi="Times New Roman" w:cs="Times New Roman"/>
          <w:sz w:val="24"/>
          <w:szCs w:val="24"/>
        </w:rPr>
        <w:t>5</w:t>
      </w:r>
      <w:r w:rsidRPr="00DC180C">
        <w:rPr>
          <w:rFonts w:ascii="Times New Roman" w:eastAsia="Times New Roman" w:hAnsi="Times New Roman" w:cs="Times New Roman"/>
          <w:sz w:val="24"/>
          <w:szCs w:val="24"/>
        </w:rPr>
        <w:t>). Information on adolescents’ food choices when they have the money to buy it by themselves would have been intere</w:t>
      </w:r>
      <w:r w:rsidR="00703E60" w:rsidRPr="00DC180C">
        <w:rPr>
          <w:rFonts w:ascii="Times New Roman" w:eastAsia="Times New Roman" w:hAnsi="Times New Roman" w:cs="Times New Roman"/>
          <w:sz w:val="24"/>
          <w:szCs w:val="24"/>
        </w:rPr>
        <w:t>sting (</w:t>
      </w:r>
      <w:r w:rsidR="0005498C">
        <w:rPr>
          <w:rFonts w:ascii="Times New Roman" w:eastAsia="Times New Roman" w:hAnsi="Times New Roman" w:cs="Times New Roman"/>
          <w:sz w:val="24"/>
          <w:szCs w:val="24"/>
        </w:rPr>
        <w:t>46</w:t>
      </w:r>
      <w:r w:rsidRPr="00DC180C">
        <w:rPr>
          <w:rFonts w:ascii="Times New Roman" w:eastAsia="Times New Roman" w:hAnsi="Times New Roman" w:cs="Times New Roman"/>
          <w:sz w:val="24"/>
          <w:szCs w:val="24"/>
        </w:rPr>
        <w:t xml:space="preserve">). Conducting the FGDs at school may have inhibited some adolescents, who could have viewed the facilitator as a teacher. Innovative ways to conduct discussions with young adolescents in those settings should be considered, to better engage them in </w:t>
      </w:r>
      <w:r w:rsidR="00703E60" w:rsidRPr="00DC180C">
        <w:rPr>
          <w:rFonts w:ascii="Times New Roman" w:eastAsia="Times New Roman" w:hAnsi="Times New Roman" w:cs="Times New Roman"/>
          <w:sz w:val="24"/>
          <w:szCs w:val="24"/>
        </w:rPr>
        <w:t xml:space="preserve">future research projects (40, </w:t>
      </w:r>
      <w:r w:rsidR="0005498C">
        <w:rPr>
          <w:rFonts w:ascii="Times New Roman" w:eastAsia="Times New Roman" w:hAnsi="Times New Roman" w:cs="Times New Roman"/>
          <w:sz w:val="24"/>
          <w:szCs w:val="24"/>
        </w:rPr>
        <w:t>47</w:t>
      </w:r>
      <w:r w:rsidRPr="00DC180C">
        <w:rPr>
          <w:rFonts w:ascii="Times New Roman" w:eastAsia="Times New Roman" w:hAnsi="Times New Roman" w:cs="Times New Roman"/>
          <w:sz w:val="24"/>
          <w:szCs w:val="24"/>
        </w:rPr>
        <w:t>).</w:t>
      </w:r>
    </w:p>
    <w:p w14:paraId="0000007F" w14:textId="77777777" w:rsidR="00556640" w:rsidRDefault="00556640">
      <w:pPr>
        <w:spacing w:after="120" w:line="360" w:lineRule="auto"/>
        <w:jc w:val="both"/>
        <w:rPr>
          <w:rFonts w:ascii="Times New Roman" w:eastAsia="Times New Roman" w:hAnsi="Times New Roman" w:cs="Times New Roman"/>
          <w:sz w:val="24"/>
          <w:szCs w:val="24"/>
        </w:rPr>
      </w:pPr>
    </w:p>
    <w:p w14:paraId="00000080" w14:textId="77777777" w:rsidR="00556640" w:rsidRDefault="00AC3D86">
      <w:pPr>
        <w:spacing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Conclusions</w:t>
      </w:r>
    </w:p>
    <w:p w14:paraId="00000081" w14:textId="23B76981" w:rsidR="00556640" w:rsidRPr="00DC180C" w:rsidRDefault="00AC3D86">
      <w:pPr>
        <w:spacing w:after="120" w:line="360" w:lineRule="auto"/>
        <w:jc w:val="both"/>
        <w:rPr>
          <w:rFonts w:ascii="Times New Roman" w:eastAsia="Times New Roman" w:hAnsi="Times New Roman" w:cs="Times New Roman"/>
          <w:sz w:val="24"/>
          <w:szCs w:val="24"/>
        </w:rPr>
      </w:pPr>
      <w:bookmarkStart w:id="2" w:name="_heading=h.30j0zll" w:colFirst="0" w:colLast="0"/>
      <w:bookmarkEnd w:id="2"/>
      <w:r w:rsidRPr="00DC180C">
        <w:rPr>
          <w:rFonts w:ascii="Times New Roman" w:eastAsia="Times New Roman" w:hAnsi="Times New Roman" w:cs="Times New Roman"/>
          <w:sz w:val="24"/>
          <w:szCs w:val="24"/>
        </w:rPr>
        <w:t xml:space="preserve">The study highlighted the gap between perceptions, knowledge and </w:t>
      </w:r>
      <w:r w:rsidRPr="00DC180C">
        <w:rPr>
          <w:rFonts w:ascii="Times New Roman" w:eastAsia="Times New Roman" w:hAnsi="Times New Roman" w:cs="Times New Roman"/>
          <w:sz w:val="24"/>
          <w:szCs w:val="24"/>
          <w:lang w:val="en-GB"/>
        </w:rPr>
        <w:t>behaviour</w:t>
      </w:r>
      <w:r w:rsidRPr="00DC180C">
        <w:rPr>
          <w:rFonts w:ascii="Times New Roman" w:eastAsia="Times New Roman" w:hAnsi="Times New Roman" w:cs="Times New Roman"/>
          <w:sz w:val="24"/>
          <w:szCs w:val="24"/>
        </w:rPr>
        <w:t xml:space="preserve"> about adolescent nutrition and physical activity. Adolescents and caregivers were aware that their dietary and physical activity habits were not in line with their definition of good nutritional practices. Their capacity to adopt a healthy diet and engage in physical activity was restricted by a lack of resources and by insalubrity and unsafe in their local environment. Many were, however, willing to actively engage in the lives of their communities and their ideas could play a key role in the development of new interventions to improve their nutrition and physical activity.</w:t>
      </w:r>
    </w:p>
    <w:p w14:paraId="00000082" w14:textId="77777777" w:rsidR="00556640" w:rsidRPr="00DC180C" w:rsidRDefault="00556640">
      <w:pPr>
        <w:spacing w:after="120" w:line="360" w:lineRule="auto"/>
        <w:jc w:val="both"/>
        <w:rPr>
          <w:rFonts w:ascii="Times New Roman" w:eastAsia="Times New Roman" w:hAnsi="Times New Roman" w:cs="Times New Roman"/>
          <w:sz w:val="24"/>
          <w:szCs w:val="24"/>
        </w:rPr>
      </w:pPr>
    </w:p>
    <w:p w14:paraId="00000083" w14:textId="77777777" w:rsidR="00556640" w:rsidRDefault="00AC3D86">
      <w:pPr>
        <w:spacing w:after="120" w:line="360" w:lineRule="auto"/>
        <w:jc w:val="both"/>
        <w:rPr>
          <w:rFonts w:ascii="Times New Roman" w:eastAsia="Times New Roman" w:hAnsi="Times New Roman" w:cs="Times New Roman"/>
          <w:b/>
          <w:sz w:val="24"/>
          <w:szCs w:val="24"/>
        </w:rPr>
      </w:pPr>
      <w:r>
        <w:br w:type="page"/>
      </w:r>
    </w:p>
    <w:p w14:paraId="00000084" w14:textId="77777777" w:rsidR="00556640" w:rsidRDefault="00AC3D86">
      <w:pPr>
        <w:spacing w:after="12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00000085" w14:textId="77777777" w:rsidR="00556640" w:rsidRDefault="00AC3D86">
      <w:pPr>
        <w:pBdr>
          <w:top w:val="nil"/>
          <w:left w:val="nil"/>
          <w:bottom w:val="nil"/>
          <w:right w:val="nil"/>
          <w:between w:val="nil"/>
        </w:pBdr>
        <w:spacing w:after="0" w:line="240" w:lineRule="auto"/>
        <w:rPr>
          <w:color w:val="000000"/>
        </w:rPr>
      </w:pPr>
      <w:r>
        <w:rPr>
          <w:color w:val="000000"/>
        </w:rPr>
        <w:t>1.</w:t>
      </w:r>
      <w:r>
        <w:rPr>
          <w:color w:val="000000"/>
        </w:rPr>
        <w:tab/>
        <w:t>FAO. Regional overview of food security and nutrition. 2017.</w:t>
      </w:r>
    </w:p>
    <w:p w14:paraId="00000086" w14:textId="77777777" w:rsidR="00556640" w:rsidRPr="00703E60" w:rsidRDefault="00AC3D86">
      <w:pPr>
        <w:pBdr>
          <w:top w:val="nil"/>
          <w:left w:val="nil"/>
          <w:bottom w:val="nil"/>
          <w:right w:val="nil"/>
          <w:between w:val="nil"/>
        </w:pBdr>
        <w:spacing w:after="0" w:line="240" w:lineRule="auto"/>
        <w:rPr>
          <w:color w:val="000000"/>
          <w:lang w:val="fr-FR"/>
        </w:rPr>
      </w:pPr>
      <w:r>
        <w:rPr>
          <w:color w:val="000000"/>
        </w:rPr>
        <w:t>2.</w:t>
      </w:r>
      <w:r>
        <w:rPr>
          <w:color w:val="000000"/>
        </w:rPr>
        <w:tab/>
        <w:t xml:space="preserve">Bosu WK. An overview of the nutrition transition in West Africa: implications for non-communicable diseases. </w:t>
      </w:r>
      <w:r w:rsidRPr="00703E60">
        <w:rPr>
          <w:color w:val="000000"/>
          <w:lang w:val="fr-FR"/>
        </w:rPr>
        <w:t>Proc Nutr Soc. 2015;74(4):466-77.</w:t>
      </w:r>
    </w:p>
    <w:p w14:paraId="00000087" w14:textId="77777777" w:rsidR="00556640" w:rsidRDefault="00AC3D86">
      <w:pPr>
        <w:pBdr>
          <w:top w:val="nil"/>
          <w:left w:val="nil"/>
          <w:bottom w:val="nil"/>
          <w:right w:val="nil"/>
          <w:between w:val="nil"/>
        </w:pBdr>
        <w:spacing w:after="0" w:line="240" w:lineRule="auto"/>
        <w:rPr>
          <w:color w:val="000000"/>
        </w:rPr>
      </w:pPr>
      <w:r w:rsidRPr="00703E60">
        <w:rPr>
          <w:color w:val="000000"/>
          <w:lang w:val="fr-FR"/>
        </w:rPr>
        <w:t>3.</w:t>
      </w:r>
      <w:r w:rsidRPr="00703E60">
        <w:rPr>
          <w:color w:val="000000"/>
          <w:lang w:val="fr-FR"/>
        </w:rPr>
        <w:tab/>
        <w:t xml:space="preserve">Muthuri SK, Francis CE, Wachira LJ, et al. </w:t>
      </w:r>
      <w:r>
        <w:rPr>
          <w:color w:val="000000"/>
        </w:rPr>
        <w:t>Evidence of an overweight/obesity transition among school-aged children and youth in Sub-Saharan Africa: a systematic review. PLoS One. 2014;9(3):e92846.</w:t>
      </w:r>
    </w:p>
    <w:p w14:paraId="00000088" w14:textId="77777777" w:rsidR="00556640" w:rsidRDefault="00AC3D86">
      <w:pPr>
        <w:pBdr>
          <w:top w:val="nil"/>
          <w:left w:val="nil"/>
          <w:bottom w:val="nil"/>
          <w:right w:val="nil"/>
          <w:between w:val="nil"/>
        </w:pBdr>
        <w:spacing w:after="0" w:line="240" w:lineRule="auto"/>
        <w:rPr>
          <w:color w:val="000000"/>
        </w:rPr>
      </w:pPr>
      <w:r>
        <w:rPr>
          <w:color w:val="000000"/>
        </w:rPr>
        <w:t>4.</w:t>
      </w:r>
      <w:r>
        <w:rPr>
          <w:color w:val="000000"/>
        </w:rPr>
        <w:tab/>
        <w:t>Collaboration NRT. Worldwide trends in body-mass index, underweight, overweight, and obesity from 1975 to 2016: a pooled analysis of 2416 population-based measurement studies in 128.9 million children, adolescents, and adults. Lancet. 2017;390(10113):2627-42.</w:t>
      </w:r>
    </w:p>
    <w:p w14:paraId="00000089" w14:textId="77777777" w:rsidR="00556640" w:rsidRDefault="00AC3D86">
      <w:pPr>
        <w:pBdr>
          <w:top w:val="nil"/>
          <w:left w:val="nil"/>
          <w:bottom w:val="nil"/>
          <w:right w:val="nil"/>
          <w:between w:val="nil"/>
        </w:pBdr>
        <w:spacing w:after="0" w:line="240" w:lineRule="auto"/>
        <w:rPr>
          <w:color w:val="000000"/>
        </w:rPr>
      </w:pPr>
      <w:r>
        <w:rPr>
          <w:color w:val="000000"/>
        </w:rPr>
        <w:t>5.</w:t>
      </w:r>
      <w:r>
        <w:rPr>
          <w:color w:val="000000"/>
        </w:rPr>
        <w:tab/>
        <w:t>Save the Children. Adolescent Nutrition. Policy and programming in SUN+ countries. London, UK; 2015.</w:t>
      </w:r>
    </w:p>
    <w:p w14:paraId="0000008A" w14:textId="77777777" w:rsidR="00556640" w:rsidRDefault="00AC3D86">
      <w:pPr>
        <w:pBdr>
          <w:top w:val="nil"/>
          <w:left w:val="nil"/>
          <w:bottom w:val="nil"/>
          <w:right w:val="nil"/>
          <w:between w:val="nil"/>
        </w:pBdr>
        <w:spacing w:after="0" w:line="240" w:lineRule="auto"/>
        <w:rPr>
          <w:color w:val="000000"/>
        </w:rPr>
      </w:pPr>
      <w:r>
        <w:rPr>
          <w:color w:val="000000"/>
        </w:rPr>
        <w:t>6.</w:t>
      </w:r>
      <w:r>
        <w:rPr>
          <w:color w:val="000000"/>
        </w:rPr>
        <w:tab/>
        <w:t>Munakampe MN, Zulu JM, Michelo C. Contraception and abortion knowledge, attitudes and practices among adolescents from low and middle-income countries: a systematic review. BMC Health Serv Res. 2018;18(1):909.</w:t>
      </w:r>
    </w:p>
    <w:p w14:paraId="0000008B" w14:textId="77777777" w:rsidR="00556640" w:rsidRDefault="00AC3D86">
      <w:pPr>
        <w:pBdr>
          <w:top w:val="nil"/>
          <w:left w:val="nil"/>
          <w:bottom w:val="nil"/>
          <w:right w:val="nil"/>
          <w:between w:val="nil"/>
        </w:pBdr>
        <w:spacing w:after="0" w:line="240" w:lineRule="auto"/>
        <w:rPr>
          <w:color w:val="000000"/>
        </w:rPr>
      </w:pPr>
      <w:r>
        <w:rPr>
          <w:color w:val="000000"/>
        </w:rPr>
        <w:t>7.</w:t>
      </w:r>
      <w:r>
        <w:rPr>
          <w:color w:val="000000"/>
        </w:rPr>
        <w:tab/>
        <w:t>Zgambo M, Kalembo FW, Mbakaya BC. Risky behaviours and their correlates among adolescents living with HIV in sub-Saharan Africa: a systematic review. Reprod Health. 2018;15(1):180.</w:t>
      </w:r>
    </w:p>
    <w:p w14:paraId="0000008C" w14:textId="77777777" w:rsidR="00556640" w:rsidRPr="00DC180C" w:rsidRDefault="00AC3D86">
      <w:pPr>
        <w:pBdr>
          <w:top w:val="nil"/>
          <w:left w:val="nil"/>
          <w:bottom w:val="nil"/>
          <w:right w:val="nil"/>
          <w:between w:val="nil"/>
        </w:pBdr>
        <w:spacing w:after="0" w:line="240" w:lineRule="auto"/>
        <w:rPr>
          <w:lang w:val="fr-FR"/>
        </w:rPr>
      </w:pPr>
      <w:r>
        <w:rPr>
          <w:color w:val="000000"/>
        </w:rPr>
        <w:t>8.</w:t>
      </w:r>
      <w:r>
        <w:rPr>
          <w:color w:val="000000"/>
        </w:rPr>
        <w:tab/>
        <w:t xml:space="preserve">Kabiru CW, Izugbara CO, Beguy D. The health and wellbeing of young people in sub-Saharan Africa: </w:t>
      </w:r>
      <w:r w:rsidRPr="00DC180C">
        <w:t xml:space="preserve">an under-researched area? </w:t>
      </w:r>
      <w:r w:rsidRPr="00DC180C">
        <w:rPr>
          <w:lang w:val="fr-FR"/>
        </w:rPr>
        <w:t>BMC Int Health Hum Rights. 2013;13:11.</w:t>
      </w:r>
    </w:p>
    <w:p w14:paraId="0000008D" w14:textId="7FDB80AD" w:rsidR="00556640" w:rsidRPr="00DC180C" w:rsidRDefault="00703E60">
      <w:pPr>
        <w:pBdr>
          <w:top w:val="nil"/>
          <w:left w:val="nil"/>
          <w:bottom w:val="nil"/>
          <w:right w:val="nil"/>
          <w:between w:val="nil"/>
        </w:pBdr>
        <w:spacing w:after="0" w:line="240" w:lineRule="auto"/>
        <w:rPr>
          <w:lang w:val="fr-FR"/>
        </w:rPr>
      </w:pPr>
      <w:r w:rsidRPr="00DC180C">
        <w:rPr>
          <w:lang w:val="fr-FR"/>
        </w:rPr>
        <w:t>9</w:t>
      </w:r>
      <w:r w:rsidR="00AC3D86" w:rsidRPr="00DC180C">
        <w:rPr>
          <w:lang w:val="fr-FR"/>
        </w:rPr>
        <w:t>. Plan stratégique national de la santé des adolescents et des jeunes 2016-2020. Côte d'Ivoire. 2016 [cited 2019 Nov 27].  Available from: https://stage.prb.org/wp-content/uploads/2018/05/Plan-Strate%CC%81gique-National-de-la-Sante%CC%81-des-Adolescents-et-des-Jeunes-2016-2020.-Co%CC%82te-d%E2%80%99Ivoire.pdf</w:t>
      </w:r>
    </w:p>
    <w:p w14:paraId="0000008E" w14:textId="308E9997" w:rsidR="00556640" w:rsidRPr="00DC180C" w:rsidRDefault="00703E60">
      <w:pPr>
        <w:pBdr>
          <w:top w:val="nil"/>
          <w:left w:val="nil"/>
          <w:bottom w:val="nil"/>
          <w:right w:val="nil"/>
          <w:between w:val="nil"/>
        </w:pBdr>
        <w:spacing w:after="0" w:line="240" w:lineRule="auto"/>
      </w:pPr>
      <w:r w:rsidRPr="00DC180C">
        <w:rPr>
          <w:lang w:val="fr-FR"/>
        </w:rPr>
        <w:t>10</w:t>
      </w:r>
      <w:r w:rsidR="00AC3D86" w:rsidRPr="00DC180C">
        <w:rPr>
          <w:lang w:val="fr-FR"/>
        </w:rPr>
        <w:t>.</w:t>
      </w:r>
      <w:r w:rsidR="00AC3D86" w:rsidRPr="00DC180C">
        <w:rPr>
          <w:lang w:val="fr-FR"/>
        </w:rPr>
        <w:tab/>
        <w:t xml:space="preserve">Cissé R, Fall A.S, Jacquemin M. Les adolescents en Afrique de l’Ouest et du Centre.  Renforcement de la recherche en sciences sociales en appui des priorités régionales du bureau Régional Afrique de l'Ouest et du centre de l'Unicef : analyses thématiques. </w:t>
      </w:r>
      <w:r w:rsidR="00AC3D86" w:rsidRPr="00DC180C">
        <w:t>Dakar (Sénégal): IRD; Unicef; 2017. p. 15-36.</w:t>
      </w:r>
    </w:p>
    <w:p w14:paraId="0000008F" w14:textId="2EF71E96" w:rsidR="00556640" w:rsidRDefault="00703E60">
      <w:pPr>
        <w:pBdr>
          <w:top w:val="nil"/>
          <w:left w:val="nil"/>
          <w:bottom w:val="nil"/>
          <w:right w:val="nil"/>
          <w:between w:val="nil"/>
        </w:pBdr>
        <w:spacing w:after="0" w:line="240" w:lineRule="auto"/>
        <w:rPr>
          <w:color w:val="000000"/>
        </w:rPr>
      </w:pPr>
      <w:r>
        <w:rPr>
          <w:color w:val="000000"/>
        </w:rPr>
        <w:t>11</w:t>
      </w:r>
      <w:r w:rsidR="00AC3D86">
        <w:rPr>
          <w:color w:val="000000"/>
        </w:rPr>
        <w:t>.</w:t>
      </w:r>
      <w:r w:rsidR="00AC3D86">
        <w:rPr>
          <w:color w:val="000000"/>
        </w:rPr>
        <w:tab/>
        <w:t>Bulc B, Al-Wahdani B, Bustreo F, et al. Urgency for transformation: youth engagement in global health. Lancet Glob Health. 2019.</w:t>
      </w:r>
    </w:p>
    <w:p w14:paraId="00000090" w14:textId="16BF2653" w:rsidR="00556640" w:rsidRDefault="00703E60">
      <w:pPr>
        <w:pBdr>
          <w:top w:val="nil"/>
          <w:left w:val="nil"/>
          <w:bottom w:val="nil"/>
          <w:right w:val="nil"/>
          <w:between w:val="nil"/>
        </w:pBdr>
        <w:spacing w:after="0" w:line="240" w:lineRule="auto"/>
        <w:rPr>
          <w:color w:val="000000"/>
        </w:rPr>
      </w:pPr>
      <w:r>
        <w:rPr>
          <w:color w:val="000000"/>
        </w:rPr>
        <w:t>12</w:t>
      </w:r>
      <w:r w:rsidR="00AC3D86">
        <w:rPr>
          <w:color w:val="000000"/>
        </w:rPr>
        <w:t>.</w:t>
      </w:r>
      <w:r w:rsidR="00AC3D86">
        <w:rPr>
          <w:color w:val="000000"/>
        </w:rPr>
        <w:tab/>
        <w:t>Glozah FN. Exploring Ghanaian adolescents' meaning of health and wellbeing: a psychosocial perspective. Int J Qual Stud Health Well-being. 2015;10:26370.</w:t>
      </w:r>
    </w:p>
    <w:p w14:paraId="00000091" w14:textId="466F96D4" w:rsidR="00556640" w:rsidRDefault="00703E60">
      <w:pPr>
        <w:pBdr>
          <w:top w:val="nil"/>
          <w:left w:val="nil"/>
          <w:bottom w:val="nil"/>
          <w:right w:val="nil"/>
          <w:between w:val="nil"/>
        </w:pBdr>
        <w:spacing w:after="0" w:line="240" w:lineRule="auto"/>
        <w:rPr>
          <w:color w:val="000000"/>
        </w:rPr>
      </w:pPr>
      <w:r>
        <w:rPr>
          <w:color w:val="000000"/>
        </w:rPr>
        <w:t>13</w:t>
      </w:r>
      <w:r w:rsidR="00AC3D86">
        <w:rPr>
          <w:color w:val="000000"/>
        </w:rPr>
        <w:t>.</w:t>
      </w:r>
      <w:r w:rsidR="00AC3D86">
        <w:rPr>
          <w:color w:val="000000"/>
        </w:rPr>
        <w:tab/>
        <w:t>Bello BM, Fatusi AO, Adepoju OE, et al. Adolescent and Parental Reactions to Puberty in Nigeria and Kenya: A Cross-Cultural and Intergenerational Comparison. J Adolesc Health. 2017;61(4s):S35-s41.</w:t>
      </w:r>
    </w:p>
    <w:p w14:paraId="00000092" w14:textId="47A752CF" w:rsidR="00556640" w:rsidRPr="00703E60" w:rsidRDefault="00703E60">
      <w:pPr>
        <w:pBdr>
          <w:top w:val="nil"/>
          <w:left w:val="nil"/>
          <w:bottom w:val="nil"/>
          <w:right w:val="nil"/>
          <w:between w:val="nil"/>
        </w:pBdr>
        <w:spacing w:after="0" w:line="240" w:lineRule="auto"/>
        <w:rPr>
          <w:color w:val="000000"/>
          <w:lang w:val="fr-FR"/>
        </w:rPr>
      </w:pPr>
      <w:r>
        <w:rPr>
          <w:color w:val="000000"/>
        </w:rPr>
        <w:t>14</w:t>
      </w:r>
      <w:r w:rsidR="00AC3D86">
        <w:rPr>
          <w:color w:val="000000"/>
        </w:rPr>
        <w:t>.</w:t>
      </w:r>
      <w:r w:rsidR="00AC3D86">
        <w:rPr>
          <w:color w:val="000000"/>
        </w:rPr>
        <w:tab/>
        <w:t xml:space="preserve">Oh HK, Kang S, Cho SH, et al. Factors influencing nutritional practices among mothers in Dakar, Senegal. </w:t>
      </w:r>
      <w:r w:rsidR="00AC3D86" w:rsidRPr="00703E60">
        <w:rPr>
          <w:color w:val="000000"/>
          <w:lang w:val="fr-FR"/>
        </w:rPr>
        <w:t>PLoS One. 2019;14(2):e0211787.</w:t>
      </w:r>
    </w:p>
    <w:p w14:paraId="00000093" w14:textId="2EA0E8E9" w:rsidR="00556640" w:rsidRPr="00703E60" w:rsidRDefault="00703E60">
      <w:pPr>
        <w:pBdr>
          <w:top w:val="nil"/>
          <w:left w:val="nil"/>
          <w:bottom w:val="nil"/>
          <w:right w:val="nil"/>
          <w:between w:val="nil"/>
        </w:pBdr>
        <w:spacing w:after="0" w:line="240" w:lineRule="auto"/>
        <w:rPr>
          <w:color w:val="000000"/>
          <w:lang w:val="fr-FR"/>
        </w:rPr>
      </w:pPr>
      <w:r>
        <w:rPr>
          <w:color w:val="000000"/>
          <w:lang w:val="fr-FR"/>
        </w:rPr>
        <w:t>15</w:t>
      </w:r>
      <w:r w:rsidR="00AC3D86" w:rsidRPr="00703E60">
        <w:rPr>
          <w:color w:val="000000"/>
          <w:lang w:val="fr-FR"/>
        </w:rPr>
        <w:t>.</w:t>
      </w:r>
      <w:r w:rsidR="00AC3D86" w:rsidRPr="00703E60">
        <w:rPr>
          <w:color w:val="000000"/>
          <w:lang w:val="fr-FR"/>
        </w:rPr>
        <w:tab/>
        <w:t xml:space="preserve">RGPH. Recensement Général de la Population et de l'Habitat: Principaux résultats préliminaires. Abidjan, Côte d'Ivoire: Institut National de la Statistique (INS); 2014. 26 p. 2014 [Available from: </w:t>
      </w:r>
      <w:hyperlink r:id="rId8">
        <w:r w:rsidR="00AC3D86" w:rsidRPr="00703E60">
          <w:rPr>
            <w:color w:val="0000FF"/>
            <w:u w:val="single"/>
            <w:lang w:val="fr-FR"/>
          </w:rPr>
          <w:t>http://cotedivoire.opendataforafrica.org/hxghsjf/recensement-g%C3%A9n%C3%A9ral-de-la-population-et-de-l-habitat-rgph-2014-c%C3%B4te-d-ivoire</w:t>
        </w:r>
      </w:hyperlink>
      <w:r w:rsidR="00AC3D86" w:rsidRPr="00703E60">
        <w:rPr>
          <w:color w:val="000000"/>
          <w:lang w:val="fr-FR"/>
        </w:rPr>
        <w:t>.</w:t>
      </w:r>
    </w:p>
    <w:p w14:paraId="00000094" w14:textId="18404104" w:rsidR="00556640" w:rsidRDefault="00703E60">
      <w:pPr>
        <w:pBdr>
          <w:top w:val="nil"/>
          <w:left w:val="nil"/>
          <w:bottom w:val="nil"/>
          <w:right w:val="nil"/>
          <w:between w:val="nil"/>
        </w:pBdr>
        <w:spacing w:after="0" w:line="240" w:lineRule="auto"/>
        <w:rPr>
          <w:color w:val="000000"/>
        </w:rPr>
      </w:pPr>
      <w:r>
        <w:rPr>
          <w:color w:val="000000"/>
          <w:lang w:val="fr-FR"/>
        </w:rPr>
        <w:t>16</w:t>
      </w:r>
      <w:r w:rsidR="00AC3D86" w:rsidRPr="00703E60">
        <w:rPr>
          <w:color w:val="000000"/>
          <w:lang w:val="fr-FR"/>
        </w:rPr>
        <w:t>.</w:t>
      </w:r>
      <w:r w:rsidR="00AC3D86" w:rsidRPr="00703E60">
        <w:rPr>
          <w:color w:val="000000"/>
          <w:lang w:val="fr-FR"/>
        </w:rPr>
        <w:tab/>
        <w:t xml:space="preserve">de Onis M, Onyango AW, Borghi E, et al. </w:t>
      </w:r>
      <w:r w:rsidR="00AC3D86">
        <w:rPr>
          <w:color w:val="000000"/>
        </w:rPr>
        <w:t>Development of a WHO growth reference for school-aged children and adolescents. Bull World Health Organ. 2007;85(9):660-7.</w:t>
      </w:r>
    </w:p>
    <w:p w14:paraId="00000095" w14:textId="6E9A5FAD" w:rsidR="00556640" w:rsidRDefault="00703E60">
      <w:pPr>
        <w:pBdr>
          <w:top w:val="nil"/>
          <w:left w:val="nil"/>
          <w:bottom w:val="nil"/>
          <w:right w:val="nil"/>
          <w:between w:val="nil"/>
        </w:pBdr>
        <w:spacing w:after="0" w:line="240" w:lineRule="auto"/>
        <w:rPr>
          <w:color w:val="000000"/>
        </w:rPr>
      </w:pPr>
      <w:r>
        <w:rPr>
          <w:color w:val="000000"/>
        </w:rPr>
        <w:t>17</w:t>
      </w:r>
      <w:r w:rsidR="00AC3D86">
        <w:rPr>
          <w:color w:val="000000"/>
        </w:rPr>
        <w:t>.</w:t>
      </w:r>
      <w:r w:rsidR="00AC3D86">
        <w:rPr>
          <w:color w:val="000000"/>
        </w:rPr>
        <w:tab/>
        <w:t>360 FaF. Minimum Dietary Diversity for Women:  A Guide for Measurement. Rome; 2016.</w:t>
      </w:r>
    </w:p>
    <w:p w14:paraId="00000096" w14:textId="0B17E726" w:rsidR="00556640" w:rsidRDefault="00703E60">
      <w:pPr>
        <w:pBdr>
          <w:top w:val="nil"/>
          <w:left w:val="nil"/>
          <w:bottom w:val="nil"/>
          <w:right w:val="nil"/>
          <w:between w:val="nil"/>
        </w:pBdr>
        <w:spacing w:after="0" w:line="240" w:lineRule="auto"/>
        <w:rPr>
          <w:color w:val="000000"/>
        </w:rPr>
      </w:pPr>
      <w:r>
        <w:rPr>
          <w:color w:val="000000"/>
        </w:rPr>
        <w:t>18</w:t>
      </w:r>
      <w:r w:rsidR="00AC3D86">
        <w:rPr>
          <w:color w:val="000000"/>
        </w:rPr>
        <w:t>.</w:t>
      </w:r>
      <w:r w:rsidR="00AC3D86">
        <w:rPr>
          <w:color w:val="000000"/>
        </w:rPr>
        <w:tab/>
        <w:t>Braun V, Clarke V. Using thematic analysis in psychology. Qualitative Research in Pyschology. 2006;3(2):77-101.</w:t>
      </w:r>
    </w:p>
    <w:p w14:paraId="00000097" w14:textId="3829A3C2" w:rsidR="00556640" w:rsidRDefault="00703E60">
      <w:pPr>
        <w:pBdr>
          <w:top w:val="nil"/>
          <w:left w:val="nil"/>
          <w:bottom w:val="nil"/>
          <w:right w:val="nil"/>
          <w:between w:val="nil"/>
        </w:pBdr>
        <w:spacing w:after="0" w:line="240" w:lineRule="auto"/>
        <w:rPr>
          <w:color w:val="000000"/>
        </w:rPr>
      </w:pPr>
      <w:r>
        <w:rPr>
          <w:color w:val="000000"/>
        </w:rPr>
        <w:t>19</w:t>
      </w:r>
      <w:r w:rsidR="00AC3D86">
        <w:rPr>
          <w:color w:val="000000"/>
        </w:rPr>
        <w:t>.</w:t>
      </w:r>
      <w:r w:rsidR="00AC3D86">
        <w:rPr>
          <w:color w:val="000000"/>
        </w:rPr>
        <w:tab/>
        <w:t>Tong A, Sainsbury P, Craig J. Consolidated criteria for reporting qualitative research (COREQ): a 32-item checklist for interviews and focus groups. International Journal for Quality in Health Care. 2019;19(6):349-57.</w:t>
      </w:r>
    </w:p>
    <w:p w14:paraId="00000098" w14:textId="3C9CFDDC" w:rsidR="00556640" w:rsidRPr="00703E60" w:rsidRDefault="00703E60">
      <w:pPr>
        <w:pBdr>
          <w:top w:val="nil"/>
          <w:left w:val="nil"/>
          <w:bottom w:val="nil"/>
          <w:right w:val="nil"/>
          <w:between w:val="nil"/>
        </w:pBdr>
        <w:spacing w:after="0" w:line="240" w:lineRule="auto"/>
        <w:rPr>
          <w:color w:val="000000"/>
          <w:lang w:val="fr-FR"/>
        </w:rPr>
      </w:pPr>
      <w:r>
        <w:rPr>
          <w:color w:val="000000"/>
        </w:rPr>
        <w:t>20</w:t>
      </w:r>
      <w:r w:rsidR="00AC3D86">
        <w:rPr>
          <w:color w:val="000000"/>
        </w:rPr>
        <w:t>.</w:t>
      </w:r>
      <w:r w:rsidR="00AC3D86">
        <w:rPr>
          <w:color w:val="000000"/>
        </w:rPr>
        <w:tab/>
        <w:t xml:space="preserve">Audain K, Levy L, Ellahi B. Sugar-sweetened beverage consumption in the early years and implications for type-2 diabetes: a sub-Saharan Africa context. </w:t>
      </w:r>
      <w:r w:rsidR="00AC3D86" w:rsidRPr="00703E60">
        <w:rPr>
          <w:color w:val="000000"/>
          <w:lang w:val="fr-FR"/>
        </w:rPr>
        <w:t>Proc Nutr Soc. 2019:1-7.</w:t>
      </w:r>
    </w:p>
    <w:p w14:paraId="00000099" w14:textId="4B676E0A" w:rsidR="00556640" w:rsidRDefault="00703E60">
      <w:pPr>
        <w:pBdr>
          <w:top w:val="nil"/>
          <w:left w:val="nil"/>
          <w:bottom w:val="nil"/>
          <w:right w:val="nil"/>
          <w:between w:val="nil"/>
        </w:pBdr>
        <w:spacing w:after="0" w:line="240" w:lineRule="auto"/>
        <w:rPr>
          <w:color w:val="000000"/>
        </w:rPr>
      </w:pPr>
      <w:r>
        <w:rPr>
          <w:color w:val="000000"/>
          <w:lang w:val="fr-FR"/>
        </w:rPr>
        <w:t>21</w:t>
      </w:r>
      <w:r w:rsidR="00AC3D86" w:rsidRPr="00703E60">
        <w:rPr>
          <w:color w:val="000000"/>
          <w:lang w:val="fr-FR"/>
        </w:rPr>
        <w:t>.</w:t>
      </w:r>
      <w:r w:rsidR="00AC3D86" w:rsidRPr="00703E60">
        <w:rPr>
          <w:color w:val="000000"/>
          <w:lang w:val="fr-FR"/>
        </w:rPr>
        <w:tab/>
        <w:t xml:space="preserve">Agbre-Yace ML, Oyenusi EE, Oduwole AO, et al. </w:t>
      </w:r>
      <w:r w:rsidR="00AC3D86">
        <w:rPr>
          <w:color w:val="000000"/>
        </w:rPr>
        <w:t>Prevalence of diabetes mellitus among children and adolescents in the district of Abidjan in Cote d'Ivoire: a population-based study. J Diabetes Metab Disord. 2015;15:38.</w:t>
      </w:r>
    </w:p>
    <w:p w14:paraId="0000009A" w14:textId="190F4374" w:rsidR="00556640" w:rsidRPr="00DC180C" w:rsidRDefault="00703E60">
      <w:pPr>
        <w:pBdr>
          <w:top w:val="nil"/>
          <w:left w:val="nil"/>
          <w:bottom w:val="nil"/>
          <w:right w:val="nil"/>
          <w:between w:val="nil"/>
        </w:pBdr>
        <w:spacing w:after="0" w:line="240" w:lineRule="auto"/>
      </w:pPr>
      <w:r w:rsidRPr="00DC180C">
        <w:t>22</w:t>
      </w:r>
      <w:r w:rsidR="00AC3D86" w:rsidRPr="00DC180C">
        <w:t>. Berhane Y, Canavan CR, Darling AM, et al. The age of opportunity: prevalence of key risk factors among adolescents 10-19 years of age in nine communities in sub-Saharan Africa. Trop Med Int Health. 2019;</w:t>
      </w:r>
    </w:p>
    <w:p w14:paraId="0000009B" w14:textId="0F68ED32" w:rsidR="00556640" w:rsidRPr="00DC180C" w:rsidRDefault="00703E60">
      <w:pPr>
        <w:pBdr>
          <w:top w:val="nil"/>
          <w:left w:val="nil"/>
          <w:bottom w:val="nil"/>
          <w:right w:val="nil"/>
          <w:between w:val="nil"/>
        </w:pBdr>
        <w:spacing w:after="0" w:line="240" w:lineRule="auto"/>
      </w:pPr>
      <w:r w:rsidRPr="006E0A4A">
        <w:t>23</w:t>
      </w:r>
      <w:r w:rsidR="00AC3D86" w:rsidRPr="006E0A4A">
        <w:t>.</w:t>
      </w:r>
      <w:r w:rsidR="00AC3D86" w:rsidRPr="006E0A4A">
        <w:tab/>
        <w:t xml:space="preserve">Mmari K, Lantos H, Brahmbhatt H, et al. </w:t>
      </w:r>
      <w:r w:rsidR="00AC3D86" w:rsidRPr="00DC180C">
        <w:t>How adolescents perceive their communities: a qualitative study that explores the relationship between health and the physical environment. BMC Public Health. 2014;14:349.</w:t>
      </w:r>
    </w:p>
    <w:p w14:paraId="0000009D" w14:textId="305B0ABD" w:rsidR="00556640" w:rsidRPr="00DC180C" w:rsidRDefault="00703E60">
      <w:pPr>
        <w:pBdr>
          <w:top w:val="nil"/>
          <w:left w:val="nil"/>
          <w:bottom w:val="nil"/>
          <w:right w:val="nil"/>
          <w:between w:val="nil"/>
        </w:pBdr>
        <w:spacing w:after="0" w:line="240" w:lineRule="auto"/>
      </w:pPr>
      <w:r w:rsidRPr="00DC180C">
        <w:t>24</w:t>
      </w:r>
      <w:r w:rsidR="00AC3D86" w:rsidRPr="00DC180C">
        <w:t>.</w:t>
      </w:r>
      <w:r w:rsidR="00AC3D86" w:rsidRPr="00DC180C">
        <w:tab/>
        <w:t>Secor-Turner M, Randall BA, Mudzongo CC. Barriers and Facilitators of Adolescent Health in Rural Kenya. J Transcult Nurs. 2016;27(3):270-6.</w:t>
      </w:r>
    </w:p>
    <w:p w14:paraId="0000009E" w14:textId="66EC55CA" w:rsidR="00556640" w:rsidRPr="00DC180C" w:rsidRDefault="00703E60">
      <w:pPr>
        <w:pBdr>
          <w:top w:val="nil"/>
          <w:left w:val="nil"/>
          <w:bottom w:val="nil"/>
          <w:right w:val="nil"/>
          <w:between w:val="nil"/>
        </w:pBdr>
        <w:spacing w:after="0" w:line="240" w:lineRule="auto"/>
      </w:pPr>
      <w:r w:rsidRPr="00DC180C">
        <w:t>25</w:t>
      </w:r>
      <w:r w:rsidR="00AC3D86" w:rsidRPr="00DC180C">
        <w:t>.</w:t>
      </w:r>
      <w:r w:rsidR="00AC3D86" w:rsidRPr="00DC180C">
        <w:tab/>
        <w:t>Belachew T, Lindstrom D, Gebremariam A, et al. Predictors of chronic food insecurity among adolescents in Southwest Ethiopia: a longitudinal study. BMC Public Health. 2012;12:604.</w:t>
      </w:r>
    </w:p>
    <w:p w14:paraId="0000009F" w14:textId="1A6A01B6" w:rsidR="00556640" w:rsidRPr="00DC180C" w:rsidRDefault="00703E60">
      <w:pPr>
        <w:pBdr>
          <w:top w:val="nil"/>
          <w:left w:val="nil"/>
          <w:bottom w:val="nil"/>
          <w:right w:val="nil"/>
          <w:between w:val="nil"/>
        </w:pBdr>
        <w:spacing w:after="0" w:line="240" w:lineRule="auto"/>
      </w:pPr>
      <w:r w:rsidRPr="00DC180C">
        <w:t>26</w:t>
      </w:r>
      <w:r w:rsidR="00AC3D86" w:rsidRPr="00DC180C">
        <w:t>.</w:t>
      </w:r>
      <w:r w:rsidR="00AC3D86" w:rsidRPr="00DC180C">
        <w:tab/>
        <w:t>Sedibe HM, Kahn K, Edin K, et al. Qualitative study exploring healthy eating practices and physical activity among adolescent girls in rural South Africa. BMC Pediatr. 2014;14:211.</w:t>
      </w:r>
    </w:p>
    <w:p w14:paraId="000000A0" w14:textId="2DCD044E" w:rsidR="00556640" w:rsidRPr="00DC180C" w:rsidRDefault="00703E60">
      <w:pPr>
        <w:pBdr>
          <w:top w:val="nil"/>
          <w:left w:val="nil"/>
          <w:bottom w:val="nil"/>
          <w:right w:val="nil"/>
          <w:between w:val="nil"/>
        </w:pBdr>
        <w:spacing w:after="0" w:line="240" w:lineRule="auto"/>
      </w:pPr>
      <w:r w:rsidRPr="00DC180C">
        <w:t>27</w:t>
      </w:r>
      <w:r w:rsidR="00AC3D86" w:rsidRPr="00DC180C">
        <w:t>. Ozodiegwu ID, Littleton MA, Nwabueze C, et al. A qualitative research synthesis of contextual factors contributing to female overweight and obesity over the life course in sub-Saharan Africa. PLoS ONE. 2019;14(11):e0224612.</w:t>
      </w:r>
    </w:p>
    <w:p w14:paraId="000000A1" w14:textId="3AF719A5" w:rsidR="00556640" w:rsidRPr="00703E60" w:rsidRDefault="00703E60">
      <w:pPr>
        <w:pBdr>
          <w:top w:val="nil"/>
          <w:left w:val="nil"/>
          <w:bottom w:val="nil"/>
          <w:right w:val="nil"/>
          <w:between w:val="nil"/>
        </w:pBdr>
        <w:spacing w:after="0" w:line="240" w:lineRule="auto"/>
        <w:rPr>
          <w:color w:val="000000"/>
          <w:lang w:val="fr-FR"/>
        </w:rPr>
      </w:pPr>
      <w:r w:rsidRPr="00DC180C">
        <w:t>28</w:t>
      </w:r>
      <w:r w:rsidR="00AC3D86" w:rsidRPr="00DC180C">
        <w:t>.</w:t>
      </w:r>
      <w:r w:rsidR="00AC3D86" w:rsidRPr="00DC180C">
        <w:tab/>
        <w:t xml:space="preserve">Kiawi E, Edwards R, Shu J, et al. Knowledge, attitudes, and behavior relating to diabetes and its </w:t>
      </w:r>
      <w:r w:rsidR="00AC3D86">
        <w:rPr>
          <w:color w:val="000000"/>
        </w:rPr>
        <w:t xml:space="preserve">main risk factors among urban residents in Cameroon: a qualitative survey. </w:t>
      </w:r>
      <w:r w:rsidR="00AC3D86" w:rsidRPr="00703E60">
        <w:rPr>
          <w:color w:val="000000"/>
          <w:lang w:val="fr-FR"/>
        </w:rPr>
        <w:t>Ethn Dis. 2006;16(2):503-9.</w:t>
      </w:r>
    </w:p>
    <w:p w14:paraId="000000A2" w14:textId="2772891D" w:rsidR="00556640" w:rsidRDefault="00703E60">
      <w:pPr>
        <w:pBdr>
          <w:top w:val="nil"/>
          <w:left w:val="nil"/>
          <w:bottom w:val="nil"/>
          <w:right w:val="nil"/>
          <w:between w:val="nil"/>
        </w:pBdr>
        <w:spacing w:after="0" w:line="240" w:lineRule="auto"/>
        <w:rPr>
          <w:color w:val="000000"/>
        </w:rPr>
      </w:pPr>
      <w:r>
        <w:rPr>
          <w:color w:val="000000"/>
          <w:lang w:val="fr-FR"/>
        </w:rPr>
        <w:t>29</w:t>
      </w:r>
      <w:r w:rsidR="00AC3D86" w:rsidRPr="00703E60">
        <w:rPr>
          <w:color w:val="000000"/>
          <w:lang w:val="fr-FR"/>
        </w:rPr>
        <w:t>.</w:t>
      </w:r>
      <w:r w:rsidR="00AC3D86" w:rsidRPr="00703E60">
        <w:rPr>
          <w:color w:val="000000"/>
          <w:lang w:val="fr-FR"/>
        </w:rPr>
        <w:tab/>
        <w:t xml:space="preserve">Findholt NE, Michael YL, Jerofke LJ, et al. </w:t>
      </w:r>
      <w:r w:rsidR="00AC3D86">
        <w:rPr>
          <w:color w:val="000000"/>
        </w:rPr>
        <w:t>Environmental influences on children's physical activity and eating habits in a rural Oregon County. Am J Health Promot. 2011;26(2):e74-85.</w:t>
      </w:r>
    </w:p>
    <w:p w14:paraId="000000A3" w14:textId="485E31EA" w:rsidR="00556640" w:rsidRDefault="00703E60">
      <w:pPr>
        <w:pBdr>
          <w:top w:val="nil"/>
          <w:left w:val="nil"/>
          <w:bottom w:val="nil"/>
          <w:right w:val="nil"/>
          <w:between w:val="nil"/>
        </w:pBdr>
        <w:spacing w:after="0" w:line="240" w:lineRule="auto"/>
        <w:rPr>
          <w:color w:val="000000"/>
        </w:rPr>
      </w:pPr>
      <w:r>
        <w:rPr>
          <w:color w:val="000000"/>
        </w:rPr>
        <w:t>30</w:t>
      </w:r>
      <w:r w:rsidR="00AC3D86">
        <w:rPr>
          <w:color w:val="000000"/>
        </w:rPr>
        <w:t>.</w:t>
      </w:r>
      <w:r w:rsidR="00AC3D86">
        <w:rPr>
          <w:color w:val="000000"/>
        </w:rPr>
        <w:tab/>
        <w:t>Mude W, Mwanri L. Barriers to Participation in Physical Activity Among South Sudanese Children in South Australia: Parents' Perspectives. Fam Community Health. 2016;39(4):293-300.</w:t>
      </w:r>
    </w:p>
    <w:p w14:paraId="000000A4" w14:textId="27E5ABCD" w:rsidR="00556640" w:rsidRPr="007B55FD" w:rsidRDefault="00703E60">
      <w:pPr>
        <w:pBdr>
          <w:top w:val="nil"/>
          <w:left w:val="nil"/>
          <w:bottom w:val="nil"/>
          <w:right w:val="nil"/>
          <w:between w:val="nil"/>
        </w:pBdr>
        <w:spacing w:after="0" w:line="240" w:lineRule="auto"/>
        <w:rPr>
          <w:color w:val="000000"/>
          <w:lang w:val="fr-FR"/>
        </w:rPr>
      </w:pPr>
      <w:r w:rsidRPr="007B55FD">
        <w:rPr>
          <w:color w:val="000000"/>
        </w:rPr>
        <w:t>31</w:t>
      </w:r>
      <w:r w:rsidR="00AC3D86" w:rsidRPr="007B55FD">
        <w:rPr>
          <w:color w:val="000000"/>
        </w:rPr>
        <w:t>.</w:t>
      </w:r>
      <w:r w:rsidR="00AC3D86" w:rsidRPr="007B55FD">
        <w:rPr>
          <w:color w:val="000000"/>
        </w:rPr>
        <w:tab/>
        <w:t xml:space="preserve">Sawyer A, Ucci M, Jones R, et al. </w:t>
      </w:r>
      <w:r w:rsidR="00AC3D86">
        <w:rPr>
          <w:color w:val="000000"/>
        </w:rPr>
        <w:t xml:space="preserve">Supportive environments for physical activity in deprived communities in the United Kingdom: A qualitative study using photo elicitation. </w:t>
      </w:r>
      <w:r w:rsidR="00AC3D86" w:rsidRPr="007B55FD">
        <w:rPr>
          <w:color w:val="000000"/>
          <w:lang w:val="fr-FR"/>
        </w:rPr>
        <w:t>Soc Sci Med. 2018;197:49-58.</w:t>
      </w:r>
    </w:p>
    <w:p w14:paraId="000000A5" w14:textId="37E05FD6" w:rsidR="00556640" w:rsidRPr="00DC180C" w:rsidRDefault="00703E60">
      <w:pPr>
        <w:pBdr>
          <w:top w:val="nil"/>
          <w:left w:val="nil"/>
          <w:bottom w:val="nil"/>
          <w:right w:val="nil"/>
          <w:between w:val="nil"/>
        </w:pBdr>
        <w:spacing w:after="0" w:line="240" w:lineRule="auto"/>
      </w:pPr>
      <w:r w:rsidRPr="00DC180C">
        <w:rPr>
          <w:lang w:val="fr-FR"/>
        </w:rPr>
        <w:t>32</w:t>
      </w:r>
      <w:r w:rsidR="00AC3D86" w:rsidRPr="00DC180C">
        <w:rPr>
          <w:lang w:val="fr-FR"/>
        </w:rPr>
        <w:t xml:space="preserve">. Phillips EA, Comeau DL, Pisa PT, et al. </w:t>
      </w:r>
      <w:r w:rsidR="00AC3D86" w:rsidRPr="00DC180C">
        <w:t>Perceptions of diet, physical activity, and obesity-related health among black daughter-mother pairs in Soweto, South Africa: a qualitative study. BMC Public Health. 2016;16(1):750.</w:t>
      </w:r>
    </w:p>
    <w:p w14:paraId="19E88500" w14:textId="6278E39F" w:rsidR="00703E60" w:rsidRPr="00DC180C" w:rsidRDefault="00703E60" w:rsidP="00703E60">
      <w:pPr>
        <w:pBdr>
          <w:top w:val="nil"/>
          <w:left w:val="nil"/>
          <w:bottom w:val="nil"/>
          <w:right w:val="nil"/>
          <w:between w:val="nil"/>
        </w:pBdr>
        <w:spacing w:after="0" w:line="240" w:lineRule="auto"/>
      </w:pPr>
      <w:r w:rsidRPr="00DC180C">
        <w:t>33.</w:t>
      </w:r>
      <w:r w:rsidRPr="00DC180C">
        <w:tab/>
        <w:t>Hauta-Alus HH, Korkalo L, Freese R, et al. Urban and rural dietary patterns are associated with anthropometric and biochemical indicators of nutritional status of adolescent Mozambican girls. Public Health Nutr. 2018;21(6):1057-64.</w:t>
      </w:r>
    </w:p>
    <w:p w14:paraId="000000A6" w14:textId="43647D54" w:rsidR="00556640" w:rsidRPr="00DC180C" w:rsidRDefault="00703E60">
      <w:pPr>
        <w:pBdr>
          <w:top w:val="nil"/>
          <w:left w:val="nil"/>
          <w:bottom w:val="nil"/>
          <w:right w:val="nil"/>
          <w:between w:val="nil"/>
        </w:pBdr>
        <w:spacing w:after="0" w:line="240" w:lineRule="auto"/>
      </w:pPr>
      <w:r w:rsidRPr="00DC180C">
        <w:t>34</w:t>
      </w:r>
      <w:r w:rsidR="00AC3D86" w:rsidRPr="00DC180C">
        <w:t>.</w:t>
      </w:r>
      <w:r w:rsidR="00AC3D86" w:rsidRPr="00DC180C">
        <w:tab/>
        <w:t>Campbell C, Gibbs A, Maimane S, et al. Youth participation in the fight against AIDS in South Africa: from policy to practice. Journal of Youth Studies. 2009;12(1):93-109.</w:t>
      </w:r>
    </w:p>
    <w:p w14:paraId="000000A7" w14:textId="60DFF494" w:rsidR="00556640" w:rsidRPr="00DC180C" w:rsidRDefault="00703E60">
      <w:pPr>
        <w:pBdr>
          <w:top w:val="nil"/>
          <w:left w:val="nil"/>
          <w:bottom w:val="nil"/>
          <w:right w:val="nil"/>
          <w:between w:val="nil"/>
        </w:pBdr>
        <w:spacing w:after="0" w:line="240" w:lineRule="auto"/>
      </w:pPr>
      <w:r w:rsidRPr="00DC180C">
        <w:t>35</w:t>
      </w:r>
      <w:r w:rsidR="00AC3D86" w:rsidRPr="00DC180C">
        <w:t>.</w:t>
      </w:r>
      <w:r w:rsidR="00AC3D86" w:rsidRPr="00DC180C">
        <w:tab/>
        <w:t>Adeomi AA, Adeoye OA, Asekun-Olarinmoye EO, et al. Evaluation of the Effectiveness of Peer Education in Improving HIV Knowledge, Attitude, and Sexual Behaviours among In-School Adolescents in Osun State, Nigeria. AIDS Res Treat. 2014;2014:131756.</w:t>
      </w:r>
    </w:p>
    <w:p w14:paraId="000000A8" w14:textId="1F6592EF" w:rsidR="00556640" w:rsidRPr="00DC180C" w:rsidRDefault="00703E60">
      <w:pPr>
        <w:pBdr>
          <w:top w:val="nil"/>
          <w:left w:val="nil"/>
          <w:bottom w:val="nil"/>
          <w:right w:val="nil"/>
          <w:between w:val="nil"/>
        </w:pBdr>
        <w:spacing w:after="0" w:line="240" w:lineRule="auto"/>
      </w:pPr>
      <w:r w:rsidRPr="00DC180C">
        <w:t>36</w:t>
      </w:r>
      <w:r w:rsidR="00AC3D86" w:rsidRPr="00DC180C">
        <w:t>.</w:t>
      </w:r>
      <w:r w:rsidR="00AC3D86" w:rsidRPr="00DC180C">
        <w:tab/>
        <w:t>Speizer IS, Tambashe BO, Tegang SP. An evaluation of the "Entre Nous Jeunes" peer-educator program for adolescents in Cameroon. Stud Fam Plann. 2001;32(4):339-51.</w:t>
      </w:r>
    </w:p>
    <w:p w14:paraId="5243A122" w14:textId="77777777" w:rsidR="002B7E4F" w:rsidRPr="00DC180C" w:rsidRDefault="002B7E4F" w:rsidP="002B7E4F">
      <w:pPr>
        <w:pBdr>
          <w:top w:val="nil"/>
          <w:left w:val="nil"/>
          <w:bottom w:val="nil"/>
          <w:right w:val="nil"/>
          <w:between w:val="nil"/>
        </w:pBdr>
        <w:spacing w:after="0" w:line="240" w:lineRule="auto"/>
      </w:pPr>
      <w:r w:rsidRPr="00DC180C">
        <w:t>37. Ssewanyana D, Abubakar A, van Baar A, et al. Perspectives on Underlying Factors for Unhealthy Diet and Sedentary Lifestyle of Adolescents at a Kenyan Coastal Setting. Front Public Health. 2018;6:11.</w:t>
      </w:r>
    </w:p>
    <w:p w14:paraId="000000A9" w14:textId="556AAB65" w:rsidR="00556640" w:rsidRPr="00DC180C" w:rsidRDefault="002B7E4F">
      <w:pPr>
        <w:pBdr>
          <w:top w:val="nil"/>
          <w:left w:val="nil"/>
          <w:bottom w:val="nil"/>
          <w:right w:val="nil"/>
          <w:between w:val="nil"/>
        </w:pBdr>
        <w:spacing w:after="0" w:line="240" w:lineRule="auto"/>
      </w:pPr>
      <w:r w:rsidRPr="00DC180C">
        <w:t>38</w:t>
      </w:r>
      <w:r w:rsidR="00AC3D86" w:rsidRPr="00DC180C">
        <w:t>.</w:t>
      </w:r>
      <w:r w:rsidR="00AC3D86" w:rsidRPr="00DC180C">
        <w:tab/>
        <w:t>Self A, Chipokosa S, Misomali A, et al. Youth accessing reproductive health services in Malawi: drivers, barriers, and suggestions from the perspectives of youth and parents. Reprod Health. 2018;15(1):108.</w:t>
      </w:r>
    </w:p>
    <w:p w14:paraId="000000AA" w14:textId="05E7A9DC" w:rsidR="00556640" w:rsidRPr="00DC180C" w:rsidRDefault="002B7E4F">
      <w:pPr>
        <w:pBdr>
          <w:top w:val="nil"/>
          <w:left w:val="nil"/>
          <w:bottom w:val="nil"/>
          <w:right w:val="nil"/>
          <w:between w:val="nil"/>
        </w:pBdr>
        <w:spacing w:after="0" w:line="240" w:lineRule="auto"/>
      </w:pPr>
      <w:r w:rsidRPr="00DC180C">
        <w:t>39</w:t>
      </w:r>
      <w:r w:rsidR="00AC3D86" w:rsidRPr="00DC180C">
        <w:t>.</w:t>
      </w:r>
      <w:r w:rsidR="00AC3D86" w:rsidRPr="00DC180C">
        <w:tab/>
        <w:t>Zulu JM, Goicolea I, Kinsman J, et al. Community based interventions for strengthening adolescent sexual reproductive health and rights: how can they be integrated and sustained? A realist evaluation protocol from Zambia. Reprod Health. 2018;15(1):145.</w:t>
      </w:r>
    </w:p>
    <w:p w14:paraId="000000AB" w14:textId="4A3B66DD" w:rsidR="00556640" w:rsidRPr="00DC180C" w:rsidRDefault="002B7E4F">
      <w:pPr>
        <w:pBdr>
          <w:top w:val="nil"/>
          <w:left w:val="nil"/>
          <w:bottom w:val="nil"/>
          <w:right w:val="nil"/>
          <w:between w:val="nil"/>
        </w:pBdr>
        <w:spacing w:after="0" w:line="240" w:lineRule="auto"/>
      </w:pPr>
      <w:r w:rsidRPr="00DC180C">
        <w:t>40</w:t>
      </w:r>
      <w:r w:rsidR="00AC3D86" w:rsidRPr="00DC180C">
        <w:t>.</w:t>
      </w:r>
      <w:r w:rsidR="00AC3D86" w:rsidRPr="00DC180C">
        <w:tab/>
        <w:t>Patton GC, Sawyer SM, Santelli JS, et al. Our future: a Lancet commission on adolescent health and wellbeing. Lancet. 2016;387(10036):2423-78.</w:t>
      </w:r>
    </w:p>
    <w:p w14:paraId="000000AC" w14:textId="44B9DFF4" w:rsidR="00556640" w:rsidRPr="00DC180C" w:rsidRDefault="002B7E4F">
      <w:pPr>
        <w:pBdr>
          <w:top w:val="nil"/>
          <w:left w:val="nil"/>
          <w:bottom w:val="nil"/>
          <w:right w:val="nil"/>
          <w:between w:val="nil"/>
        </w:pBdr>
        <w:spacing w:after="0" w:line="240" w:lineRule="auto"/>
      </w:pPr>
      <w:r w:rsidRPr="00DC180C">
        <w:t>41.</w:t>
      </w:r>
      <w:r w:rsidRPr="00DC180C">
        <w:tab/>
      </w:r>
      <w:r w:rsidR="00AC3D86" w:rsidRPr="00DC180C">
        <w:t xml:space="preserve">Plested BA, Edwards RW, Jumper-Thurman P. Community readiness: a handbook for successful change. Am J Community Psychol. 2006;1–42. Available from: </w:t>
      </w:r>
      <w:hyperlink r:id="rId9">
        <w:r w:rsidR="00AC3D86" w:rsidRPr="00DC180C">
          <w:rPr>
            <w:u w:val="single"/>
          </w:rPr>
          <w:t>http://www.ndhealth.gov/injury/ND_Prevention_Tool_Kit/docs/Community_Readiness_Handbook.pdf</w:t>
        </w:r>
      </w:hyperlink>
      <w:r w:rsidR="00AC3D86" w:rsidRPr="00DC180C">
        <w:t>. 2015.</w:t>
      </w:r>
    </w:p>
    <w:p w14:paraId="000000AD" w14:textId="39DD74F5" w:rsidR="00556640" w:rsidRPr="006E0A4A" w:rsidRDefault="002B7E4F">
      <w:pPr>
        <w:pBdr>
          <w:top w:val="nil"/>
          <w:left w:val="nil"/>
          <w:bottom w:val="nil"/>
          <w:right w:val="nil"/>
          <w:between w:val="nil"/>
        </w:pBdr>
        <w:spacing w:after="0" w:line="240" w:lineRule="auto"/>
      </w:pPr>
      <w:r w:rsidRPr="00DC180C">
        <w:t>42</w:t>
      </w:r>
      <w:r w:rsidR="00AC3D86" w:rsidRPr="00DC180C">
        <w:t>.</w:t>
      </w:r>
      <w:r w:rsidRPr="00DC180C">
        <w:tab/>
      </w:r>
      <w:r w:rsidR="00AC3D86" w:rsidRPr="00DC180C">
        <w:t xml:space="preserve"> Pradeilles R, Marr C, Laar A,  et al. How ready are communities to implement actions to improve diets of adolescent girls and women in urban Ghana? </w:t>
      </w:r>
      <w:r w:rsidR="00AC3D86" w:rsidRPr="006E0A4A">
        <w:t>BMC Public Health. 2019;19(1):646.</w:t>
      </w:r>
    </w:p>
    <w:p w14:paraId="000000AF" w14:textId="13B873A7" w:rsidR="00556640" w:rsidRDefault="002B7E4F">
      <w:pPr>
        <w:pBdr>
          <w:top w:val="nil"/>
          <w:left w:val="nil"/>
          <w:bottom w:val="nil"/>
          <w:right w:val="nil"/>
          <w:between w:val="nil"/>
        </w:pBdr>
        <w:spacing w:after="0" w:line="240" w:lineRule="auto"/>
      </w:pPr>
      <w:r w:rsidRPr="006E0A4A">
        <w:t>43.</w:t>
      </w:r>
      <w:r w:rsidRPr="006E0A4A">
        <w:tab/>
      </w:r>
      <w:r w:rsidR="00AC3D86" w:rsidRPr="006E0A4A">
        <w:t xml:space="preserve">Pradeilles R, Rousham EK, Norris SA, et al. </w:t>
      </w:r>
      <w:r w:rsidR="00AC3D86" w:rsidRPr="00DC180C">
        <w:t>Community readiness for adolescents’ overweight and obesity prevention is low in urban South Africa: a case study. BMC Public Health. 2016 11;16(1):763.</w:t>
      </w:r>
    </w:p>
    <w:p w14:paraId="0DFF7824" w14:textId="126CE8E7" w:rsidR="0005498C" w:rsidRPr="00A1297C" w:rsidRDefault="0005498C">
      <w:pPr>
        <w:pBdr>
          <w:top w:val="nil"/>
          <w:left w:val="nil"/>
          <w:bottom w:val="nil"/>
          <w:right w:val="nil"/>
          <w:between w:val="nil"/>
        </w:pBdr>
        <w:spacing w:after="0" w:line="240" w:lineRule="auto"/>
        <w:rPr>
          <w:color w:val="FF0000"/>
        </w:rPr>
      </w:pPr>
      <w:r w:rsidRPr="00A1297C">
        <w:rPr>
          <w:color w:val="FF0000"/>
        </w:rPr>
        <w:t>44. Ippoliti NB, L’Engle K. Meet us on the phone: mobile phone programs for adolescent sexual and reproductive health in low-to-middle income countries. Reprod Health. 2017;14(1):11.</w:t>
      </w:r>
    </w:p>
    <w:p w14:paraId="000000B0" w14:textId="7876D069" w:rsidR="00556640" w:rsidRPr="00A1297C" w:rsidRDefault="002B7E4F">
      <w:pPr>
        <w:pBdr>
          <w:top w:val="nil"/>
          <w:left w:val="nil"/>
          <w:bottom w:val="nil"/>
          <w:right w:val="nil"/>
          <w:between w:val="nil"/>
        </w:pBdr>
        <w:spacing w:after="0" w:line="240" w:lineRule="auto"/>
        <w:rPr>
          <w:lang w:val="fr-FR"/>
        </w:rPr>
      </w:pPr>
      <w:r w:rsidRPr="00DC180C">
        <w:t>4</w:t>
      </w:r>
      <w:r w:rsidR="0005498C">
        <w:t>5</w:t>
      </w:r>
      <w:r w:rsidRPr="00DC180C">
        <w:t>.</w:t>
      </w:r>
      <w:r w:rsidR="00AC3D86" w:rsidRPr="00DC180C">
        <w:tab/>
        <w:t xml:space="preserve">Ahanonu EL, Jooste K. Adolescents' Interpretation of the Concept of Wellness: A Qualitative Study. </w:t>
      </w:r>
      <w:r w:rsidR="00AC3D86" w:rsidRPr="00A1297C">
        <w:rPr>
          <w:lang w:val="fr-FR"/>
        </w:rPr>
        <w:t>J Caring Sci. 2016;5(4):337-45.</w:t>
      </w:r>
    </w:p>
    <w:p w14:paraId="000000B1" w14:textId="3271A4EE" w:rsidR="00556640" w:rsidRPr="00DC180C" w:rsidRDefault="002B7E4F">
      <w:pPr>
        <w:pBdr>
          <w:top w:val="nil"/>
          <w:left w:val="nil"/>
          <w:bottom w:val="nil"/>
          <w:right w:val="nil"/>
          <w:between w:val="nil"/>
        </w:pBdr>
        <w:spacing w:after="0" w:line="240" w:lineRule="auto"/>
      </w:pPr>
      <w:r w:rsidRPr="00DC180C">
        <w:rPr>
          <w:lang w:val="fr-FR"/>
        </w:rPr>
        <w:t>4</w:t>
      </w:r>
      <w:r w:rsidR="0005498C">
        <w:rPr>
          <w:lang w:val="fr-FR"/>
        </w:rPr>
        <w:t>6</w:t>
      </w:r>
      <w:r w:rsidR="00AC3D86" w:rsidRPr="00DC180C">
        <w:rPr>
          <w:lang w:val="fr-FR"/>
        </w:rPr>
        <w:t>.</w:t>
      </w:r>
      <w:r w:rsidR="00AC3D86" w:rsidRPr="00DC180C">
        <w:rPr>
          <w:lang w:val="fr-FR"/>
        </w:rPr>
        <w:tab/>
        <w:t xml:space="preserve">Voorend CG, Norris SA, Griffiths PL, et al. </w:t>
      </w:r>
      <w:r w:rsidR="00AC3D86" w:rsidRPr="00DC180C">
        <w:t>'We eat together; today she buys, tomorrow I will buy the food': adolescent best friends' food choices and dietary practices in Soweto, South Africa. Public Health Nutr. 2013;16(3):559-67.</w:t>
      </w:r>
    </w:p>
    <w:p w14:paraId="000000B2" w14:textId="097C233B" w:rsidR="00556640" w:rsidRPr="00DC180C" w:rsidRDefault="002B7E4F">
      <w:pPr>
        <w:pBdr>
          <w:top w:val="nil"/>
          <w:left w:val="nil"/>
          <w:bottom w:val="nil"/>
          <w:right w:val="nil"/>
          <w:between w:val="nil"/>
        </w:pBdr>
        <w:spacing w:line="240" w:lineRule="auto"/>
      </w:pPr>
      <w:r w:rsidRPr="00DC180C">
        <w:t>4</w:t>
      </w:r>
      <w:r w:rsidR="0005498C">
        <w:t>7</w:t>
      </w:r>
      <w:r w:rsidR="00AC3D86" w:rsidRPr="00DC180C">
        <w:t>.</w:t>
      </w:r>
      <w:r w:rsidR="00AC3D86" w:rsidRPr="00DC180C">
        <w:tab/>
        <w:t xml:space="preserve">Suleiman AB, Soleimanpour S, London J. Youth Action for Health Through Youth-Led Research. </w:t>
      </w:r>
      <w:hyperlink r:id="rId10">
        <w:r w:rsidR="00AC3D86" w:rsidRPr="00DC180C">
          <w:rPr>
            <w:u w:val="single"/>
          </w:rPr>
          <w:t>http://dxdoiorg/101300/J125v14n01_08</w:t>
        </w:r>
      </w:hyperlink>
      <w:r w:rsidR="00AC3D86" w:rsidRPr="00DC180C">
        <w:t>. 2008.</w:t>
      </w:r>
    </w:p>
    <w:p w14:paraId="000000B3" w14:textId="77777777" w:rsidR="00556640" w:rsidRPr="00DC180C" w:rsidRDefault="00556640">
      <w:pPr>
        <w:spacing w:after="120" w:line="360" w:lineRule="auto"/>
        <w:rPr>
          <w:rFonts w:ascii="Times New Roman" w:eastAsia="Times New Roman" w:hAnsi="Times New Roman" w:cs="Times New Roman"/>
          <w:b/>
          <w:sz w:val="24"/>
          <w:szCs w:val="24"/>
        </w:rPr>
      </w:pPr>
    </w:p>
    <w:p w14:paraId="000000B4" w14:textId="77777777" w:rsidR="00556640" w:rsidRPr="00DC180C" w:rsidRDefault="00AC3D86">
      <w:pPr>
        <w:rPr>
          <w:rFonts w:ascii="Times New Roman" w:eastAsia="Times New Roman" w:hAnsi="Times New Roman" w:cs="Times New Roman"/>
          <w:b/>
          <w:sz w:val="24"/>
          <w:szCs w:val="24"/>
        </w:rPr>
      </w:pPr>
      <w:r>
        <w:br w:type="page"/>
      </w:r>
    </w:p>
    <w:p w14:paraId="000000B5" w14:textId="77777777" w:rsidR="00556640" w:rsidRPr="00DC180C" w:rsidRDefault="00AC3D86">
      <w:pPr>
        <w:spacing w:after="120" w:line="360" w:lineRule="auto"/>
        <w:jc w:val="center"/>
        <w:rPr>
          <w:rFonts w:ascii="Times New Roman" w:eastAsia="Times New Roman" w:hAnsi="Times New Roman" w:cs="Times New Roman"/>
          <w:b/>
          <w:sz w:val="24"/>
          <w:szCs w:val="24"/>
        </w:rPr>
      </w:pPr>
      <w:r w:rsidRPr="00DC180C">
        <w:rPr>
          <w:rFonts w:ascii="Times New Roman" w:eastAsia="Times New Roman" w:hAnsi="Times New Roman" w:cs="Times New Roman"/>
          <w:b/>
          <w:sz w:val="24"/>
          <w:szCs w:val="24"/>
        </w:rPr>
        <w:t>Tables and figure legend</w:t>
      </w:r>
    </w:p>
    <w:p w14:paraId="287E13B3" w14:textId="77777777" w:rsidR="002B7E4F" w:rsidRPr="00DC180C" w:rsidRDefault="002B7E4F">
      <w:pPr>
        <w:spacing w:after="120" w:line="360" w:lineRule="auto"/>
        <w:jc w:val="center"/>
        <w:rPr>
          <w:rFonts w:ascii="Times New Roman" w:eastAsia="Times New Roman" w:hAnsi="Times New Roman" w:cs="Times New Roman"/>
          <w:b/>
          <w:sz w:val="24"/>
          <w:szCs w:val="24"/>
        </w:rPr>
      </w:pPr>
    </w:p>
    <w:p w14:paraId="000000B6" w14:textId="77777777" w:rsidR="00556640" w:rsidRPr="00DC180C" w:rsidRDefault="00AC3D86">
      <w:pPr>
        <w:spacing w:after="120" w:line="360" w:lineRule="auto"/>
        <w:rPr>
          <w:rFonts w:ascii="Times New Roman" w:eastAsia="Times New Roman" w:hAnsi="Times New Roman" w:cs="Times New Roman"/>
          <w:sz w:val="24"/>
          <w:szCs w:val="24"/>
        </w:rPr>
      </w:pPr>
      <w:r w:rsidRPr="00DC180C">
        <w:rPr>
          <w:rFonts w:ascii="Times New Roman" w:eastAsia="Times New Roman" w:hAnsi="Times New Roman" w:cs="Times New Roman"/>
          <w:sz w:val="24"/>
          <w:szCs w:val="24"/>
          <w:u w:val="single"/>
        </w:rPr>
        <w:t>Figure 1:</w:t>
      </w:r>
      <w:r w:rsidRPr="00DC180C">
        <w:rPr>
          <w:rFonts w:ascii="Times New Roman" w:eastAsia="Times New Roman" w:hAnsi="Times New Roman" w:cs="Times New Roman"/>
          <w:sz w:val="24"/>
          <w:szCs w:val="24"/>
        </w:rPr>
        <w:t xml:space="preserve"> Thematic map of the FGDs conducted on nutrition and physical activity perceptions, knowledge and practices of adolescents and their caregivers in Abidjan, 2018. A TALENT study.</w:t>
      </w:r>
    </w:p>
    <w:p w14:paraId="71129DFB" w14:textId="77777777" w:rsidR="002B7E4F" w:rsidRPr="00DC180C" w:rsidRDefault="002B7E4F">
      <w:pPr>
        <w:spacing w:after="120" w:line="360" w:lineRule="auto"/>
        <w:rPr>
          <w:rFonts w:ascii="Times New Roman" w:eastAsia="Times New Roman" w:hAnsi="Times New Roman" w:cs="Times New Roman"/>
          <w:sz w:val="24"/>
          <w:szCs w:val="24"/>
        </w:rPr>
      </w:pPr>
    </w:p>
    <w:p w14:paraId="7243A782" w14:textId="77777777" w:rsidR="002B7E4F" w:rsidRPr="00DC180C" w:rsidRDefault="002B7E4F">
      <w:pPr>
        <w:spacing w:after="120" w:line="360" w:lineRule="auto"/>
        <w:rPr>
          <w:rFonts w:ascii="Times New Roman" w:eastAsia="Times New Roman" w:hAnsi="Times New Roman" w:cs="Times New Roman"/>
          <w:sz w:val="24"/>
          <w:szCs w:val="24"/>
        </w:rPr>
      </w:pPr>
    </w:p>
    <w:p w14:paraId="000000B7" w14:textId="77777777" w:rsidR="00556640" w:rsidRPr="00DC180C" w:rsidRDefault="00AC3D86">
      <w:pPr>
        <w:spacing w:after="120" w:line="360" w:lineRule="auto"/>
        <w:jc w:val="both"/>
        <w:rPr>
          <w:rFonts w:ascii="Times New Roman" w:eastAsia="Times New Roman" w:hAnsi="Times New Roman" w:cs="Times New Roman"/>
          <w:sz w:val="24"/>
          <w:szCs w:val="24"/>
        </w:rPr>
      </w:pPr>
      <w:r w:rsidRPr="00DC180C">
        <w:rPr>
          <w:rFonts w:ascii="Times New Roman" w:eastAsia="Times New Roman" w:hAnsi="Times New Roman" w:cs="Times New Roman"/>
          <w:sz w:val="24"/>
          <w:szCs w:val="24"/>
          <w:u w:val="single"/>
        </w:rPr>
        <w:t>Table 1:</w:t>
      </w:r>
      <w:r w:rsidRPr="00DC180C">
        <w:rPr>
          <w:rFonts w:ascii="Times New Roman" w:eastAsia="Times New Roman" w:hAnsi="Times New Roman" w:cs="Times New Roman"/>
          <w:sz w:val="24"/>
          <w:szCs w:val="24"/>
        </w:rPr>
        <w:t xml:space="preserve"> Descriptive characteristics of participants from the quantitative survey, living in low-income settings of Abidjan, Côte d’Ivoire, June 2018, TALENT study</w:t>
      </w:r>
    </w:p>
    <w:tbl>
      <w:tblPr>
        <w:tblStyle w:val="a"/>
        <w:tblW w:w="9708" w:type="dxa"/>
        <w:tblLayout w:type="fixed"/>
        <w:tblLook w:val="0400" w:firstRow="0" w:lastRow="0" w:firstColumn="0" w:lastColumn="0" w:noHBand="0" w:noVBand="1"/>
      </w:tblPr>
      <w:tblGrid>
        <w:gridCol w:w="160"/>
        <w:gridCol w:w="2915"/>
        <w:gridCol w:w="52"/>
        <w:gridCol w:w="1076"/>
        <w:gridCol w:w="273"/>
        <w:gridCol w:w="76"/>
        <w:gridCol w:w="2252"/>
        <w:gridCol w:w="348"/>
        <w:gridCol w:w="349"/>
        <w:gridCol w:w="227"/>
        <w:gridCol w:w="1980"/>
      </w:tblGrid>
      <w:tr w:rsidR="00DC180C" w:rsidRPr="00DC180C" w14:paraId="4A0FB560" w14:textId="77777777">
        <w:trPr>
          <w:trHeight w:val="20"/>
        </w:trPr>
        <w:tc>
          <w:tcPr>
            <w:tcW w:w="55" w:type="dxa"/>
          </w:tcPr>
          <w:p w14:paraId="000000B8" w14:textId="77777777" w:rsidR="00556640" w:rsidRPr="00DC180C" w:rsidRDefault="0055664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34" w:type="dxa"/>
            <w:gridSpan w:val="2"/>
            <w:tcBorders>
              <w:top w:val="single" w:sz="4" w:space="0" w:color="000000"/>
              <w:left w:val="nil"/>
              <w:bottom w:val="single" w:sz="4" w:space="0" w:color="000000"/>
              <w:right w:val="nil"/>
            </w:tcBorders>
            <w:shd w:val="clear" w:color="auto" w:fill="auto"/>
            <w:vAlign w:val="center"/>
          </w:tcPr>
          <w:p w14:paraId="000000B9" w14:textId="77777777" w:rsidR="00556640" w:rsidRPr="00DC180C" w:rsidRDefault="00AC3D86">
            <w:pPr>
              <w:spacing w:after="0" w:line="240" w:lineRule="auto"/>
              <w:jc w:val="center"/>
              <w:rPr>
                <w:rFonts w:ascii="Times New Roman" w:eastAsia="Times New Roman" w:hAnsi="Times New Roman" w:cs="Times New Roman"/>
                <w:sz w:val="24"/>
                <w:szCs w:val="24"/>
              </w:rPr>
            </w:pPr>
            <w:r w:rsidRPr="00DC180C">
              <w:rPr>
                <w:rFonts w:ascii="Times New Roman" w:eastAsia="Times New Roman" w:hAnsi="Times New Roman" w:cs="Times New Roman"/>
                <w:sz w:val="24"/>
                <w:szCs w:val="24"/>
              </w:rPr>
              <w:t>Variables</w:t>
            </w:r>
          </w:p>
          <w:p w14:paraId="000000BA" w14:textId="77777777" w:rsidR="00556640" w:rsidRPr="00DC180C" w:rsidRDefault="00AC3D86">
            <w:pPr>
              <w:spacing w:after="0" w:line="240" w:lineRule="auto"/>
              <w:jc w:val="center"/>
              <w:rPr>
                <w:rFonts w:ascii="Times New Roman" w:eastAsia="Times New Roman" w:hAnsi="Times New Roman" w:cs="Times New Roman"/>
                <w:sz w:val="24"/>
                <w:szCs w:val="24"/>
              </w:rPr>
            </w:pPr>
            <w:r w:rsidRPr="00DC180C">
              <w:rPr>
                <w:rFonts w:ascii="Times New Roman" w:eastAsia="Times New Roman" w:hAnsi="Times New Roman" w:cs="Times New Roman"/>
                <w:sz w:val="24"/>
                <w:szCs w:val="24"/>
              </w:rPr>
              <w:t xml:space="preserve">Mean (SD) or N (%) </w:t>
            </w:r>
          </w:p>
        </w:tc>
        <w:tc>
          <w:tcPr>
            <w:tcW w:w="1130" w:type="dxa"/>
            <w:tcBorders>
              <w:top w:val="single" w:sz="4" w:space="0" w:color="000000"/>
              <w:left w:val="nil"/>
              <w:bottom w:val="single" w:sz="4" w:space="0" w:color="000000"/>
              <w:right w:val="nil"/>
            </w:tcBorders>
            <w:shd w:val="clear" w:color="auto" w:fill="auto"/>
            <w:vAlign w:val="center"/>
          </w:tcPr>
          <w:p w14:paraId="000000BC" w14:textId="77777777" w:rsidR="00556640" w:rsidRPr="00DC180C" w:rsidRDefault="00AC3D86">
            <w:pPr>
              <w:spacing w:after="0" w:line="240" w:lineRule="auto"/>
              <w:jc w:val="center"/>
              <w:rPr>
                <w:rFonts w:ascii="Times New Roman" w:eastAsia="Times New Roman" w:hAnsi="Times New Roman" w:cs="Times New Roman"/>
                <w:sz w:val="24"/>
                <w:szCs w:val="24"/>
              </w:rPr>
            </w:pPr>
            <w:r w:rsidRPr="00DC180C">
              <w:rPr>
                <w:rFonts w:ascii="Times New Roman" w:eastAsia="Times New Roman" w:hAnsi="Times New Roman" w:cs="Times New Roman"/>
                <w:sz w:val="24"/>
                <w:szCs w:val="24"/>
              </w:rPr>
              <w:t>Total</w:t>
            </w:r>
          </w:p>
        </w:tc>
        <w:tc>
          <w:tcPr>
            <w:tcW w:w="360" w:type="dxa"/>
            <w:gridSpan w:val="2"/>
            <w:tcBorders>
              <w:top w:val="single" w:sz="4" w:space="0" w:color="000000"/>
              <w:left w:val="nil"/>
              <w:bottom w:val="single" w:sz="4" w:space="0" w:color="000000"/>
              <w:right w:val="nil"/>
            </w:tcBorders>
            <w:shd w:val="clear" w:color="auto" w:fill="auto"/>
            <w:vAlign w:val="center"/>
          </w:tcPr>
          <w:p w14:paraId="000000BD" w14:textId="77777777" w:rsidR="00556640" w:rsidRPr="00DC180C" w:rsidRDefault="00AC3D86">
            <w:pPr>
              <w:spacing w:after="0" w:line="240" w:lineRule="auto"/>
              <w:jc w:val="center"/>
              <w:rPr>
                <w:rFonts w:ascii="Times New Roman" w:eastAsia="Times New Roman" w:hAnsi="Times New Roman" w:cs="Times New Roman"/>
                <w:sz w:val="24"/>
                <w:szCs w:val="24"/>
              </w:rPr>
            </w:pPr>
            <w:r w:rsidRPr="00DC180C">
              <w:rPr>
                <w:rFonts w:ascii="Times New Roman" w:eastAsia="Times New Roman" w:hAnsi="Times New Roman" w:cs="Times New Roman"/>
                <w:sz w:val="24"/>
                <w:szCs w:val="24"/>
              </w:rPr>
              <w:t> </w:t>
            </w:r>
          </w:p>
        </w:tc>
        <w:tc>
          <w:tcPr>
            <w:tcW w:w="2744" w:type="dxa"/>
            <w:gridSpan w:val="2"/>
            <w:tcBorders>
              <w:top w:val="single" w:sz="4" w:space="0" w:color="000000"/>
              <w:left w:val="nil"/>
              <w:bottom w:val="single" w:sz="4" w:space="0" w:color="000000"/>
              <w:right w:val="nil"/>
            </w:tcBorders>
            <w:shd w:val="clear" w:color="auto" w:fill="auto"/>
            <w:vAlign w:val="center"/>
          </w:tcPr>
          <w:p w14:paraId="000000BF" w14:textId="77777777" w:rsidR="00556640" w:rsidRPr="00DC180C" w:rsidRDefault="00AC3D86">
            <w:pPr>
              <w:spacing w:after="0" w:line="240" w:lineRule="auto"/>
              <w:jc w:val="center"/>
              <w:rPr>
                <w:rFonts w:ascii="Times New Roman" w:eastAsia="Times New Roman" w:hAnsi="Times New Roman" w:cs="Times New Roman"/>
                <w:sz w:val="24"/>
                <w:szCs w:val="24"/>
              </w:rPr>
            </w:pPr>
            <w:r w:rsidRPr="00DC180C">
              <w:rPr>
                <w:rFonts w:ascii="Times New Roman" w:eastAsia="Times New Roman" w:hAnsi="Times New Roman" w:cs="Times New Roman"/>
                <w:sz w:val="24"/>
                <w:szCs w:val="24"/>
              </w:rPr>
              <w:t>10-12 years (N=67)</w:t>
            </w:r>
          </w:p>
          <w:p w14:paraId="000000C0" w14:textId="77777777" w:rsidR="00556640" w:rsidRPr="00DC180C" w:rsidRDefault="00AC3D86">
            <w:pPr>
              <w:spacing w:after="0" w:line="240" w:lineRule="auto"/>
              <w:jc w:val="center"/>
              <w:rPr>
                <w:rFonts w:ascii="Times New Roman" w:eastAsia="Times New Roman" w:hAnsi="Times New Roman" w:cs="Times New Roman"/>
                <w:sz w:val="24"/>
                <w:szCs w:val="24"/>
              </w:rPr>
            </w:pPr>
            <w:r w:rsidRPr="00DC180C">
              <w:rPr>
                <w:rFonts w:ascii="Times New Roman" w:eastAsia="Times New Roman" w:hAnsi="Times New Roman" w:cs="Times New Roman"/>
                <w:sz w:val="24"/>
                <w:szCs w:val="24"/>
              </w:rPr>
              <w:t xml:space="preserve"> boys (N=29)/girls(N=38)</w:t>
            </w:r>
          </w:p>
        </w:tc>
        <w:tc>
          <w:tcPr>
            <w:tcW w:w="360" w:type="dxa"/>
            <w:tcBorders>
              <w:top w:val="single" w:sz="4" w:space="0" w:color="000000"/>
              <w:left w:val="nil"/>
              <w:bottom w:val="single" w:sz="4" w:space="0" w:color="000000"/>
              <w:right w:val="nil"/>
            </w:tcBorders>
            <w:shd w:val="clear" w:color="auto" w:fill="auto"/>
            <w:vAlign w:val="center"/>
          </w:tcPr>
          <w:p w14:paraId="000000C2" w14:textId="77777777" w:rsidR="00556640" w:rsidRPr="00DC180C" w:rsidRDefault="00AC3D86">
            <w:pPr>
              <w:spacing w:after="0" w:line="240" w:lineRule="auto"/>
              <w:jc w:val="center"/>
              <w:rPr>
                <w:rFonts w:ascii="Times New Roman" w:eastAsia="Times New Roman" w:hAnsi="Times New Roman" w:cs="Times New Roman"/>
                <w:sz w:val="24"/>
                <w:szCs w:val="24"/>
              </w:rPr>
            </w:pPr>
            <w:r w:rsidRPr="00DC180C">
              <w:rPr>
                <w:rFonts w:ascii="Times New Roman" w:eastAsia="Times New Roman" w:hAnsi="Times New Roman" w:cs="Times New Roman"/>
                <w:sz w:val="24"/>
                <w:szCs w:val="24"/>
              </w:rPr>
              <w:t> </w:t>
            </w:r>
          </w:p>
        </w:tc>
        <w:tc>
          <w:tcPr>
            <w:tcW w:w="2328" w:type="dxa"/>
            <w:gridSpan w:val="2"/>
            <w:tcBorders>
              <w:top w:val="single" w:sz="4" w:space="0" w:color="000000"/>
              <w:left w:val="nil"/>
              <w:bottom w:val="single" w:sz="4" w:space="0" w:color="000000"/>
              <w:right w:val="nil"/>
            </w:tcBorders>
            <w:shd w:val="clear" w:color="auto" w:fill="auto"/>
            <w:vAlign w:val="center"/>
          </w:tcPr>
          <w:p w14:paraId="000000C3" w14:textId="77777777" w:rsidR="00556640" w:rsidRPr="00DC180C" w:rsidRDefault="00AC3D86">
            <w:pPr>
              <w:spacing w:after="0" w:line="240" w:lineRule="auto"/>
              <w:jc w:val="center"/>
              <w:rPr>
                <w:rFonts w:ascii="Times New Roman" w:eastAsia="Times New Roman" w:hAnsi="Times New Roman" w:cs="Times New Roman"/>
                <w:sz w:val="24"/>
                <w:szCs w:val="24"/>
              </w:rPr>
            </w:pPr>
            <w:r w:rsidRPr="00DC180C">
              <w:rPr>
                <w:rFonts w:ascii="Times New Roman" w:eastAsia="Times New Roman" w:hAnsi="Times New Roman" w:cs="Times New Roman"/>
                <w:sz w:val="24"/>
                <w:szCs w:val="24"/>
              </w:rPr>
              <w:t>15-17 years (N=42)</w:t>
            </w:r>
          </w:p>
          <w:p w14:paraId="000000C4" w14:textId="77777777" w:rsidR="00556640" w:rsidRPr="00DC180C" w:rsidRDefault="00AC3D86">
            <w:pPr>
              <w:spacing w:after="0" w:line="240" w:lineRule="auto"/>
              <w:jc w:val="center"/>
              <w:rPr>
                <w:rFonts w:ascii="Times New Roman" w:eastAsia="Times New Roman" w:hAnsi="Times New Roman" w:cs="Times New Roman"/>
                <w:sz w:val="24"/>
                <w:szCs w:val="24"/>
              </w:rPr>
            </w:pPr>
            <w:r w:rsidRPr="00DC180C">
              <w:rPr>
                <w:rFonts w:ascii="Times New Roman" w:eastAsia="Times New Roman" w:hAnsi="Times New Roman" w:cs="Times New Roman"/>
                <w:sz w:val="24"/>
                <w:szCs w:val="24"/>
              </w:rPr>
              <w:t xml:space="preserve"> boys (N=18)/girls (N=24)</w:t>
            </w:r>
          </w:p>
        </w:tc>
      </w:tr>
      <w:tr w:rsidR="00DC180C" w:rsidRPr="00DC180C" w14:paraId="57AE0D00" w14:textId="77777777">
        <w:trPr>
          <w:trHeight w:val="20"/>
        </w:trPr>
        <w:tc>
          <w:tcPr>
            <w:tcW w:w="55" w:type="dxa"/>
          </w:tcPr>
          <w:p w14:paraId="000000C7" w14:textId="77777777" w:rsidR="00556640" w:rsidRPr="00DC180C" w:rsidRDefault="0055664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34" w:type="dxa"/>
            <w:gridSpan w:val="2"/>
            <w:tcBorders>
              <w:top w:val="nil"/>
              <w:left w:val="nil"/>
              <w:bottom w:val="nil"/>
              <w:right w:val="nil"/>
            </w:tcBorders>
            <w:shd w:val="clear" w:color="auto" w:fill="auto"/>
            <w:vAlign w:val="bottom"/>
          </w:tcPr>
          <w:p w14:paraId="000000C8" w14:textId="77777777" w:rsidR="00556640" w:rsidRPr="00DC180C" w:rsidRDefault="00AC3D86">
            <w:pPr>
              <w:spacing w:after="0" w:line="240" w:lineRule="auto"/>
              <w:rPr>
                <w:rFonts w:ascii="Times New Roman" w:eastAsia="Times New Roman" w:hAnsi="Times New Roman" w:cs="Times New Roman"/>
                <w:b/>
              </w:rPr>
            </w:pPr>
            <w:r w:rsidRPr="00DC180C">
              <w:rPr>
                <w:rFonts w:ascii="Times New Roman" w:eastAsia="Times New Roman" w:hAnsi="Times New Roman" w:cs="Times New Roman"/>
                <w:b/>
              </w:rPr>
              <w:t>Anthropometry*</w:t>
            </w:r>
          </w:p>
        </w:tc>
        <w:tc>
          <w:tcPr>
            <w:tcW w:w="1130" w:type="dxa"/>
            <w:tcBorders>
              <w:top w:val="nil"/>
              <w:left w:val="nil"/>
              <w:bottom w:val="nil"/>
              <w:right w:val="nil"/>
            </w:tcBorders>
            <w:shd w:val="clear" w:color="auto" w:fill="auto"/>
            <w:vAlign w:val="bottom"/>
          </w:tcPr>
          <w:p w14:paraId="000000CA" w14:textId="77777777" w:rsidR="00556640" w:rsidRPr="00DC180C" w:rsidRDefault="00556640">
            <w:pPr>
              <w:spacing w:after="0" w:line="240" w:lineRule="auto"/>
              <w:rPr>
                <w:rFonts w:ascii="Times New Roman" w:eastAsia="Times New Roman" w:hAnsi="Times New Roman" w:cs="Times New Roman"/>
              </w:rPr>
            </w:pPr>
          </w:p>
        </w:tc>
        <w:tc>
          <w:tcPr>
            <w:tcW w:w="360" w:type="dxa"/>
            <w:gridSpan w:val="2"/>
            <w:tcBorders>
              <w:top w:val="nil"/>
              <w:left w:val="nil"/>
              <w:bottom w:val="nil"/>
              <w:right w:val="nil"/>
            </w:tcBorders>
            <w:shd w:val="clear" w:color="auto" w:fill="auto"/>
            <w:vAlign w:val="bottom"/>
          </w:tcPr>
          <w:p w14:paraId="000000CB" w14:textId="77777777" w:rsidR="00556640" w:rsidRPr="00DC180C" w:rsidRDefault="00556640">
            <w:pPr>
              <w:spacing w:after="0" w:line="240" w:lineRule="auto"/>
              <w:rPr>
                <w:rFonts w:ascii="Times New Roman" w:eastAsia="Times New Roman" w:hAnsi="Times New Roman" w:cs="Times New Roman"/>
              </w:rPr>
            </w:pPr>
          </w:p>
        </w:tc>
        <w:tc>
          <w:tcPr>
            <w:tcW w:w="2744" w:type="dxa"/>
            <w:gridSpan w:val="2"/>
            <w:tcBorders>
              <w:top w:val="nil"/>
              <w:left w:val="nil"/>
              <w:bottom w:val="nil"/>
              <w:right w:val="nil"/>
            </w:tcBorders>
            <w:shd w:val="clear" w:color="auto" w:fill="auto"/>
            <w:vAlign w:val="bottom"/>
          </w:tcPr>
          <w:p w14:paraId="000000CD" w14:textId="77777777" w:rsidR="00556640" w:rsidRPr="00DC180C" w:rsidRDefault="00556640">
            <w:pPr>
              <w:spacing w:after="0" w:line="240" w:lineRule="auto"/>
              <w:rPr>
                <w:rFonts w:ascii="Times New Roman" w:eastAsia="Times New Roman" w:hAnsi="Times New Roman" w:cs="Times New Roman"/>
              </w:rPr>
            </w:pPr>
          </w:p>
        </w:tc>
        <w:tc>
          <w:tcPr>
            <w:tcW w:w="360" w:type="dxa"/>
            <w:tcBorders>
              <w:top w:val="nil"/>
              <w:left w:val="nil"/>
              <w:bottom w:val="nil"/>
              <w:right w:val="nil"/>
            </w:tcBorders>
            <w:shd w:val="clear" w:color="auto" w:fill="auto"/>
            <w:vAlign w:val="bottom"/>
          </w:tcPr>
          <w:p w14:paraId="000000CF" w14:textId="77777777" w:rsidR="00556640" w:rsidRPr="00DC180C" w:rsidRDefault="00556640">
            <w:pPr>
              <w:spacing w:after="0" w:line="240" w:lineRule="auto"/>
              <w:rPr>
                <w:rFonts w:ascii="Times New Roman" w:eastAsia="Times New Roman" w:hAnsi="Times New Roman" w:cs="Times New Roman"/>
              </w:rPr>
            </w:pPr>
          </w:p>
        </w:tc>
        <w:tc>
          <w:tcPr>
            <w:tcW w:w="2328" w:type="dxa"/>
            <w:gridSpan w:val="2"/>
            <w:tcBorders>
              <w:top w:val="nil"/>
              <w:left w:val="nil"/>
              <w:bottom w:val="nil"/>
              <w:right w:val="nil"/>
            </w:tcBorders>
            <w:shd w:val="clear" w:color="auto" w:fill="auto"/>
            <w:vAlign w:val="bottom"/>
          </w:tcPr>
          <w:p w14:paraId="000000D0" w14:textId="77777777" w:rsidR="00556640" w:rsidRPr="00DC180C" w:rsidRDefault="00556640">
            <w:pPr>
              <w:spacing w:after="0" w:line="240" w:lineRule="auto"/>
              <w:rPr>
                <w:rFonts w:ascii="Times New Roman" w:eastAsia="Times New Roman" w:hAnsi="Times New Roman" w:cs="Times New Roman"/>
              </w:rPr>
            </w:pPr>
          </w:p>
        </w:tc>
      </w:tr>
      <w:tr w:rsidR="00DC180C" w:rsidRPr="00DC180C" w14:paraId="4B358CC5" w14:textId="77777777">
        <w:trPr>
          <w:trHeight w:val="20"/>
        </w:trPr>
        <w:tc>
          <w:tcPr>
            <w:tcW w:w="3134" w:type="dxa"/>
            <w:gridSpan w:val="2"/>
            <w:tcBorders>
              <w:top w:val="nil"/>
              <w:left w:val="nil"/>
              <w:bottom w:val="nil"/>
              <w:right w:val="nil"/>
            </w:tcBorders>
            <w:shd w:val="clear" w:color="auto" w:fill="auto"/>
            <w:vAlign w:val="bottom"/>
          </w:tcPr>
          <w:p w14:paraId="000000D3" w14:textId="77777777" w:rsidR="00556640" w:rsidRPr="00DC180C" w:rsidRDefault="00AC3D86">
            <w:pPr>
              <w:spacing w:after="0" w:line="240" w:lineRule="auto"/>
              <w:ind w:left="284"/>
              <w:rPr>
                <w:rFonts w:ascii="Times New Roman" w:eastAsia="Times New Roman" w:hAnsi="Times New Roman" w:cs="Times New Roman"/>
              </w:rPr>
            </w:pPr>
            <w:r w:rsidRPr="00DC180C">
              <w:rPr>
                <w:rFonts w:ascii="Times New Roman" w:eastAsia="Times New Roman" w:hAnsi="Times New Roman" w:cs="Times New Roman"/>
              </w:rPr>
              <w:t>HAZ</w:t>
            </w:r>
          </w:p>
        </w:tc>
        <w:tc>
          <w:tcPr>
            <w:tcW w:w="1185" w:type="dxa"/>
            <w:gridSpan w:val="2"/>
            <w:tcBorders>
              <w:top w:val="nil"/>
              <w:left w:val="nil"/>
              <w:bottom w:val="nil"/>
              <w:right w:val="nil"/>
            </w:tcBorders>
            <w:shd w:val="clear" w:color="auto" w:fill="auto"/>
            <w:vAlign w:val="bottom"/>
          </w:tcPr>
          <w:p w14:paraId="000000D5" w14:textId="77777777" w:rsidR="00556640" w:rsidRPr="00DC180C" w:rsidRDefault="00AC3D86">
            <w:pPr>
              <w:spacing w:after="0" w:line="240" w:lineRule="auto"/>
              <w:ind w:right="68"/>
              <w:jc w:val="center"/>
              <w:rPr>
                <w:rFonts w:ascii="Times New Roman" w:eastAsia="Times New Roman" w:hAnsi="Times New Roman" w:cs="Times New Roman"/>
              </w:rPr>
            </w:pPr>
            <w:r w:rsidRPr="00DC180C">
              <w:rPr>
                <w:rFonts w:ascii="Times New Roman" w:eastAsia="Times New Roman" w:hAnsi="Times New Roman" w:cs="Times New Roman"/>
              </w:rPr>
              <w:t>- 0.4 (1.5)</w:t>
            </w:r>
          </w:p>
        </w:tc>
        <w:tc>
          <w:tcPr>
            <w:tcW w:w="280" w:type="dxa"/>
            <w:tcBorders>
              <w:top w:val="nil"/>
              <w:left w:val="nil"/>
              <w:bottom w:val="nil"/>
              <w:right w:val="nil"/>
            </w:tcBorders>
            <w:shd w:val="clear" w:color="auto" w:fill="auto"/>
            <w:vAlign w:val="bottom"/>
          </w:tcPr>
          <w:p w14:paraId="000000D7" w14:textId="77777777" w:rsidR="00556640" w:rsidRPr="00DC180C" w:rsidRDefault="00556640">
            <w:pPr>
              <w:spacing w:after="0" w:line="240" w:lineRule="auto"/>
              <w:rPr>
                <w:rFonts w:ascii="Times New Roman" w:eastAsia="Times New Roman" w:hAnsi="Times New Roman" w:cs="Times New Roman"/>
              </w:rPr>
            </w:pPr>
          </w:p>
        </w:tc>
        <w:tc>
          <w:tcPr>
            <w:tcW w:w="2456" w:type="dxa"/>
            <w:gridSpan w:val="2"/>
            <w:tcBorders>
              <w:top w:val="nil"/>
              <w:left w:val="nil"/>
              <w:bottom w:val="nil"/>
              <w:right w:val="nil"/>
            </w:tcBorders>
            <w:shd w:val="clear" w:color="auto" w:fill="auto"/>
            <w:vAlign w:val="bottom"/>
          </w:tcPr>
          <w:p w14:paraId="000000D8" w14:textId="77777777" w:rsidR="00556640" w:rsidRPr="00DC180C" w:rsidRDefault="00AC3D86">
            <w:pPr>
              <w:spacing w:after="0" w:line="240" w:lineRule="auto"/>
              <w:ind w:right="171"/>
              <w:jc w:val="right"/>
              <w:rPr>
                <w:rFonts w:ascii="Times New Roman" w:eastAsia="Times New Roman" w:hAnsi="Times New Roman" w:cs="Times New Roman"/>
              </w:rPr>
            </w:pPr>
            <w:r w:rsidRPr="00DC180C">
              <w:rPr>
                <w:rFonts w:ascii="Times New Roman" w:eastAsia="Times New Roman" w:hAnsi="Times New Roman" w:cs="Times New Roman"/>
              </w:rPr>
              <w:t xml:space="preserve"> 0.1 (1.3) /  0.2 (1.2)</w:t>
            </w:r>
          </w:p>
        </w:tc>
        <w:tc>
          <w:tcPr>
            <w:tcW w:w="968" w:type="dxa"/>
            <w:gridSpan w:val="3"/>
            <w:tcBorders>
              <w:top w:val="nil"/>
              <w:left w:val="nil"/>
              <w:bottom w:val="nil"/>
              <w:right w:val="nil"/>
            </w:tcBorders>
            <w:shd w:val="clear" w:color="auto" w:fill="auto"/>
            <w:vAlign w:val="bottom"/>
          </w:tcPr>
          <w:p w14:paraId="000000DA" w14:textId="77777777" w:rsidR="00556640" w:rsidRPr="00DC180C" w:rsidRDefault="00556640">
            <w:pPr>
              <w:spacing w:after="0" w:line="240" w:lineRule="auto"/>
              <w:jc w:val="center"/>
              <w:rPr>
                <w:rFonts w:ascii="Times New Roman" w:eastAsia="Times New Roman" w:hAnsi="Times New Roman" w:cs="Times New Roman"/>
              </w:rPr>
            </w:pPr>
          </w:p>
        </w:tc>
        <w:tc>
          <w:tcPr>
            <w:tcW w:w="2087" w:type="dxa"/>
            <w:tcBorders>
              <w:top w:val="nil"/>
              <w:left w:val="nil"/>
              <w:bottom w:val="nil"/>
              <w:right w:val="nil"/>
            </w:tcBorders>
            <w:shd w:val="clear" w:color="auto" w:fill="auto"/>
            <w:vAlign w:val="bottom"/>
          </w:tcPr>
          <w:p w14:paraId="000000DD" w14:textId="77777777" w:rsidR="00556640" w:rsidRPr="00DC180C" w:rsidRDefault="00AC3D86">
            <w:pPr>
              <w:spacing w:after="0" w:line="240" w:lineRule="auto"/>
              <w:ind w:right="83"/>
              <w:jc w:val="right"/>
              <w:rPr>
                <w:rFonts w:ascii="Times New Roman" w:eastAsia="Times New Roman" w:hAnsi="Times New Roman" w:cs="Times New Roman"/>
              </w:rPr>
            </w:pPr>
            <w:r w:rsidRPr="00DC180C">
              <w:rPr>
                <w:rFonts w:ascii="Times New Roman" w:eastAsia="Times New Roman" w:hAnsi="Times New Roman" w:cs="Times New Roman"/>
              </w:rPr>
              <w:t>-2.2 (1.7) /-0.8 (1.6)</w:t>
            </w:r>
          </w:p>
        </w:tc>
      </w:tr>
      <w:tr w:rsidR="00DC180C" w:rsidRPr="00DC180C" w14:paraId="60663E40" w14:textId="77777777">
        <w:trPr>
          <w:trHeight w:val="20"/>
        </w:trPr>
        <w:tc>
          <w:tcPr>
            <w:tcW w:w="3134" w:type="dxa"/>
            <w:gridSpan w:val="2"/>
            <w:tcBorders>
              <w:top w:val="nil"/>
              <w:left w:val="nil"/>
              <w:bottom w:val="nil"/>
              <w:right w:val="nil"/>
            </w:tcBorders>
            <w:shd w:val="clear" w:color="auto" w:fill="auto"/>
            <w:vAlign w:val="bottom"/>
          </w:tcPr>
          <w:p w14:paraId="000000DE" w14:textId="77777777" w:rsidR="00556640" w:rsidRPr="00DC180C" w:rsidRDefault="00AC3D86">
            <w:pPr>
              <w:spacing w:after="0" w:line="240" w:lineRule="auto"/>
              <w:ind w:left="284"/>
              <w:rPr>
                <w:rFonts w:ascii="Times New Roman" w:eastAsia="Times New Roman" w:hAnsi="Times New Roman" w:cs="Times New Roman"/>
              </w:rPr>
            </w:pPr>
            <w:r w:rsidRPr="00DC180C">
              <w:rPr>
                <w:rFonts w:ascii="Times New Roman" w:eastAsia="Times New Roman" w:hAnsi="Times New Roman" w:cs="Times New Roman"/>
              </w:rPr>
              <w:t>BAZ</w:t>
            </w:r>
          </w:p>
        </w:tc>
        <w:tc>
          <w:tcPr>
            <w:tcW w:w="1185" w:type="dxa"/>
            <w:gridSpan w:val="2"/>
            <w:tcBorders>
              <w:top w:val="nil"/>
              <w:left w:val="nil"/>
              <w:bottom w:val="nil"/>
              <w:right w:val="nil"/>
            </w:tcBorders>
            <w:shd w:val="clear" w:color="auto" w:fill="auto"/>
            <w:vAlign w:val="bottom"/>
          </w:tcPr>
          <w:p w14:paraId="000000E0" w14:textId="77777777" w:rsidR="00556640" w:rsidRPr="00DC180C" w:rsidRDefault="00AC3D86">
            <w:pPr>
              <w:spacing w:after="0" w:line="240" w:lineRule="auto"/>
              <w:ind w:right="68"/>
              <w:jc w:val="center"/>
              <w:rPr>
                <w:rFonts w:ascii="Times New Roman" w:eastAsia="Times New Roman" w:hAnsi="Times New Roman" w:cs="Times New Roman"/>
              </w:rPr>
            </w:pPr>
            <w:r w:rsidRPr="00DC180C">
              <w:rPr>
                <w:rFonts w:ascii="Times New Roman" w:eastAsia="Times New Roman" w:hAnsi="Times New Roman" w:cs="Times New Roman"/>
              </w:rPr>
              <w:t>- 0.3 (1.3)</w:t>
            </w:r>
          </w:p>
        </w:tc>
        <w:tc>
          <w:tcPr>
            <w:tcW w:w="280" w:type="dxa"/>
            <w:tcBorders>
              <w:top w:val="nil"/>
              <w:left w:val="nil"/>
              <w:bottom w:val="nil"/>
              <w:right w:val="nil"/>
            </w:tcBorders>
            <w:shd w:val="clear" w:color="auto" w:fill="auto"/>
            <w:vAlign w:val="bottom"/>
          </w:tcPr>
          <w:p w14:paraId="000000E2" w14:textId="77777777" w:rsidR="00556640" w:rsidRPr="00DC180C" w:rsidRDefault="00556640">
            <w:pPr>
              <w:spacing w:after="0" w:line="240" w:lineRule="auto"/>
              <w:rPr>
                <w:rFonts w:ascii="Times New Roman" w:eastAsia="Times New Roman" w:hAnsi="Times New Roman" w:cs="Times New Roman"/>
              </w:rPr>
            </w:pPr>
          </w:p>
        </w:tc>
        <w:tc>
          <w:tcPr>
            <w:tcW w:w="2456" w:type="dxa"/>
            <w:gridSpan w:val="2"/>
            <w:tcBorders>
              <w:top w:val="nil"/>
              <w:left w:val="nil"/>
              <w:bottom w:val="nil"/>
              <w:right w:val="nil"/>
            </w:tcBorders>
            <w:shd w:val="clear" w:color="auto" w:fill="auto"/>
            <w:vAlign w:val="bottom"/>
          </w:tcPr>
          <w:p w14:paraId="000000E3" w14:textId="77777777" w:rsidR="00556640" w:rsidRPr="00DC180C" w:rsidRDefault="00AC3D86">
            <w:pPr>
              <w:spacing w:after="0" w:line="240" w:lineRule="auto"/>
              <w:ind w:right="171"/>
              <w:jc w:val="right"/>
              <w:rPr>
                <w:rFonts w:ascii="Times New Roman" w:eastAsia="Times New Roman" w:hAnsi="Times New Roman" w:cs="Times New Roman"/>
              </w:rPr>
            </w:pPr>
            <w:r w:rsidRPr="00DC180C">
              <w:rPr>
                <w:rFonts w:ascii="Times New Roman" w:eastAsia="Times New Roman" w:hAnsi="Times New Roman" w:cs="Times New Roman"/>
              </w:rPr>
              <w:t>-0.5 (1.0) / -0.2 (1.4)</w:t>
            </w:r>
          </w:p>
        </w:tc>
        <w:tc>
          <w:tcPr>
            <w:tcW w:w="968" w:type="dxa"/>
            <w:gridSpan w:val="3"/>
            <w:tcBorders>
              <w:top w:val="nil"/>
              <w:left w:val="nil"/>
              <w:bottom w:val="nil"/>
              <w:right w:val="nil"/>
            </w:tcBorders>
            <w:shd w:val="clear" w:color="auto" w:fill="auto"/>
            <w:vAlign w:val="bottom"/>
          </w:tcPr>
          <w:p w14:paraId="000000E5" w14:textId="77777777" w:rsidR="00556640" w:rsidRPr="00DC180C" w:rsidRDefault="00556640">
            <w:pPr>
              <w:spacing w:after="0" w:line="240" w:lineRule="auto"/>
              <w:jc w:val="center"/>
              <w:rPr>
                <w:rFonts w:ascii="Times New Roman" w:eastAsia="Times New Roman" w:hAnsi="Times New Roman" w:cs="Times New Roman"/>
              </w:rPr>
            </w:pPr>
          </w:p>
        </w:tc>
        <w:tc>
          <w:tcPr>
            <w:tcW w:w="2087" w:type="dxa"/>
            <w:tcBorders>
              <w:top w:val="nil"/>
              <w:left w:val="nil"/>
              <w:bottom w:val="nil"/>
              <w:right w:val="nil"/>
            </w:tcBorders>
            <w:shd w:val="clear" w:color="auto" w:fill="auto"/>
            <w:vAlign w:val="bottom"/>
          </w:tcPr>
          <w:p w14:paraId="000000E8" w14:textId="77777777" w:rsidR="00556640" w:rsidRPr="00DC180C" w:rsidRDefault="00AC3D86">
            <w:pPr>
              <w:spacing w:after="0" w:line="240" w:lineRule="auto"/>
              <w:ind w:right="83"/>
              <w:jc w:val="right"/>
              <w:rPr>
                <w:rFonts w:ascii="Times New Roman" w:eastAsia="Times New Roman" w:hAnsi="Times New Roman" w:cs="Times New Roman"/>
              </w:rPr>
            </w:pPr>
            <w:r w:rsidRPr="00DC180C">
              <w:rPr>
                <w:rFonts w:ascii="Times New Roman" w:eastAsia="Times New Roman" w:hAnsi="Times New Roman" w:cs="Times New Roman"/>
              </w:rPr>
              <w:t>-1.7 (1.0)  / 0.1 (1.3)</w:t>
            </w:r>
          </w:p>
        </w:tc>
      </w:tr>
      <w:tr w:rsidR="00DC180C" w:rsidRPr="00DC180C" w14:paraId="4D6F118A" w14:textId="77777777">
        <w:trPr>
          <w:trHeight w:val="20"/>
        </w:trPr>
        <w:tc>
          <w:tcPr>
            <w:tcW w:w="3134" w:type="dxa"/>
            <w:gridSpan w:val="2"/>
            <w:tcBorders>
              <w:top w:val="nil"/>
              <w:left w:val="nil"/>
              <w:bottom w:val="nil"/>
              <w:right w:val="nil"/>
            </w:tcBorders>
            <w:shd w:val="clear" w:color="auto" w:fill="auto"/>
            <w:vAlign w:val="bottom"/>
          </w:tcPr>
          <w:p w14:paraId="000000E9" w14:textId="77777777" w:rsidR="00556640" w:rsidRPr="00DC180C" w:rsidRDefault="00AC3D86">
            <w:pPr>
              <w:spacing w:after="0" w:line="240" w:lineRule="auto"/>
              <w:ind w:left="284"/>
              <w:rPr>
                <w:rFonts w:ascii="Times New Roman" w:eastAsia="Times New Roman" w:hAnsi="Times New Roman" w:cs="Times New Roman"/>
              </w:rPr>
            </w:pPr>
            <w:r w:rsidRPr="00DC180C">
              <w:rPr>
                <w:rFonts w:ascii="Times New Roman" w:eastAsia="Times New Roman" w:hAnsi="Times New Roman" w:cs="Times New Roman"/>
              </w:rPr>
              <w:t>% stunting</w:t>
            </w:r>
          </w:p>
        </w:tc>
        <w:tc>
          <w:tcPr>
            <w:tcW w:w="1185" w:type="dxa"/>
            <w:gridSpan w:val="2"/>
            <w:tcBorders>
              <w:top w:val="nil"/>
              <w:left w:val="nil"/>
              <w:bottom w:val="nil"/>
              <w:right w:val="nil"/>
            </w:tcBorders>
            <w:shd w:val="clear" w:color="auto" w:fill="auto"/>
            <w:vAlign w:val="bottom"/>
          </w:tcPr>
          <w:p w14:paraId="000000EB" w14:textId="77777777" w:rsidR="00556640" w:rsidRPr="00DC180C" w:rsidRDefault="00AC3D86">
            <w:pPr>
              <w:spacing w:after="0" w:line="240" w:lineRule="auto"/>
              <w:ind w:right="68"/>
              <w:jc w:val="right"/>
              <w:rPr>
                <w:rFonts w:ascii="Times New Roman" w:eastAsia="Times New Roman" w:hAnsi="Times New Roman" w:cs="Times New Roman"/>
              </w:rPr>
            </w:pPr>
            <w:r w:rsidRPr="00DC180C">
              <w:rPr>
                <w:rFonts w:ascii="Times New Roman" w:eastAsia="Times New Roman" w:hAnsi="Times New Roman" w:cs="Times New Roman"/>
              </w:rPr>
              <w:t>9 (8)</w:t>
            </w:r>
          </w:p>
        </w:tc>
        <w:tc>
          <w:tcPr>
            <w:tcW w:w="280" w:type="dxa"/>
            <w:tcBorders>
              <w:top w:val="nil"/>
              <w:left w:val="nil"/>
              <w:bottom w:val="nil"/>
              <w:right w:val="nil"/>
            </w:tcBorders>
            <w:shd w:val="clear" w:color="auto" w:fill="auto"/>
            <w:vAlign w:val="bottom"/>
          </w:tcPr>
          <w:p w14:paraId="000000ED" w14:textId="77777777" w:rsidR="00556640" w:rsidRPr="00DC180C" w:rsidRDefault="00556640">
            <w:pPr>
              <w:spacing w:after="0" w:line="240" w:lineRule="auto"/>
              <w:rPr>
                <w:rFonts w:ascii="Times New Roman" w:eastAsia="Times New Roman" w:hAnsi="Times New Roman" w:cs="Times New Roman"/>
              </w:rPr>
            </w:pPr>
          </w:p>
        </w:tc>
        <w:tc>
          <w:tcPr>
            <w:tcW w:w="2456" w:type="dxa"/>
            <w:gridSpan w:val="2"/>
            <w:tcBorders>
              <w:top w:val="nil"/>
              <w:left w:val="nil"/>
              <w:bottom w:val="nil"/>
              <w:right w:val="nil"/>
            </w:tcBorders>
            <w:shd w:val="clear" w:color="auto" w:fill="auto"/>
            <w:vAlign w:val="bottom"/>
          </w:tcPr>
          <w:p w14:paraId="000000EE" w14:textId="77777777" w:rsidR="00556640" w:rsidRPr="00DC180C" w:rsidRDefault="00AC3D86">
            <w:pPr>
              <w:spacing w:after="0" w:line="240" w:lineRule="auto"/>
              <w:ind w:right="596"/>
              <w:jc w:val="right"/>
              <w:rPr>
                <w:rFonts w:ascii="Times New Roman" w:eastAsia="Times New Roman" w:hAnsi="Times New Roman" w:cs="Times New Roman"/>
              </w:rPr>
            </w:pPr>
            <w:r w:rsidRPr="00DC180C">
              <w:rPr>
                <w:rFonts w:ascii="Times New Roman" w:eastAsia="Times New Roman" w:hAnsi="Times New Roman" w:cs="Times New Roman"/>
              </w:rPr>
              <w:t>1  (3) / 0  (0)</w:t>
            </w:r>
          </w:p>
        </w:tc>
        <w:tc>
          <w:tcPr>
            <w:tcW w:w="968" w:type="dxa"/>
            <w:gridSpan w:val="3"/>
            <w:tcBorders>
              <w:top w:val="nil"/>
              <w:left w:val="nil"/>
              <w:bottom w:val="nil"/>
              <w:right w:val="nil"/>
            </w:tcBorders>
            <w:shd w:val="clear" w:color="auto" w:fill="auto"/>
            <w:vAlign w:val="bottom"/>
          </w:tcPr>
          <w:p w14:paraId="000000F0" w14:textId="77777777" w:rsidR="00556640" w:rsidRPr="00DC180C" w:rsidRDefault="00556640">
            <w:pPr>
              <w:spacing w:after="0" w:line="240" w:lineRule="auto"/>
              <w:jc w:val="center"/>
              <w:rPr>
                <w:rFonts w:ascii="Times New Roman" w:eastAsia="Times New Roman" w:hAnsi="Times New Roman" w:cs="Times New Roman"/>
              </w:rPr>
            </w:pPr>
          </w:p>
        </w:tc>
        <w:tc>
          <w:tcPr>
            <w:tcW w:w="2087" w:type="dxa"/>
            <w:tcBorders>
              <w:top w:val="nil"/>
              <w:left w:val="nil"/>
              <w:bottom w:val="nil"/>
              <w:right w:val="nil"/>
            </w:tcBorders>
            <w:shd w:val="clear" w:color="auto" w:fill="auto"/>
            <w:vAlign w:val="bottom"/>
          </w:tcPr>
          <w:p w14:paraId="000000F3" w14:textId="77777777" w:rsidR="00556640" w:rsidRPr="00DC180C" w:rsidRDefault="00AC3D86">
            <w:pPr>
              <w:spacing w:after="0" w:line="240" w:lineRule="auto"/>
              <w:ind w:right="366"/>
              <w:jc w:val="right"/>
              <w:rPr>
                <w:rFonts w:ascii="Times New Roman" w:eastAsia="Times New Roman" w:hAnsi="Times New Roman" w:cs="Times New Roman"/>
              </w:rPr>
            </w:pPr>
            <w:r w:rsidRPr="00DC180C">
              <w:rPr>
                <w:rFonts w:ascii="Times New Roman" w:eastAsia="Times New Roman" w:hAnsi="Times New Roman" w:cs="Times New Roman"/>
              </w:rPr>
              <w:t>5 (28) / 3 (13)</w:t>
            </w:r>
          </w:p>
        </w:tc>
      </w:tr>
      <w:tr w:rsidR="00DC180C" w:rsidRPr="00DC180C" w14:paraId="3900B160" w14:textId="77777777">
        <w:trPr>
          <w:trHeight w:val="20"/>
        </w:trPr>
        <w:tc>
          <w:tcPr>
            <w:tcW w:w="3134" w:type="dxa"/>
            <w:gridSpan w:val="2"/>
            <w:tcBorders>
              <w:top w:val="nil"/>
              <w:left w:val="nil"/>
              <w:bottom w:val="nil"/>
              <w:right w:val="nil"/>
            </w:tcBorders>
            <w:shd w:val="clear" w:color="auto" w:fill="auto"/>
            <w:vAlign w:val="bottom"/>
          </w:tcPr>
          <w:p w14:paraId="000000F4" w14:textId="77777777" w:rsidR="00556640" w:rsidRPr="00DC180C" w:rsidRDefault="00AC3D86">
            <w:pPr>
              <w:spacing w:after="0" w:line="240" w:lineRule="auto"/>
              <w:ind w:left="284"/>
              <w:rPr>
                <w:rFonts w:ascii="Times New Roman" w:eastAsia="Times New Roman" w:hAnsi="Times New Roman" w:cs="Times New Roman"/>
              </w:rPr>
            </w:pPr>
            <w:r w:rsidRPr="00DC180C">
              <w:rPr>
                <w:rFonts w:ascii="Times New Roman" w:eastAsia="Times New Roman" w:hAnsi="Times New Roman" w:cs="Times New Roman"/>
              </w:rPr>
              <w:t>% wasting</w:t>
            </w:r>
          </w:p>
        </w:tc>
        <w:tc>
          <w:tcPr>
            <w:tcW w:w="1185" w:type="dxa"/>
            <w:gridSpan w:val="2"/>
            <w:tcBorders>
              <w:top w:val="nil"/>
              <w:left w:val="nil"/>
              <w:bottom w:val="nil"/>
              <w:right w:val="nil"/>
            </w:tcBorders>
            <w:shd w:val="clear" w:color="auto" w:fill="auto"/>
            <w:vAlign w:val="bottom"/>
          </w:tcPr>
          <w:p w14:paraId="000000F6" w14:textId="77777777" w:rsidR="00556640" w:rsidRPr="00DC180C" w:rsidRDefault="00AC3D86">
            <w:pPr>
              <w:spacing w:after="0" w:line="240" w:lineRule="auto"/>
              <w:ind w:right="68"/>
              <w:jc w:val="right"/>
              <w:rPr>
                <w:rFonts w:ascii="Times New Roman" w:eastAsia="Times New Roman" w:hAnsi="Times New Roman" w:cs="Times New Roman"/>
              </w:rPr>
            </w:pPr>
            <w:r w:rsidRPr="00DC180C">
              <w:rPr>
                <w:rFonts w:ascii="Times New Roman" w:eastAsia="Times New Roman" w:hAnsi="Times New Roman" w:cs="Times New Roman"/>
              </w:rPr>
              <w:t>11 (10)</w:t>
            </w:r>
          </w:p>
        </w:tc>
        <w:tc>
          <w:tcPr>
            <w:tcW w:w="280" w:type="dxa"/>
            <w:tcBorders>
              <w:top w:val="nil"/>
              <w:left w:val="nil"/>
              <w:bottom w:val="nil"/>
              <w:right w:val="nil"/>
            </w:tcBorders>
            <w:shd w:val="clear" w:color="auto" w:fill="auto"/>
            <w:vAlign w:val="bottom"/>
          </w:tcPr>
          <w:p w14:paraId="000000F8" w14:textId="77777777" w:rsidR="00556640" w:rsidRPr="00DC180C" w:rsidRDefault="00556640">
            <w:pPr>
              <w:spacing w:after="0" w:line="240" w:lineRule="auto"/>
              <w:rPr>
                <w:rFonts w:ascii="Times New Roman" w:eastAsia="Times New Roman" w:hAnsi="Times New Roman" w:cs="Times New Roman"/>
              </w:rPr>
            </w:pPr>
          </w:p>
        </w:tc>
        <w:tc>
          <w:tcPr>
            <w:tcW w:w="2456" w:type="dxa"/>
            <w:gridSpan w:val="2"/>
            <w:tcBorders>
              <w:top w:val="nil"/>
              <w:left w:val="nil"/>
              <w:bottom w:val="nil"/>
              <w:right w:val="nil"/>
            </w:tcBorders>
            <w:shd w:val="clear" w:color="auto" w:fill="auto"/>
            <w:vAlign w:val="bottom"/>
          </w:tcPr>
          <w:p w14:paraId="000000F9" w14:textId="77777777" w:rsidR="00556640" w:rsidRPr="00DC180C" w:rsidRDefault="00AC3D86">
            <w:pPr>
              <w:spacing w:after="0" w:line="240" w:lineRule="auto"/>
              <w:ind w:right="596"/>
              <w:jc w:val="right"/>
              <w:rPr>
                <w:rFonts w:ascii="Times New Roman" w:eastAsia="Times New Roman" w:hAnsi="Times New Roman" w:cs="Times New Roman"/>
              </w:rPr>
            </w:pPr>
            <w:r w:rsidRPr="00DC180C">
              <w:rPr>
                <w:rFonts w:ascii="Times New Roman" w:eastAsia="Times New Roman" w:hAnsi="Times New Roman" w:cs="Times New Roman"/>
              </w:rPr>
              <w:t>2  (7) / 4 (10)</w:t>
            </w:r>
          </w:p>
        </w:tc>
        <w:tc>
          <w:tcPr>
            <w:tcW w:w="968" w:type="dxa"/>
            <w:gridSpan w:val="3"/>
            <w:tcBorders>
              <w:top w:val="nil"/>
              <w:left w:val="nil"/>
              <w:bottom w:val="nil"/>
              <w:right w:val="nil"/>
            </w:tcBorders>
            <w:shd w:val="clear" w:color="auto" w:fill="auto"/>
            <w:vAlign w:val="bottom"/>
          </w:tcPr>
          <w:p w14:paraId="000000FB" w14:textId="77777777" w:rsidR="00556640" w:rsidRPr="00DC180C" w:rsidRDefault="00556640">
            <w:pPr>
              <w:spacing w:after="0" w:line="240" w:lineRule="auto"/>
              <w:jc w:val="center"/>
              <w:rPr>
                <w:rFonts w:ascii="Times New Roman" w:eastAsia="Times New Roman" w:hAnsi="Times New Roman" w:cs="Times New Roman"/>
              </w:rPr>
            </w:pPr>
          </w:p>
        </w:tc>
        <w:tc>
          <w:tcPr>
            <w:tcW w:w="2087" w:type="dxa"/>
            <w:tcBorders>
              <w:top w:val="nil"/>
              <w:left w:val="nil"/>
              <w:bottom w:val="nil"/>
              <w:right w:val="nil"/>
            </w:tcBorders>
            <w:shd w:val="clear" w:color="auto" w:fill="auto"/>
            <w:vAlign w:val="bottom"/>
          </w:tcPr>
          <w:p w14:paraId="000000FE" w14:textId="77777777" w:rsidR="00556640" w:rsidRPr="00DC180C" w:rsidRDefault="00AC3D86">
            <w:pPr>
              <w:spacing w:after="0" w:line="240" w:lineRule="auto"/>
              <w:ind w:right="366"/>
              <w:jc w:val="right"/>
              <w:rPr>
                <w:rFonts w:ascii="Times New Roman" w:eastAsia="Times New Roman" w:hAnsi="Times New Roman" w:cs="Times New Roman"/>
              </w:rPr>
            </w:pPr>
            <w:r w:rsidRPr="00DC180C">
              <w:rPr>
                <w:rFonts w:ascii="Times New Roman" w:eastAsia="Times New Roman" w:hAnsi="Times New Roman" w:cs="Times New Roman"/>
              </w:rPr>
              <w:t>3 (17) /  2  (8)</w:t>
            </w:r>
          </w:p>
        </w:tc>
      </w:tr>
      <w:tr w:rsidR="00DC180C" w:rsidRPr="00DC180C" w14:paraId="6AA18C56" w14:textId="77777777">
        <w:trPr>
          <w:trHeight w:val="20"/>
        </w:trPr>
        <w:tc>
          <w:tcPr>
            <w:tcW w:w="3134" w:type="dxa"/>
            <w:gridSpan w:val="2"/>
            <w:tcBorders>
              <w:top w:val="nil"/>
              <w:left w:val="nil"/>
              <w:bottom w:val="nil"/>
              <w:right w:val="nil"/>
            </w:tcBorders>
            <w:shd w:val="clear" w:color="auto" w:fill="auto"/>
            <w:vAlign w:val="bottom"/>
          </w:tcPr>
          <w:p w14:paraId="000000FF" w14:textId="77777777" w:rsidR="00556640" w:rsidRPr="00DC180C" w:rsidRDefault="00AC3D86">
            <w:pPr>
              <w:spacing w:after="0" w:line="240" w:lineRule="auto"/>
              <w:ind w:left="284"/>
              <w:rPr>
                <w:rFonts w:ascii="Times New Roman" w:eastAsia="Times New Roman" w:hAnsi="Times New Roman" w:cs="Times New Roman"/>
              </w:rPr>
            </w:pPr>
            <w:r w:rsidRPr="00DC180C">
              <w:rPr>
                <w:rFonts w:ascii="Times New Roman" w:eastAsia="Times New Roman" w:hAnsi="Times New Roman" w:cs="Times New Roman"/>
              </w:rPr>
              <w:t>% overweight or obese</w:t>
            </w:r>
          </w:p>
        </w:tc>
        <w:tc>
          <w:tcPr>
            <w:tcW w:w="1185" w:type="dxa"/>
            <w:gridSpan w:val="2"/>
            <w:tcBorders>
              <w:top w:val="nil"/>
              <w:left w:val="nil"/>
              <w:bottom w:val="nil"/>
              <w:right w:val="nil"/>
            </w:tcBorders>
            <w:shd w:val="clear" w:color="auto" w:fill="auto"/>
            <w:vAlign w:val="bottom"/>
          </w:tcPr>
          <w:p w14:paraId="00000101" w14:textId="77777777" w:rsidR="00556640" w:rsidRPr="00DC180C" w:rsidRDefault="00AC3D86">
            <w:pPr>
              <w:spacing w:after="0" w:line="240" w:lineRule="auto"/>
              <w:ind w:right="68"/>
              <w:jc w:val="right"/>
              <w:rPr>
                <w:rFonts w:ascii="Times New Roman" w:eastAsia="Times New Roman" w:hAnsi="Times New Roman" w:cs="Times New Roman"/>
              </w:rPr>
            </w:pPr>
            <w:r w:rsidRPr="00DC180C">
              <w:rPr>
                <w:rFonts w:ascii="Times New Roman" w:eastAsia="Times New Roman" w:hAnsi="Times New Roman" w:cs="Times New Roman"/>
              </w:rPr>
              <w:t>18 (17)</w:t>
            </w:r>
          </w:p>
        </w:tc>
        <w:tc>
          <w:tcPr>
            <w:tcW w:w="280" w:type="dxa"/>
            <w:tcBorders>
              <w:top w:val="nil"/>
              <w:left w:val="nil"/>
              <w:bottom w:val="nil"/>
              <w:right w:val="nil"/>
            </w:tcBorders>
            <w:shd w:val="clear" w:color="auto" w:fill="auto"/>
            <w:vAlign w:val="bottom"/>
          </w:tcPr>
          <w:p w14:paraId="00000103" w14:textId="77777777" w:rsidR="00556640" w:rsidRPr="00DC180C" w:rsidRDefault="00556640">
            <w:pPr>
              <w:spacing w:after="0" w:line="240" w:lineRule="auto"/>
              <w:rPr>
                <w:rFonts w:ascii="Times New Roman" w:eastAsia="Times New Roman" w:hAnsi="Times New Roman" w:cs="Times New Roman"/>
              </w:rPr>
            </w:pPr>
          </w:p>
        </w:tc>
        <w:tc>
          <w:tcPr>
            <w:tcW w:w="2456" w:type="dxa"/>
            <w:gridSpan w:val="2"/>
            <w:tcBorders>
              <w:top w:val="nil"/>
              <w:left w:val="nil"/>
              <w:bottom w:val="nil"/>
              <w:right w:val="nil"/>
            </w:tcBorders>
            <w:shd w:val="clear" w:color="auto" w:fill="auto"/>
            <w:vAlign w:val="bottom"/>
          </w:tcPr>
          <w:p w14:paraId="00000104" w14:textId="77777777" w:rsidR="00556640" w:rsidRPr="00DC180C" w:rsidRDefault="00AC3D86">
            <w:pPr>
              <w:spacing w:after="0" w:line="240" w:lineRule="auto"/>
              <w:ind w:right="596"/>
              <w:jc w:val="right"/>
              <w:rPr>
                <w:rFonts w:ascii="Times New Roman" w:eastAsia="Times New Roman" w:hAnsi="Times New Roman" w:cs="Times New Roman"/>
              </w:rPr>
            </w:pPr>
            <w:r w:rsidRPr="00DC180C">
              <w:rPr>
                <w:rFonts w:ascii="Times New Roman" w:eastAsia="Times New Roman" w:hAnsi="Times New Roman" w:cs="Times New Roman"/>
              </w:rPr>
              <w:t>5 (17) / 6 (19)</w:t>
            </w:r>
          </w:p>
        </w:tc>
        <w:tc>
          <w:tcPr>
            <w:tcW w:w="968" w:type="dxa"/>
            <w:gridSpan w:val="3"/>
            <w:tcBorders>
              <w:top w:val="nil"/>
              <w:left w:val="nil"/>
              <w:bottom w:val="nil"/>
              <w:right w:val="nil"/>
            </w:tcBorders>
            <w:shd w:val="clear" w:color="auto" w:fill="auto"/>
            <w:vAlign w:val="bottom"/>
          </w:tcPr>
          <w:p w14:paraId="00000106" w14:textId="77777777" w:rsidR="00556640" w:rsidRPr="00DC180C" w:rsidRDefault="00556640">
            <w:pPr>
              <w:spacing w:after="0" w:line="240" w:lineRule="auto"/>
              <w:jc w:val="center"/>
              <w:rPr>
                <w:rFonts w:ascii="Times New Roman" w:eastAsia="Times New Roman" w:hAnsi="Times New Roman" w:cs="Times New Roman"/>
              </w:rPr>
            </w:pPr>
          </w:p>
        </w:tc>
        <w:tc>
          <w:tcPr>
            <w:tcW w:w="2087" w:type="dxa"/>
            <w:tcBorders>
              <w:top w:val="nil"/>
              <w:left w:val="nil"/>
              <w:bottom w:val="nil"/>
              <w:right w:val="nil"/>
            </w:tcBorders>
            <w:shd w:val="clear" w:color="auto" w:fill="auto"/>
            <w:vAlign w:val="bottom"/>
          </w:tcPr>
          <w:p w14:paraId="00000109" w14:textId="77777777" w:rsidR="00556640" w:rsidRPr="00DC180C" w:rsidRDefault="00AC3D86">
            <w:pPr>
              <w:spacing w:after="0" w:line="240" w:lineRule="auto"/>
              <w:ind w:right="366"/>
              <w:jc w:val="right"/>
              <w:rPr>
                <w:rFonts w:ascii="Times New Roman" w:eastAsia="Times New Roman" w:hAnsi="Times New Roman" w:cs="Times New Roman"/>
              </w:rPr>
            </w:pPr>
            <w:r w:rsidRPr="00DC180C">
              <w:rPr>
                <w:rFonts w:ascii="Times New Roman" w:eastAsia="Times New Roman" w:hAnsi="Times New Roman" w:cs="Times New Roman"/>
              </w:rPr>
              <w:t>2 (12) / 5 (21)</w:t>
            </w:r>
          </w:p>
        </w:tc>
      </w:tr>
      <w:tr w:rsidR="00DC180C" w:rsidRPr="00DC180C" w14:paraId="52919EA0" w14:textId="77777777">
        <w:trPr>
          <w:trHeight w:val="20"/>
        </w:trPr>
        <w:tc>
          <w:tcPr>
            <w:tcW w:w="55" w:type="dxa"/>
          </w:tcPr>
          <w:p w14:paraId="0000010A" w14:textId="77777777" w:rsidR="00556640" w:rsidRPr="00DC180C" w:rsidRDefault="00556640">
            <w:pPr>
              <w:widowControl w:val="0"/>
              <w:pBdr>
                <w:top w:val="nil"/>
                <w:left w:val="nil"/>
                <w:bottom w:val="nil"/>
                <w:right w:val="nil"/>
                <w:between w:val="nil"/>
              </w:pBdr>
              <w:spacing w:after="0"/>
              <w:rPr>
                <w:rFonts w:ascii="Times New Roman" w:eastAsia="Times New Roman" w:hAnsi="Times New Roman" w:cs="Times New Roman"/>
              </w:rPr>
            </w:pPr>
          </w:p>
        </w:tc>
        <w:tc>
          <w:tcPr>
            <w:tcW w:w="3134" w:type="dxa"/>
            <w:gridSpan w:val="2"/>
            <w:tcBorders>
              <w:top w:val="nil"/>
              <w:left w:val="nil"/>
              <w:bottom w:val="nil"/>
              <w:right w:val="nil"/>
            </w:tcBorders>
            <w:shd w:val="clear" w:color="auto" w:fill="auto"/>
            <w:vAlign w:val="bottom"/>
          </w:tcPr>
          <w:p w14:paraId="0000010B" w14:textId="77777777" w:rsidR="00556640" w:rsidRPr="00DC180C" w:rsidRDefault="00AC3D86">
            <w:pPr>
              <w:spacing w:after="0" w:line="240" w:lineRule="auto"/>
              <w:rPr>
                <w:rFonts w:ascii="Times New Roman" w:eastAsia="Times New Roman" w:hAnsi="Times New Roman" w:cs="Times New Roman"/>
                <w:b/>
              </w:rPr>
            </w:pPr>
            <w:r w:rsidRPr="00DC180C">
              <w:rPr>
                <w:rFonts w:ascii="Times New Roman" w:eastAsia="Times New Roman" w:hAnsi="Times New Roman" w:cs="Times New Roman"/>
                <w:b/>
              </w:rPr>
              <w:t>Diet diversity score†</w:t>
            </w:r>
          </w:p>
        </w:tc>
        <w:tc>
          <w:tcPr>
            <w:tcW w:w="1130" w:type="dxa"/>
            <w:tcBorders>
              <w:top w:val="nil"/>
              <w:left w:val="nil"/>
              <w:bottom w:val="nil"/>
              <w:right w:val="nil"/>
            </w:tcBorders>
            <w:shd w:val="clear" w:color="auto" w:fill="auto"/>
            <w:vAlign w:val="bottom"/>
          </w:tcPr>
          <w:p w14:paraId="0000010D" w14:textId="77777777" w:rsidR="00556640" w:rsidRPr="00DC180C" w:rsidRDefault="00556640">
            <w:pPr>
              <w:spacing w:after="0" w:line="240" w:lineRule="auto"/>
              <w:rPr>
                <w:rFonts w:ascii="Times New Roman" w:eastAsia="Times New Roman" w:hAnsi="Times New Roman" w:cs="Times New Roman"/>
              </w:rPr>
            </w:pPr>
          </w:p>
        </w:tc>
        <w:tc>
          <w:tcPr>
            <w:tcW w:w="360" w:type="dxa"/>
            <w:gridSpan w:val="2"/>
            <w:tcBorders>
              <w:top w:val="nil"/>
              <w:left w:val="nil"/>
              <w:bottom w:val="nil"/>
              <w:right w:val="nil"/>
            </w:tcBorders>
            <w:shd w:val="clear" w:color="auto" w:fill="auto"/>
            <w:vAlign w:val="bottom"/>
          </w:tcPr>
          <w:p w14:paraId="0000010E" w14:textId="77777777" w:rsidR="00556640" w:rsidRPr="00DC180C" w:rsidRDefault="00556640">
            <w:pPr>
              <w:spacing w:after="0" w:line="240" w:lineRule="auto"/>
              <w:rPr>
                <w:rFonts w:ascii="Times New Roman" w:eastAsia="Times New Roman" w:hAnsi="Times New Roman" w:cs="Times New Roman"/>
              </w:rPr>
            </w:pPr>
          </w:p>
        </w:tc>
        <w:tc>
          <w:tcPr>
            <w:tcW w:w="2744" w:type="dxa"/>
            <w:gridSpan w:val="2"/>
            <w:tcBorders>
              <w:top w:val="nil"/>
              <w:left w:val="nil"/>
              <w:bottom w:val="nil"/>
              <w:right w:val="nil"/>
            </w:tcBorders>
            <w:shd w:val="clear" w:color="auto" w:fill="auto"/>
            <w:vAlign w:val="bottom"/>
          </w:tcPr>
          <w:p w14:paraId="00000110" w14:textId="77777777" w:rsidR="00556640" w:rsidRPr="00DC180C" w:rsidRDefault="00556640">
            <w:pPr>
              <w:spacing w:after="0" w:line="240" w:lineRule="auto"/>
              <w:rPr>
                <w:rFonts w:ascii="Times New Roman" w:eastAsia="Times New Roman" w:hAnsi="Times New Roman" w:cs="Times New Roman"/>
              </w:rPr>
            </w:pPr>
          </w:p>
        </w:tc>
        <w:tc>
          <w:tcPr>
            <w:tcW w:w="360" w:type="dxa"/>
            <w:tcBorders>
              <w:top w:val="nil"/>
              <w:left w:val="nil"/>
              <w:bottom w:val="nil"/>
              <w:right w:val="nil"/>
            </w:tcBorders>
            <w:shd w:val="clear" w:color="auto" w:fill="auto"/>
            <w:vAlign w:val="bottom"/>
          </w:tcPr>
          <w:p w14:paraId="00000112" w14:textId="77777777" w:rsidR="00556640" w:rsidRPr="00DC180C" w:rsidRDefault="00556640">
            <w:pPr>
              <w:spacing w:after="0" w:line="240" w:lineRule="auto"/>
              <w:rPr>
                <w:rFonts w:ascii="Times New Roman" w:eastAsia="Times New Roman" w:hAnsi="Times New Roman" w:cs="Times New Roman"/>
              </w:rPr>
            </w:pPr>
          </w:p>
        </w:tc>
        <w:tc>
          <w:tcPr>
            <w:tcW w:w="2328" w:type="dxa"/>
            <w:gridSpan w:val="2"/>
            <w:tcBorders>
              <w:top w:val="nil"/>
              <w:left w:val="nil"/>
              <w:bottom w:val="nil"/>
              <w:right w:val="nil"/>
            </w:tcBorders>
            <w:shd w:val="clear" w:color="auto" w:fill="auto"/>
            <w:vAlign w:val="bottom"/>
          </w:tcPr>
          <w:p w14:paraId="00000113" w14:textId="77777777" w:rsidR="00556640" w:rsidRPr="00DC180C" w:rsidRDefault="00556640">
            <w:pPr>
              <w:spacing w:after="0" w:line="240" w:lineRule="auto"/>
              <w:rPr>
                <w:rFonts w:ascii="Times New Roman" w:eastAsia="Times New Roman" w:hAnsi="Times New Roman" w:cs="Times New Roman"/>
              </w:rPr>
            </w:pPr>
          </w:p>
        </w:tc>
      </w:tr>
      <w:tr w:rsidR="00DC180C" w:rsidRPr="00DC180C" w14:paraId="377F42BB" w14:textId="77777777">
        <w:trPr>
          <w:trHeight w:val="20"/>
        </w:trPr>
        <w:tc>
          <w:tcPr>
            <w:tcW w:w="55" w:type="dxa"/>
          </w:tcPr>
          <w:p w14:paraId="00000116" w14:textId="77777777" w:rsidR="00556640" w:rsidRPr="00DC180C" w:rsidRDefault="00556640">
            <w:pPr>
              <w:widowControl w:val="0"/>
              <w:pBdr>
                <w:top w:val="nil"/>
                <w:left w:val="nil"/>
                <w:bottom w:val="nil"/>
                <w:right w:val="nil"/>
                <w:between w:val="nil"/>
              </w:pBdr>
              <w:spacing w:after="0"/>
              <w:rPr>
                <w:rFonts w:ascii="Times New Roman" w:eastAsia="Times New Roman" w:hAnsi="Times New Roman" w:cs="Times New Roman"/>
              </w:rPr>
            </w:pPr>
          </w:p>
        </w:tc>
        <w:tc>
          <w:tcPr>
            <w:tcW w:w="3134" w:type="dxa"/>
            <w:gridSpan w:val="2"/>
            <w:tcBorders>
              <w:top w:val="nil"/>
              <w:left w:val="nil"/>
              <w:bottom w:val="nil"/>
              <w:right w:val="nil"/>
            </w:tcBorders>
            <w:shd w:val="clear" w:color="auto" w:fill="auto"/>
            <w:vAlign w:val="bottom"/>
          </w:tcPr>
          <w:p w14:paraId="00000117" w14:textId="77777777" w:rsidR="00556640" w:rsidRPr="00DC180C" w:rsidRDefault="00AC3D86">
            <w:pPr>
              <w:spacing w:after="0" w:line="240" w:lineRule="auto"/>
              <w:ind w:left="229"/>
              <w:rPr>
                <w:rFonts w:ascii="Times New Roman" w:eastAsia="Times New Roman" w:hAnsi="Times New Roman" w:cs="Times New Roman"/>
              </w:rPr>
            </w:pPr>
            <w:r w:rsidRPr="00DC180C">
              <w:rPr>
                <w:rFonts w:ascii="Times New Roman" w:eastAsia="Times New Roman" w:hAnsi="Times New Roman" w:cs="Times New Roman"/>
              </w:rPr>
              <w:t xml:space="preserve">Mean score </w:t>
            </w:r>
          </w:p>
        </w:tc>
        <w:tc>
          <w:tcPr>
            <w:tcW w:w="1130" w:type="dxa"/>
            <w:tcBorders>
              <w:top w:val="nil"/>
              <w:left w:val="nil"/>
              <w:bottom w:val="nil"/>
              <w:right w:val="nil"/>
            </w:tcBorders>
            <w:shd w:val="clear" w:color="auto" w:fill="auto"/>
            <w:vAlign w:val="bottom"/>
          </w:tcPr>
          <w:p w14:paraId="00000119" w14:textId="77777777" w:rsidR="00556640" w:rsidRPr="00DC180C" w:rsidRDefault="00AC3D86">
            <w:pPr>
              <w:spacing w:after="0" w:line="240" w:lineRule="auto"/>
              <w:jc w:val="center"/>
              <w:rPr>
                <w:rFonts w:ascii="Times New Roman" w:eastAsia="Times New Roman" w:hAnsi="Times New Roman" w:cs="Times New Roman"/>
              </w:rPr>
            </w:pPr>
            <w:r w:rsidRPr="00DC180C">
              <w:rPr>
                <w:rFonts w:ascii="Times New Roman" w:eastAsia="Times New Roman" w:hAnsi="Times New Roman" w:cs="Times New Roman"/>
              </w:rPr>
              <w:t>6.6 (2.3)</w:t>
            </w:r>
          </w:p>
        </w:tc>
        <w:tc>
          <w:tcPr>
            <w:tcW w:w="360" w:type="dxa"/>
            <w:gridSpan w:val="2"/>
            <w:tcBorders>
              <w:top w:val="nil"/>
              <w:left w:val="nil"/>
              <w:bottom w:val="nil"/>
              <w:right w:val="nil"/>
            </w:tcBorders>
            <w:shd w:val="clear" w:color="auto" w:fill="auto"/>
            <w:vAlign w:val="bottom"/>
          </w:tcPr>
          <w:p w14:paraId="0000011A" w14:textId="77777777" w:rsidR="00556640" w:rsidRPr="00DC180C" w:rsidRDefault="00556640">
            <w:pPr>
              <w:spacing w:after="0" w:line="240" w:lineRule="auto"/>
              <w:jc w:val="center"/>
              <w:rPr>
                <w:rFonts w:ascii="Times New Roman" w:eastAsia="Times New Roman" w:hAnsi="Times New Roman" w:cs="Times New Roman"/>
              </w:rPr>
            </w:pPr>
          </w:p>
        </w:tc>
        <w:tc>
          <w:tcPr>
            <w:tcW w:w="2744" w:type="dxa"/>
            <w:gridSpan w:val="2"/>
            <w:tcBorders>
              <w:top w:val="nil"/>
              <w:left w:val="nil"/>
              <w:bottom w:val="nil"/>
              <w:right w:val="nil"/>
            </w:tcBorders>
            <w:shd w:val="clear" w:color="auto" w:fill="auto"/>
            <w:vAlign w:val="bottom"/>
          </w:tcPr>
          <w:p w14:paraId="0000011C" w14:textId="77777777" w:rsidR="00556640" w:rsidRPr="00DC180C" w:rsidRDefault="00AC3D86">
            <w:pPr>
              <w:spacing w:after="0" w:line="240" w:lineRule="auto"/>
              <w:ind w:right="651"/>
              <w:jc w:val="right"/>
              <w:rPr>
                <w:rFonts w:ascii="Times New Roman" w:eastAsia="Times New Roman" w:hAnsi="Times New Roman" w:cs="Times New Roman"/>
              </w:rPr>
            </w:pPr>
            <w:r w:rsidRPr="00DC180C">
              <w:rPr>
                <w:rFonts w:ascii="Times New Roman" w:eastAsia="Times New Roman" w:hAnsi="Times New Roman" w:cs="Times New Roman"/>
              </w:rPr>
              <w:t>6.3 (2.2)</w:t>
            </w:r>
          </w:p>
        </w:tc>
        <w:tc>
          <w:tcPr>
            <w:tcW w:w="360" w:type="dxa"/>
            <w:tcBorders>
              <w:top w:val="nil"/>
              <w:left w:val="nil"/>
              <w:bottom w:val="nil"/>
              <w:right w:val="nil"/>
            </w:tcBorders>
            <w:shd w:val="clear" w:color="auto" w:fill="auto"/>
            <w:vAlign w:val="bottom"/>
          </w:tcPr>
          <w:p w14:paraId="0000011E" w14:textId="77777777" w:rsidR="00556640" w:rsidRPr="00DC180C" w:rsidRDefault="00556640">
            <w:pPr>
              <w:spacing w:after="0" w:line="240" w:lineRule="auto"/>
              <w:jc w:val="right"/>
              <w:rPr>
                <w:rFonts w:ascii="Times New Roman" w:eastAsia="Times New Roman" w:hAnsi="Times New Roman" w:cs="Times New Roman"/>
              </w:rPr>
            </w:pPr>
          </w:p>
        </w:tc>
        <w:tc>
          <w:tcPr>
            <w:tcW w:w="2328" w:type="dxa"/>
            <w:gridSpan w:val="2"/>
            <w:tcBorders>
              <w:top w:val="nil"/>
              <w:left w:val="nil"/>
              <w:bottom w:val="nil"/>
              <w:right w:val="nil"/>
            </w:tcBorders>
            <w:shd w:val="clear" w:color="auto" w:fill="auto"/>
            <w:vAlign w:val="bottom"/>
          </w:tcPr>
          <w:p w14:paraId="0000011F" w14:textId="77777777" w:rsidR="00556640" w:rsidRPr="00DC180C" w:rsidRDefault="00AC3D86">
            <w:pPr>
              <w:spacing w:after="0" w:line="240" w:lineRule="auto"/>
              <w:ind w:right="563"/>
              <w:jc w:val="right"/>
              <w:rPr>
                <w:rFonts w:ascii="Times New Roman" w:eastAsia="Times New Roman" w:hAnsi="Times New Roman" w:cs="Times New Roman"/>
              </w:rPr>
            </w:pPr>
            <w:r w:rsidRPr="00DC180C">
              <w:rPr>
                <w:rFonts w:ascii="Times New Roman" w:eastAsia="Times New Roman" w:hAnsi="Times New Roman" w:cs="Times New Roman"/>
              </w:rPr>
              <w:t>6.9 (2.5)</w:t>
            </w:r>
          </w:p>
        </w:tc>
      </w:tr>
      <w:tr w:rsidR="00DC180C" w:rsidRPr="00DC180C" w14:paraId="282FDB46" w14:textId="77777777">
        <w:trPr>
          <w:trHeight w:val="20"/>
        </w:trPr>
        <w:tc>
          <w:tcPr>
            <w:tcW w:w="55" w:type="dxa"/>
          </w:tcPr>
          <w:p w14:paraId="00000122" w14:textId="77777777" w:rsidR="00556640" w:rsidRPr="00DC180C" w:rsidRDefault="00556640">
            <w:pPr>
              <w:widowControl w:val="0"/>
              <w:pBdr>
                <w:top w:val="nil"/>
                <w:left w:val="nil"/>
                <w:bottom w:val="nil"/>
                <w:right w:val="nil"/>
                <w:between w:val="nil"/>
              </w:pBdr>
              <w:spacing w:after="0"/>
              <w:rPr>
                <w:rFonts w:ascii="Times New Roman" w:eastAsia="Times New Roman" w:hAnsi="Times New Roman" w:cs="Times New Roman"/>
              </w:rPr>
            </w:pPr>
          </w:p>
        </w:tc>
        <w:tc>
          <w:tcPr>
            <w:tcW w:w="3134" w:type="dxa"/>
            <w:gridSpan w:val="2"/>
            <w:tcBorders>
              <w:top w:val="nil"/>
              <w:left w:val="nil"/>
              <w:bottom w:val="nil"/>
              <w:right w:val="nil"/>
            </w:tcBorders>
            <w:shd w:val="clear" w:color="auto" w:fill="auto"/>
            <w:vAlign w:val="bottom"/>
          </w:tcPr>
          <w:p w14:paraId="00000123" w14:textId="77777777" w:rsidR="00556640" w:rsidRPr="00DC180C" w:rsidRDefault="00AC3D86">
            <w:pPr>
              <w:spacing w:after="0" w:line="240" w:lineRule="auto"/>
              <w:ind w:left="229"/>
              <w:rPr>
                <w:rFonts w:ascii="Times New Roman" w:eastAsia="Times New Roman" w:hAnsi="Times New Roman" w:cs="Times New Roman"/>
              </w:rPr>
            </w:pPr>
            <w:r w:rsidRPr="00DC180C">
              <w:rPr>
                <w:rFonts w:ascii="Times New Roman" w:eastAsia="Times New Roman" w:hAnsi="Times New Roman" w:cs="Times New Roman"/>
              </w:rPr>
              <w:t>% having score&gt;5</w:t>
            </w:r>
          </w:p>
        </w:tc>
        <w:tc>
          <w:tcPr>
            <w:tcW w:w="1130" w:type="dxa"/>
            <w:tcBorders>
              <w:top w:val="nil"/>
              <w:left w:val="nil"/>
              <w:bottom w:val="nil"/>
              <w:right w:val="nil"/>
            </w:tcBorders>
            <w:shd w:val="clear" w:color="auto" w:fill="auto"/>
            <w:vAlign w:val="bottom"/>
          </w:tcPr>
          <w:p w14:paraId="00000125" w14:textId="77777777" w:rsidR="00556640" w:rsidRPr="00DC180C" w:rsidRDefault="00AC3D86">
            <w:pPr>
              <w:spacing w:after="0" w:line="240" w:lineRule="auto"/>
              <w:ind w:right="123"/>
              <w:jc w:val="right"/>
              <w:rPr>
                <w:rFonts w:ascii="Times New Roman" w:eastAsia="Times New Roman" w:hAnsi="Times New Roman" w:cs="Times New Roman"/>
              </w:rPr>
            </w:pPr>
            <w:r w:rsidRPr="00DC180C">
              <w:rPr>
                <w:rFonts w:ascii="Times New Roman" w:eastAsia="Times New Roman" w:hAnsi="Times New Roman" w:cs="Times New Roman"/>
              </w:rPr>
              <w:t>83 (76)</w:t>
            </w:r>
          </w:p>
        </w:tc>
        <w:tc>
          <w:tcPr>
            <w:tcW w:w="360" w:type="dxa"/>
            <w:gridSpan w:val="2"/>
            <w:tcBorders>
              <w:top w:val="nil"/>
              <w:left w:val="nil"/>
              <w:bottom w:val="nil"/>
              <w:right w:val="nil"/>
            </w:tcBorders>
            <w:shd w:val="clear" w:color="auto" w:fill="auto"/>
            <w:vAlign w:val="bottom"/>
          </w:tcPr>
          <w:p w14:paraId="00000126" w14:textId="77777777" w:rsidR="00556640" w:rsidRPr="00DC180C" w:rsidRDefault="00556640">
            <w:pPr>
              <w:spacing w:after="0" w:line="240" w:lineRule="auto"/>
              <w:jc w:val="center"/>
              <w:rPr>
                <w:rFonts w:ascii="Times New Roman" w:eastAsia="Times New Roman" w:hAnsi="Times New Roman" w:cs="Times New Roman"/>
              </w:rPr>
            </w:pPr>
          </w:p>
        </w:tc>
        <w:tc>
          <w:tcPr>
            <w:tcW w:w="2744" w:type="dxa"/>
            <w:gridSpan w:val="2"/>
            <w:tcBorders>
              <w:top w:val="nil"/>
              <w:left w:val="nil"/>
              <w:bottom w:val="nil"/>
              <w:right w:val="nil"/>
            </w:tcBorders>
            <w:shd w:val="clear" w:color="auto" w:fill="auto"/>
            <w:vAlign w:val="bottom"/>
          </w:tcPr>
          <w:p w14:paraId="00000128" w14:textId="77777777" w:rsidR="00556640" w:rsidRPr="00DC180C" w:rsidRDefault="00AC3D86">
            <w:pPr>
              <w:spacing w:after="0" w:line="240" w:lineRule="auto"/>
              <w:ind w:right="651"/>
              <w:jc w:val="right"/>
              <w:rPr>
                <w:rFonts w:ascii="Times New Roman" w:eastAsia="Times New Roman" w:hAnsi="Times New Roman" w:cs="Times New Roman"/>
              </w:rPr>
            </w:pPr>
            <w:r w:rsidRPr="00DC180C">
              <w:rPr>
                <w:rFonts w:ascii="Times New Roman" w:eastAsia="Times New Roman" w:hAnsi="Times New Roman" w:cs="Times New Roman"/>
              </w:rPr>
              <w:t>51 (76)</w:t>
            </w:r>
          </w:p>
        </w:tc>
        <w:tc>
          <w:tcPr>
            <w:tcW w:w="360" w:type="dxa"/>
            <w:tcBorders>
              <w:top w:val="nil"/>
              <w:left w:val="nil"/>
              <w:bottom w:val="nil"/>
              <w:right w:val="nil"/>
            </w:tcBorders>
            <w:shd w:val="clear" w:color="auto" w:fill="auto"/>
            <w:vAlign w:val="bottom"/>
          </w:tcPr>
          <w:p w14:paraId="0000012A" w14:textId="77777777" w:rsidR="00556640" w:rsidRPr="00DC180C" w:rsidRDefault="00556640">
            <w:pPr>
              <w:spacing w:after="0" w:line="240" w:lineRule="auto"/>
              <w:jc w:val="right"/>
              <w:rPr>
                <w:rFonts w:ascii="Times New Roman" w:eastAsia="Times New Roman" w:hAnsi="Times New Roman" w:cs="Times New Roman"/>
              </w:rPr>
            </w:pPr>
          </w:p>
        </w:tc>
        <w:tc>
          <w:tcPr>
            <w:tcW w:w="2328" w:type="dxa"/>
            <w:gridSpan w:val="2"/>
            <w:tcBorders>
              <w:top w:val="nil"/>
              <w:left w:val="nil"/>
              <w:bottom w:val="nil"/>
              <w:right w:val="nil"/>
            </w:tcBorders>
            <w:shd w:val="clear" w:color="auto" w:fill="auto"/>
            <w:vAlign w:val="bottom"/>
          </w:tcPr>
          <w:p w14:paraId="0000012B" w14:textId="77777777" w:rsidR="00556640" w:rsidRPr="00DC180C" w:rsidRDefault="00AC3D86">
            <w:pPr>
              <w:spacing w:after="0" w:line="240" w:lineRule="auto"/>
              <w:ind w:right="563"/>
              <w:jc w:val="right"/>
              <w:rPr>
                <w:rFonts w:ascii="Times New Roman" w:eastAsia="Times New Roman" w:hAnsi="Times New Roman" w:cs="Times New Roman"/>
              </w:rPr>
            </w:pPr>
            <w:r w:rsidRPr="00DC180C">
              <w:rPr>
                <w:rFonts w:ascii="Times New Roman" w:eastAsia="Times New Roman" w:hAnsi="Times New Roman" w:cs="Times New Roman"/>
              </w:rPr>
              <w:t>32 (76)</w:t>
            </w:r>
          </w:p>
        </w:tc>
      </w:tr>
      <w:tr w:rsidR="00DC180C" w:rsidRPr="00DC180C" w14:paraId="4EFBD004" w14:textId="77777777">
        <w:trPr>
          <w:trHeight w:val="20"/>
        </w:trPr>
        <w:tc>
          <w:tcPr>
            <w:tcW w:w="55" w:type="dxa"/>
          </w:tcPr>
          <w:p w14:paraId="0000012E" w14:textId="77777777" w:rsidR="00556640" w:rsidRPr="00DC180C" w:rsidRDefault="00556640">
            <w:pPr>
              <w:widowControl w:val="0"/>
              <w:pBdr>
                <w:top w:val="nil"/>
                <w:left w:val="nil"/>
                <w:bottom w:val="nil"/>
                <w:right w:val="nil"/>
                <w:between w:val="nil"/>
              </w:pBdr>
              <w:spacing w:after="0"/>
              <w:rPr>
                <w:rFonts w:ascii="Times New Roman" w:eastAsia="Times New Roman" w:hAnsi="Times New Roman" w:cs="Times New Roman"/>
              </w:rPr>
            </w:pPr>
          </w:p>
        </w:tc>
        <w:tc>
          <w:tcPr>
            <w:tcW w:w="3134" w:type="dxa"/>
            <w:gridSpan w:val="2"/>
            <w:tcBorders>
              <w:top w:val="nil"/>
              <w:left w:val="nil"/>
              <w:bottom w:val="nil"/>
              <w:right w:val="nil"/>
            </w:tcBorders>
            <w:shd w:val="clear" w:color="auto" w:fill="auto"/>
            <w:vAlign w:val="bottom"/>
          </w:tcPr>
          <w:p w14:paraId="0000012F" w14:textId="77777777" w:rsidR="00556640" w:rsidRPr="00DC180C" w:rsidRDefault="00AC3D86">
            <w:pPr>
              <w:spacing w:after="0" w:line="240" w:lineRule="auto"/>
              <w:rPr>
                <w:rFonts w:ascii="Times New Roman" w:eastAsia="Times New Roman" w:hAnsi="Times New Roman" w:cs="Times New Roman"/>
                <w:b/>
              </w:rPr>
            </w:pPr>
            <w:r w:rsidRPr="00DC180C">
              <w:rPr>
                <w:rFonts w:ascii="Times New Roman" w:eastAsia="Times New Roman" w:hAnsi="Times New Roman" w:cs="Times New Roman"/>
                <w:b/>
              </w:rPr>
              <w:t>Socio-economic situation</w:t>
            </w:r>
          </w:p>
        </w:tc>
        <w:tc>
          <w:tcPr>
            <w:tcW w:w="1130" w:type="dxa"/>
            <w:tcBorders>
              <w:top w:val="nil"/>
              <w:left w:val="nil"/>
              <w:bottom w:val="nil"/>
              <w:right w:val="nil"/>
            </w:tcBorders>
            <w:shd w:val="clear" w:color="auto" w:fill="auto"/>
            <w:vAlign w:val="bottom"/>
          </w:tcPr>
          <w:p w14:paraId="00000131" w14:textId="77777777" w:rsidR="00556640" w:rsidRPr="00DC180C" w:rsidRDefault="00556640">
            <w:pPr>
              <w:spacing w:after="0" w:line="240" w:lineRule="auto"/>
              <w:ind w:right="123"/>
              <w:jc w:val="right"/>
              <w:rPr>
                <w:rFonts w:ascii="Times New Roman" w:eastAsia="Times New Roman" w:hAnsi="Times New Roman" w:cs="Times New Roman"/>
              </w:rPr>
            </w:pPr>
          </w:p>
        </w:tc>
        <w:tc>
          <w:tcPr>
            <w:tcW w:w="360" w:type="dxa"/>
            <w:gridSpan w:val="2"/>
            <w:tcBorders>
              <w:top w:val="nil"/>
              <w:left w:val="nil"/>
              <w:bottom w:val="nil"/>
              <w:right w:val="nil"/>
            </w:tcBorders>
            <w:shd w:val="clear" w:color="auto" w:fill="auto"/>
            <w:vAlign w:val="bottom"/>
          </w:tcPr>
          <w:p w14:paraId="00000132" w14:textId="77777777" w:rsidR="00556640" w:rsidRPr="00DC180C" w:rsidRDefault="00556640">
            <w:pPr>
              <w:spacing w:after="0" w:line="240" w:lineRule="auto"/>
              <w:jc w:val="center"/>
              <w:rPr>
                <w:rFonts w:ascii="Times New Roman" w:eastAsia="Times New Roman" w:hAnsi="Times New Roman" w:cs="Times New Roman"/>
              </w:rPr>
            </w:pPr>
          </w:p>
        </w:tc>
        <w:tc>
          <w:tcPr>
            <w:tcW w:w="2744" w:type="dxa"/>
            <w:gridSpan w:val="2"/>
            <w:tcBorders>
              <w:top w:val="nil"/>
              <w:left w:val="nil"/>
              <w:bottom w:val="nil"/>
              <w:right w:val="nil"/>
            </w:tcBorders>
            <w:shd w:val="clear" w:color="auto" w:fill="auto"/>
            <w:vAlign w:val="bottom"/>
          </w:tcPr>
          <w:p w14:paraId="00000134" w14:textId="77777777" w:rsidR="00556640" w:rsidRPr="00DC180C" w:rsidRDefault="00556640">
            <w:pPr>
              <w:spacing w:after="0" w:line="240" w:lineRule="auto"/>
              <w:ind w:right="651"/>
              <w:jc w:val="right"/>
              <w:rPr>
                <w:rFonts w:ascii="Times New Roman" w:eastAsia="Times New Roman" w:hAnsi="Times New Roman" w:cs="Times New Roman"/>
              </w:rPr>
            </w:pPr>
          </w:p>
        </w:tc>
        <w:tc>
          <w:tcPr>
            <w:tcW w:w="360" w:type="dxa"/>
            <w:tcBorders>
              <w:top w:val="nil"/>
              <w:left w:val="nil"/>
              <w:bottom w:val="nil"/>
              <w:right w:val="nil"/>
            </w:tcBorders>
            <w:shd w:val="clear" w:color="auto" w:fill="auto"/>
            <w:vAlign w:val="bottom"/>
          </w:tcPr>
          <w:p w14:paraId="00000136" w14:textId="77777777" w:rsidR="00556640" w:rsidRPr="00DC180C" w:rsidRDefault="00556640">
            <w:pPr>
              <w:spacing w:after="0" w:line="240" w:lineRule="auto"/>
              <w:jc w:val="right"/>
              <w:rPr>
                <w:rFonts w:ascii="Times New Roman" w:eastAsia="Times New Roman" w:hAnsi="Times New Roman" w:cs="Times New Roman"/>
              </w:rPr>
            </w:pPr>
          </w:p>
        </w:tc>
        <w:tc>
          <w:tcPr>
            <w:tcW w:w="2328" w:type="dxa"/>
            <w:gridSpan w:val="2"/>
            <w:tcBorders>
              <w:top w:val="nil"/>
              <w:left w:val="nil"/>
              <w:bottom w:val="nil"/>
              <w:right w:val="nil"/>
            </w:tcBorders>
            <w:shd w:val="clear" w:color="auto" w:fill="auto"/>
            <w:vAlign w:val="bottom"/>
          </w:tcPr>
          <w:p w14:paraId="00000137" w14:textId="77777777" w:rsidR="00556640" w:rsidRPr="00DC180C" w:rsidRDefault="00556640">
            <w:pPr>
              <w:spacing w:after="0" w:line="240" w:lineRule="auto"/>
              <w:ind w:right="563"/>
              <w:jc w:val="right"/>
              <w:rPr>
                <w:rFonts w:ascii="Times New Roman" w:eastAsia="Times New Roman" w:hAnsi="Times New Roman" w:cs="Times New Roman"/>
              </w:rPr>
            </w:pPr>
          </w:p>
        </w:tc>
      </w:tr>
      <w:tr w:rsidR="00DC180C" w:rsidRPr="00DC180C" w14:paraId="2D67FD26" w14:textId="77777777">
        <w:trPr>
          <w:trHeight w:val="20"/>
        </w:trPr>
        <w:tc>
          <w:tcPr>
            <w:tcW w:w="55" w:type="dxa"/>
          </w:tcPr>
          <w:p w14:paraId="0000013A" w14:textId="77777777" w:rsidR="00556640" w:rsidRPr="00DC180C" w:rsidRDefault="00556640">
            <w:pPr>
              <w:widowControl w:val="0"/>
              <w:pBdr>
                <w:top w:val="nil"/>
                <w:left w:val="nil"/>
                <w:bottom w:val="nil"/>
                <w:right w:val="nil"/>
                <w:between w:val="nil"/>
              </w:pBdr>
              <w:spacing w:after="0"/>
              <w:rPr>
                <w:rFonts w:ascii="Times New Roman" w:eastAsia="Times New Roman" w:hAnsi="Times New Roman" w:cs="Times New Roman"/>
              </w:rPr>
            </w:pPr>
          </w:p>
        </w:tc>
        <w:tc>
          <w:tcPr>
            <w:tcW w:w="3134" w:type="dxa"/>
            <w:gridSpan w:val="2"/>
            <w:tcBorders>
              <w:top w:val="nil"/>
              <w:left w:val="nil"/>
              <w:bottom w:val="nil"/>
              <w:right w:val="nil"/>
            </w:tcBorders>
            <w:shd w:val="clear" w:color="auto" w:fill="auto"/>
            <w:vAlign w:val="bottom"/>
          </w:tcPr>
          <w:p w14:paraId="0000013B" w14:textId="77777777" w:rsidR="00556640" w:rsidRPr="00DC180C" w:rsidRDefault="00AC3D86">
            <w:pPr>
              <w:spacing w:after="0" w:line="240" w:lineRule="auto"/>
              <w:ind w:left="229"/>
              <w:rPr>
                <w:rFonts w:ascii="Times New Roman" w:eastAsia="Times New Roman" w:hAnsi="Times New Roman" w:cs="Times New Roman"/>
                <w:b/>
              </w:rPr>
            </w:pPr>
            <w:r w:rsidRPr="00DC180C">
              <w:rPr>
                <w:rFonts w:ascii="Times New Roman" w:eastAsia="Times New Roman" w:hAnsi="Times New Roman" w:cs="Times New Roman"/>
                <w:b/>
              </w:rPr>
              <w:t>Drinking water source</w:t>
            </w:r>
          </w:p>
        </w:tc>
        <w:tc>
          <w:tcPr>
            <w:tcW w:w="1130" w:type="dxa"/>
            <w:tcBorders>
              <w:top w:val="nil"/>
              <w:left w:val="nil"/>
              <w:bottom w:val="nil"/>
              <w:right w:val="nil"/>
            </w:tcBorders>
            <w:shd w:val="clear" w:color="auto" w:fill="auto"/>
            <w:vAlign w:val="bottom"/>
          </w:tcPr>
          <w:p w14:paraId="0000013D" w14:textId="77777777" w:rsidR="00556640" w:rsidRPr="00DC180C" w:rsidRDefault="00556640">
            <w:pPr>
              <w:spacing w:after="0" w:line="240" w:lineRule="auto"/>
              <w:ind w:right="123"/>
              <w:jc w:val="right"/>
              <w:rPr>
                <w:rFonts w:ascii="Times New Roman" w:eastAsia="Times New Roman" w:hAnsi="Times New Roman" w:cs="Times New Roman"/>
              </w:rPr>
            </w:pPr>
          </w:p>
        </w:tc>
        <w:tc>
          <w:tcPr>
            <w:tcW w:w="360" w:type="dxa"/>
            <w:gridSpan w:val="2"/>
            <w:tcBorders>
              <w:top w:val="nil"/>
              <w:left w:val="nil"/>
              <w:bottom w:val="nil"/>
              <w:right w:val="nil"/>
            </w:tcBorders>
            <w:shd w:val="clear" w:color="auto" w:fill="auto"/>
            <w:vAlign w:val="bottom"/>
          </w:tcPr>
          <w:p w14:paraId="0000013E" w14:textId="77777777" w:rsidR="00556640" w:rsidRPr="00DC180C" w:rsidRDefault="00556640">
            <w:pPr>
              <w:spacing w:after="0" w:line="240" w:lineRule="auto"/>
              <w:jc w:val="center"/>
              <w:rPr>
                <w:rFonts w:ascii="Times New Roman" w:eastAsia="Times New Roman" w:hAnsi="Times New Roman" w:cs="Times New Roman"/>
              </w:rPr>
            </w:pPr>
          </w:p>
        </w:tc>
        <w:tc>
          <w:tcPr>
            <w:tcW w:w="2744" w:type="dxa"/>
            <w:gridSpan w:val="2"/>
            <w:tcBorders>
              <w:top w:val="nil"/>
              <w:left w:val="nil"/>
              <w:bottom w:val="nil"/>
              <w:right w:val="nil"/>
            </w:tcBorders>
            <w:shd w:val="clear" w:color="auto" w:fill="auto"/>
            <w:vAlign w:val="bottom"/>
          </w:tcPr>
          <w:p w14:paraId="00000140" w14:textId="77777777" w:rsidR="00556640" w:rsidRPr="00DC180C" w:rsidRDefault="00556640">
            <w:pPr>
              <w:spacing w:after="0" w:line="240" w:lineRule="auto"/>
              <w:ind w:right="651"/>
              <w:jc w:val="right"/>
              <w:rPr>
                <w:rFonts w:ascii="Times New Roman" w:eastAsia="Times New Roman" w:hAnsi="Times New Roman" w:cs="Times New Roman"/>
              </w:rPr>
            </w:pPr>
          </w:p>
        </w:tc>
        <w:tc>
          <w:tcPr>
            <w:tcW w:w="360" w:type="dxa"/>
            <w:tcBorders>
              <w:top w:val="nil"/>
              <w:left w:val="nil"/>
              <w:bottom w:val="nil"/>
              <w:right w:val="nil"/>
            </w:tcBorders>
            <w:shd w:val="clear" w:color="auto" w:fill="auto"/>
            <w:vAlign w:val="bottom"/>
          </w:tcPr>
          <w:p w14:paraId="00000142" w14:textId="77777777" w:rsidR="00556640" w:rsidRPr="00DC180C" w:rsidRDefault="00556640">
            <w:pPr>
              <w:spacing w:after="0" w:line="240" w:lineRule="auto"/>
              <w:jc w:val="right"/>
              <w:rPr>
                <w:rFonts w:ascii="Times New Roman" w:eastAsia="Times New Roman" w:hAnsi="Times New Roman" w:cs="Times New Roman"/>
              </w:rPr>
            </w:pPr>
          </w:p>
        </w:tc>
        <w:tc>
          <w:tcPr>
            <w:tcW w:w="2328" w:type="dxa"/>
            <w:gridSpan w:val="2"/>
            <w:tcBorders>
              <w:top w:val="nil"/>
              <w:left w:val="nil"/>
              <w:bottom w:val="nil"/>
              <w:right w:val="nil"/>
            </w:tcBorders>
            <w:shd w:val="clear" w:color="auto" w:fill="auto"/>
            <w:vAlign w:val="bottom"/>
          </w:tcPr>
          <w:p w14:paraId="00000143" w14:textId="77777777" w:rsidR="00556640" w:rsidRPr="00DC180C" w:rsidRDefault="00556640">
            <w:pPr>
              <w:spacing w:after="0" w:line="240" w:lineRule="auto"/>
              <w:ind w:right="563"/>
              <w:jc w:val="right"/>
              <w:rPr>
                <w:rFonts w:ascii="Times New Roman" w:eastAsia="Times New Roman" w:hAnsi="Times New Roman" w:cs="Times New Roman"/>
              </w:rPr>
            </w:pPr>
          </w:p>
        </w:tc>
      </w:tr>
      <w:tr w:rsidR="00DC180C" w:rsidRPr="00DC180C" w14:paraId="09677087" w14:textId="77777777">
        <w:trPr>
          <w:trHeight w:val="20"/>
        </w:trPr>
        <w:tc>
          <w:tcPr>
            <w:tcW w:w="55" w:type="dxa"/>
          </w:tcPr>
          <w:p w14:paraId="00000146" w14:textId="77777777" w:rsidR="00556640" w:rsidRPr="00DC180C" w:rsidRDefault="00556640">
            <w:pPr>
              <w:widowControl w:val="0"/>
              <w:pBdr>
                <w:top w:val="nil"/>
                <w:left w:val="nil"/>
                <w:bottom w:val="nil"/>
                <w:right w:val="nil"/>
                <w:between w:val="nil"/>
              </w:pBdr>
              <w:spacing w:after="0"/>
              <w:rPr>
                <w:rFonts w:ascii="Times New Roman" w:eastAsia="Times New Roman" w:hAnsi="Times New Roman" w:cs="Times New Roman"/>
              </w:rPr>
            </w:pPr>
          </w:p>
        </w:tc>
        <w:tc>
          <w:tcPr>
            <w:tcW w:w="3134" w:type="dxa"/>
            <w:gridSpan w:val="2"/>
            <w:tcBorders>
              <w:top w:val="nil"/>
              <w:left w:val="nil"/>
              <w:bottom w:val="nil"/>
              <w:right w:val="nil"/>
            </w:tcBorders>
            <w:shd w:val="clear" w:color="auto" w:fill="auto"/>
            <w:vAlign w:val="bottom"/>
          </w:tcPr>
          <w:p w14:paraId="00000147" w14:textId="77777777" w:rsidR="00556640" w:rsidRPr="00DC180C" w:rsidRDefault="00AC3D86">
            <w:pPr>
              <w:spacing w:after="0" w:line="240" w:lineRule="auto"/>
              <w:ind w:left="371"/>
              <w:rPr>
                <w:rFonts w:ascii="Times New Roman" w:eastAsia="Times New Roman" w:hAnsi="Times New Roman" w:cs="Times New Roman"/>
              </w:rPr>
            </w:pPr>
            <w:r w:rsidRPr="00DC180C">
              <w:rPr>
                <w:rFonts w:ascii="Times New Roman" w:eastAsia="Times New Roman" w:hAnsi="Times New Roman" w:cs="Times New Roman"/>
              </w:rPr>
              <w:t>Piped to house</w:t>
            </w:r>
          </w:p>
        </w:tc>
        <w:tc>
          <w:tcPr>
            <w:tcW w:w="1130" w:type="dxa"/>
            <w:tcBorders>
              <w:top w:val="nil"/>
              <w:left w:val="nil"/>
              <w:bottom w:val="nil"/>
              <w:right w:val="nil"/>
            </w:tcBorders>
            <w:shd w:val="clear" w:color="auto" w:fill="auto"/>
            <w:vAlign w:val="bottom"/>
          </w:tcPr>
          <w:p w14:paraId="00000149" w14:textId="77777777" w:rsidR="00556640" w:rsidRPr="00DC180C" w:rsidRDefault="00AC3D86">
            <w:pPr>
              <w:spacing w:after="0" w:line="240" w:lineRule="auto"/>
              <w:ind w:right="123"/>
              <w:jc w:val="right"/>
              <w:rPr>
                <w:rFonts w:ascii="Times New Roman" w:eastAsia="Times New Roman" w:hAnsi="Times New Roman" w:cs="Times New Roman"/>
              </w:rPr>
            </w:pPr>
            <w:r w:rsidRPr="00DC180C">
              <w:rPr>
                <w:rFonts w:ascii="Times New Roman" w:eastAsia="Times New Roman" w:hAnsi="Times New Roman" w:cs="Times New Roman"/>
              </w:rPr>
              <w:t>44 (40)</w:t>
            </w:r>
          </w:p>
        </w:tc>
        <w:tc>
          <w:tcPr>
            <w:tcW w:w="360" w:type="dxa"/>
            <w:gridSpan w:val="2"/>
            <w:tcBorders>
              <w:top w:val="nil"/>
              <w:left w:val="nil"/>
              <w:bottom w:val="nil"/>
              <w:right w:val="nil"/>
            </w:tcBorders>
            <w:shd w:val="clear" w:color="auto" w:fill="auto"/>
            <w:vAlign w:val="bottom"/>
          </w:tcPr>
          <w:p w14:paraId="0000014A" w14:textId="77777777" w:rsidR="00556640" w:rsidRPr="00DC180C" w:rsidRDefault="00556640">
            <w:pPr>
              <w:spacing w:after="0" w:line="240" w:lineRule="auto"/>
              <w:jc w:val="center"/>
              <w:rPr>
                <w:rFonts w:ascii="Times New Roman" w:eastAsia="Times New Roman" w:hAnsi="Times New Roman" w:cs="Times New Roman"/>
              </w:rPr>
            </w:pPr>
          </w:p>
        </w:tc>
        <w:tc>
          <w:tcPr>
            <w:tcW w:w="2744" w:type="dxa"/>
            <w:gridSpan w:val="2"/>
            <w:tcBorders>
              <w:top w:val="nil"/>
              <w:left w:val="nil"/>
              <w:bottom w:val="nil"/>
              <w:right w:val="nil"/>
            </w:tcBorders>
            <w:shd w:val="clear" w:color="auto" w:fill="auto"/>
            <w:vAlign w:val="bottom"/>
          </w:tcPr>
          <w:p w14:paraId="0000014C" w14:textId="77777777" w:rsidR="00556640" w:rsidRPr="00DC180C" w:rsidRDefault="00AC3D86">
            <w:pPr>
              <w:spacing w:after="0" w:line="240" w:lineRule="auto"/>
              <w:ind w:right="651"/>
              <w:jc w:val="right"/>
              <w:rPr>
                <w:rFonts w:ascii="Times New Roman" w:eastAsia="Times New Roman" w:hAnsi="Times New Roman" w:cs="Times New Roman"/>
              </w:rPr>
            </w:pPr>
            <w:r w:rsidRPr="00DC180C">
              <w:rPr>
                <w:rFonts w:ascii="Times New Roman" w:eastAsia="Times New Roman" w:hAnsi="Times New Roman" w:cs="Times New Roman"/>
              </w:rPr>
              <w:t>32 (48)</w:t>
            </w:r>
          </w:p>
        </w:tc>
        <w:tc>
          <w:tcPr>
            <w:tcW w:w="360" w:type="dxa"/>
            <w:tcBorders>
              <w:top w:val="nil"/>
              <w:left w:val="nil"/>
              <w:bottom w:val="nil"/>
              <w:right w:val="nil"/>
            </w:tcBorders>
            <w:shd w:val="clear" w:color="auto" w:fill="auto"/>
            <w:vAlign w:val="bottom"/>
          </w:tcPr>
          <w:p w14:paraId="0000014E" w14:textId="77777777" w:rsidR="00556640" w:rsidRPr="00DC180C" w:rsidRDefault="00556640">
            <w:pPr>
              <w:spacing w:after="0" w:line="240" w:lineRule="auto"/>
              <w:jc w:val="right"/>
              <w:rPr>
                <w:rFonts w:ascii="Times New Roman" w:eastAsia="Times New Roman" w:hAnsi="Times New Roman" w:cs="Times New Roman"/>
              </w:rPr>
            </w:pPr>
          </w:p>
        </w:tc>
        <w:tc>
          <w:tcPr>
            <w:tcW w:w="2328" w:type="dxa"/>
            <w:gridSpan w:val="2"/>
            <w:tcBorders>
              <w:top w:val="nil"/>
              <w:left w:val="nil"/>
              <w:bottom w:val="nil"/>
              <w:right w:val="nil"/>
            </w:tcBorders>
            <w:shd w:val="clear" w:color="auto" w:fill="auto"/>
            <w:vAlign w:val="bottom"/>
          </w:tcPr>
          <w:p w14:paraId="0000014F" w14:textId="77777777" w:rsidR="00556640" w:rsidRPr="00DC180C" w:rsidRDefault="00AC3D86">
            <w:pPr>
              <w:spacing w:after="0" w:line="240" w:lineRule="auto"/>
              <w:ind w:right="563"/>
              <w:jc w:val="right"/>
              <w:rPr>
                <w:rFonts w:ascii="Times New Roman" w:eastAsia="Times New Roman" w:hAnsi="Times New Roman" w:cs="Times New Roman"/>
              </w:rPr>
            </w:pPr>
            <w:r w:rsidRPr="00DC180C">
              <w:rPr>
                <w:rFonts w:ascii="Times New Roman" w:eastAsia="Times New Roman" w:hAnsi="Times New Roman" w:cs="Times New Roman"/>
              </w:rPr>
              <w:t>12 (29)</w:t>
            </w:r>
          </w:p>
        </w:tc>
      </w:tr>
      <w:tr w:rsidR="00DC180C" w:rsidRPr="00DC180C" w14:paraId="605496B9" w14:textId="77777777">
        <w:trPr>
          <w:trHeight w:val="20"/>
        </w:trPr>
        <w:tc>
          <w:tcPr>
            <w:tcW w:w="55" w:type="dxa"/>
          </w:tcPr>
          <w:p w14:paraId="00000152" w14:textId="77777777" w:rsidR="00556640" w:rsidRPr="00DC180C" w:rsidRDefault="00556640">
            <w:pPr>
              <w:widowControl w:val="0"/>
              <w:pBdr>
                <w:top w:val="nil"/>
                <w:left w:val="nil"/>
                <w:bottom w:val="nil"/>
                <w:right w:val="nil"/>
                <w:between w:val="nil"/>
              </w:pBdr>
              <w:spacing w:after="0"/>
              <w:rPr>
                <w:rFonts w:ascii="Times New Roman" w:eastAsia="Times New Roman" w:hAnsi="Times New Roman" w:cs="Times New Roman"/>
              </w:rPr>
            </w:pPr>
          </w:p>
        </w:tc>
        <w:tc>
          <w:tcPr>
            <w:tcW w:w="3134" w:type="dxa"/>
            <w:gridSpan w:val="2"/>
            <w:tcBorders>
              <w:top w:val="nil"/>
              <w:left w:val="nil"/>
              <w:bottom w:val="nil"/>
              <w:right w:val="nil"/>
            </w:tcBorders>
            <w:shd w:val="clear" w:color="auto" w:fill="auto"/>
            <w:vAlign w:val="bottom"/>
          </w:tcPr>
          <w:p w14:paraId="00000153" w14:textId="77777777" w:rsidR="00556640" w:rsidRPr="00DC180C" w:rsidRDefault="00AC3D86">
            <w:pPr>
              <w:spacing w:after="0" w:line="240" w:lineRule="auto"/>
              <w:ind w:left="371"/>
              <w:rPr>
                <w:rFonts w:ascii="Times New Roman" w:eastAsia="Times New Roman" w:hAnsi="Times New Roman" w:cs="Times New Roman"/>
              </w:rPr>
            </w:pPr>
            <w:r w:rsidRPr="00DC180C">
              <w:rPr>
                <w:rFonts w:ascii="Times New Roman" w:eastAsia="Times New Roman" w:hAnsi="Times New Roman" w:cs="Times New Roman"/>
              </w:rPr>
              <w:t>Public tap</w:t>
            </w:r>
          </w:p>
        </w:tc>
        <w:tc>
          <w:tcPr>
            <w:tcW w:w="1130" w:type="dxa"/>
            <w:tcBorders>
              <w:top w:val="nil"/>
              <w:left w:val="nil"/>
              <w:bottom w:val="nil"/>
              <w:right w:val="nil"/>
            </w:tcBorders>
            <w:shd w:val="clear" w:color="auto" w:fill="auto"/>
            <w:vAlign w:val="bottom"/>
          </w:tcPr>
          <w:p w14:paraId="00000155" w14:textId="77777777" w:rsidR="00556640" w:rsidRPr="00DC180C" w:rsidRDefault="00AC3D86">
            <w:pPr>
              <w:spacing w:after="0" w:line="240" w:lineRule="auto"/>
              <w:ind w:right="123"/>
              <w:jc w:val="right"/>
              <w:rPr>
                <w:rFonts w:ascii="Times New Roman" w:eastAsia="Times New Roman" w:hAnsi="Times New Roman" w:cs="Times New Roman"/>
              </w:rPr>
            </w:pPr>
            <w:r w:rsidRPr="00DC180C">
              <w:rPr>
                <w:rFonts w:ascii="Times New Roman" w:eastAsia="Times New Roman" w:hAnsi="Times New Roman" w:cs="Times New Roman"/>
              </w:rPr>
              <w:t>49 (45)</w:t>
            </w:r>
          </w:p>
        </w:tc>
        <w:tc>
          <w:tcPr>
            <w:tcW w:w="360" w:type="dxa"/>
            <w:gridSpan w:val="2"/>
            <w:tcBorders>
              <w:top w:val="nil"/>
              <w:left w:val="nil"/>
              <w:bottom w:val="nil"/>
              <w:right w:val="nil"/>
            </w:tcBorders>
            <w:shd w:val="clear" w:color="auto" w:fill="auto"/>
            <w:vAlign w:val="bottom"/>
          </w:tcPr>
          <w:p w14:paraId="00000156" w14:textId="77777777" w:rsidR="00556640" w:rsidRPr="00DC180C" w:rsidRDefault="00556640">
            <w:pPr>
              <w:spacing w:after="0" w:line="240" w:lineRule="auto"/>
              <w:jc w:val="center"/>
              <w:rPr>
                <w:rFonts w:ascii="Times New Roman" w:eastAsia="Times New Roman" w:hAnsi="Times New Roman" w:cs="Times New Roman"/>
              </w:rPr>
            </w:pPr>
          </w:p>
        </w:tc>
        <w:tc>
          <w:tcPr>
            <w:tcW w:w="2744" w:type="dxa"/>
            <w:gridSpan w:val="2"/>
            <w:tcBorders>
              <w:top w:val="nil"/>
              <w:left w:val="nil"/>
              <w:bottom w:val="nil"/>
              <w:right w:val="nil"/>
            </w:tcBorders>
            <w:shd w:val="clear" w:color="auto" w:fill="auto"/>
            <w:vAlign w:val="bottom"/>
          </w:tcPr>
          <w:p w14:paraId="00000158" w14:textId="77777777" w:rsidR="00556640" w:rsidRPr="00DC180C" w:rsidRDefault="00AC3D86">
            <w:pPr>
              <w:spacing w:after="0" w:line="240" w:lineRule="auto"/>
              <w:ind w:right="651"/>
              <w:jc w:val="right"/>
              <w:rPr>
                <w:rFonts w:ascii="Times New Roman" w:eastAsia="Times New Roman" w:hAnsi="Times New Roman" w:cs="Times New Roman"/>
              </w:rPr>
            </w:pPr>
            <w:r w:rsidRPr="00DC180C">
              <w:rPr>
                <w:rFonts w:ascii="Times New Roman" w:eastAsia="Times New Roman" w:hAnsi="Times New Roman" w:cs="Times New Roman"/>
              </w:rPr>
              <w:t>26 (39)</w:t>
            </w:r>
          </w:p>
        </w:tc>
        <w:tc>
          <w:tcPr>
            <w:tcW w:w="360" w:type="dxa"/>
            <w:tcBorders>
              <w:top w:val="nil"/>
              <w:left w:val="nil"/>
              <w:bottom w:val="nil"/>
              <w:right w:val="nil"/>
            </w:tcBorders>
            <w:shd w:val="clear" w:color="auto" w:fill="auto"/>
            <w:vAlign w:val="bottom"/>
          </w:tcPr>
          <w:p w14:paraId="0000015A" w14:textId="77777777" w:rsidR="00556640" w:rsidRPr="00DC180C" w:rsidRDefault="00556640">
            <w:pPr>
              <w:spacing w:after="0" w:line="240" w:lineRule="auto"/>
              <w:jc w:val="right"/>
              <w:rPr>
                <w:rFonts w:ascii="Times New Roman" w:eastAsia="Times New Roman" w:hAnsi="Times New Roman" w:cs="Times New Roman"/>
              </w:rPr>
            </w:pPr>
          </w:p>
        </w:tc>
        <w:tc>
          <w:tcPr>
            <w:tcW w:w="2328" w:type="dxa"/>
            <w:gridSpan w:val="2"/>
            <w:tcBorders>
              <w:top w:val="nil"/>
              <w:left w:val="nil"/>
              <w:bottom w:val="nil"/>
              <w:right w:val="nil"/>
            </w:tcBorders>
            <w:shd w:val="clear" w:color="auto" w:fill="auto"/>
            <w:vAlign w:val="bottom"/>
          </w:tcPr>
          <w:p w14:paraId="0000015B" w14:textId="77777777" w:rsidR="00556640" w:rsidRPr="00DC180C" w:rsidRDefault="00AC3D86">
            <w:pPr>
              <w:spacing w:after="0" w:line="240" w:lineRule="auto"/>
              <w:ind w:right="563"/>
              <w:jc w:val="right"/>
              <w:rPr>
                <w:rFonts w:ascii="Times New Roman" w:eastAsia="Times New Roman" w:hAnsi="Times New Roman" w:cs="Times New Roman"/>
              </w:rPr>
            </w:pPr>
            <w:r w:rsidRPr="00DC180C">
              <w:rPr>
                <w:rFonts w:ascii="Times New Roman" w:eastAsia="Times New Roman" w:hAnsi="Times New Roman" w:cs="Times New Roman"/>
              </w:rPr>
              <w:t>23 (55)</w:t>
            </w:r>
          </w:p>
        </w:tc>
      </w:tr>
      <w:tr w:rsidR="00DC180C" w:rsidRPr="00DC180C" w14:paraId="28273371" w14:textId="77777777">
        <w:trPr>
          <w:trHeight w:val="20"/>
        </w:trPr>
        <w:tc>
          <w:tcPr>
            <w:tcW w:w="55" w:type="dxa"/>
          </w:tcPr>
          <w:p w14:paraId="0000015E" w14:textId="77777777" w:rsidR="00556640" w:rsidRPr="00DC180C" w:rsidRDefault="00556640">
            <w:pPr>
              <w:widowControl w:val="0"/>
              <w:pBdr>
                <w:top w:val="nil"/>
                <w:left w:val="nil"/>
                <w:bottom w:val="nil"/>
                <w:right w:val="nil"/>
                <w:between w:val="nil"/>
              </w:pBdr>
              <w:spacing w:after="0"/>
              <w:rPr>
                <w:rFonts w:ascii="Times New Roman" w:eastAsia="Times New Roman" w:hAnsi="Times New Roman" w:cs="Times New Roman"/>
              </w:rPr>
            </w:pPr>
          </w:p>
        </w:tc>
        <w:tc>
          <w:tcPr>
            <w:tcW w:w="3134" w:type="dxa"/>
            <w:gridSpan w:val="2"/>
            <w:tcBorders>
              <w:top w:val="nil"/>
              <w:left w:val="nil"/>
              <w:bottom w:val="nil"/>
              <w:right w:val="nil"/>
            </w:tcBorders>
            <w:shd w:val="clear" w:color="auto" w:fill="auto"/>
            <w:vAlign w:val="bottom"/>
          </w:tcPr>
          <w:p w14:paraId="0000015F" w14:textId="77777777" w:rsidR="00556640" w:rsidRPr="00DC180C" w:rsidRDefault="00AC3D86">
            <w:pPr>
              <w:spacing w:after="0" w:line="240" w:lineRule="auto"/>
              <w:ind w:left="371"/>
              <w:rPr>
                <w:rFonts w:ascii="Times New Roman" w:eastAsia="Times New Roman" w:hAnsi="Times New Roman" w:cs="Times New Roman"/>
              </w:rPr>
            </w:pPr>
            <w:r w:rsidRPr="00DC180C">
              <w:rPr>
                <w:rFonts w:ascii="Times New Roman" w:eastAsia="Times New Roman" w:hAnsi="Times New Roman" w:cs="Times New Roman"/>
              </w:rPr>
              <w:t>Hand pump</w:t>
            </w:r>
          </w:p>
        </w:tc>
        <w:tc>
          <w:tcPr>
            <w:tcW w:w="1130" w:type="dxa"/>
            <w:tcBorders>
              <w:top w:val="nil"/>
              <w:left w:val="nil"/>
              <w:bottom w:val="nil"/>
              <w:right w:val="nil"/>
            </w:tcBorders>
            <w:shd w:val="clear" w:color="auto" w:fill="auto"/>
            <w:vAlign w:val="bottom"/>
          </w:tcPr>
          <w:p w14:paraId="00000161" w14:textId="77777777" w:rsidR="00556640" w:rsidRPr="00DC180C" w:rsidRDefault="00AC3D86">
            <w:pPr>
              <w:spacing w:after="0" w:line="240" w:lineRule="auto"/>
              <w:ind w:right="123"/>
              <w:jc w:val="right"/>
              <w:rPr>
                <w:rFonts w:ascii="Times New Roman" w:eastAsia="Times New Roman" w:hAnsi="Times New Roman" w:cs="Times New Roman"/>
              </w:rPr>
            </w:pPr>
            <w:r w:rsidRPr="00DC180C">
              <w:rPr>
                <w:rFonts w:ascii="Times New Roman" w:eastAsia="Times New Roman" w:hAnsi="Times New Roman" w:cs="Times New Roman"/>
              </w:rPr>
              <w:t>13 (12)</w:t>
            </w:r>
          </w:p>
        </w:tc>
        <w:tc>
          <w:tcPr>
            <w:tcW w:w="360" w:type="dxa"/>
            <w:gridSpan w:val="2"/>
            <w:tcBorders>
              <w:top w:val="nil"/>
              <w:left w:val="nil"/>
              <w:bottom w:val="nil"/>
              <w:right w:val="nil"/>
            </w:tcBorders>
            <w:shd w:val="clear" w:color="auto" w:fill="auto"/>
            <w:vAlign w:val="bottom"/>
          </w:tcPr>
          <w:p w14:paraId="00000162" w14:textId="77777777" w:rsidR="00556640" w:rsidRPr="00DC180C" w:rsidRDefault="00556640">
            <w:pPr>
              <w:spacing w:after="0" w:line="240" w:lineRule="auto"/>
              <w:jc w:val="center"/>
              <w:rPr>
                <w:rFonts w:ascii="Times New Roman" w:eastAsia="Times New Roman" w:hAnsi="Times New Roman" w:cs="Times New Roman"/>
              </w:rPr>
            </w:pPr>
          </w:p>
        </w:tc>
        <w:tc>
          <w:tcPr>
            <w:tcW w:w="2744" w:type="dxa"/>
            <w:gridSpan w:val="2"/>
            <w:tcBorders>
              <w:top w:val="nil"/>
              <w:left w:val="nil"/>
              <w:bottom w:val="nil"/>
              <w:right w:val="nil"/>
            </w:tcBorders>
            <w:shd w:val="clear" w:color="auto" w:fill="auto"/>
            <w:vAlign w:val="bottom"/>
          </w:tcPr>
          <w:p w14:paraId="00000164" w14:textId="77777777" w:rsidR="00556640" w:rsidRPr="00DC180C" w:rsidRDefault="00AC3D86">
            <w:pPr>
              <w:spacing w:after="0" w:line="240" w:lineRule="auto"/>
              <w:ind w:right="651"/>
              <w:jc w:val="right"/>
              <w:rPr>
                <w:rFonts w:ascii="Times New Roman" w:eastAsia="Times New Roman" w:hAnsi="Times New Roman" w:cs="Times New Roman"/>
              </w:rPr>
            </w:pPr>
            <w:r w:rsidRPr="00DC180C">
              <w:rPr>
                <w:rFonts w:ascii="Times New Roman" w:eastAsia="Times New Roman" w:hAnsi="Times New Roman" w:cs="Times New Roman"/>
              </w:rPr>
              <w:t>9 (13)</w:t>
            </w:r>
          </w:p>
        </w:tc>
        <w:tc>
          <w:tcPr>
            <w:tcW w:w="360" w:type="dxa"/>
            <w:tcBorders>
              <w:top w:val="nil"/>
              <w:left w:val="nil"/>
              <w:bottom w:val="nil"/>
              <w:right w:val="nil"/>
            </w:tcBorders>
            <w:shd w:val="clear" w:color="auto" w:fill="auto"/>
            <w:vAlign w:val="bottom"/>
          </w:tcPr>
          <w:p w14:paraId="00000166" w14:textId="77777777" w:rsidR="00556640" w:rsidRPr="00DC180C" w:rsidRDefault="00556640">
            <w:pPr>
              <w:spacing w:after="0" w:line="240" w:lineRule="auto"/>
              <w:jc w:val="right"/>
              <w:rPr>
                <w:rFonts w:ascii="Times New Roman" w:eastAsia="Times New Roman" w:hAnsi="Times New Roman" w:cs="Times New Roman"/>
              </w:rPr>
            </w:pPr>
          </w:p>
        </w:tc>
        <w:tc>
          <w:tcPr>
            <w:tcW w:w="2328" w:type="dxa"/>
            <w:gridSpan w:val="2"/>
            <w:tcBorders>
              <w:top w:val="nil"/>
              <w:left w:val="nil"/>
              <w:bottom w:val="nil"/>
              <w:right w:val="nil"/>
            </w:tcBorders>
            <w:shd w:val="clear" w:color="auto" w:fill="auto"/>
            <w:vAlign w:val="bottom"/>
          </w:tcPr>
          <w:p w14:paraId="00000167" w14:textId="77777777" w:rsidR="00556640" w:rsidRPr="00DC180C" w:rsidRDefault="00AC3D86">
            <w:pPr>
              <w:spacing w:after="0" w:line="240" w:lineRule="auto"/>
              <w:ind w:right="563"/>
              <w:jc w:val="right"/>
              <w:rPr>
                <w:rFonts w:ascii="Times New Roman" w:eastAsia="Times New Roman" w:hAnsi="Times New Roman" w:cs="Times New Roman"/>
              </w:rPr>
            </w:pPr>
            <w:r w:rsidRPr="00DC180C">
              <w:rPr>
                <w:rFonts w:ascii="Times New Roman" w:eastAsia="Times New Roman" w:hAnsi="Times New Roman" w:cs="Times New Roman"/>
              </w:rPr>
              <w:t>4 (10)</w:t>
            </w:r>
          </w:p>
        </w:tc>
      </w:tr>
      <w:tr w:rsidR="00DC180C" w:rsidRPr="00DC180C" w14:paraId="02ED2FAD" w14:textId="77777777">
        <w:trPr>
          <w:trHeight w:val="20"/>
        </w:trPr>
        <w:tc>
          <w:tcPr>
            <w:tcW w:w="55" w:type="dxa"/>
          </w:tcPr>
          <w:p w14:paraId="0000016A" w14:textId="77777777" w:rsidR="00556640" w:rsidRPr="00DC180C" w:rsidRDefault="00556640">
            <w:pPr>
              <w:widowControl w:val="0"/>
              <w:pBdr>
                <w:top w:val="nil"/>
                <w:left w:val="nil"/>
                <w:bottom w:val="nil"/>
                <w:right w:val="nil"/>
                <w:between w:val="nil"/>
              </w:pBdr>
              <w:spacing w:after="0"/>
              <w:rPr>
                <w:rFonts w:ascii="Times New Roman" w:eastAsia="Times New Roman" w:hAnsi="Times New Roman" w:cs="Times New Roman"/>
              </w:rPr>
            </w:pPr>
          </w:p>
        </w:tc>
        <w:tc>
          <w:tcPr>
            <w:tcW w:w="3134" w:type="dxa"/>
            <w:gridSpan w:val="2"/>
            <w:tcBorders>
              <w:top w:val="nil"/>
              <w:left w:val="nil"/>
              <w:bottom w:val="nil"/>
              <w:right w:val="nil"/>
            </w:tcBorders>
            <w:shd w:val="clear" w:color="auto" w:fill="auto"/>
            <w:vAlign w:val="bottom"/>
          </w:tcPr>
          <w:p w14:paraId="0000016B" w14:textId="77777777" w:rsidR="00556640" w:rsidRPr="00DC180C" w:rsidRDefault="00AC3D86">
            <w:pPr>
              <w:spacing w:after="0" w:line="240" w:lineRule="auto"/>
              <w:ind w:left="371"/>
              <w:rPr>
                <w:rFonts w:ascii="Times New Roman" w:eastAsia="Times New Roman" w:hAnsi="Times New Roman" w:cs="Times New Roman"/>
              </w:rPr>
            </w:pPr>
            <w:r w:rsidRPr="00DC180C">
              <w:rPr>
                <w:rFonts w:ascii="Times New Roman" w:eastAsia="Times New Roman" w:hAnsi="Times New Roman" w:cs="Times New Roman"/>
              </w:rPr>
              <w:t>Well/Tanker</w:t>
            </w:r>
          </w:p>
        </w:tc>
        <w:tc>
          <w:tcPr>
            <w:tcW w:w="1130" w:type="dxa"/>
            <w:tcBorders>
              <w:top w:val="nil"/>
              <w:left w:val="nil"/>
              <w:bottom w:val="nil"/>
              <w:right w:val="nil"/>
            </w:tcBorders>
            <w:shd w:val="clear" w:color="auto" w:fill="auto"/>
            <w:vAlign w:val="bottom"/>
          </w:tcPr>
          <w:p w14:paraId="0000016D" w14:textId="77777777" w:rsidR="00556640" w:rsidRPr="00DC180C" w:rsidRDefault="00AC3D86">
            <w:pPr>
              <w:spacing w:after="0" w:line="240" w:lineRule="auto"/>
              <w:ind w:right="123"/>
              <w:jc w:val="right"/>
              <w:rPr>
                <w:rFonts w:ascii="Times New Roman" w:eastAsia="Times New Roman" w:hAnsi="Times New Roman" w:cs="Times New Roman"/>
              </w:rPr>
            </w:pPr>
            <w:r w:rsidRPr="00DC180C">
              <w:rPr>
                <w:rFonts w:ascii="Times New Roman" w:eastAsia="Times New Roman" w:hAnsi="Times New Roman" w:cs="Times New Roman"/>
              </w:rPr>
              <w:t>3 (3)</w:t>
            </w:r>
          </w:p>
        </w:tc>
        <w:tc>
          <w:tcPr>
            <w:tcW w:w="360" w:type="dxa"/>
            <w:gridSpan w:val="2"/>
            <w:tcBorders>
              <w:top w:val="nil"/>
              <w:left w:val="nil"/>
              <w:bottom w:val="nil"/>
              <w:right w:val="nil"/>
            </w:tcBorders>
            <w:shd w:val="clear" w:color="auto" w:fill="auto"/>
            <w:vAlign w:val="bottom"/>
          </w:tcPr>
          <w:p w14:paraId="0000016E" w14:textId="77777777" w:rsidR="00556640" w:rsidRPr="00DC180C" w:rsidRDefault="00556640">
            <w:pPr>
              <w:spacing w:after="0" w:line="240" w:lineRule="auto"/>
              <w:jc w:val="center"/>
              <w:rPr>
                <w:rFonts w:ascii="Times New Roman" w:eastAsia="Times New Roman" w:hAnsi="Times New Roman" w:cs="Times New Roman"/>
              </w:rPr>
            </w:pPr>
          </w:p>
        </w:tc>
        <w:tc>
          <w:tcPr>
            <w:tcW w:w="2744" w:type="dxa"/>
            <w:gridSpan w:val="2"/>
            <w:tcBorders>
              <w:top w:val="nil"/>
              <w:left w:val="nil"/>
              <w:bottom w:val="nil"/>
              <w:right w:val="nil"/>
            </w:tcBorders>
            <w:shd w:val="clear" w:color="auto" w:fill="auto"/>
            <w:vAlign w:val="bottom"/>
          </w:tcPr>
          <w:p w14:paraId="00000170" w14:textId="77777777" w:rsidR="00556640" w:rsidRPr="00DC180C" w:rsidRDefault="00AC3D86">
            <w:pPr>
              <w:spacing w:after="0" w:line="240" w:lineRule="auto"/>
              <w:ind w:right="651"/>
              <w:jc w:val="right"/>
              <w:rPr>
                <w:rFonts w:ascii="Times New Roman" w:eastAsia="Times New Roman" w:hAnsi="Times New Roman" w:cs="Times New Roman"/>
              </w:rPr>
            </w:pPr>
            <w:r w:rsidRPr="00DC180C">
              <w:rPr>
                <w:rFonts w:ascii="Times New Roman" w:eastAsia="Times New Roman" w:hAnsi="Times New Roman" w:cs="Times New Roman"/>
              </w:rPr>
              <w:t>0 (0)</w:t>
            </w:r>
          </w:p>
        </w:tc>
        <w:tc>
          <w:tcPr>
            <w:tcW w:w="360" w:type="dxa"/>
            <w:tcBorders>
              <w:top w:val="nil"/>
              <w:left w:val="nil"/>
              <w:bottom w:val="nil"/>
              <w:right w:val="nil"/>
            </w:tcBorders>
            <w:shd w:val="clear" w:color="auto" w:fill="auto"/>
            <w:vAlign w:val="bottom"/>
          </w:tcPr>
          <w:p w14:paraId="00000172" w14:textId="77777777" w:rsidR="00556640" w:rsidRPr="00DC180C" w:rsidRDefault="00556640">
            <w:pPr>
              <w:spacing w:after="0" w:line="240" w:lineRule="auto"/>
              <w:jc w:val="right"/>
              <w:rPr>
                <w:rFonts w:ascii="Times New Roman" w:eastAsia="Times New Roman" w:hAnsi="Times New Roman" w:cs="Times New Roman"/>
              </w:rPr>
            </w:pPr>
          </w:p>
        </w:tc>
        <w:tc>
          <w:tcPr>
            <w:tcW w:w="2328" w:type="dxa"/>
            <w:gridSpan w:val="2"/>
            <w:tcBorders>
              <w:top w:val="nil"/>
              <w:left w:val="nil"/>
              <w:bottom w:val="nil"/>
              <w:right w:val="nil"/>
            </w:tcBorders>
            <w:shd w:val="clear" w:color="auto" w:fill="auto"/>
            <w:vAlign w:val="bottom"/>
          </w:tcPr>
          <w:p w14:paraId="00000173" w14:textId="77777777" w:rsidR="00556640" w:rsidRPr="00DC180C" w:rsidRDefault="00AC3D86">
            <w:pPr>
              <w:spacing w:after="0" w:line="240" w:lineRule="auto"/>
              <w:ind w:right="563"/>
              <w:jc w:val="right"/>
              <w:rPr>
                <w:rFonts w:ascii="Times New Roman" w:eastAsia="Times New Roman" w:hAnsi="Times New Roman" w:cs="Times New Roman"/>
              </w:rPr>
            </w:pPr>
            <w:r w:rsidRPr="00DC180C">
              <w:rPr>
                <w:rFonts w:ascii="Times New Roman" w:eastAsia="Times New Roman" w:hAnsi="Times New Roman" w:cs="Times New Roman"/>
              </w:rPr>
              <w:t>3 (7)</w:t>
            </w:r>
          </w:p>
        </w:tc>
      </w:tr>
      <w:tr w:rsidR="00DC180C" w:rsidRPr="00DC180C" w14:paraId="604AA71C" w14:textId="77777777">
        <w:trPr>
          <w:trHeight w:val="20"/>
        </w:trPr>
        <w:tc>
          <w:tcPr>
            <w:tcW w:w="55" w:type="dxa"/>
          </w:tcPr>
          <w:p w14:paraId="00000176" w14:textId="77777777" w:rsidR="00556640" w:rsidRPr="00DC180C" w:rsidRDefault="00556640">
            <w:pPr>
              <w:widowControl w:val="0"/>
              <w:pBdr>
                <w:top w:val="nil"/>
                <w:left w:val="nil"/>
                <w:bottom w:val="nil"/>
                <w:right w:val="nil"/>
                <w:between w:val="nil"/>
              </w:pBdr>
              <w:spacing w:after="0"/>
              <w:rPr>
                <w:rFonts w:ascii="Times New Roman" w:eastAsia="Times New Roman" w:hAnsi="Times New Roman" w:cs="Times New Roman"/>
              </w:rPr>
            </w:pPr>
          </w:p>
        </w:tc>
        <w:tc>
          <w:tcPr>
            <w:tcW w:w="3134" w:type="dxa"/>
            <w:gridSpan w:val="2"/>
            <w:tcBorders>
              <w:top w:val="nil"/>
              <w:left w:val="nil"/>
              <w:bottom w:val="nil"/>
              <w:right w:val="nil"/>
            </w:tcBorders>
            <w:shd w:val="clear" w:color="auto" w:fill="auto"/>
            <w:vAlign w:val="bottom"/>
          </w:tcPr>
          <w:p w14:paraId="00000177" w14:textId="77777777" w:rsidR="00556640" w:rsidRPr="00DC180C" w:rsidRDefault="00AC3D86">
            <w:pPr>
              <w:spacing w:after="0" w:line="240" w:lineRule="auto"/>
              <w:ind w:left="229"/>
              <w:rPr>
                <w:rFonts w:ascii="Times New Roman" w:eastAsia="Times New Roman" w:hAnsi="Times New Roman" w:cs="Times New Roman"/>
                <w:b/>
              </w:rPr>
            </w:pPr>
            <w:r w:rsidRPr="00DC180C">
              <w:rPr>
                <w:rFonts w:ascii="Times New Roman" w:eastAsia="Times New Roman" w:hAnsi="Times New Roman" w:cs="Times New Roman"/>
                <w:b/>
              </w:rPr>
              <w:t>Toilet facilites</w:t>
            </w:r>
          </w:p>
        </w:tc>
        <w:tc>
          <w:tcPr>
            <w:tcW w:w="1130" w:type="dxa"/>
            <w:tcBorders>
              <w:top w:val="nil"/>
              <w:left w:val="nil"/>
              <w:bottom w:val="nil"/>
              <w:right w:val="nil"/>
            </w:tcBorders>
            <w:shd w:val="clear" w:color="auto" w:fill="auto"/>
            <w:vAlign w:val="bottom"/>
          </w:tcPr>
          <w:p w14:paraId="00000179" w14:textId="77777777" w:rsidR="00556640" w:rsidRPr="00DC180C" w:rsidRDefault="00556640">
            <w:pPr>
              <w:spacing w:after="0" w:line="240" w:lineRule="auto"/>
              <w:ind w:right="123"/>
              <w:jc w:val="right"/>
              <w:rPr>
                <w:rFonts w:ascii="Times New Roman" w:eastAsia="Times New Roman" w:hAnsi="Times New Roman" w:cs="Times New Roman"/>
              </w:rPr>
            </w:pPr>
          </w:p>
        </w:tc>
        <w:tc>
          <w:tcPr>
            <w:tcW w:w="360" w:type="dxa"/>
            <w:gridSpan w:val="2"/>
            <w:tcBorders>
              <w:top w:val="nil"/>
              <w:left w:val="nil"/>
              <w:bottom w:val="nil"/>
              <w:right w:val="nil"/>
            </w:tcBorders>
            <w:shd w:val="clear" w:color="auto" w:fill="auto"/>
            <w:vAlign w:val="bottom"/>
          </w:tcPr>
          <w:p w14:paraId="0000017A" w14:textId="77777777" w:rsidR="00556640" w:rsidRPr="00DC180C" w:rsidRDefault="00556640">
            <w:pPr>
              <w:spacing w:after="0" w:line="240" w:lineRule="auto"/>
              <w:jc w:val="center"/>
              <w:rPr>
                <w:rFonts w:ascii="Times New Roman" w:eastAsia="Times New Roman" w:hAnsi="Times New Roman" w:cs="Times New Roman"/>
              </w:rPr>
            </w:pPr>
          </w:p>
        </w:tc>
        <w:tc>
          <w:tcPr>
            <w:tcW w:w="2744" w:type="dxa"/>
            <w:gridSpan w:val="2"/>
            <w:tcBorders>
              <w:top w:val="nil"/>
              <w:left w:val="nil"/>
              <w:bottom w:val="nil"/>
              <w:right w:val="nil"/>
            </w:tcBorders>
            <w:shd w:val="clear" w:color="auto" w:fill="auto"/>
            <w:vAlign w:val="bottom"/>
          </w:tcPr>
          <w:p w14:paraId="0000017C" w14:textId="77777777" w:rsidR="00556640" w:rsidRPr="00DC180C" w:rsidRDefault="00556640">
            <w:pPr>
              <w:spacing w:after="0" w:line="240" w:lineRule="auto"/>
              <w:ind w:right="651"/>
              <w:jc w:val="right"/>
              <w:rPr>
                <w:rFonts w:ascii="Times New Roman" w:eastAsia="Times New Roman" w:hAnsi="Times New Roman" w:cs="Times New Roman"/>
              </w:rPr>
            </w:pPr>
          </w:p>
        </w:tc>
        <w:tc>
          <w:tcPr>
            <w:tcW w:w="360" w:type="dxa"/>
            <w:tcBorders>
              <w:top w:val="nil"/>
              <w:left w:val="nil"/>
              <w:bottom w:val="nil"/>
              <w:right w:val="nil"/>
            </w:tcBorders>
            <w:shd w:val="clear" w:color="auto" w:fill="auto"/>
            <w:vAlign w:val="bottom"/>
          </w:tcPr>
          <w:p w14:paraId="0000017E" w14:textId="77777777" w:rsidR="00556640" w:rsidRPr="00DC180C" w:rsidRDefault="00556640">
            <w:pPr>
              <w:spacing w:after="0" w:line="240" w:lineRule="auto"/>
              <w:jc w:val="right"/>
              <w:rPr>
                <w:rFonts w:ascii="Times New Roman" w:eastAsia="Times New Roman" w:hAnsi="Times New Roman" w:cs="Times New Roman"/>
              </w:rPr>
            </w:pPr>
          </w:p>
        </w:tc>
        <w:tc>
          <w:tcPr>
            <w:tcW w:w="2328" w:type="dxa"/>
            <w:gridSpan w:val="2"/>
            <w:tcBorders>
              <w:top w:val="nil"/>
              <w:left w:val="nil"/>
              <w:bottom w:val="nil"/>
              <w:right w:val="nil"/>
            </w:tcBorders>
            <w:shd w:val="clear" w:color="auto" w:fill="auto"/>
            <w:vAlign w:val="bottom"/>
          </w:tcPr>
          <w:p w14:paraId="0000017F" w14:textId="77777777" w:rsidR="00556640" w:rsidRPr="00DC180C" w:rsidRDefault="00556640">
            <w:pPr>
              <w:spacing w:after="0" w:line="240" w:lineRule="auto"/>
              <w:ind w:right="563"/>
              <w:jc w:val="right"/>
              <w:rPr>
                <w:rFonts w:ascii="Times New Roman" w:eastAsia="Times New Roman" w:hAnsi="Times New Roman" w:cs="Times New Roman"/>
              </w:rPr>
            </w:pPr>
          </w:p>
        </w:tc>
      </w:tr>
      <w:tr w:rsidR="00DC180C" w:rsidRPr="00DC180C" w14:paraId="2AF9BDE9" w14:textId="77777777">
        <w:trPr>
          <w:trHeight w:val="20"/>
        </w:trPr>
        <w:tc>
          <w:tcPr>
            <w:tcW w:w="55" w:type="dxa"/>
          </w:tcPr>
          <w:p w14:paraId="00000182" w14:textId="77777777" w:rsidR="00556640" w:rsidRPr="00DC180C" w:rsidRDefault="00556640">
            <w:pPr>
              <w:widowControl w:val="0"/>
              <w:pBdr>
                <w:top w:val="nil"/>
                <w:left w:val="nil"/>
                <w:bottom w:val="nil"/>
                <w:right w:val="nil"/>
                <w:between w:val="nil"/>
              </w:pBdr>
              <w:spacing w:after="0"/>
              <w:rPr>
                <w:rFonts w:ascii="Times New Roman" w:eastAsia="Times New Roman" w:hAnsi="Times New Roman" w:cs="Times New Roman"/>
              </w:rPr>
            </w:pPr>
          </w:p>
        </w:tc>
        <w:tc>
          <w:tcPr>
            <w:tcW w:w="3134" w:type="dxa"/>
            <w:gridSpan w:val="2"/>
            <w:tcBorders>
              <w:top w:val="nil"/>
              <w:left w:val="nil"/>
              <w:bottom w:val="nil"/>
              <w:right w:val="nil"/>
            </w:tcBorders>
            <w:shd w:val="clear" w:color="auto" w:fill="auto"/>
            <w:vAlign w:val="bottom"/>
          </w:tcPr>
          <w:p w14:paraId="00000183" w14:textId="77777777" w:rsidR="00556640" w:rsidRPr="00DC180C" w:rsidRDefault="00AC3D86">
            <w:pPr>
              <w:spacing w:after="0" w:line="240" w:lineRule="auto"/>
              <w:ind w:left="371"/>
              <w:rPr>
                <w:rFonts w:ascii="Times New Roman" w:eastAsia="Times New Roman" w:hAnsi="Times New Roman" w:cs="Times New Roman"/>
              </w:rPr>
            </w:pPr>
            <w:r w:rsidRPr="00DC180C">
              <w:rPr>
                <w:rFonts w:ascii="Times New Roman" w:eastAsia="Times New Roman" w:hAnsi="Times New Roman" w:cs="Times New Roman"/>
              </w:rPr>
              <w:t>Own pit toilet</w:t>
            </w:r>
          </w:p>
        </w:tc>
        <w:tc>
          <w:tcPr>
            <w:tcW w:w="1130" w:type="dxa"/>
            <w:tcBorders>
              <w:top w:val="nil"/>
              <w:left w:val="nil"/>
              <w:bottom w:val="nil"/>
              <w:right w:val="nil"/>
            </w:tcBorders>
            <w:shd w:val="clear" w:color="auto" w:fill="auto"/>
            <w:vAlign w:val="bottom"/>
          </w:tcPr>
          <w:p w14:paraId="00000185" w14:textId="77777777" w:rsidR="00556640" w:rsidRPr="00DC180C" w:rsidRDefault="00AC3D86">
            <w:pPr>
              <w:spacing w:after="0" w:line="240" w:lineRule="auto"/>
              <w:ind w:right="123"/>
              <w:jc w:val="right"/>
              <w:rPr>
                <w:rFonts w:ascii="Times New Roman" w:eastAsia="Times New Roman" w:hAnsi="Times New Roman" w:cs="Times New Roman"/>
              </w:rPr>
            </w:pPr>
            <w:r w:rsidRPr="00DC180C">
              <w:rPr>
                <w:rFonts w:ascii="Times New Roman" w:eastAsia="Times New Roman" w:hAnsi="Times New Roman" w:cs="Times New Roman"/>
              </w:rPr>
              <w:t>47 (43)</w:t>
            </w:r>
          </w:p>
        </w:tc>
        <w:tc>
          <w:tcPr>
            <w:tcW w:w="360" w:type="dxa"/>
            <w:gridSpan w:val="2"/>
            <w:tcBorders>
              <w:top w:val="nil"/>
              <w:left w:val="nil"/>
              <w:bottom w:val="nil"/>
              <w:right w:val="nil"/>
            </w:tcBorders>
            <w:shd w:val="clear" w:color="auto" w:fill="auto"/>
            <w:vAlign w:val="bottom"/>
          </w:tcPr>
          <w:p w14:paraId="00000186" w14:textId="77777777" w:rsidR="00556640" w:rsidRPr="00DC180C" w:rsidRDefault="00556640">
            <w:pPr>
              <w:spacing w:after="0" w:line="240" w:lineRule="auto"/>
              <w:jc w:val="center"/>
              <w:rPr>
                <w:rFonts w:ascii="Times New Roman" w:eastAsia="Times New Roman" w:hAnsi="Times New Roman" w:cs="Times New Roman"/>
              </w:rPr>
            </w:pPr>
          </w:p>
        </w:tc>
        <w:tc>
          <w:tcPr>
            <w:tcW w:w="2744" w:type="dxa"/>
            <w:gridSpan w:val="2"/>
            <w:tcBorders>
              <w:top w:val="nil"/>
              <w:left w:val="nil"/>
              <w:bottom w:val="nil"/>
              <w:right w:val="nil"/>
            </w:tcBorders>
            <w:shd w:val="clear" w:color="auto" w:fill="auto"/>
            <w:vAlign w:val="bottom"/>
          </w:tcPr>
          <w:p w14:paraId="00000188" w14:textId="77777777" w:rsidR="00556640" w:rsidRPr="00DC180C" w:rsidRDefault="00AC3D86">
            <w:pPr>
              <w:spacing w:after="0" w:line="240" w:lineRule="auto"/>
              <w:ind w:right="651"/>
              <w:jc w:val="right"/>
              <w:rPr>
                <w:rFonts w:ascii="Times New Roman" w:eastAsia="Times New Roman" w:hAnsi="Times New Roman" w:cs="Times New Roman"/>
              </w:rPr>
            </w:pPr>
            <w:r w:rsidRPr="00DC180C">
              <w:rPr>
                <w:rFonts w:ascii="Times New Roman" w:eastAsia="Times New Roman" w:hAnsi="Times New Roman" w:cs="Times New Roman"/>
              </w:rPr>
              <w:t>28 (42)</w:t>
            </w:r>
          </w:p>
        </w:tc>
        <w:tc>
          <w:tcPr>
            <w:tcW w:w="360" w:type="dxa"/>
            <w:tcBorders>
              <w:top w:val="nil"/>
              <w:left w:val="nil"/>
              <w:bottom w:val="nil"/>
              <w:right w:val="nil"/>
            </w:tcBorders>
            <w:shd w:val="clear" w:color="auto" w:fill="auto"/>
            <w:vAlign w:val="bottom"/>
          </w:tcPr>
          <w:p w14:paraId="0000018A" w14:textId="77777777" w:rsidR="00556640" w:rsidRPr="00DC180C" w:rsidRDefault="00556640">
            <w:pPr>
              <w:spacing w:after="0" w:line="240" w:lineRule="auto"/>
              <w:jc w:val="right"/>
              <w:rPr>
                <w:rFonts w:ascii="Times New Roman" w:eastAsia="Times New Roman" w:hAnsi="Times New Roman" w:cs="Times New Roman"/>
              </w:rPr>
            </w:pPr>
          </w:p>
        </w:tc>
        <w:tc>
          <w:tcPr>
            <w:tcW w:w="2328" w:type="dxa"/>
            <w:gridSpan w:val="2"/>
            <w:tcBorders>
              <w:top w:val="nil"/>
              <w:left w:val="nil"/>
              <w:bottom w:val="nil"/>
              <w:right w:val="nil"/>
            </w:tcBorders>
            <w:shd w:val="clear" w:color="auto" w:fill="auto"/>
            <w:vAlign w:val="bottom"/>
          </w:tcPr>
          <w:p w14:paraId="0000018B" w14:textId="77777777" w:rsidR="00556640" w:rsidRPr="00DC180C" w:rsidRDefault="00AC3D86">
            <w:pPr>
              <w:spacing w:after="0" w:line="240" w:lineRule="auto"/>
              <w:ind w:right="563"/>
              <w:jc w:val="right"/>
              <w:rPr>
                <w:rFonts w:ascii="Times New Roman" w:eastAsia="Times New Roman" w:hAnsi="Times New Roman" w:cs="Times New Roman"/>
              </w:rPr>
            </w:pPr>
            <w:r w:rsidRPr="00DC180C">
              <w:rPr>
                <w:rFonts w:ascii="Times New Roman" w:eastAsia="Times New Roman" w:hAnsi="Times New Roman" w:cs="Times New Roman"/>
              </w:rPr>
              <w:t>19 (45)</w:t>
            </w:r>
          </w:p>
        </w:tc>
      </w:tr>
      <w:tr w:rsidR="00DC180C" w:rsidRPr="00DC180C" w14:paraId="49F74ADE" w14:textId="77777777">
        <w:trPr>
          <w:trHeight w:val="20"/>
        </w:trPr>
        <w:tc>
          <w:tcPr>
            <w:tcW w:w="55" w:type="dxa"/>
          </w:tcPr>
          <w:p w14:paraId="0000018E" w14:textId="77777777" w:rsidR="00556640" w:rsidRPr="00DC180C" w:rsidRDefault="00556640">
            <w:pPr>
              <w:widowControl w:val="0"/>
              <w:pBdr>
                <w:top w:val="nil"/>
                <w:left w:val="nil"/>
                <w:bottom w:val="nil"/>
                <w:right w:val="nil"/>
                <w:between w:val="nil"/>
              </w:pBdr>
              <w:spacing w:after="0"/>
              <w:rPr>
                <w:rFonts w:ascii="Times New Roman" w:eastAsia="Times New Roman" w:hAnsi="Times New Roman" w:cs="Times New Roman"/>
              </w:rPr>
            </w:pPr>
          </w:p>
        </w:tc>
        <w:tc>
          <w:tcPr>
            <w:tcW w:w="3134" w:type="dxa"/>
            <w:gridSpan w:val="2"/>
            <w:tcBorders>
              <w:top w:val="nil"/>
              <w:left w:val="nil"/>
              <w:bottom w:val="nil"/>
              <w:right w:val="nil"/>
            </w:tcBorders>
            <w:shd w:val="clear" w:color="auto" w:fill="auto"/>
            <w:vAlign w:val="bottom"/>
          </w:tcPr>
          <w:p w14:paraId="0000018F" w14:textId="77777777" w:rsidR="00556640" w:rsidRPr="00DC180C" w:rsidRDefault="00AC3D86">
            <w:pPr>
              <w:spacing w:after="0" w:line="240" w:lineRule="auto"/>
              <w:ind w:left="371"/>
              <w:rPr>
                <w:rFonts w:ascii="Times New Roman" w:eastAsia="Times New Roman" w:hAnsi="Times New Roman" w:cs="Times New Roman"/>
              </w:rPr>
            </w:pPr>
            <w:r w:rsidRPr="00DC180C">
              <w:rPr>
                <w:rFonts w:ascii="Times New Roman" w:eastAsia="Times New Roman" w:hAnsi="Times New Roman" w:cs="Times New Roman"/>
              </w:rPr>
              <w:t>Own flush toilet</w:t>
            </w:r>
          </w:p>
        </w:tc>
        <w:tc>
          <w:tcPr>
            <w:tcW w:w="1130" w:type="dxa"/>
            <w:tcBorders>
              <w:top w:val="nil"/>
              <w:left w:val="nil"/>
              <w:bottom w:val="nil"/>
              <w:right w:val="nil"/>
            </w:tcBorders>
            <w:shd w:val="clear" w:color="auto" w:fill="auto"/>
            <w:vAlign w:val="bottom"/>
          </w:tcPr>
          <w:p w14:paraId="00000191" w14:textId="77777777" w:rsidR="00556640" w:rsidRPr="00DC180C" w:rsidRDefault="00AC3D86">
            <w:pPr>
              <w:spacing w:after="0" w:line="240" w:lineRule="auto"/>
              <w:ind w:right="123"/>
              <w:jc w:val="right"/>
              <w:rPr>
                <w:rFonts w:ascii="Times New Roman" w:eastAsia="Times New Roman" w:hAnsi="Times New Roman" w:cs="Times New Roman"/>
              </w:rPr>
            </w:pPr>
            <w:r w:rsidRPr="00DC180C">
              <w:rPr>
                <w:rFonts w:ascii="Times New Roman" w:eastAsia="Times New Roman" w:hAnsi="Times New Roman" w:cs="Times New Roman"/>
              </w:rPr>
              <w:t>41 (38)</w:t>
            </w:r>
          </w:p>
        </w:tc>
        <w:tc>
          <w:tcPr>
            <w:tcW w:w="360" w:type="dxa"/>
            <w:gridSpan w:val="2"/>
            <w:tcBorders>
              <w:top w:val="nil"/>
              <w:left w:val="nil"/>
              <w:bottom w:val="nil"/>
              <w:right w:val="nil"/>
            </w:tcBorders>
            <w:shd w:val="clear" w:color="auto" w:fill="auto"/>
            <w:vAlign w:val="bottom"/>
          </w:tcPr>
          <w:p w14:paraId="00000192" w14:textId="77777777" w:rsidR="00556640" w:rsidRPr="00DC180C" w:rsidRDefault="00556640">
            <w:pPr>
              <w:spacing w:after="0" w:line="240" w:lineRule="auto"/>
              <w:jc w:val="center"/>
              <w:rPr>
                <w:rFonts w:ascii="Times New Roman" w:eastAsia="Times New Roman" w:hAnsi="Times New Roman" w:cs="Times New Roman"/>
              </w:rPr>
            </w:pPr>
          </w:p>
        </w:tc>
        <w:tc>
          <w:tcPr>
            <w:tcW w:w="2744" w:type="dxa"/>
            <w:gridSpan w:val="2"/>
            <w:tcBorders>
              <w:top w:val="nil"/>
              <w:left w:val="nil"/>
              <w:bottom w:val="nil"/>
              <w:right w:val="nil"/>
            </w:tcBorders>
            <w:shd w:val="clear" w:color="auto" w:fill="auto"/>
            <w:vAlign w:val="bottom"/>
          </w:tcPr>
          <w:p w14:paraId="00000194" w14:textId="77777777" w:rsidR="00556640" w:rsidRPr="00DC180C" w:rsidRDefault="00AC3D86">
            <w:pPr>
              <w:spacing w:after="0" w:line="240" w:lineRule="auto"/>
              <w:ind w:right="651"/>
              <w:jc w:val="right"/>
              <w:rPr>
                <w:rFonts w:ascii="Times New Roman" w:eastAsia="Times New Roman" w:hAnsi="Times New Roman" w:cs="Times New Roman"/>
              </w:rPr>
            </w:pPr>
            <w:r w:rsidRPr="00DC180C">
              <w:rPr>
                <w:rFonts w:ascii="Times New Roman" w:eastAsia="Times New Roman" w:hAnsi="Times New Roman" w:cs="Times New Roman"/>
              </w:rPr>
              <w:t>23 (34)</w:t>
            </w:r>
          </w:p>
        </w:tc>
        <w:tc>
          <w:tcPr>
            <w:tcW w:w="360" w:type="dxa"/>
            <w:tcBorders>
              <w:top w:val="nil"/>
              <w:left w:val="nil"/>
              <w:bottom w:val="nil"/>
              <w:right w:val="nil"/>
            </w:tcBorders>
            <w:shd w:val="clear" w:color="auto" w:fill="auto"/>
            <w:vAlign w:val="bottom"/>
          </w:tcPr>
          <w:p w14:paraId="00000196" w14:textId="77777777" w:rsidR="00556640" w:rsidRPr="00DC180C" w:rsidRDefault="00556640">
            <w:pPr>
              <w:spacing w:after="0" w:line="240" w:lineRule="auto"/>
              <w:jc w:val="right"/>
              <w:rPr>
                <w:rFonts w:ascii="Times New Roman" w:eastAsia="Times New Roman" w:hAnsi="Times New Roman" w:cs="Times New Roman"/>
              </w:rPr>
            </w:pPr>
          </w:p>
        </w:tc>
        <w:tc>
          <w:tcPr>
            <w:tcW w:w="2328" w:type="dxa"/>
            <w:gridSpan w:val="2"/>
            <w:tcBorders>
              <w:top w:val="nil"/>
              <w:left w:val="nil"/>
              <w:bottom w:val="nil"/>
              <w:right w:val="nil"/>
            </w:tcBorders>
            <w:shd w:val="clear" w:color="auto" w:fill="auto"/>
            <w:vAlign w:val="bottom"/>
          </w:tcPr>
          <w:p w14:paraId="00000197" w14:textId="77777777" w:rsidR="00556640" w:rsidRPr="00DC180C" w:rsidRDefault="00AC3D86">
            <w:pPr>
              <w:spacing w:after="0" w:line="240" w:lineRule="auto"/>
              <w:ind w:right="563"/>
              <w:jc w:val="right"/>
              <w:rPr>
                <w:rFonts w:ascii="Times New Roman" w:eastAsia="Times New Roman" w:hAnsi="Times New Roman" w:cs="Times New Roman"/>
              </w:rPr>
            </w:pPr>
            <w:r w:rsidRPr="00DC180C">
              <w:rPr>
                <w:rFonts w:ascii="Times New Roman" w:eastAsia="Times New Roman" w:hAnsi="Times New Roman" w:cs="Times New Roman"/>
              </w:rPr>
              <w:t>18 (43)</w:t>
            </w:r>
          </w:p>
        </w:tc>
      </w:tr>
      <w:tr w:rsidR="00DC180C" w:rsidRPr="00DC180C" w14:paraId="2EFFFB78" w14:textId="77777777">
        <w:trPr>
          <w:trHeight w:val="20"/>
        </w:trPr>
        <w:tc>
          <w:tcPr>
            <w:tcW w:w="55" w:type="dxa"/>
          </w:tcPr>
          <w:p w14:paraId="0000019A" w14:textId="77777777" w:rsidR="00556640" w:rsidRPr="00DC180C" w:rsidRDefault="00556640">
            <w:pPr>
              <w:widowControl w:val="0"/>
              <w:pBdr>
                <w:top w:val="nil"/>
                <w:left w:val="nil"/>
                <w:bottom w:val="nil"/>
                <w:right w:val="nil"/>
                <w:between w:val="nil"/>
              </w:pBdr>
              <w:spacing w:after="0"/>
              <w:rPr>
                <w:rFonts w:ascii="Times New Roman" w:eastAsia="Times New Roman" w:hAnsi="Times New Roman" w:cs="Times New Roman"/>
              </w:rPr>
            </w:pPr>
          </w:p>
        </w:tc>
        <w:tc>
          <w:tcPr>
            <w:tcW w:w="3134" w:type="dxa"/>
            <w:gridSpan w:val="2"/>
            <w:tcBorders>
              <w:top w:val="nil"/>
              <w:left w:val="nil"/>
              <w:bottom w:val="nil"/>
              <w:right w:val="nil"/>
            </w:tcBorders>
            <w:shd w:val="clear" w:color="auto" w:fill="auto"/>
            <w:vAlign w:val="bottom"/>
          </w:tcPr>
          <w:p w14:paraId="0000019B" w14:textId="77777777" w:rsidR="00556640" w:rsidRPr="00DC180C" w:rsidRDefault="00AC3D86">
            <w:pPr>
              <w:spacing w:after="0" w:line="240" w:lineRule="auto"/>
              <w:ind w:left="371"/>
              <w:rPr>
                <w:rFonts w:ascii="Times New Roman" w:eastAsia="Times New Roman" w:hAnsi="Times New Roman" w:cs="Times New Roman"/>
              </w:rPr>
            </w:pPr>
            <w:r w:rsidRPr="00DC180C">
              <w:rPr>
                <w:rFonts w:ascii="Times New Roman" w:eastAsia="Times New Roman" w:hAnsi="Times New Roman" w:cs="Times New Roman"/>
              </w:rPr>
              <w:t>Shared pit toilet</w:t>
            </w:r>
          </w:p>
        </w:tc>
        <w:tc>
          <w:tcPr>
            <w:tcW w:w="1130" w:type="dxa"/>
            <w:tcBorders>
              <w:top w:val="nil"/>
              <w:left w:val="nil"/>
              <w:bottom w:val="nil"/>
              <w:right w:val="nil"/>
            </w:tcBorders>
            <w:shd w:val="clear" w:color="auto" w:fill="auto"/>
            <w:vAlign w:val="bottom"/>
          </w:tcPr>
          <w:p w14:paraId="0000019D" w14:textId="77777777" w:rsidR="00556640" w:rsidRPr="00DC180C" w:rsidRDefault="00AC3D86">
            <w:pPr>
              <w:spacing w:after="0" w:line="240" w:lineRule="auto"/>
              <w:ind w:right="123"/>
              <w:jc w:val="right"/>
              <w:rPr>
                <w:rFonts w:ascii="Times New Roman" w:eastAsia="Times New Roman" w:hAnsi="Times New Roman" w:cs="Times New Roman"/>
              </w:rPr>
            </w:pPr>
            <w:r w:rsidRPr="00DC180C">
              <w:rPr>
                <w:rFonts w:ascii="Times New Roman" w:eastAsia="Times New Roman" w:hAnsi="Times New Roman" w:cs="Times New Roman"/>
              </w:rPr>
              <w:t>20 (18)</w:t>
            </w:r>
          </w:p>
        </w:tc>
        <w:tc>
          <w:tcPr>
            <w:tcW w:w="360" w:type="dxa"/>
            <w:gridSpan w:val="2"/>
            <w:tcBorders>
              <w:top w:val="nil"/>
              <w:left w:val="nil"/>
              <w:bottom w:val="nil"/>
              <w:right w:val="nil"/>
            </w:tcBorders>
            <w:shd w:val="clear" w:color="auto" w:fill="auto"/>
            <w:vAlign w:val="bottom"/>
          </w:tcPr>
          <w:p w14:paraId="0000019E" w14:textId="77777777" w:rsidR="00556640" w:rsidRPr="00DC180C" w:rsidRDefault="00556640">
            <w:pPr>
              <w:spacing w:after="0" w:line="240" w:lineRule="auto"/>
              <w:jc w:val="center"/>
              <w:rPr>
                <w:rFonts w:ascii="Times New Roman" w:eastAsia="Times New Roman" w:hAnsi="Times New Roman" w:cs="Times New Roman"/>
              </w:rPr>
            </w:pPr>
          </w:p>
        </w:tc>
        <w:tc>
          <w:tcPr>
            <w:tcW w:w="2744" w:type="dxa"/>
            <w:gridSpan w:val="2"/>
            <w:tcBorders>
              <w:top w:val="nil"/>
              <w:left w:val="nil"/>
              <w:bottom w:val="nil"/>
              <w:right w:val="nil"/>
            </w:tcBorders>
            <w:shd w:val="clear" w:color="auto" w:fill="auto"/>
            <w:vAlign w:val="bottom"/>
          </w:tcPr>
          <w:p w14:paraId="000001A0" w14:textId="77777777" w:rsidR="00556640" w:rsidRPr="00DC180C" w:rsidRDefault="00AC3D86">
            <w:pPr>
              <w:spacing w:after="0" w:line="240" w:lineRule="auto"/>
              <w:ind w:right="651"/>
              <w:jc w:val="right"/>
              <w:rPr>
                <w:rFonts w:ascii="Times New Roman" w:eastAsia="Times New Roman" w:hAnsi="Times New Roman" w:cs="Times New Roman"/>
              </w:rPr>
            </w:pPr>
            <w:r w:rsidRPr="00DC180C">
              <w:rPr>
                <w:rFonts w:ascii="Times New Roman" w:eastAsia="Times New Roman" w:hAnsi="Times New Roman" w:cs="Times New Roman"/>
              </w:rPr>
              <w:t>15 (22)</w:t>
            </w:r>
          </w:p>
        </w:tc>
        <w:tc>
          <w:tcPr>
            <w:tcW w:w="360" w:type="dxa"/>
            <w:tcBorders>
              <w:top w:val="nil"/>
              <w:left w:val="nil"/>
              <w:bottom w:val="nil"/>
              <w:right w:val="nil"/>
            </w:tcBorders>
            <w:shd w:val="clear" w:color="auto" w:fill="auto"/>
            <w:vAlign w:val="bottom"/>
          </w:tcPr>
          <w:p w14:paraId="000001A2" w14:textId="77777777" w:rsidR="00556640" w:rsidRPr="00DC180C" w:rsidRDefault="00556640">
            <w:pPr>
              <w:spacing w:after="0" w:line="240" w:lineRule="auto"/>
              <w:jc w:val="right"/>
              <w:rPr>
                <w:rFonts w:ascii="Times New Roman" w:eastAsia="Times New Roman" w:hAnsi="Times New Roman" w:cs="Times New Roman"/>
              </w:rPr>
            </w:pPr>
          </w:p>
        </w:tc>
        <w:tc>
          <w:tcPr>
            <w:tcW w:w="2328" w:type="dxa"/>
            <w:gridSpan w:val="2"/>
            <w:tcBorders>
              <w:top w:val="nil"/>
              <w:left w:val="nil"/>
              <w:bottom w:val="nil"/>
              <w:right w:val="nil"/>
            </w:tcBorders>
            <w:shd w:val="clear" w:color="auto" w:fill="auto"/>
            <w:vAlign w:val="bottom"/>
          </w:tcPr>
          <w:p w14:paraId="000001A3" w14:textId="77777777" w:rsidR="00556640" w:rsidRPr="00DC180C" w:rsidRDefault="00AC3D86">
            <w:pPr>
              <w:spacing w:after="0" w:line="240" w:lineRule="auto"/>
              <w:ind w:right="563"/>
              <w:jc w:val="right"/>
              <w:rPr>
                <w:rFonts w:ascii="Times New Roman" w:eastAsia="Times New Roman" w:hAnsi="Times New Roman" w:cs="Times New Roman"/>
              </w:rPr>
            </w:pPr>
            <w:r w:rsidRPr="00DC180C">
              <w:rPr>
                <w:rFonts w:ascii="Times New Roman" w:eastAsia="Times New Roman" w:hAnsi="Times New Roman" w:cs="Times New Roman"/>
              </w:rPr>
              <w:t>5 (12)</w:t>
            </w:r>
          </w:p>
        </w:tc>
      </w:tr>
      <w:tr w:rsidR="00DC180C" w:rsidRPr="00DC180C" w14:paraId="2D5EF5C0" w14:textId="77777777">
        <w:trPr>
          <w:trHeight w:val="20"/>
        </w:trPr>
        <w:tc>
          <w:tcPr>
            <w:tcW w:w="55" w:type="dxa"/>
          </w:tcPr>
          <w:p w14:paraId="000001A6" w14:textId="77777777" w:rsidR="00556640" w:rsidRPr="00DC180C" w:rsidRDefault="00556640">
            <w:pPr>
              <w:widowControl w:val="0"/>
              <w:pBdr>
                <w:top w:val="nil"/>
                <w:left w:val="nil"/>
                <w:bottom w:val="nil"/>
                <w:right w:val="nil"/>
                <w:between w:val="nil"/>
              </w:pBdr>
              <w:spacing w:after="0"/>
              <w:rPr>
                <w:rFonts w:ascii="Times New Roman" w:eastAsia="Times New Roman" w:hAnsi="Times New Roman" w:cs="Times New Roman"/>
              </w:rPr>
            </w:pPr>
          </w:p>
        </w:tc>
        <w:tc>
          <w:tcPr>
            <w:tcW w:w="3134" w:type="dxa"/>
            <w:gridSpan w:val="2"/>
            <w:tcBorders>
              <w:top w:val="nil"/>
              <w:left w:val="nil"/>
              <w:bottom w:val="nil"/>
              <w:right w:val="nil"/>
            </w:tcBorders>
            <w:shd w:val="clear" w:color="auto" w:fill="auto"/>
            <w:vAlign w:val="bottom"/>
          </w:tcPr>
          <w:p w14:paraId="000001A7" w14:textId="77777777" w:rsidR="00556640" w:rsidRPr="00DC180C" w:rsidRDefault="00AC3D86">
            <w:pPr>
              <w:spacing w:after="0" w:line="240" w:lineRule="auto"/>
              <w:ind w:left="371"/>
              <w:rPr>
                <w:rFonts w:ascii="Times New Roman" w:eastAsia="Times New Roman" w:hAnsi="Times New Roman" w:cs="Times New Roman"/>
              </w:rPr>
            </w:pPr>
            <w:r w:rsidRPr="00DC180C">
              <w:rPr>
                <w:rFonts w:ascii="Times New Roman" w:eastAsia="Times New Roman" w:hAnsi="Times New Roman" w:cs="Times New Roman"/>
              </w:rPr>
              <w:t>Shared flush toilet</w:t>
            </w:r>
          </w:p>
        </w:tc>
        <w:tc>
          <w:tcPr>
            <w:tcW w:w="1130" w:type="dxa"/>
            <w:tcBorders>
              <w:top w:val="nil"/>
              <w:left w:val="nil"/>
              <w:bottom w:val="nil"/>
              <w:right w:val="nil"/>
            </w:tcBorders>
            <w:shd w:val="clear" w:color="auto" w:fill="auto"/>
            <w:vAlign w:val="bottom"/>
          </w:tcPr>
          <w:p w14:paraId="000001A9" w14:textId="77777777" w:rsidR="00556640" w:rsidRPr="00DC180C" w:rsidRDefault="00AC3D86">
            <w:pPr>
              <w:spacing w:after="0" w:line="240" w:lineRule="auto"/>
              <w:ind w:right="123"/>
              <w:jc w:val="right"/>
              <w:rPr>
                <w:rFonts w:ascii="Times New Roman" w:eastAsia="Times New Roman" w:hAnsi="Times New Roman" w:cs="Times New Roman"/>
              </w:rPr>
            </w:pPr>
            <w:r w:rsidRPr="00DC180C">
              <w:rPr>
                <w:rFonts w:ascii="Times New Roman" w:eastAsia="Times New Roman" w:hAnsi="Times New Roman" w:cs="Times New Roman"/>
              </w:rPr>
              <w:t>1 (1)</w:t>
            </w:r>
          </w:p>
        </w:tc>
        <w:tc>
          <w:tcPr>
            <w:tcW w:w="360" w:type="dxa"/>
            <w:gridSpan w:val="2"/>
            <w:tcBorders>
              <w:top w:val="nil"/>
              <w:left w:val="nil"/>
              <w:bottom w:val="nil"/>
              <w:right w:val="nil"/>
            </w:tcBorders>
            <w:shd w:val="clear" w:color="auto" w:fill="auto"/>
            <w:vAlign w:val="bottom"/>
          </w:tcPr>
          <w:p w14:paraId="000001AA" w14:textId="77777777" w:rsidR="00556640" w:rsidRPr="00DC180C" w:rsidRDefault="00556640">
            <w:pPr>
              <w:spacing w:after="0" w:line="240" w:lineRule="auto"/>
              <w:jc w:val="center"/>
              <w:rPr>
                <w:rFonts w:ascii="Times New Roman" w:eastAsia="Times New Roman" w:hAnsi="Times New Roman" w:cs="Times New Roman"/>
              </w:rPr>
            </w:pPr>
          </w:p>
        </w:tc>
        <w:tc>
          <w:tcPr>
            <w:tcW w:w="2744" w:type="dxa"/>
            <w:gridSpan w:val="2"/>
            <w:tcBorders>
              <w:top w:val="nil"/>
              <w:left w:val="nil"/>
              <w:bottom w:val="nil"/>
              <w:right w:val="nil"/>
            </w:tcBorders>
            <w:shd w:val="clear" w:color="auto" w:fill="auto"/>
            <w:vAlign w:val="bottom"/>
          </w:tcPr>
          <w:p w14:paraId="000001AC" w14:textId="77777777" w:rsidR="00556640" w:rsidRPr="00DC180C" w:rsidRDefault="00AC3D86">
            <w:pPr>
              <w:spacing w:after="0" w:line="240" w:lineRule="auto"/>
              <w:ind w:right="651"/>
              <w:jc w:val="right"/>
              <w:rPr>
                <w:rFonts w:ascii="Times New Roman" w:eastAsia="Times New Roman" w:hAnsi="Times New Roman" w:cs="Times New Roman"/>
              </w:rPr>
            </w:pPr>
            <w:r w:rsidRPr="00DC180C">
              <w:rPr>
                <w:rFonts w:ascii="Times New Roman" w:eastAsia="Times New Roman" w:hAnsi="Times New Roman" w:cs="Times New Roman"/>
              </w:rPr>
              <w:t>1 (1)</w:t>
            </w:r>
          </w:p>
        </w:tc>
        <w:tc>
          <w:tcPr>
            <w:tcW w:w="360" w:type="dxa"/>
            <w:tcBorders>
              <w:top w:val="nil"/>
              <w:left w:val="nil"/>
              <w:bottom w:val="nil"/>
              <w:right w:val="nil"/>
            </w:tcBorders>
            <w:shd w:val="clear" w:color="auto" w:fill="auto"/>
            <w:vAlign w:val="bottom"/>
          </w:tcPr>
          <w:p w14:paraId="000001AE" w14:textId="77777777" w:rsidR="00556640" w:rsidRPr="00DC180C" w:rsidRDefault="00556640">
            <w:pPr>
              <w:spacing w:after="0" w:line="240" w:lineRule="auto"/>
              <w:jc w:val="right"/>
              <w:rPr>
                <w:rFonts w:ascii="Times New Roman" w:eastAsia="Times New Roman" w:hAnsi="Times New Roman" w:cs="Times New Roman"/>
              </w:rPr>
            </w:pPr>
          </w:p>
        </w:tc>
        <w:tc>
          <w:tcPr>
            <w:tcW w:w="2328" w:type="dxa"/>
            <w:gridSpan w:val="2"/>
            <w:tcBorders>
              <w:top w:val="nil"/>
              <w:left w:val="nil"/>
              <w:bottom w:val="nil"/>
              <w:right w:val="nil"/>
            </w:tcBorders>
            <w:shd w:val="clear" w:color="auto" w:fill="auto"/>
            <w:vAlign w:val="bottom"/>
          </w:tcPr>
          <w:p w14:paraId="000001AF" w14:textId="77777777" w:rsidR="00556640" w:rsidRPr="00DC180C" w:rsidRDefault="00AC3D86">
            <w:pPr>
              <w:spacing w:after="0" w:line="240" w:lineRule="auto"/>
              <w:ind w:right="563"/>
              <w:jc w:val="right"/>
              <w:rPr>
                <w:rFonts w:ascii="Times New Roman" w:eastAsia="Times New Roman" w:hAnsi="Times New Roman" w:cs="Times New Roman"/>
              </w:rPr>
            </w:pPr>
            <w:r w:rsidRPr="00DC180C">
              <w:rPr>
                <w:rFonts w:ascii="Times New Roman" w:eastAsia="Times New Roman" w:hAnsi="Times New Roman" w:cs="Times New Roman"/>
              </w:rPr>
              <w:t>0 (0)</w:t>
            </w:r>
          </w:p>
        </w:tc>
      </w:tr>
      <w:tr w:rsidR="00DC180C" w:rsidRPr="00DC180C" w14:paraId="2F068158" w14:textId="77777777">
        <w:trPr>
          <w:trHeight w:val="20"/>
        </w:trPr>
        <w:tc>
          <w:tcPr>
            <w:tcW w:w="55" w:type="dxa"/>
          </w:tcPr>
          <w:p w14:paraId="000001B2" w14:textId="77777777" w:rsidR="00556640" w:rsidRPr="00DC180C" w:rsidRDefault="00556640">
            <w:pPr>
              <w:widowControl w:val="0"/>
              <w:pBdr>
                <w:top w:val="nil"/>
                <w:left w:val="nil"/>
                <w:bottom w:val="nil"/>
                <w:right w:val="nil"/>
                <w:between w:val="nil"/>
              </w:pBdr>
              <w:spacing w:after="0"/>
              <w:rPr>
                <w:rFonts w:ascii="Times New Roman" w:eastAsia="Times New Roman" w:hAnsi="Times New Roman" w:cs="Times New Roman"/>
              </w:rPr>
            </w:pPr>
          </w:p>
        </w:tc>
        <w:tc>
          <w:tcPr>
            <w:tcW w:w="3134" w:type="dxa"/>
            <w:gridSpan w:val="2"/>
            <w:tcBorders>
              <w:top w:val="nil"/>
              <w:left w:val="nil"/>
              <w:bottom w:val="nil"/>
              <w:right w:val="nil"/>
            </w:tcBorders>
            <w:shd w:val="clear" w:color="auto" w:fill="auto"/>
            <w:vAlign w:val="bottom"/>
          </w:tcPr>
          <w:p w14:paraId="000001B3" w14:textId="77777777" w:rsidR="00556640" w:rsidRPr="00DC180C" w:rsidRDefault="00AC3D86">
            <w:pPr>
              <w:spacing w:after="0" w:line="240" w:lineRule="auto"/>
              <w:ind w:left="229"/>
              <w:rPr>
                <w:rFonts w:ascii="Times New Roman" w:eastAsia="Times New Roman" w:hAnsi="Times New Roman" w:cs="Times New Roman"/>
                <w:b/>
              </w:rPr>
            </w:pPr>
            <w:r w:rsidRPr="00DC180C">
              <w:rPr>
                <w:rFonts w:ascii="Times New Roman" w:eastAsia="Times New Roman" w:hAnsi="Times New Roman" w:cs="Times New Roman"/>
                <w:b/>
              </w:rPr>
              <w:t>Mother's education, years</w:t>
            </w:r>
          </w:p>
        </w:tc>
        <w:tc>
          <w:tcPr>
            <w:tcW w:w="1130" w:type="dxa"/>
            <w:tcBorders>
              <w:top w:val="nil"/>
              <w:left w:val="nil"/>
              <w:bottom w:val="nil"/>
              <w:right w:val="nil"/>
            </w:tcBorders>
            <w:shd w:val="clear" w:color="auto" w:fill="auto"/>
            <w:vAlign w:val="bottom"/>
          </w:tcPr>
          <w:p w14:paraId="000001B5" w14:textId="77777777" w:rsidR="00556640" w:rsidRPr="00DC180C" w:rsidRDefault="00AC3D86">
            <w:pPr>
              <w:spacing w:after="0" w:line="240" w:lineRule="auto"/>
              <w:ind w:right="123"/>
              <w:jc w:val="center"/>
              <w:rPr>
                <w:rFonts w:ascii="Times New Roman" w:eastAsia="Times New Roman" w:hAnsi="Times New Roman" w:cs="Times New Roman"/>
              </w:rPr>
            </w:pPr>
            <w:r w:rsidRPr="00DC180C">
              <w:rPr>
                <w:rFonts w:ascii="Times New Roman" w:eastAsia="Times New Roman" w:hAnsi="Times New Roman" w:cs="Times New Roman"/>
              </w:rPr>
              <w:t>4.1 (4.6)</w:t>
            </w:r>
          </w:p>
        </w:tc>
        <w:tc>
          <w:tcPr>
            <w:tcW w:w="360" w:type="dxa"/>
            <w:gridSpan w:val="2"/>
            <w:tcBorders>
              <w:top w:val="nil"/>
              <w:left w:val="nil"/>
              <w:bottom w:val="nil"/>
              <w:right w:val="nil"/>
            </w:tcBorders>
            <w:shd w:val="clear" w:color="auto" w:fill="auto"/>
            <w:vAlign w:val="bottom"/>
          </w:tcPr>
          <w:p w14:paraId="000001B6" w14:textId="77777777" w:rsidR="00556640" w:rsidRPr="00DC180C" w:rsidRDefault="00556640">
            <w:pPr>
              <w:spacing w:after="0" w:line="240" w:lineRule="auto"/>
              <w:jc w:val="center"/>
              <w:rPr>
                <w:rFonts w:ascii="Times New Roman" w:eastAsia="Times New Roman" w:hAnsi="Times New Roman" w:cs="Times New Roman"/>
              </w:rPr>
            </w:pPr>
          </w:p>
        </w:tc>
        <w:tc>
          <w:tcPr>
            <w:tcW w:w="2744" w:type="dxa"/>
            <w:gridSpan w:val="2"/>
            <w:tcBorders>
              <w:top w:val="nil"/>
              <w:left w:val="nil"/>
              <w:bottom w:val="nil"/>
              <w:right w:val="nil"/>
            </w:tcBorders>
            <w:shd w:val="clear" w:color="auto" w:fill="auto"/>
            <w:vAlign w:val="bottom"/>
          </w:tcPr>
          <w:p w14:paraId="000001B8" w14:textId="77777777" w:rsidR="00556640" w:rsidRPr="00DC180C" w:rsidRDefault="00AC3D86">
            <w:pPr>
              <w:spacing w:after="0" w:line="240" w:lineRule="auto"/>
              <w:jc w:val="center"/>
              <w:rPr>
                <w:rFonts w:ascii="Times New Roman" w:eastAsia="Times New Roman" w:hAnsi="Times New Roman" w:cs="Times New Roman"/>
              </w:rPr>
            </w:pPr>
            <w:r w:rsidRPr="00DC180C">
              <w:rPr>
                <w:rFonts w:ascii="Times New Roman" w:eastAsia="Times New Roman" w:hAnsi="Times New Roman" w:cs="Times New Roman"/>
              </w:rPr>
              <w:t>4.3 (4.5)</w:t>
            </w:r>
          </w:p>
        </w:tc>
        <w:tc>
          <w:tcPr>
            <w:tcW w:w="360" w:type="dxa"/>
            <w:tcBorders>
              <w:top w:val="nil"/>
              <w:left w:val="nil"/>
              <w:bottom w:val="nil"/>
              <w:right w:val="nil"/>
            </w:tcBorders>
            <w:shd w:val="clear" w:color="auto" w:fill="auto"/>
            <w:vAlign w:val="bottom"/>
          </w:tcPr>
          <w:p w14:paraId="000001BA" w14:textId="77777777" w:rsidR="00556640" w:rsidRPr="00DC180C" w:rsidRDefault="00556640">
            <w:pPr>
              <w:spacing w:after="0" w:line="240" w:lineRule="auto"/>
              <w:jc w:val="center"/>
              <w:rPr>
                <w:rFonts w:ascii="Times New Roman" w:eastAsia="Times New Roman" w:hAnsi="Times New Roman" w:cs="Times New Roman"/>
              </w:rPr>
            </w:pPr>
          </w:p>
        </w:tc>
        <w:tc>
          <w:tcPr>
            <w:tcW w:w="2328" w:type="dxa"/>
            <w:gridSpan w:val="2"/>
            <w:tcBorders>
              <w:top w:val="nil"/>
              <w:left w:val="nil"/>
              <w:bottom w:val="nil"/>
              <w:right w:val="nil"/>
            </w:tcBorders>
            <w:shd w:val="clear" w:color="auto" w:fill="auto"/>
            <w:vAlign w:val="bottom"/>
          </w:tcPr>
          <w:p w14:paraId="000001BB" w14:textId="77777777" w:rsidR="00556640" w:rsidRPr="00DC180C" w:rsidRDefault="00AC3D86">
            <w:pPr>
              <w:spacing w:after="0" w:line="240" w:lineRule="auto"/>
              <w:jc w:val="center"/>
              <w:rPr>
                <w:rFonts w:ascii="Times New Roman" w:eastAsia="Times New Roman" w:hAnsi="Times New Roman" w:cs="Times New Roman"/>
              </w:rPr>
            </w:pPr>
            <w:r w:rsidRPr="00DC180C">
              <w:rPr>
                <w:rFonts w:ascii="Times New Roman" w:eastAsia="Times New Roman" w:hAnsi="Times New Roman" w:cs="Times New Roman"/>
              </w:rPr>
              <w:t>3.8 (4.8)</w:t>
            </w:r>
          </w:p>
        </w:tc>
      </w:tr>
      <w:tr w:rsidR="00DC180C" w:rsidRPr="00DC180C" w14:paraId="279CE875" w14:textId="77777777">
        <w:trPr>
          <w:trHeight w:val="20"/>
        </w:trPr>
        <w:tc>
          <w:tcPr>
            <w:tcW w:w="55" w:type="dxa"/>
          </w:tcPr>
          <w:p w14:paraId="000001BE" w14:textId="77777777" w:rsidR="00556640" w:rsidRPr="00DC180C" w:rsidRDefault="00556640">
            <w:pPr>
              <w:widowControl w:val="0"/>
              <w:pBdr>
                <w:top w:val="nil"/>
                <w:left w:val="nil"/>
                <w:bottom w:val="nil"/>
                <w:right w:val="nil"/>
                <w:between w:val="nil"/>
              </w:pBdr>
              <w:spacing w:after="0"/>
              <w:rPr>
                <w:rFonts w:ascii="Times New Roman" w:eastAsia="Times New Roman" w:hAnsi="Times New Roman" w:cs="Times New Roman"/>
              </w:rPr>
            </w:pPr>
          </w:p>
        </w:tc>
        <w:tc>
          <w:tcPr>
            <w:tcW w:w="3134" w:type="dxa"/>
            <w:gridSpan w:val="2"/>
            <w:tcBorders>
              <w:top w:val="nil"/>
              <w:left w:val="nil"/>
              <w:bottom w:val="nil"/>
              <w:right w:val="nil"/>
            </w:tcBorders>
            <w:shd w:val="clear" w:color="auto" w:fill="auto"/>
            <w:vAlign w:val="bottom"/>
          </w:tcPr>
          <w:p w14:paraId="000001BF" w14:textId="77777777" w:rsidR="00556640" w:rsidRPr="00DC180C" w:rsidRDefault="00AC3D86">
            <w:pPr>
              <w:spacing w:after="0" w:line="240" w:lineRule="auto"/>
              <w:rPr>
                <w:rFonts w:ascii="Times New Roman" w:eastAsia="Times New Roman" w:hAnsi="Times New Roman" w:cs="Times New Roman"/>
                <w:b/>
              </w:rPr>
            </w:pPr>
            <w:r w:rsidRPr="00DC180C">
              <w:rPr>
                <w:rFonts w:ascii="Times New Roman" w:eastAsia="Times New Roman" w:hAnsi="Times New Roman" w:cs="Times New Roman"/>
                <w:b/>
              </w:rPr>
              <w:t>Phones and screen time</w:t>
            </w:r>
          </w:p>
        </w:tc>
        <w:tc>
          <w:tcPr>
            <w:tcW w:w="1130" w:type="dxa"/>
            <w:tcBorders>
              <w:top w:val="nil"/>
              <w:left w:val="nil"/>
              <w:bottom w:val="nil"/>
              <w:right w:val="nil"/>
            </w:tcBorders>
            <w:shd w:val="clear" w:color="auto" w:fill="auto"/>
            <w:vAlign w:val="bottom"/>
          </w:tcPr>
          <w:p w14:paraId="000001C1" w14:textId="77777777" w:rsidR="00556640" w:rsidRPr="00DC180C" w:rsidRDefault="00556640">
            <w:pPr>
              <w:spacing w:after="0" w:line="240" w:lineRule="auto"/>
              <w:ind w:right="123"/>
              <w:jc w:val="right"/>
              <w:rPr>
                <w:rFonts w:ascii="Times New Roman" w:eastAsia="Times New Roman" w:hAnsi="Times New Roman" w:cs="Times New Roman"/>
              </w:rPr>
            </w:pPr>
          </w:p>
        </w:tc>
        <w:tc>
          <w:tcPr>
            <w:tcW w:w="360" w:type="dxa"/>
            <w:gridSpan w:val="2"/>
            <w:tcBorders>
              <w:top w:val="nil"/>
              <w:left w:val="nil"/>
              <w:bottom w:val="nil"/>
              <w:right w:val="nil"/>
            </w:tcBorders>
            <w:shd w:val="clear" w:color="auto" w:fill="auto"/>
            <w:vAlign w:val="bottom"/>
          </w:tcPr>
          <w:p w14:paraId="000001C2" w14:textId="77777777" w:rsidR="00556640" w:rsidRPr="00DC180C" w:rsidRDefault="00556640">
            <w:pPr>
              <w:spacing w:after="0" w:line="240" w:lineRule="auto"/>
              <w:jc w:val="center"/>
              <w:rPr>
                <w:rFonts w:ascii="Times New Roman" w:eastAsia="Times New Roman" w:hAnsi="Times New Roman" w:cs="Times New Roman"/>
              </w:rPr>
            </w:pPr>
          </w:p>
        </w:tc>
        <w:tc>
          <w:tcPr>
            <w:tcW w:w="2744" w:type="dxa"/>
            <w:gridSpan w:val="2"/>
            <w:tcBorders>
              <w:top w:val="nil"/>
              <w:left w:val="nil"/>
              <w:bottom w:val="nil"/>
              <w:right w:val="nil"/>
            </w:tcBorders>
            <w:shd w:val="clear" w:color="auto" w:fill="auto"/>
            <w:vAlign w:val="bottom"/>
          </w:tcPr>
          <w:p w14:paraId="000001C4" w14:textId="77777777" w:rsidR="00556640" w:rsidRPr="00DC180C" w:rsidRDefault="00556640">
            <w:pPr>
              <w:spacing w:after="0" w:line="240" w:lineRule="auto"/>
              <w:jc w:val="right"/>
              <w:rPr>
                <w:rFonts w:ascii="Times New Roman" w:eastAsia="Times New Roman" w:hAnsi="Times New Roman" w:cs="Times New Roman"/>
              </w:rPr>
            </w:pPr>
          </w:p>
        </w:tc>
        <w:tc>
          <w:tcPr>
            <w:tcW w:w="360" w:type="dxa"/>
            <w:tcBorders>
              <w:top w:val="nil"/>
              <w:left w:val="nil"/>
              <w:bottom w:val="nil"/>
              <w:right w:val="nil"/>
            </w:tcBorders>
            <w:shd w:val="clear" w:color="auto" w:fill="auto"/>
            <w:vAlign w:val="bottom"/>
          </w:tcPr>
          <w:p w14:paraId="000001C6" w14:textId="77777777" w:rsidR="00556640" w:rsidRPr="00DC180C" w:rsidRDefault="00556640">
            <w:pPr>
              <w:spacing w:after="0" w:line="240" w:lineRule="auto"/>
              <w:jc w:val="right"/>
              <w:rPr>
                <w:rFonts w:ascii="Times New Roman" w:eastAsia="Times New Roman" w:hAnsi="Times New Roman" w:cs="Times New Roman"/>
              </w:rPr>
            </w:pPr>
          </w:p>
        </w:tc>
        <w:tc>
          <w:tcPr>
            <w:tcW w:w="2328" w:type="dxa"/>
            <w:gridSpan w:val="2"/>
            <w:tcBorders>
              <w:top w:val="nil"/>
              <w:left w:val="nil"/>
              <w:bottom w:val="nil"/>
              <w:right w:val="nil"/>
            </w:tcBorders>
            <w:shd w:val="clear" w:color="auto" w:fill="auto"/>
            <w:vAlign w:val="bottom"/>
          </w:tcPr>
          <w:p w14:paraId="000001C7" w14:textId="77777777" w:rsidR="00556640" w:rsidRPr="00DC180C" w:rsidRDefault="00556640">
            <w:pPr>
              <w:spacing w:after="0" w:line="240" w:lineRule="auto"/>
              <w:jc w:val="right"/>
              <w:rPr>
                <w:rFonts w:ascii="Times New Roman" w:eastAsia="Times New Roman" w:hAnsi="Times New Roman" w:cs="Times New Roman"/>
              </w:rPr>
            </w:pPr>
          </w:p>
        </w:tc>
      </w:tr>
      <w:tr w:rsidR="00DC180C" w:rsidRPr="00DC180C" w14:paraId="498EA207" w14:textId="77777777">
        <w:trPr>
          <w:trHeight w:val="20"/>
        </w:trPr>
        <w:tc>
          <w:tcPr>
            <w:tcW w:w="55" w:type="dxa"/>
          </w:tcPr>
          <w:p w14:paraId="000001CA" w14:textId="77777777" w:rsidR="00556640" w:rsidRPr="00DC180C" w:rsidRDefault="00556640">
            <w:pPr>
              <w:widowControl w:val="0"/>
              <w:pBdr>
                <w:top w:val="nil"/>
                <w:left w:val="nil"/>
                <w:bottom w:val="nil"/>
                <w:right w:val="nil"/>
                <w:between w:val="nil"/>
              </w:pBdr>
              <w:spacing w:after="0"/>
              <w:rPr>
                <w:rFonts w:ascii="Times New Roman" w:eastAsia="Times New Roman" w:hAnsi="Times New Roman" w:cs="Times New Roman"/>
              </w:rPr>
            </w:pPr>
          </w:p>
        </w:tc>
        <w:tc>
          <w:tcPr>
            <w:tcW w:w="3134" w:type="dxa"/>
            <w:gridSpan w:val="2"/>
            <w:tcBorders>
              <w:top w:val="nil"/>
              <w:left w:val="nil"/>
              <w:bottom w:val="nil"/>
              <w:right w:val="nil"/>
            </w:tcBorders>
            <w:shd w:val="clear" w:color="auto" w:fill="auto"/>
            <w:vAlign w:val="bottom"/>
          </w:tcPr>
          <w:p w14:paraId="000001CB" w14:textId="77777777" w:rsidR="00556640" w:rsidRPr="00DC180C" w:rsidRDefault="00AC3D86">
            <w:pPr>
              <w:spacing w:after="0" w:line="240" w:lineRule="auto"/>
              <w:ind w:left="229"/>
              <w:rPr>
                <w:rFonts w:ascii="Times New Roman" w:eastAsia="Times New Roman" w:hAnsi="Times New Roman" w:cs="Times New Roman"/>
              </w:rPr>
            </w:pPr>
            <w:r w:rsidRPr="00DC180C">
              <w:rPr>
                <w:rFonts w:ascii="Times New Roman" w:eastAsia="Times New Roman" w:hAnsi="Times New Roman" w:cs="Times New Roman"/>
              </w:rPr>
              <w:t>Owns a phone</w:t>
            </w:r>
          </w:p>
        </w:tc>
        <w:tc>
          <w:tcPr>
            <w:tcW w:w="1130" w:type="dxa"/>
            <w:tcBorders>
              <w:top w:val="nil"/>
              <w:left w:val="nil"/>
              <w:bottom w:val="nil"/>
              <w:right w:val="nil"/>
            </w:tcBorders>
            <w:shd w:val="clear" w:color="auto" w:fill="auto"/>
            <w:vAlign w:val="bottom"/>
          </w:tcPr>
          <w:p w14:paraId="000001CD" w14:textId="77777777" w:rsidR="00556640" w:rsidRPr="00DC180C" w:rsidRDefault="00AC3D86">
            <w:pPr>
              <w:spacing w:after="0" w:line="240" w:lineRule="auto"/>
              <w:ind w:right="123"/>
              <w:jc w:val="right"/>
              <w:rPr>
                <w:rFonts w:ascii="Times New Roman" w:eastAsia="Times New Roman" w:hAnsi="Times New Roman" w:cs="Times New Roman"/>
              </w:rPr>
            </w:pPr>
            <w:r w:rsidRPr="00DC180C">
              <w:rPr>
                <w:rFonts w:ascii="Times New Roman" w:eastAsia="Times New Roman" w:hAnsi="Times New Roman" w:cs="Times New Roman"/>
              </w:rPr>
              <w:t>51 (47)</w:t>
            </w:r>
          </w:p>
        </w:tc>
        <w:tc>
          <w:tcPr>
            <w:tcW w:w="360" w:type="dxa"/>
            <w:gridSpan w:val="2"/>
            <w:tcBorders>
              <w:top w:val="nil"/>
              <w:left w:val="nil"/>
              <w:bottom w:val="nil"/>
              <w:right w:val="nil"/>
            </w:tcBorders>
            <w:shd w:val="clear" w:color="auto" w:fill="auto"/>
            <w:vAlign w:val="bottom"/>
          </w:tcPr>
          <w:p w14:paraId="000001CE" w14:textId="77777777" w:rsidR="00556640" w:rsidRPr="00DC180C" w:rsidRDefault="00556640">
            <w:pPr>
              <w:spacing w:after="0" w:line="240" w:lineRule="auto"/>
              <w:jc w:val="center"/>
              <w:rPr>
                <w:rFonts w:ascii="Times New Roman" w:eastAsia="Times New Roman" w:hAnsi="Times New Roman" w:cs="Times New Roman"/>
              </w:rPr>
            </w:pPr>
          </w:p>
        </w:tc>
        <w:tc>
          <w:tcPr>
            <w:tcW w:w="2744" w:type="dxa"/>
            <w:gridSpan w:val="2"/>
            <w:tcBorders>
              <w:top w:val="nil"/>
              <w:left w:val="nil"/>
              <w:bottom w:val="nil"/>
              <w:right w:val="nil"/>
            </w:tcBorders>
            <w:shd w:val="clear" w:color="auto" w:fill="auto"/>
            <w:vAlign w:val="bottom"/>
          </w:tcPr>
          <w:p w14:paraId="000001D0" w14:textId="77777777" w:rsidR="00556640" w:rsidRPr="00DC180C" w:rsidRDefault="00AC3D86">
            <w:pPr>
              <w:spacing w:after="0" w:line="240" w:lineRule="auto"/>
              <w:ind w:right="651"/>
              <w:jc w:val="right"/>
              <w:rPr>
                <w:rFonts w:ascii="Times New Roman" w:eastAsia="Times New Roman" w:hAnsi="Times New Roman" w:cs="Times New Roman"/>
              </w:rPr>
            </w:pPr>
            <w:r w:rsidRPr="00DC180C">
              <w:rPr>
                <w:rFonts w:ascii="Times New Roman" w:eastAsia="Times New Roman" w:hAnsi="Times New Roman" w:cs="Times New Roman"/>
              </w:rPr>
              <w:t>23 (34)</w:t>
            </w:r>
          </w:p>
        </w:tc>
        <w:tc>
          <w:tcPr>
            <w:tcW w:w="360" w:type="dxa"/>
            <w:tcBorders>
              <w:top w:val="nil"/>
              <w:left w:val="nil"/>
              <w:bottom w:val="nil"/>
              <w:right w:val="nil"/>
            </w:tcBorders>
            <w:shd w:val="clear" w:color="auto" w:fill="auto"/>
            <w:vAlign w:val="bottom"/>
          </w:tcPr>
          <w:p w14:paraId="000001D2" w14:textId="77777777" w:rsidR="00556640" w:rsidRPr="00DC180C" w:rsidRDefault="00556640">
            <w:pPr>
              <w:spacing w:after="0" w:line="240" w:lineRule="auto"/>
              <w:jc w:val="right"/>
              <w:rPr>
                <w:rFonts w:ascii="Times New Roman" w:eastAsia="Times New Roman" w:hAnsi="Times New Roman" w:cs="Times New Roman"/>
              </w:rPr>
            </w:pPr>
          </w:p>
        </w:tc>
        <w:tc>
          <w:tcPr>
            <w:tcW w:w="2328" w:type="dxa"/>
            <w:gridSpan w:val="2"/>
            <w:tcBorders>
              <w:top w:val="nil"/>
              <w:left w:val="nil"/>
              <w:bottom w:val="nil"/>
              <w:right w:val="nil"/>
            </w:tcBorders>
            <w:shd w:val="clear" w:color="auto" w:fill="auto"/>
            <w:vAlign w:val="bottom"/>
          </w:tcPr>
          <w:p w14:paraId="000001D3" w14:textId="77777777" w:rsidR="00556640" w:rsidRPr="00DC180C" w:rsidRDefault="00AC3D86">
            <w:pPr>
              <w:spacing w:after="0" w:line="240" w:lineRule="auto"/>
              <w:ind w:right="563"/>
              <w:jc w:val="right"/>
              <w:rPr>
                <w:rFonts w:ascii="Times New Roman" w:eastAsia="Times New Roman" w:hAnsi="Times New Roman" w:cs="Times New Roman"/>
              </w:rPr>
            </w:pPr>
            <w:r w:rsidRPr="00DC180C">
              <w:rPr>
                <w:rFonts w:ascii="Times New Roman" w:eastAsia="Times New Roman" w:hAnsi="Times New Roman" w:cs="Times New Roman"/>
              </w:rPr>
              <w:t xml:space="preserve"> 28 (67)</w:t>
            </w:r>
          </w:p>
        </w:tc>
      </w:tr>
      <w:tr w:rsidR="00DC180C" w:rsidRPr="00DC180C" w14:paraId="7FEAB1FE" w14:textId="77777777">
        <w:trPr>
          <w:trHeight w:val="20"/>
        </w:trPr>
        <w:tc>
          <w:tcPr>
            <w:tcW w:w="55" w:type="dxa"/>
          </w:tcPr>
          <w:p w14:paraId="000001D6" w14:textId="77777777" w:rsidR="00556640" w:rsidRPr="00DC180C" w:rsidRDefault="00556640">
            <w:pPr>
              <w:widowControl w:val="0"/>
              <w:pBdr>
                <w:top w:val="nil"/>
                <w:left w:val="nil"/>
                <w:bottom w:val="nil"/>
                <w:right w:val="nil"/>
                <w:between w:val="nil"/>
              </w:pBdr>
              <w:spacing w:after="0"/>
              <w:rPr>
                <w:rFonts w:ascii="Times New Roman" w:eastAsia="Times New Roman" w:hAnsi="Times New Roman" w:cs="Times New Roman"/>
              </w:rPr>
            </w:pPr>
          </w:p>
        </w:tc>
        <w:tc>
          <w:tcPr>
            <w:tcW w:w="3134" w:type="dxa"/>
            <w:gridSpan w:val="2"/>
            <w:tcBorders>
              <w:top w:val="nil"/>
              <w:left w:val="nil"/>
              <w:bottom w:val="nil"/>
              <w:right w:val="nil"/>
            </w:tcBorders>
            <w:shd w:val="clear" w:color="auto" w:fill="auto"/>
            <w:vAlign w:val="bottom"/>
          </w:tcPr>
          <w:p w14:paraId="000001D7" w14:textId="77777777" w:rsidR="00556640" w:rsidRPr="00DC180C" w:rsidRDefault="00AC3D86">
            <w:pPr>
              <w:spacing w:after="0" w:line="240" w:lineRule="auto"/>
              <w:ind w:left="229"/>
              <w:rPr>
                <w:rFonts w:ascii="Times New Roman" w:eastAsia="Times New Roman" w:hAnsi="Times New Roman" w:cs="Times New Roman"/>
              </w:rPr>
            </w:pPr>
            <w:r w:rsidRPr="00DC180C">
              <w:rPr>
                <w:rFonts w:ascii="Times New Roman" w:eastAsia="Times New Roman" w:hAnsi="Times New Roman" w:cs="Times New Roman"/>
              </w:rPr>
              <w:t>Hours per day watching entertainment programs</w:t>
            </w:r>
          </w:p>
        </w:tc>
        <w:tc>
          <w:tcPr>
            <w:tcW w:w="1130" w:type="dxa"/>
            <w:tcBorders>
              <w:top w:val="nil"/>
              <w:left w:val="nil"/>
              <w:bottom w:val="nil"/>
              <w:right w:val="nil"/>
            </w:tcBorders>
            <w:shd w:val="clear" w:color="auto" w:fill="auto"/>
            <w:vAlign w:val="bottom"/>
          </w:tcPr>
          <w:p w14:paraId="000001D9" w14:textId="77777777" w:rsidR="00556640" w:rsidRPr="00DC180C" w:rsidRDefault="00AC3D86">
            <w:pPr>
              <w:spacing w:after="0" w:line="240" w:lineRule="auto"/>
              <w:ind w:right="123"/>
              <w:jc w:val="center"/>
              <w:rPr>
                <w:rFonts w:ascii="Times New Roman" w:eastAsia="Times New Roman" w:hAnsi="Times New Roman" w:cs="Times New Roman"/>
              </w:rPr>
            </w:pPr>
            <w:r w:rsidRPr="00DC180C">
              <w:rPr>
                <w:rFonts w:ascii="Times New Roman" w:eastAsia="Times New Roman" w:hAnsi="Times New Roman" w:cs="Times New Roman"/>
              </w:rPr>
              <w:t>2.8 (2.3)</w:t>
            </w:r>
          </w:p>
        </w:tc>
        <w:tc>
          <w:tcPr>
            <w:tcW w:w="360" w:type="dxa"/>
            <w:gridSpan w:val="2"/>
            <w:tcBorders>
              <w:top w:val="nil"/>
              <w:left w:val="nil"/>
              <w:bottom w:val="nil"/>
              <w:right w:val="nil"/>
            </w:tcBorders>
            <w:shd w:val="clear" w:color="auto" w:fill="auto"/>
            <w:vAlign w:val="bottom"/>
          </w:tcPr>
          <w:p w14:paraId="000001DA" w14:textId="77777777" w:rsidR="00556640" w:rsidRPr="00DC180C" w:rsidRDefault="00556640">
            <w:pPr>
              <w:spacing w:after="0" w:line="240" w:lineRule="auto"/>
              <w:jc w:val="center"/>
              <w:rPr>
                <w:rFonts w:ascii="Times New Roman" w:eastAsia="Times New Roman" w:hAnsi="Times New Roman" w:cs="Times New Roman"/>
              </w:rPr>
            </w:pPr>
          </w:p>
        </w:tc>
        <w:tc>
          <w:tcPr>
            <w:tcW w:w="2744" w:type="dxa"/>
            <w:gridSpan w:val="2"/>
            <w:tcBorders>
              <w:top w:val="nil"/>
              <w:left w:val="nil"/>
              <w:bottom w:val="nil"/>
              <w:right w:val="nil"/>
            </w:tcBorders>
            <w:shd w:val="clear" w:color="auto" w:fill="auto"/>
            <w:vAlign w:val="bottom"/>
          </w:tcPr>
          <w:p w14:paraId="000001DC" w14:textId="77777777" w:rsidR="00556640" w:rsidRPr="00DC180C" w:rsidRDefault="00AC3D86">
            <w:pPr>
              <w:spacing w:after="0" w:line="240" w:lineRule="auto"/>
              <w:jc w:val="center"/>
              <w:rPr>
                <w:rFonts w:ascii="Times New Roman" w:eastAsia="Times New Roman" w:hAnsi="Times New Roman" w:cs="Times New Roman"/>
              </w:rPr>
            </w:pPr>
            <w:r w:rsidRPr="00DC180C">
              <w:rPr>
                <w:rFonts w:ascii="Times New Roman" w:eastAsia="Times New Roman" w:hAnsi="Times New Roman" w:cs="Times New Roman"/>
              </w:rPr>
              <w:t>2.5 (2.2)</w:t>
            </w:r>
          </w:p>
        </w:tc>
        <w:tc>
          <w:tcPr>
            <w:tcW w:w="360" w:type="dxa"/>
            <w:tcBorders>
              <w:top w:val="nil"/>
              <w:left w:val="nil"/>
              <w:bottom w:val="nil"/>
              <w:right w:val="nil"/>
            </w:tcBorders>
            <w:shd w:val="clear" w:color="auto" w:fill="auto"/>
            <w:vAlign w:val="bottom"/>
          </w:tcPr>
          <w:p w14:paraId="000001DE" w14:textId="77777777" w:rsidR="00556640" w:rsidRPr="00DC180C" w:rsidRDefault="00556640">
            <w:pPr>
              <w:spacing w:after="0" w:line="240" w:lineRule="auto"/>
              <w:jc w:val="center"/>
              <w:rPr>
                <w:rFonts w:ascii="Times New Roman" w:eastAsia="Times New Roman" w:hAnsi="Times New Roman" w:cs="Times New Roman"/>
              </w:rPr>
            </w:pPr>
          </w:p>
        </w:tc>
        <w:tc>
          <w:tcPr>
            <w:tcW w:w="2328" w:type="dxa"/>
            <w:gridSpan w:val="2"/>
            <w:tcBorders>
              <w:top w:val="nil"/>
              <w:left w:val="nil"/>
              <w:bottom w:val="nil"/>
              <w:right w:val="nil"/>
            </w:tcBorders>
            <w:shd w:val="clear" w:color="auto" w:fill="auto"/>
            <w:vAlign w:val="bottom"/>
          </w:tcPr>
          <w:p w14:paraId="000001DF" w14:textId="77777777" w:rsidR="00556640" w:rsidRPr="00DC180C" w:rsidRDefault="00AC3D86">
            <w:pPr>
              <w:spacing w:after="0" w:line="240" w:lineRule="auto"/>
              <w:jc w:val="center"/>
              <w:rPr>
                <w:rFonts w:ascii="Times New Roman" w:eastAsia="Times New Roman" w:hAnsi="Times New Roman" w:cs="Times New Roman"/>
              </w:rPr>
            </w:pPr>
            <w:r w:rsidRPr="00DC180C">
              <w:rPr>
                <w:rFonts w:ascii="Times New Roman" w:eastAsia="Times New Roman" w:hAnsi="Times New Roman" w:cs="Times New Roman"/>
              </w:rPr>
              <w:t>3.2 (2.5)</w:t>
            </w:r>
          </w:p>
        </w:tc>
      </w:tr>
      <w:tr w:rsidR="00DC180C" w:rsidRPr="00DC180C" w14:paraId="69BB5A1A" w14:textId="77777777">
        <w:trPr>
          <w:trHeight w:val="20"/>
        </w:trPr>
        <w:tc>
          <w:tcPr>
            <w:tcW w:w="55" w:type="dxa"/>
          </w:tcPr>
          <w:p w14:paraId="000001E2" w14:textId="77777777" w:rsidR="00556640" w:rsidRPr="00DC180C" w:rsidRDefault="00556640">
            <w:pPr>
              <w:widowControl w:val="0"/>
              <w:pBdr>
                <w:top w:val="nil"/>
                <w:left w:val="nil"/>
                <w:bottom w:val="nil"/>
                <w:right w:val="nil"/>
                <w:between w:val="nil"/>
              </w:pBdr>
              <w:spacing w:after="0"/>
              <w:rPr>
                <w:rFonts w:ascii="Times New Roman" w:eastAsia="Times New Roman" w:hAnsi="Times New Roman" w:cs="Times New Roman"/>
              </w:rPr>
            </w:pPr>
          </w:p>
        </w:tc>
        <w:tc>
          <w:tcPr>
            <w:tcW w:w="3134" w:type="dxa"/>
            <w:gridSpan w:val="2"/>
            <w:tcBorders>
              <w:top w:val="nil"/>
              <w:left w:val="nil"/>
              <w:bottom w:val="single" w:sz="4" w:space="0" w:color="000000"/>
              <w:right w:val="nil"/>
            </w:tcBorders>
            <w:shd w:val="clear" w:color="auto" w:fill="auto"/>
            <w:vAlign w:val="bottom"/>
          </w:tcPr>
          <w:p w14:paraId="000001E3" w14:textId="77777777" w:rsidR="00556640" w:rsidRPr="00DC180C" w:rsidRDefault="00AC3D86">
            <w:pPr>
              <w:spacing w:after="0" w:line="240" w:lineRule="auto"/>
              <w:ind w:left="229"/>
              <w:rPr>
                <w:rFonts w:ascii="Times New Roman" w:eastAsia="Times New Roman" w:hAnsi="Times New Roman" w:cs="Times New Roman"/>
              </w:rPr>
            </w:pPr>
            <w:r w:rsidRPr="00DC180C">
              <w:rPr>
                <w:rFonts w:ascii="Times New Roman" w:eastAsia="Times New Roman" w:hAnsi="Times New Roman" w:cs="Times New Roman"/>
              </w:rPr>
              <w:t>Hours per day playing on the computer</w:t>
            </w:r>
          </w:p>
        </w:tc>
        <w:tc>
          <w:tcPr>
            <w:tcW w:w="1130" w:type="dxa"/>
            <w:tcBorders>
              <w:top w:val="nil"/>
              <w:left w:val="nil"/>
              <w:bottom w:val="single" w:sz="4" w:space="0" w:color="000000"/>
              <w:right w:val="nil"/>
            </w:tcBorders>
            <w:shd w:val="clear" w:color="auto" w:fill="auto"/>
            <w:vAlign w:val="bottom"/>
          </w:tcPr>
          <w:p w14:paraId="000001E5" w14:textId="77777777" w:rsidR="00556640" w:rsidRPr="00DC180C" w:rsidRDefault="00AC3D86">
            <w:pPr>
              <w:spacing w:after="0" w:line="240" w:lineRule="auto"/>
              <w:ind w:right="123"/>
              <w:jc w:val="center"/>
              <w:rPr>
                <w:rFonts w:ascii="Times New Roman" w:eastAsia="Times New Roman" w:hAnsi="Times New Roman" w:cs="Times New Roman"/>
              </w:rPr>
            </w:pPr>
            <w:r w:rsidRPr="00DC180C">
              <w:rPr>
                <w:rFonts w:ascii="Times New Roman" w:eastAsia="Times New Roman" w:hAnsi="Times New Roman" w:cs="Times New Roman"/>
              </w:rPr>
              <w:t>1.9 (1.5)</w:t>
            </w:r>
          </w:p>
        </w:tc>
        <w:tc>
          <w:tcPr>
            <w:tcW w:w="360" w:type="dxa"/>
            <w:gridSpan w:val="2"/>
            <w:tcBorders>
              <w:top w:val="nil"/>
              <w:left w:val="nil"/>
              <w:bottom w:val="single" w:sz="4" w:space="0" w:color="000000"/>
              <w:right w:val="nil"/>
            </w:tcBorders>
            <w:shd w:val="clear" w:color="auto" w:fill="auto"/>
            <w:vAlign w:val="bottom"/>
          </w:tcPr>
          <w:p w14:paraId="000001E6" w14:textId="77777777" w:rsidR="00556640" w:rsidRPr="00DC180C" w:rsidRDefault="00AC3D86">
            <w:pPr>
              <w:spacing w:after="0" w:line="240" w:lineRule="auto"/>
              <w:jc w:val="center"/>
              <w:rPr>
                <w:rFonts w:ascii="Times New Roman" w:eastAsia="Times New Roman" w:hAnsi="Times New Roman" w:cs="Times New Roman"/>
              </w:rPr>
            </w:pPr>
            <w:r w:rsidRPr="00DC180C">
              <w:rPr>
                <w:rFonts w:ascii="Times New Roman" w:eastAsia="Times New Roman" w:hAnsi="Times New Roman" w:cs="Times New Roman"/>
              </w:rPr>
              <w:t> </w:t>
            </w:r>
          </w:p>
        </w:tc>
        <w:tc>
          <w:tcPr>
            <w:tcW w:w="2744" w:type="dxa"/>
            <w:gridSpan w:val="2"/>
            <w:tcBorders>
              <w:top w:val="nil"/>
              <w:left w:val="nil"/>
              <w:bottom w:val="single" w:sz="4" w:space="0" w:color="000000"/>
              <w:right w:val="nil"/>
            </w:tcBorders>
            <w:shd w:val="clear" w:color="auto" w:fill="auto"/>
            <w:vAlign w:val="bottom"/>
          </w:tcPr>
          <w:p w14:paraId="000001E8" w14:textId="77777777" w:rsidR="00556640" w:rsidRPr="00DC180C" w:rsidRDefault="00AC3D86">
            <w:pPr>
              <w:spacing w:after="0" w:line="240" w:lineRule="auto"/>
              <w:jc w:val="center"/>
              <w:rPr>
                <w:rFonts w:ascii="Times New Roman" w:eastAsia="Times New Roman" w:hAnsi="Times New Roman" w:cs="Times New Roman"/>
              </w:rPr>
            </w:pPr>
            <w:r w:rsidRPr="00DC180C">
              <w:rPr>
                <w:rFonts w:ascii="Times New Roman" w:eastAsia="Times New Roman" w:hAnsi="Times New Roman" w:cs="Times New Roman"/>
              </w:rPr>
              <w:t>1.8 (1.5)</w:t>
            </w:r>
          </w:p>
        </w:tc>
        <w:tc>
          <w:tcPr>
            <w:tcW w:w="360" w:type="dxa"/>
            <w:tcBorders>
              <w:top w:val="nil"/>
              <w:left w:val="nil"/>
              <w:bottom w:val="single" w:sz="4" w:space="0" w:color="000000"/>
              <w:right w:val="nil"/>
            </w:tcBorders>
            <w:shd w:val="clear" w:color="auto" w:fill="auto"/>
            <w:vAlign w:val="bottom"/>
          </w:tcPr>
          <w:p w14:paraId="000001EA" w14:textId="77777777" w:rsidR="00556640" w:rsidRPr="00DC180C" w:rsidRDefault="00556640">
            <w:pPr>
              <w:spacing w:after="0" w:line="240" w:lineRule="auto"/>
              <w:jc w:val="center"/>
              <w:rPr>
                <w:rFonts w:ascii="Times New Roman" w:eastAsia="Times New Roman" w:hAnsi="Times New Roman" w:cs="Times New Roman"/>
              </w:rPr>
            </w:pPr>
          </w:p>
        </w:tc>
        <w:tc>
          <w:tcPr>
            <w:tcW w:w="2328" w:type="dxa"/>
            <w:gridSpan w:val="2"/>
            <w:tcBorders>
              <w:top w:val="nil"/>
              <w:left w:val="nil"/>
              <w:bottom w:val="single" w:sz="4" w:space="0" w:color="000000"/>
              <w:right w:val="nil"/>
            </w:tcBorders>
            <w:shd w:val="clear" w:color="auto" w:fill="auto"/>
            <w:vAlign w:val="bottom"/>
          </w:tcPr>
          <w:p w14:paraId="000001EB" w14:textId="77777777" w:rsidR="00556640" w:rsidRPr="00DC180C" w:rsidRDefault="00AC3D86">
            <w:pPr>
              <w:spacing w:after="0" w:line="240" w:lineRule="auto"/>
              <w:jc w:val="center"/>
              <w:rPr>
                <w:rFonts w:ascii="Times New Roman" w:eastAsia="Times New Roman" w:hAnsi="Times New Roman" w:cs="Times New Roman"/>
              </w:rPr>
            </w:pPr>
            <w:r w:rsidRPr="00DC180C">
              <w:rPr>
                <w:rFonts w:ascii="Times New Roman" w:eastAsia="Times New Roman" w:hAnsi="Times New Roman" w:cs="Times New Roman"/>
              </w:rPr>
              <w:t>1.9 (1.6)</w:t>
            </w:r>
          </w:p>
        </w:tc>
      </w:tr>
    </w:tbl>
    <w:p w14:paraId="000001EE" w14:textId="77777777" w:rsidR="00556640" w:rsidRPr="00DC180C" w:rsidRDefault="00AC3D86">
      <w:pPr>
        <w:spacing w:after="120" w:line="360" w:lineRule="auto"/>
        <w:rPr>
          <w:rFonts w:ascii="Times New Roman" w:eastAsia="Times New Roman" w:hAnsi="Times New Roman" w:cs="Times New Roman"/>
        </w:rPr>
      </w:pPr>
      <w:r w:rsidRPr="00DC180C">
        <w:rPr>
          <w:rFonts w:ascii="Times New Roman" w:eastAsia="Times New Roman" w:hAnsi="Times New Roman" w:cs="Times New Roman"/>
        </w:rPr>
        <w:t>*WHO 2007 Growth standards, HAZ=Height-for-Age Z-score, BAZ=BMI-for-age Z-score. Stunting = HAZ&lt;-2SD, Wasting=BAZ&lt;-2 SD, Overweight or obese=BAZ&gt; +2 SD); † Minimum dietary diversity score for women, from 0 to 10, FAO 2016</w:t>
      </w:r>
    </w:p>
    <w:p w14:paraId="37B8E401" w14:textId="77777777" w:rsidR="002B7E4F" w:rsidRPr="00DC180C" w:rsidRDefault="002B7E4F">
      <w:pPr>
        <w:spacing w:after="120" w:line="360" w:lineRule="auto"/>
        <w:rPr>
          <w:rFonts w:ascii="Times New Roman" w:eastAsia="Times New Roman" w:hAnsi="Times New Roman" w:cs="Times New Roman"/>
        </w:rPr>
      </w:pPr>
    </w:p>
    <w:p w14:paraId="39AE5C2B" w14:textId="77777777" w:rsidR="002B7E4F" w:rsidRPr="00DC180C" w:rsidRDefault="002B7E4F">
      <w:pPr>
        <w:spacing w:after="120" w:line="360" w:lineRule="auto"/>
        <w:rPr>
          <w:rFonts w:ascii="Times New Roman" w:eastAsia="Times New Roman" w:hAnsi="Times New Roman" w:cs="Times New Roman"/>
        </w:rPr>
      </w:pPr>
    </w:p>
    <w:p w14:paraId="000001EF" w14:textId="77777777" w:rsidR="00556640" w:rsidRPr="00DC180C" w:rsidRDefault="00AC3D86">
      <w:pPr>
        <w:spacing w:after="120" w:line="360" w:lineRule="auto"/>
        <w:rPr>
          <w:rFonts w:ascii="Times New Roman" w:eastAsia="Times New Roman" w:hAnsi="Times New Roman" w:cs="Times New Roman"/>
          <w:sz w:val="24"/>
          <w:szCs w:val="24"/>
        </w:rPr>
      </w:pPr>
      <w:r w:rsidRPr="00DC180C">
        <w:rPr>
          <w:rFonts w:ascii="Times New Roman" w:eastAsia="Times New Roman" w:hAnsi="Times New Roman" w:cs="Times New Roman"/>
          <w:sz w:val="24"/>
          <w:szCs w:val="24"/>
          <w:u w:val="single"/>
        </w:rPr>
        <w:t>Table 2:</w:t>
      </w:r>
      <w:r w:rsidRPr="00DC180C">
        <w:rPr>
          <w:rFonts w:ascii="Times New Roman" w:eastAsia="Times New Roman" w:hAnsi="Times New Roman" w:cs="Times New Roman"/>
          <w:sz w:val="24"/>
          <w:szCs w:val="24"/>
        </w:rPr>
        <w:t xml:space="preserve"> Composition of each focus group discussion (FGD) group. TALENT collaboration, June 2018, Abidjan, Côte d’Ivoire</w:t>
      </w:r>
    </w:p>
    <w:tbl>
      <w:tblPr>
        <w:tblStyle w:val="a0"/>
        <w:tblW w:w="9905"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0"/>
        <w:gridCol w:w="1255"/>
        <w:gridCol w:w="1255"/>
        <w:gridCol w:w="1292"/>
        <w:gridCol w:w="1347"/>
        <w:gridCol w:w="1709"/>
        <w:gridCol w:w="1577"/>
      </w:tblGrid>
      <w:tr w:rsidR="00DC180C" w:rsidRPr="00DC180C" w14:paraId="537C88F6" w14:textId="77777777" w:rsidTr="00556640">
        <w:trPr>
          <w:cnfStyle w:val="100000000000" w:firstRow="1" w:lastRow="0" w:firstColumn="0" w:lastColumn="0" w:oddVBand="0" w:evenVBand="0" w:oddHBand="0"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470" w:type="dxa"/>
            <w:shd w:val="clear" w:color="auto" w:fill="auto"/>
          </w:tcPr>
          <w:p w14:paraId="000001F0" w14:textId="77777777" w:rsidR="00556640" w:rsidRPr="00DC180C" w:rsidRDefault="00556640">
            <w:pPr>
              <w:spacing w:line="360" w:lineRule="auto"/>
              <w:jc w:val="center"/>
              <w:rPr>
                <w:rFonts w:ascii="Times New Roman" w:eastAsia="Times New Roman" w:hAnsi="Times New Roman" w:cs="Times New Roman"/>
                <w:color w:val="auto"/>
              </w:rPr>
            </w:pPr>
          </w:p>
        </w:tc>
        <w:tc>
          <w:tcPr>
            <w:tcW w:w="1255" w:type="dxa"/>
            <w:shd w:val="clear" w:color="auto" w:fill="auto"/>
          </w:tcPr>
          <w:p w14:paraId="000001F1" w14:textId="77777777" w:rsidR="00556640" w:rsidRPr="00DC180C" w:rsidRDefault="00AC3D8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DC180C">
              <w:rPr>
                <w:rFonts w:ascii="Times New Roman" w:eastAsia="Times New Roman" w:hAnsi="Times New Roman" w:cs="Times New Roman"/>
                <w:color w:val="auto"/>
              </w:rPr>
              <w:t>FGD1</w:t>
            </w:r>
          </w:p>
        </w:tc>
        <w:tc>
          <w:tcPr>
            <w:tcW w:w="1255" w:type="dxa"/>
            <w:shd w:val="clear" w:color="auto" w:fill="auto"/>
          </w:tcPr>
          <w:p w14:paraId="000001F2" w14:textId="77777777" w:rsidR="00556640" w:rsidRPr="00DC180C" w:rsidRDefault="00AC3D8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DC180C">
              <w:rPr>
                <w:rFonts w:ascii="Times New Roman" w:eastAsia="Times New Roman" w:hAnsi="Times New Roman" w:cs="Times New Roman"/>
                <w:color w:val="auto"/>
              </w:rPr>
              <w:t>FGD2</w:t>
            </w:r>
          </w:p>
        </w:tc>
        <w:tc>
          <w:tcPr>
            <w:tcW w:w="1292" w:type="dxa"/>
            <w:shd w:val="clear" w:color="auto" w:fill="auto"/>
          </w:tcPr>
          <w:p w14:paraId="000001F3" w14:textId="77777777" w:rsidR="00556640" w:rsidRPr="00DC180C" w:rsidRDefault="00AC3D8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DC180C">
              <w:rPr>
                <w:rFonts w:ascii="Times New Roman" w:eastAsia="Times New Roman" w:hAnsi="Times New Roman" w:cs="Times New Roman"/>
                <w:color w:val="auto"/>
              </w:rPr>
              <w:t>FGD3</w:t>
            </w:r>
          </w:p>
        </w:tc>
        <w:tc>
          <w:tcPr>
            <w:tcW w:w="1347" w:type="dxa"/>
            <w:shd w:val="clear" w:color="auto" w:fill="auto"/>
          </w:tcPr>
          <w:p w14:paraId="000001F4" w14:textId="77777777" w:rsidR="00556640" w:rsidRPr="00DC180C" w:rsidRDefault="00AC3D8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DC180C">
              <w:rPr>
                <w:rFonts w:ascii="Times New Roman" w:eastAsia="Times New Roman" w:hAnsi="Times New Roman" w:cs="Times New Roman"/>
                <w:color w:val="auto"/>
              </w:rPr>
              <w:t>FGD4</w:t>
            </w:r>
          </w:p>
        </w:tc>
        <w:tc>
          <w:tcPr>
            <w:tcW w:w="1709" w:type="dxa"/>
            <w:shd w:val="clear" w:color="auto" w:fill="auto"/>
          </w:tcPr>
          <w:p w14:paraId="000001F5" w14:textId="77777777" w:rsidR="00556640" w:rsidRPr="00DC180C" w:rsidRDefault="00AC3D8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DC180C">
              <w:rPr>
                <w:rFonts w:ascii="Times New Roman" w:eastAsia="Times New Roman" w:hAnsi="Times New Roman" w:cs="Times New Roman"/>
                <w:color w:val="auto"/>
              </w:rPr>
              <w:t>FGD5</w:t>
            </w:r>
          </w:p>
        </w:tc>
        <w:tc>
          <w:tcPr>
            <w:tcW w:w="1577" w:type="dxa"/>
            <w:shd w:val="clear" w:color="auto" w:fill="auto"/>
          </w:tcPr>
          <w:p w14:paraId="000001F6" w14:textId="77777777" w:rsidR="00556640" w:rsidRPr="00DC180C" w:rsidRDefault="00AC3D8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DC180C">
              <w:rPr>
                <w:rFonts w:ascii="Times New Roman" w:eastAsia="Times New Roman" w:hAnsi="Times New Roman" w:cs="Times New Roman"/>
                <w:color w:val="auto"/>
              </w:rPr>
              <w:t>FGD6</w:t>
            </w:r>
          </w:p>
        </w:tc>
      </w:tr>
      <w:tr w:rsidR="00DC180C" w:rsidRPr="00DC180C" w14:paraId="6B9F2652" w14:textId="77777777" w:rsidTr="002B7E4F">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470" w:type="dxa"/>
            <w:tcBorders>
              <w:bottom w:val="nil"/>
            </w:tcBorders>
            <w:shd w:val="clear" w:color="auto" w:fill="auto"/>
            <w:vAlign w:val="center"/>
          </w:tcPr>
          <w:p w14:paraId="000001F7" w14:textId="77777777" w:rsidR="00556640" w:rsidRPr="00DC180C" w:rsidRDefault="00AC3D86">
            <w:pPr>
              <w:spacing w:line="360" w:lineRule="auto"/>
              <w:jc w:val="center"/>
              <w:rPr>
                <w:rFonts w:ascii="Times New Roman" w:eastAsia="Times New Roman" w:hAnsi="Times New Roman" w:cs="Times New Roman"/>
                <w:color w:val="auto"/>
              </w:rPr>
            </w:pPr>
            <w:r w:rsidRPr="00DC180C">
              <w:rPr>
                <w:rFonts w:ascii="Times New Roman" w:eastAsia="Times New Roman" w:hAnsi="Times New Roman" w:cs="Times New Roman"/>
                <w:color w:val="auto"/>
              </w:rPr>
              <w:t>Setting</w:t>
            </w:r>
          </w:p>
        </w:tc>
        <w:tc>
          <w:tcPr>
            <w:tcW w:w="1255" w:type="dxa"/>
            <w:tcBorders>
              <w:bottom w:val="nil"/>
            </w:tcBorders>
            <w:shd w:val="clear" w:color="auto" w:fill="auto"/>
          </w:tcPr>
          <w:p w14:paraId="000001F8" w14:textId="77777777" w:rsidR="00556640" w:rsidRPr="00DC180C" w:rsidRDefault="00AC3D8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DC180C">
              <w:rPr>
                <w:rFonts w:ascii="Times New Roman" w:eastAsia="Times New Roman" w:hAnsi="Times New Roman" w:cs="Times New Roman"/>
                <w:color w:val="auto"/>
              </w:rPr>
              <w:t>Yopougon</w:t>
            </w:r>
          </w:p>
        </w:tc>
        <w:tc>
          <w:tcPr>
            <w:tcW w:w="1255" w:type="dxa"/>
            <w:tcBorders>
              <w:bottom w:val="nil"/>
            </w:tcBorders>
            <w:shd w:val="clear" w:color="auto" w:fill="auto"/>
          </w:tcPr>
          <w:p w14:paraId="000001F9" w14:textId="77777777" w:rsidR="00556640" w:rsidRPr="00DC180C" w:rsidRDefault="00AC3D8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DC180C">
              <w:rPr>
                <w:rFonts w:ascii="Times New Roman" w:eastAsia="Times New Roman" w:hAnsi="Times New Roman" w:cs="Times New Roman"/>
                <w:color w:val="auto"/>
              </w:rPr>
              <w:t>Yopougon</w:t>
            </w:r>
          </w:p>
        </w:tc>
        <w:tc>
          <w:tcPr>
            <w:tcW w:w="1292" w:type="dxa"/>
            <w:tcBorders>
              <w:bottom w:val="nil"/>
            </w:tcBorders>
            <w:shd w:val="clear" w:color="auto" w:fill="auto"/>
          </w:tcPr>
          <w:p w14:paraId="000001FA" w14:textId="77777777" w:rsidR="00556640" w:rsidRPr="00DC180C" w:rsidRDefault="00AC3D8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DC180C">
              <w:rPr>
                <w:rFonts w:ascii="Times New Roman" w:eastAsia="Times New Roman" w:hAnsi="Times New Roman" w:cs="Times New Roman"/>
                <w:color w:val="auto"/>
              </w:rPr>
              <w:t>Port-Bouët</w:t>
            </w:r>
          </w:p>
        </w:tc>
        <w:tc>
          <w:tcPr>
            <w:tcW w:w="1347" w:type="dxa"/>
            <w:tcBorders>
              <w:bottom w:val="nil"/>
            </w:tcBorders>
            <w:shd w:val="clear" w:color="auto" w:fill="auto"/>
          </w:tcPr>
          <w:p w14:paraId="000001FB" w14:textId="77777777" w:rsidR="00556640" w:rsidRPr="00DC180C" w:rsidRDefault="00AC3D8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DC180C">
              <w:rPr>
                <w:rFonts w:ascii="Times New Roman" w:eastAsia="Times New Roman" w:hAnsi="Times New Roman" w:cs="Times New Roman"/>
                <w:color w:val="auto"/>
              </w:rPr>
              <w:t>Port- Bouët</w:t>
            </w:r>
          </w:p>
        </w:tc>
        <w:tc>
          <w:tcPr>
            <w:tcW w:w="1709" w:type="dxa"/>
            <w:tcBorders>
              <w:bottom w:val="nil"/>
            </w:tcBorders>
            <w:shd w:val="clear" w:color="auto" w:fill="auto"/>
          </w:tcPr>
          <w:p w14:paraId="000001FC" w14:textId="77777777" w:rsidR="00556640" w:rsidRPr="00DC180C" w:rsidRDefault="00AC3D8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DC180C">
              <w:rPr>
                <w:rFonts w:ascii="Times New Roman" w:eastAsia="Times New Roman" w:hAnsi="Times New Roman" w:cs="Times New Roman"/>
                <w:color w:val="auto"/>
              </w:rPr>
              <w:t>Yopougon</w:t>
            </w:r>
          </w:p>
        </w:tc>
        <w:tc>
          <w:tcPr>
            <w:tcW w:w="1577" w:type="dxa"/>
            <w:tcBorders>
              <w:bottom w:val="nil"/>
            </w:tcBorders>
            <w:shd w:val="clear" w:color="auto" w:fill="auto"/>
          </w:tcPr>
          <w:p w14:paraId="000001FD" w14:textId="77777777" w:rsidR="00556640" w:rsidRPr="00DC180C" w:rsidRDefault="00AC3D8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DC180C">
              <w:rPr>
                <w:rFonts w:ascii="Times New Roman" w:eastAsia="Times New Roman" w:hAnsi="Times New Roman" w:cs="Times New Roman"/>
                <w:color w:val="auto"/>
              </w:rPr>
              <w:t>Port-Bouët</w:t>
            </w:r>
          </w:p>
        </w:tc>
      </w:tr>
      <w:tr w:rsidR="00DC180C" w:rsidRPr="00DC180C" w14:paraId="538E19A4" w14:textId="77777777" w:rsidTr="002B7E4F">
        <w:trPr>
          <w:trHeight w:val="100"/>
        </w:trPr>
        <w:tc>
          <w:tcPr>
            <w:cnfStyle w:val="001000000000" w:firstRow="0" w:lastRow="0" w:firstColumn="1" w:lastColumn="0" w:oddVBand="0" w:evenVBand="0" w:oddHBand="0" w:evenHBand="0" w:firstRowFirstColumn="0" w:firstRowLastColumn="0" w:lastRowFirstColumn="0" w:lastRowLastColumn="0"/>
            <w:tcW w:w="1470" w:type="dxa"/>
            <w:tcBorders>
              <w:top w:val="nil"/>
              <w:left w:val="nil"/>
              <w:bottom w:val="nil"/>
              <w:right w:val="nil"/>
            </w:tcBorders>
            <w:shd w:val="clear" w:color="auto" w:fill="auto"/>
            <w:vAlign w:val="center"/>
          </w:tcPr>
          <w:p w14:paraId="000001FE" w14:textId="77777777" w:rsidR="00556640" w:rsidRPr="00DC180C" w:rsidRDefault="00AC3D86">
            <w:pPr>
              <w:spacing w:line="360" w:lineRule="auto"/>
              <w:jc w:val="center"/>
              <w:rPr>
                <w:rFonts w:ascii="Times New Roman" w:eastAsia="Times New Roman" w:hAnsi="Times New Roman" w:cs="Times New Roman"/>
                <w:color w:val="auto"/>
              </w:rPr>
            </w:pPr>
            <w:r w:rsidRPr="00DC180C">
              <w:rPr>
                <w:rFonts w:ascii="Times New Roman" w:eastAsia="Times New Roman" w:hAnsi="Times New Roman" w:cs="Times New Roman"/>
                <w:color w:val="auto"/>
              </w:rPr>
              <w:t>Participants</w:t>
            </w:r>
          </w:p>
        </w:tc>
        <w:tc>
          <w:tcPr>
            <w:tcW w:w="1255" w:type="dxa"/>
            <w:tcBorders>
              <w:top w:val="nil"/>
              <w:left w:val="nil"/>
              <w:bottom w:val="nil"/>
              <w:right w:val="nil"/>
            </w:tcBorders>
            <w:shd w:val="clear" w:color="auto" w:fill="auto"/>
          </w:tcPr>
          <w:p w14:paraId="000001FF" w14:textId="77777777" w:rsidR="00556640" w:rsidRPr="00DC180C" w:rsidRDefault="00AC3D8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DC180C">
              <w:rPr>
                <w:rFonts w:ascii="Times New Roman" w:eastAsia="Times New Roman" w:hAnsi="Times New Roman" w:cs="Times New Roman"/>
                <w:color w:val="auto"/>
              </w:rPr>
              <w:t>Girls,</w:t>
            </w:r>
          </w:p>
          <w:p w14:paraId="00000200" w14:textId="77777777" w:rsidR="00556640" w:rsidRPr="00DC180C" w:rsidRDefault="00AC3D8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DC180C">
              <w:rPr>
                <w:rFonts w:ascii="Times New Roman" w:eastAsia="Times New Roman" w:hAnsi="Times New Roman" w:cs="Times New Roman"/>
                <w:color w:val="auto"/>
              </w:rPr>
              <w:t>age 10-12</w:t>
            </w:r>
          </w:p>
        </w:tc>
        <w:tc>
          <w:tcPr>
            <w:tcW w:w="1255" w:type="dxa"/>
            <w:tcBorders>
              <w:top w:val="nil"/>
              <w:left w:val="nil"/>
              <w:bottom w:val="nil"/>
              <w:right w:val="nil"/>
            </w:tcBorders>
            <w:shd w:val="clear" w:color="auto" w:fill="auto"/>
          </w:tcPr>
          <w:p w14:paraId="00000201" w14:textId="77777777" w:rsidR="00556640" w:rsidRPr="00DC180C" w:rsidRDefault="00AC3D8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DC180C">
              <w:rPr>
                <w:rFonts w:ascii="Times New Roman" w:eastAsia="Times New Roman" w:hAnsi="Times New Roman" w:cs="Times New Roman"/>
                <w:color w:val="auto"/>
              </w:rPr>
              <w:t>Boys,</w:t>
            </w:r>
          </w:p>
          <w:p w14:paraId="00000202" w14:textId="77777777" w:rsidR="00556640" w:rsidRPr="00DC180C" w:rsidRDefault="00AC3D8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DC180C">
              <w:rPr>
                <w:rFonts w:ascii="Times New Roman" w:eastAsia="Times New Roman" w:hAnsi="Times New Roman" w:cs="Times New Roman"/>
                <w:color w:val="auto"/>
              </w:rPr>
              <w:t>age 10-12</w:t>
            </w:r>
          </w:p>
        </w:tc>
        <w:tc>
          <w:tcPr>
            <w:tcW w:w="1292" w:type="dxa"/>
            <w:tcBorders>
              <w:top w:val="nil"/>
              <w:left w:val="nil"/>
              <w:bottom w:val="nil"/>
              <w:right w:val="nil"/>
            </w:tcBorders>
            <w:shd w:val="clear" w:color="auto" w:fill="auto"/>
          </w:tcPr>
          <w:p w14:paraId="00000203" w14:textId="77777777" w:rsidR="00556640" w:rsidRPr="00DC180C" w:rsidRDefault="00AC3D8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DC180C">
              <w:rPr>
                <w:rFonts w:ascii="Times New Roman" w:eastAsia="Times New Roman" w:hAnsi="Times New Roman" w:cs="Times New Roman"/>
                <w:color w:val="auto"/>
              </w:rPr>
              <w:t>Girls,</w:t>
            </w:r>
          </w:p>
          <w:p w14:paraId="00000204" w14:textId="77777777" w:rsidR="00556640" w:rsidRPr="00DC180C" w:rsidRDefault="00AC3D8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DC180C">
              <w:rPr>
                <w:rFonts w:ascii="Times New Roman" w:eastAsia="Times New Roman" w:hAnsi="Times New Roman" w:cs="Times New Roman"/>
                <w:color w:val="auto"/>
              </w:rPr>
              <w:t>age 15-17</w:t>
            </w:r>
          </w:p>
        </w:tc>
        <w:tc>
          <w:tcPr>
            <w:tcW w:w="1347" w:type="dxa"/>
            <w:tcBorders>
              <w:top w:val="nil"/>
              <w:left w:val="nil"/>
              <w:bottom w:val="nil"/>
              <w:right w:val="nil"/>
            </w:tcBorders>
            <w:shd w:val="clear" w:color="auto" w:fill="auto"/>
          </w:tcPr>
          <w:p w14:paraId="00000205" w14:textId="77777777" w:rsidR="00556640" w:rsidRPr="00DC180C" w:rsidRDefault="00AC3D8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DC180C">
              <w:rPr>
                <w:rFonts w:ascii="Times New Roman" w:eastAsia="Times New Roman" w:hAnsi="Times New Roman" w:cs="Times New Roman"/>
                <w:color w:val="auto"/>
              </w:rPr>
              <w:t>Boys,</w:t>
            </w:r>
          </w:p>
          <w:p w14:paraId="00000206" w14:textId="77777777" w:rsidR="00556640" w:rsidRPr="00DC180C" w:rsidRDefault="00AC3D8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DC180C">
              <w:rPr>
                <w:rFonts w:ascii="Times New Roman" w:eastAsia="Times New Roman" w:hAnsi="Times New Roman" w:cs="Times New Roman"/>
                <w:color w:val="auto"/>
              </w:rPr>
              <w:t>age 15-17</w:t>
            </w:r>
          </w:p>
        </w:tc>
        <w:tc>
          <w:tcPr>
            <w:tcW w:w="1709" w:type="dxa"/>
            <w:tcBorders>
              <w:top w:val="nil"/>
              <w:left w:val="nil"/>
              <w:bottom w:val="nil"/>
              <w:right w:val="nil"/>
            </w:tcBorders>
            <w:shd w:val="clear" w:color="auto" w:fill="auto"/>
          </w:tcPr>
          <w:p w14:paraId="00000207" w14:textId="77777777" w:rsidR="00556640" w:rsidRPr="00DC180C" w:rsidRDefault="00AC3D8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DC180C">
              <w:rPr>
                <w:rFonts w:ascii="Times New Roman" w:eastAsia="Times New Roman" w:hAnsi="Times New Roman" w:cs="Times New Roman"/>
                <w:color w:val="auto"/>
              </w:rPr>
              <w:t>Caregivers, mothers/fathers</w:t>
            </w:r>
          </w:p>
        </w:tc>
        <w:tc>
          <w:tcPr>
            <w:tcW w:w="1577" w:type="dxa"/>
            <w:tcBorders>
              <w:top w:val="nil"/>
              <w:left w:val="nil"/>
              <w:bottom w:val="nil"/>
              <w:right w:val="nil"/>
            </w:tcBorders>
            <w:shd w:val="clear" w:color="auto" w:fill="auto"/>
          </w:tcPr>
          <w:p w14:paraId="00000208" w14:textId="77777777" w:rsidR="00556640" w:rsidRPr="00DC180C" w:rsidRDefault="00AC3D8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DC180C">
              <w:rPr>
                <w:rFonts w:ascii="Times New Roman" w:eastAsia="Times New Roman" w:hAnsi="Times New Roman" w:cs="Times New Roman"/>
                <w:color w:val="auto"/>
              </w:rPr>
              <w:t>Caregivers, mothers only</w:t>
            </w:r>
          </w:p>
        </w:tc>
      </w:tr>
      <w:tr w:rsidR="00DC180C" w:rsidRPr="00DC180C" w14:paraId="0D7A7A2E" w14:textId="77777777" w:rsidTr="002B7E4F">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470" w:type="dxa"/>
            <w:tcBorders>
              <w:top w:val="nil"/>
            </w:tcBorders>
            <w:shd w:val="clear" w:color="auto" w:fill="auto"/>
            <w:vAlign w:val="center"/>
          </w:tcPr>
          <w:p w14:paraId="00000209" w14:textId="77777777" w:rsidR="00556640" w:rsidRPr="00DC180C" w:rsidRDefault="00AC3D86">
            <w:pPr>
              <w:spacing w:line="360" w:lineRule="auto"/>
              <w:jc w:val="center"/>
              <w:rPr>
                <w:rFonts w:ascii="Times New Roman" w:eastAsia="Times New Roman" w:hAnsi="Times New Roman" w:cs="Times New Roman"/>
                <w:color w:val="auto"/>
              </w:rPr>
            </w:pPr>
            <w:r w:rsidRPr="00DC180C">
              <w:rPr>
                <w:rFonts w:ascii="Times New Roman" w:eastAsia="Times New Roman" w:hAnsi="Times New Roman" w:cs="Times New Roman"/>
                <w:color w:val="auto"/>
              </w:rPr>
              <w:t>N</w:t>
            </w:r>
          </w:p>
        </w:tc>
        <w:tc>
          <w:tcPr>
            <w:tcW w:w="1255" w:type="dxa"/>
            <w:tcBorders>
              <w:top w:val="nil"/>
            </w:tcBorders>
            <w:shd w:val="clear" w:color="auto" w:fill="auto"/>
          </w:tcPr>
          <w:p w14:paraId="0000020A" w14:textId="77777777" w:rsidR="00556640" w:rsidRPr="00DC180C" w:rsidRDefault="00AC3D8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DC180C">
              <w:rPr>
                <w:rFonts w:ascii="Times New Roman" w:eastAsia="Times New Roman" w:hAnsi="Times New Roman" w:cs="Times New Roman"/>
                <w:color w:val="auto"/>
              </w:rPr>
              <w:t>12</w:t>
            </w:r>
          </w:p>
        </w:tc>
        <w:tc>
          <w:tcPr>
            <w:tcW w:w="1255" w:type="dxa"/>
            <w:tcBorders>
              <w:top w:val="nil"/>
            </w:tcBorders>
            <w:shd w:val="clear" w:color="auto" w:fill="auto"/>
          </w:tcPr>
          <w:p w14:paraId="0000020B" w14:textId="77777777" w:rsidR="00556640" w:rsidRPr="00DC180C" w:rsidRDefault="00AC3D8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DC180C">
              <w:rPr>
                <w:rFonts w:ascii="Times New Roman" w:eastAsia="Times New Roman" w:hAnsi="Times New Roman" w:cs="Times New Roman"/>
                <w:color w:val="auto"/>
              </w:rPr>
              <w:t>12</w:t>
            </w:r>
          </w:p>
        </w:tc>
        <w:tc>
          <w:tcPr>
            <w:tcW w:w="1292" w:type="dxa"/>
            <w:tcBorders>
              <w:top w:val="nil"/>
            </w:tcBorders>
            <w:shd w:val="clear" w:color="auto" w:fill="auto"/>
          </w:tcPr>
          <w:p w14:paraId="0000020C" w14:textId="77777777" w:rsidR="00556640" w:rsidRPr="00DC180C" w:rsidRDefault="00AC3D8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DC180C">
              <w:rPr>
                <w:rFonts w:ascii="Times New Roman" w:eastAsia="Times New Roman" w:hAnsi="Times New Roman" w:cs="Times New Roman"/>
                <w:color w:val="auto"/>
              </w:rPr>
              <w:t>12</w:t>
            </w:r>
          </w:p>
        </w:tc>
        <w:tc>
          <w:tcPr>
            <w:tcW w:w="1347" w:type="dxa"/>
            <w:tcBorders>
              <w:top w:val="nil"/>
            </w:tcBorders>
            <w:shd w:val="clear" w:color="auto" w:fill="auto"/>
          </w:tcPr>
          <w:p w14:paraId="0000020D" w14:textId="77777777" w:rsidR="00556640" w:rsidRPr="00DC180C" w:rsidRDefault="00AC3D8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DC180C">
              <w:rPr>
                <w:rFonts w:ascii="Times New Roman" w:eastAsia="Times New Roman" w:hAnsi="Times New Roman" w:cs="Times New Roman"/>
                <w:color w:val="auto"/>
              </w:rPr>
              <w:t>10</w:t>
            </w:r>
          </w:p>
        </w:tc>
        <w:tc>
          <w:tcPr>
            <w:tcW w:w="1709" w:type="dxa"/>
            <w:tcBorders>
              <w:top w:val="nil"/>
            </w:tcBorders>
            <w:shd w:val="clear" w:color="auto" w:fill="auto"/>
          </w:tcPr>
          <w:p w14:paraId="0000020E" w14:textId="77777777" w:rsidR="00556640" w:rsidRPr="00DC180C" w:rsidRDefault="00AC3D8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DC180C">
              <w:rPr>
                <w:rFonts w:ascii="Times New Roman" w:eastAsia="Times New Roman" w:hAnsi="Times New Roman" w:cs="Times New Roman"/>
                <w:color w:val="auto"/>
              </w:rPr>
              <w:t>12 (6/6)</w:t>
            </w:r>
          </w:p>
        </w:tc>
        <w:tc>
          <w:tcPr>
            <w:tcW w:w="1577" w:type="dxa"/>
            <w:tcBorders>
              <w:top w:val="nil"/>
            </w:tcBorders>
            <w:shd w:val="clear" w:color="auto" w:fill="auto"/>
          </w:tcPr>
          <w:p w14:paraId="0000020F" w14:textId="77777777" w:rsidR="00556640" w:rsidRPr="00DC180C" w:rsidRDefault="00AC3D8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DC180C">
              <w:rPr>
                <w:rFonts w:ascii="Times New Roman" w:eastAsia="Times New Roman" w:hAnsi="Times New Roman" w:cs="Times New Roman"/>
                <w:color w:val="auto"/>
              </w:rPr>
              <w:t>14</w:t>
            </w:r>
          </w:p>
        </w:tc>
      </w:tr>
    </w:tbl>
    <w:p w14:paraId="00000210" w14:textId="77777777" w:rsidR="00556640" w:rsidRDefault="00556640">
      <w:pPr>
        <w:spacing w:after="120" w:line="360" w:lineRule="auto"/>
        <w:rPr>
          <w:rFonts w:ascii="Times New Roman" w:eastAsia="Times New Roman" w:hAnsi="Times New Roman" w:cs="Times New Roman"/>
          <w:b/>
          <w:sz w:val="24"/>
          <w:szCs w:val="24"/>
        </w:rPr>
      </w:pPr>
    </w:p>
    <w:sectPr w:rsidR="00556640">
      <w:footerReference w:type="default" r:id="rId11"/>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DD5A1" w14:textId="77777777" w:rsidR="00B46E1C" w:rsidRDefault="00B46E1C">
      <w:pPr>
        <w:spacing w:after="0" w:line="240" w:lineRule="auto"/>
      </w:pPr>
      <w:r>
        <w:separator/>
      </w:r>
    </w:p>
  </w:endnote>
  <w:endnote w:type="continuationSeparator" w:id="0">
    <w:p w14:paraId="1F959208" w14:textId="77777777" w:rsidR="00B46E1C" w:rsidRDefault="00B46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11" w14:textId="07838F6B" w:rsidR="00703E60" w:rsidRDefault="00703E60">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02E99">
      <w:rPr>
        <w:noProof/>
        <w:color w:val="000000"/>
      </w:rPr>
      <w:t>1</w:t>
    </w:r>
    <w:r>
      <w:rPr>
        <w:color w:val="000000"/>
      </w:rPr>
      <w:fldChar w:fldCharType="end"/>
    </w:r>
  </w:p>
  <w:p w14:paraId="00000212" w14:textId="77777777" w:rsidR="00703E60" w:rsidRDefault="00703E6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A325B" w14:textId="77777777" w:rsidR="00B46E1C" w:rsidRDefault="00B46E1C">
      <w:pPr>
        <w:spacing w:after="0" w:line="240" w:lineRule="auto"/>
      </w:pPr>
      <w:r>
        <w:separator/>
      </w:r>
    </w:p>
  </w:footnote>
  <w:footnote w:type="continuationSeparator" w:id="0">
    <w:p w14:paraId="005B6FFE" w14:textId="77777777" w:rsidR="00B46E1C" w:rsidRDefault="00B46E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DD3AD3"/>
    <w:multiLevelType w:val="multilevel"/>
    <w:tmpl w:val="F0AE0C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640"/>
    <w:rsid w:val="0005498C"/>
    <w:rsid w:val="002B1A47"/>
    <w:rsid w:val="002B7E4F"/>
    <w:rsid w:val="004C607B"/>
    <w:rsid w:val="00556640"/>
    <w:rsid w:val="00602E99"/>
    <w:rsid w:val="006A282B"/>
    <w:rsid w:val="006E0A4A"/>
    <w:rsid w:val="00703E60"/>
    <w:rsid w:val="00793DE4"/>
    <w:rsid w:val="007B55FD"/>
    <w:rsid w:val="008B2867"/>
    <w:rsid w:val="00A1297C"/>
    <w:rsid w:val="00AC3D86"/>
    <w:rsid w:val="00B46E1C"/>
    <w:rsid w:val="00BC6D23"/>
    <w:rsid w:val="00C84FBF"/>
    <w:rsid w:val="00DC180C"/>
    <w:rsid w:val="00FB5F42"/>
    <w:rsid w:val="00FF7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FD2879-A54B-4413-948E-C1E0B7D1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3D5B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C3361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368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683A"/>
  </w:style>
  <w:style w:type="paragraph" w:styleId="Footer">
    <w:name w:val="footer"/>
    <w:basedOn w:val="Normal"/>
    <w:link w:val="FooterChar"/>
    <w:uiPriority w:val="99"/>
    <w:unhideWhenUsed/>
    <w:rsid w:val="00C368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683A"/>
  </w:style>
  <w:style w:type="character" w:styleId="LineNumber">
    <w:name w:val="line number"/>
    <w:basedOn w:val="DefaultParagraphFont"/>
    <w:uiPriority w:val="99"/>
    <w:semiHidden/>
    <w:unhideWhenUsed/>
    <w:rsid w:val="00C3683A"/>
  </w:style>
  <w:style w:type="character" w:styleId="Hyperlink">
    <w:name w:val="Hyperlink"/>
    <w:basedOn w:val="DefaultParagraphFont"/>
    <w:uiPriority w:val="99"/>
    <w:unhideWhenUsed/>
    <w:rsid w:val="00AD17A2"/>
    <w:rPr>
      <w:color w:val="0000FF" w:themeColor="hyperlink"/>
      <w:u w:val="single"/>
    </w:rPr>
  </w:style>
  <w:style w:type="paragraph" w:styleId="ListParagraph">
    <w:name w:val="List Paragraph"/>
    <w:basedOn w:val="Normal"/>
    <w:uiPriority w:val="34"/>
    <w:qFormat/>
    <w:rsid w:val="008A2E37"/>
    <w:pPr>
      <w:ind w:left="720"/>
      <w:contextualSpacing/>
    </w:pPr>
  </w:style>
  <w:style w:type="character" w:styleId="FollowedHyperlink">
    <w:name w:val="FollowedHyperlink"/>
    <w:basedOn w:val="DefaultParagraphFont"/>
    <w:uiPriority w:val="99"/>
    <w:semiHidden/>
    <w:unhideWhenUsed/>
    <w:rsid w:val="00AB5894"/>
    <w:rPr>
      <w:color w:val="800080" w:themeColor="followedHyperlink"/>
      <w:u w:val="single"/>
    </w:rPr>
  </w:style>
  <w:style w:type="character" w:customStyle="1" w:styleId="Heading2Char">
    <w:name w:val="Heading 2 Char"/>
    <w:basedOn w:val="DefaultParagraphFont"/>
    <w:link w:val="Heading2"/>
    <w:uiPriority w:val="9"/>
    <w:rsid w:val="003D5B0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B2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B226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A3680E"/>
    <w:rPr>
      <w:sz w:val="16"/>
      <w:szCs w:val="16"/>
    </w:rPr>
  </w:style>
  <w:style w:type="paragraph" w:styleId="CommentText">
    <w:name w:val="annotation text"/>
    <w:basedOn w:val="Normal"/>
    <w:link w:val="CommentTextChar"/>
    <w:uiPriority w:val="99"/>
    <w:semiHidden/>
    <w:unhideWhenUsed/>
    <w:rsid w:val="00A3680E"/>
    <w:pPr>
      <w:spacing w:line="240" w:lineRule="auto"/>
    </w:pPr>
    <w:rPr>
      <w:sz w:val="20"/>
      <w:szCs w:val="20"/>
    </w:rPr>
  </w:style>
  <w:style w:type="character" w:customStyle="1" w:styleId="CommentTextChar">
    <w:name w:val="Comment Text Char"/>
    <w:basedOn w:val="DefaultParagraphFont"/>
    <w:link w:val="CommentText"/>
    <w:uiPriority w:val="99"/>
    <w:semiHidden/>
    <w:rsid w:val="00A3680E"/>
    <w:rPr>
      <w:sz w:val="20"/>
      <w:szCs w:val="20"/>
    </w:rPr>
  </w:style>
  <w:style w:type="paragraph" w:styleId="CommentSubject">
    <w:name w:val="annotation subject"/>
    <w:basedOn w:val="CommentText"/>
    <w:next w:val="CommentText"/>
    <w:link w:val="CommentSubjectChar"/>
    <w:uiPriority w:val="99"/>
    <w:semiHidden/>
    <w:unhideWhenUsed/>
    <w:rsid w:val="00A3680E"/>
    <w:rPr>
      <w:b/>
      <w:bCs/>
    </w:rPr>
  </w:style>
  <w:style w:type="character" w:customStyle="1" w:styleId="CommentSubjectChar">
    <w:name w:val="Comment Subject Char"/>
    <w:basedOn w:val="CommentTextChar"/>
    <w:link w:val="CommentSubject"/>
    <w:uiPriority w:val="99"/>
    <w:semiHidden/>
    <w:rsid w:val="00A3680E"/>
    <w:rPr>
      <w:b/>
      <w:bCs/>
      <w:sz w:val="20"/>
      <w:szCs w:val="20"/>
    </w:rPr>
  </w:style>
  <w:style w:type="paragraph" w:styleId="BalloonText">
    <w:name w:val="Balloon Text"/>
    <w:basedOn w:val="Normal"/>
    <w:link w:val="BalloonTextChar"/>
    <w:uiPriority w:val="99"/>
    <w:semiHidden/>
    <w:unhideWhenUsed/>
    <w:rsid w:val="009157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80E"/>
    <w:rPr>
      <w:rFonts w:ascii="Segoe UI" w:hAnsi="Segoe UI" w:cs="Segoe UI"/>
      <w:sz w:val="18"/>
      <w:szCs w:val="18"/>
    </w:rPr>
  </w:style>
  <w:style w:type="paragraph" w:styleId="Revision">
    <w:name w:val="Revision"/>
    <w:hidden/>
    <w:uiPriority w:val="99"/>
    <w:semiHidden/>
    <w:rsid w:val="004C0E14"/>
    <w:pPr>
      <w:spacing w:after="0" w:line="240" w:lineRule="auto"/>
    </w:pPr>
  </w:style>
  <w:style w:type="paragraph" w:customStyle="1" w:styleId="EndNoteBibliographyTitle">
    <w:name w:val="EndNote Bibliography Title"/>
    <w:basedOn w:val="Normal"/>
    <w:link w:val="EndNoteBibliographyTitleCar"/>
    <w:rsid w:val="00E87107"/>
    <w:pPr>
      <w:spacing w:after="0"/>
      <w:jc w:val="center"/>
    </w:pPr>
    <w:rPr>
      <w:noProof/>
    </w:rPr>
  </w:style>
  <w:style w:type="character" w:customStyle="1" w:styleId="EndNoteBibliographyTitleCar">
    <w:name w:val="EndNote Bibliography Title Car"/>
    <w:basedOn w:val="DefaultParagraphFont"/>
    <w:link w:val="EndNoteBibliographyTitle"/>
    <w:rsid w:val="00E87107"/>
    <w:rPr>
      <w:rFonts w:ascii="Calibri" w:hAnsi="Calibri"/>
      <w:noProof/>
      <w:lang w:val="en-US"/>
    </w:rPr>
  </w:style>
  <w:style w:type="paragraph" w:customStyle="1" w:styleId="EndNoteBibliography">
    <w:name w:val="EndNote Bibliography"/>
    <w:basedOn w:val="Normal"/>
    <w:link w:val="EndNoteBibliographyCar"/>
    <w:rsid w:val="00E87107"/>
    <w:pPr>
      <w:spacing w:line="240" w:lineRule="auto"/>
      <w:jc w:val="center"/>
    </w:pPr>
    <w:rPr>
      <w:noProof/>
    </w:rPr>
  </w:style>
  <w:style w:type="character" w:customStyle="1" w:styleId="EndNoteBibliographyCar">
    <w:name w:val="EndNote Bibliography Car"/>
    <w:basedOn w:val="DefaultParagraphFont"/>
    <w:link w:val="EndNoteBibliography"/>
    <w:rsid w:val="00E87107"/>
    <w:rPr>
      <w:rFonts w:ascii="Calibri" w:hAnsi="Calibri"/>
      <w:noProof/>
      <w:lang w:val="en-US"/>
    </w:rPr>
  </w:style>
  <w:style w:type="character" w:customStyle="1" w:styleId="Heading6Char">
    <w:name w:val="Heading 6 Char"/>
    <w:basedOn w:val="DefaultParagraphFont"/>
    <w:link w:val="Heading6"/>
    <w:uiPriority w:val="9"/>
    <w:semiHidden/>
    <w:rsid w:val="00C33611"/>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C33611"/>
    <w:rPr>
      <w:b/>
      <w:bCs/>
    </w:rPr>
  </w:style>
  <w:style w:type="paragraph" w:styleId="NormalWeb">
    <w:name w:val="Normal (Web)"/>
    <w:basedOn w:val="Normal"/>
    <w:uiPriority w:val="99"/>
    <w:semiHidden/>
    <w:unhideWhenUsed/>
    <w:rsid w:val="00C33611"/>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volumeissue">
    <w:name w:val="volume_issue"/>
    <w:basedOn w:val="DefaultParagraphFont"/>
    <w:rsid w:val="00C46EFA"/>
  </w:style>
  <w:style w:type="character" w:customStyle="1" w:styleId="pagerange">
    <w:name w:val="page_range"/>
    <w:basedOn w:val="DefaultParagraphFont"/>
    <w:rsid w:val="00C46EFA"/>
  </w:style>
  <w:style w:type="character" w:customStyle="1" w:styleId="UnresolvedMention1">
    <w:name w:val="Unresolved Mention1"/>
    <w:basedOn w:val="DefaultParagraphFont"/>
    <w:uiPriority w:val="99"/>
    <w:semiHidden/>
    <w:unhideWhenUsed/>
    <w:rsid w:val="002678E9"/>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pPr>
      <w:spacing w:after="0" w:line="240" w:lineRule="auto"/>
    </w:pPr>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64725">
      <w:bodyDiv w:val="1"/>
      <w:marLeft w:val="0"/>
      <w:marRight w:val="0"/>
      <w:marTop w:val="0"/>
      <w:marBottom w:val="0"/>
      <w:divBdr>
        <w:top w:val="none" w:sz="0" w:space="0" w:color="auto"/>
        <w:left w:val="none" w:sz="0" w:space="0" w:color="auto"/>
        <w:bottom w:val="none" w:sz="0" w:space="0" w:color="auto"/>
        <w:right w:val="none" w:sz="0" w:space="0" w:color="auto"/>
      </w:divBdr>
      <w:divsChild>
        <w:div w:id="883063206">
          <w:marLeft w:val="0"/>
          <w:marRight w:val="0"/>
          <w:marTop w:val="0"/>
          <w:marBottom w:val="0"/>
          <w:divBdr>
            <w:top w:val="none" w:sz="0" w:space="0" w:color="auto"/>
            <w:left w:val="none" w:sz="0" w:space="0" w:color="auto"/>
            <w:bottom w:val="none" w:sz="0" w:space="0" w:color="auto"/>
            <w:right w:val="none" w:sz="0" w:space="0" w:color="auto"/>
          </w:divBdr>
          <w:divsChild>
            <w:div w:id="2011524272">
              <w:marLeft w:val="0"/>
              <w:marRight w:val="0"/>
              <w:marTop w:val="0"/>
              <w:marBottom w:val="0"/>
              <w:divBdr>
                <w:top w:val="none" w:sz="0" w:space="0" w:color="auto"/>
                <w:left w:val="none" w:sz="0" w:space="0" w:color="auto"/>
                <w:bottom w:val="none" w:sz="0" w:space="0" w:color="auto"/>
                <w:right w:val="none" w:sz="0" w:space="0" w:color="auto"/>
              </w:divBdr>
              <w:divsChild>
                <w:div w:id="203530413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69389956">
      <w:bodyDiv w:val="1"/>
      <w:marLeft w:val="0"/>
      <w:marRight w:val="0"/>
      <w:marTop w:val="0"/>
      <w:marBottom w:val="0"/>
      <w:divBdr>
        <w:top w:val="none" w:sz="0" w:space="0" w:color="auto"/>
        <w:left w:val="none" w:sz="0" w:space="0" w:color="auto"/>
        <w:bottom w:val="none" w:sz="0" w:space="0" w:color="auto"/>
        <w:right w:val="none" w:sz="0" w:space="0" w:color="auto"/>
      </w:divBdr>
      <w:divsChild>
        <w:div w:id="1073429125">
          <w:marLeft w:val="0"/>
          <w:marRight w:val="0"/>
          <w:marTop w:val="0"/>
          <w:marBottom w:val="0"/>
          <w:divBdr>
            <w:top w:val="none" w:sz="0" w:space="0" w:color="auto"/>
            <w:left w:val="none" w:sz="0" w:space="0" w:color="auto"/>
            <w:bottom w:val="none" w:sz="0" w:space="0" w:color="auto"/>
            <w:right w:val="none" w:sz="0" w:space="0" w:color="auto"/>
          </w:divBdr>
          <w:divsChild>
            <w:div w:id="1837115166">
              <w:marLeft w:val="0"/>
              <w:marRight w:val="0"/>
              <w:marTop w:val="0"/>
              <w:marBottom w:val="0"/>
              <w:divBdr>
                <w:top w:val="none" w:sz="0" w:space="0" w:color="auto"/>
                <w:left w:val="none" w:sz="0" w:space="0" w:color="auto"/>
                <w:bottom w:val="none" w:sz="0" w:space="0" w:color="auto"/>
                <w:right w:val="none" w:sz="0" w:space="0" w:color="auto"/>
              </w:divBdr>
              <w:divsChild>
                <w:div w:id="198345858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03431496">
      <w:bodyDiv w:val="1"/>
      <w:marLeft w:val="0"/>
      <w:marRight w:val="0"/>
      <w:marTop w:val="0"/>
      <w:marBottom w:val="0"/>
      <w:divBdr>
        <w:top w:val="none" w:sz="0" w:space="0" w:color="auto"/>
        <w:left w:val="none" w:sz="0" w:space="0" w:color="auto"/>
        <w:bottom w:val="none" w:sz="0" w:space="0" w:color="auto"/>
        <w:right w:val="none" w:sz="0" w:space="0" w:color="auto"/>
      </w:divBdr>
    </w:div>
    <w:div w:id="1963420682">
      <w:bodyDiv w:val="1"/>
      <w:marLeft w:val="0"/>
      <w:marRight w:val="0"/>
      <w:marTop w:val="0"/>
      <w:marBottom w:val="0"/>
      <w:divBdr>
        <w:top w:val="none" w:sz="0" w:space="0" w:color="auto"/>
        <w:left w:val="none" w:sz="0" w:space="0" w:color="auto"/>
        <w:bottom w:val="none" w:sz="0" w:space="0" w:color="auto"/>
        <w:right w:val="none" w:sz="0" w:space="0" w:color="auto"/>
      </w:divBdr>
      <w:divsChild>
        <w:div w:id="426968514">
          <w:marLeft w:val="0"/>
          <w:marRight w:val="0"/>
          <w:marTop w:val="0"/>
          <w:marBottom w:val="0"/>
          <w:divBdr>
            <w:top w:val="none" w:sz="0" w:space="0" w:color="auto"/>
            <w:left w:val="none" w:sz="0" w:space="0" w:color="auto"/>
            <w:bottom w:val="none" w:sz="0" w:space="0" w:color="auto"/>
            <w:right w:val="none" w:sz="0" w:space="0" w:color="auto"/>
          </w:divBdr>
          <w:divsChild>
            <w:div w:id="2089302157">
              <w:marLeft w:val="0"/>
              <w:marRight w:val="0"/>
              <w:marTop w:val="0"/>
              <w:marBottom w:val="0"/>
              <w:divBdr>
                <w:top w:val="none" w:sz="0" w:space="0" w:color="auto"/>
                <w:left w:val="none" w:sz="0" w:space="0" w:color="auto"/>
                <w:bottom w:val="none" w:sz="0" w:space="0" w:color="auto"/>
                <w:right w:val="none" w:sz="0" w:space="0" w:color="auto"/>
              </w:divBdr>
              <w:divsChild>
                <w:div w:id="70969093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cotedivoire.opendataforafrica.org/hxghsjf/recensement-g%C3%A9n%C3%A9ral-de-la-population-et-de-l-habitat-rgph-2014-c%C3%B4te-d-ivoir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xdoiorg/101300/J125v14n01_08" TargetMode="External"/><Relationship Id="rId4" Type="http://schemas.openxmlformats.org/officeDocument/2006/relationships/settings" Target="settings.xml"/><Relationship Id="rId9" Type="http://schemas.openxmlformats.org/officeDocument/2006/relationships/hyperlink" Target="http://www.ndhealth.gov/injury/ND_Prevention_Tool_Kit/docs/Community_Readiness_Handbook.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Ezaq0ftpGz2yVNcQ+JaTUuaMKw==">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7685</Words>
  <Characters>43806</Characters>
  <Application>Microsoft Office Word</Application>
  <DocSecurity>0</DocSecurity>
  <Lines>365</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none</Company>
  <LinksUpToDate>false</LinksUpToDate>
  <CharactersWithSpaces>51389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JESSON Julie</dc:creator>
  <cp:lastModifiedBy>de Montfalcon S.P.</cp:lastModifiedBy>
  <cp:revision>2</cp:revision>
  <dcterms:created xsi:type="dcterms:W3CDTF">2020-07-22T14:49:00Z</dcterms:created>
  <dcterms:modified xsi:type="dcterms:W3CDTF">2020-07-22T14:49:00Z</dcterms:modified>
</cp:coreProperties>
</file>