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8872" w14:textId="70FF6A3E" w:rsidR="00607B7B" w:rsidRPr="001E73A0" w:rsidRDefault="005071D3" w:rsidP="00DA318C">
      <w:pPr>
        <w:jc w:val="center"/>
        <w:rPr>
          <w:b/>
          <w:sz w:val="36"/>
          <w:szCs w:val="36"/>
        </w:rPr>
      </w:pPr>
      <w:r w:rsidRPr="001E73A0">
        <w:rPr>
          <w:b/>
          <w:sz w:val="36"/>
          <w:szCs w:val="36"/>
        </w:rPr>
        <w:t>Does</w:t>
      </w:r>
      <w:r w:rsidR="00C752E0" w:rsidRPr="001E73A0">
        <w:rPr>
          <w:b/>
          <w:sz w:val="36"/>
          <w:szCs w:val="36"/>
        </w:rPr>
        <w:t xml:space="preserve"> </w:t>
      </w:r>
      <w:r w:rsidRPr="001E73A0">
        <w:rPr>
          <w:b/>
          <w:sz w:val="36"/>
          <w:szCs w:val="36"/>
        </w:rPr>
        <w:t>Accounting</w:t>
      </w:r>
      <w:r w:rsidR="00C752E0" w:rsidRPr="001E73A0">
        <w:rPr>
          <w:b/>
          <w:sz w:val="36"/>
          <w:szCs w:val="36"/>
        </w:rPr>
        <w:t xml:space="preserve"> </w:t>
      </w:r>
      <w:r w:rsidRPr="001E73A0">
        <w:rPr>
          <w:b/>
          <w:sz w:val="36"/>
          <w:szCs w:val="36"/>
        </w:rPr>
        <w:t>C</w:t>
      </w:r>
      <w:r w:rsidR="00C752E0" w:rsidRPr="001E73A0">
        <w:rPr>
          <w:b/>
          <w:sz w:val="36"/>
          <w:szCs w:val="36"/>
        </w:rPr>
        <w:t xml:space="preserve">omparability </w:t>
      </w:r>
      <w:r w:rsidR="00B6436B" w:rsidRPr="001E73A0">
        <w:rPr>
          <w:b/>
          <w:sz w:val="36"/>
          <w:szCs w:val="36"/>
        </w:rPr>
        <w:t>A</w:t>
      </w:r>
      <w:r w:rsidRPr="001E73A0">
        <w:rPr>
          <w:b/>
          <w:sz w:val="36"/>
          <w:szCs w:val="36"/>
        </w:rPr>
        <w:t>ffect</w:t>
      </w:r>
      <w:r w:rsidR="00C752E0" w:rsidRPr="001E73A0">
        <w:rPr>
          <w:b/>
          <w:sz w:val="36"/>
          <w:szCs w:val="36"/>
        </w:rPr>
        <w:t xml:space="preserve"> </w:t>
      </w:r>
      <w:r w:rsidR="00490A1D" w:rsidRPr="001E73A0">
        <w:rPr>
          <w:b/>
          <w:sz w:val="36"/>
          <w:szCs w:val="36"/>
        </w:rPr>
        <w:t xml:space="preserve">Corporate Employment </w:t>
      </w:r>
      <w:r w:rsidR="00F51B44" w:rsidRPr="001E73A0">
        <w:rPr>
          <w:b/>
          <w:sz w:val="36"/>
          <w:szCs w:val="36"/>
        </w:rPr>
        <w:t>Decision-Making</w:t>
      </w:r>
      <w:r w:rsidRPr="001E73A0">
        <w:rPr>
          <w:b/>
          <w:sz w:val="36"/>
          <w:szCs w:val="36"/>
        </w:rPr>
        <w:t>?</w:t>
      </w:r>
    </w:p>
    <w:p w14:paraId="7EB7330F" w14:textId="77777777" w:rsidR="00DA5E83" w:rsidRPr="001E73A0" w:rsidRDefault="00DA5E83">
      <w:pPr>
        <w:rPr>
          <w:sz w:val="24"/>
          <w:szCs w:val="24"/>
        </w:rPr>
      </w:pPr>
    </w:p>
    <w:p w14:paraId="552EC8C0" w14:textId="77777777" w:rsidR="00F37AE6" w:rsidRPr="001E73A0" w:rsidRDefault="00F37AE6">
      <w:pPr>
        <w:rPr>
          <w:sz w:val="24"/>
          <w:szCs w:val="24"/>
        </w:rPr>
      </w:pPr>
    </w:p>
    <w:p w14:paraId="498745CE" w14:textId="531C719B" w:rsidR="006042B6" w:rsidRPr="001E73A0" w:rsidRDefault="004756F0" w:rsidP="0025406D">
      <w:pPr>
        <w:pStyle w:val="1"/>
        <w:spacing w:line="360" w:lineRule="auto"/>
      </w:pPr>
      <w:r w:rsidRPr="001E73A0">
        <w:t>Abstract</w:t>
      </w:r>
    </w:p>
    <w:p w14:paraId="658DC494" w14:textId="71CF1613" w:rsidR="00DD55A8" w:rsidRPr="001E73A0" w:rsidRDefault="00AD2EF4">
      <w:pPr>
        <w:adjustRightInd w:val="0"/>
        <w:snapToGrid w:val="0"/>
        <w:spacing w:after="0" w:line="360" w:lineRule="auto"/>
        <w:jc w:val="both"/>
        <w:rPr>
          <w:sz w:val="24"/>
          <w:szCs w:val="24"/>
          <w:lang w:val="en-US"/>
        </w:rPr>
      </w:pPr>
      <w:r w:rsidRPr="001E73A0">
        <w:rPr>
          <w:sz w:val="24"/>
          <w:szCs w:val="24"/>
        </w:rPr>
        <w:t>T</w:t>
      </w:r>
      <w:r w:rsidR="005A6DC0" w:rsidRPr="001E73A0">
        <w:rPr>
          <w:sz w:val="24"/>
          <w:szCs w:val="24"/>
        </w:rPr>
        <w:t xml:space="preserve">his paper investigates whether accounting comparability affects corporate employment </w:t>
      </w:r>
      <w:r w:rsidR="00F51B44" w:rsidRPr="001E73A0">
        <w:rPr>
          <w:sz w:val="24"/>
          <w:szCs w:val="24"/>
        </w:rPr>
        <w:t>decision-making</w:t>
      </w:r>
      <w:r w:rsidR="001D7998" w:rsidRPr="001E73A0">
        <w:rPr>
          <w:sz w:val="24"/>
          <w:szCs w:val="24"/>
        </w:rPr>
        <w:t xml:space="preserve">. </w:t>
      </w:r>
      <w:r w:rsidR="00F17D5B" w:rsidRPr="001E73A0">
        <w:rPr>
          <w:sz w:val="24"/>
          <w:szCs w:val="24"/>
        </w:rPr>
        <w:t xml:space="preserve">We </w:t>
      </w:r>
      <w:r w:rsidR="001D7998" w:rsidRPr="001E73A0">
        <w:rPr>
          <w:sz w:val="24"/>
          <w:szCs w:val="24"/>
        </w:rPr>
        <w:t xml:space="preserve">find that </w:t>
      </w:r>
      <w:r w:rsidR="002A7D20" w:rsidRPr="001E73A0">
        <w:rPr>
          <w:sz w:val="24"/>
          <w:szCs w:val="24"/>
        </w:rPr>
        <w:t>firms</w:t>
      </w:r>
      <w:r w:rsidR="001D7998" w:rsidRPr="001E73A0">
        <w:rPr>
          <w:sz w:val="24"/>
          <w:szCs w:val="24"/>
        </w:rPr>
        <w:t xml:space="preserve"> with </w:t>
      </w:r>
      <w:r w:rsidR="00607163" w:rsidRPr="001E73A0">
        <w:rPr>
          <w:sz w:val="24"/>
          <w:szCs w:val="24"/>
        </w:rPr>
        <w:t>greater</w:t>
      </w:r>
      <w:r w:rsidR="002A7D20" w:rsidRPr="001E73A0">
        <w:rPr>
          <w:sz w:val="24"/>
          <w:szCs w:val="24"/>
        </w:rPr>
        <w:t xml:space="preserve"> </w:t>
      </w:r>
      <w:r w:rsidR="00382043" w:rsidRPr="001E73A0">
        <w:rPr>
          <w:sz w:val="24"/>
          <w:szCs w:val="24"/>
        </w:rPr>
        <w:t xml:space="preserve">accounting </w:t>
      </w:r>
      <w:r w:rsidR="002A7D20" w:rsidRPr="001E73A0">
        <w:rPr>
          <w:sz w:val="24"/>
          <w:szCs w:val="24"/>
        </w:rPr>
        <w:t xml:space="preserve">comparability </w:t>
      </w:r>
      <w:r w:rsidR="001D7998" w:rsidRPr="001E73A0">
        <w:rPr>
          <w:sz w:val="24"/>
          <w:szCs w:val="24"/>
        </w:rPr>
        <w:t xml:space="preserve">experience </w:t>
      </w:r>
      <w:r w:rsidR="002A7D20" w:rsidRPr="001E73A0">
        <w:rPr>
          <w:sz w:val="24"/>
          <w:szCs w:val="24"/>
        </w:rPr>
        <w:t xml:space="preserve">a </w:t>
      </w:r>
      <w:r w:rsidR="00DA5E83" w:rsidRPr="001E73A0">
        <w:rPr>
          <w:sz w:val="24"/>
          <w:szCs w:val="24"/>
        </w:rPr>
        <w:t>lower</w:t>
      </w:r>
      <w:r w:rsidR="002A7D20" w:rsidRPr="001E73A0">
        <w:rPr>
          <w:sz w:val="24"/>
          <w:szCs w:val="24"/>
        </w:rPr>
        <w:t xml:space="preserve"> degree of </w:t>
      </w:r>
      <w:r w:rsidR="00DA5E83" w:rsidRPr="001E73A0">
        <w:rPr>
          <w:sz w:val="24"/>
          <w:szCs w:val="24"/>
        </w:rPr>
        <w:t>in</w:t>
      </w:r>
      <w:r w:rsidR="002A7D20" w:rsidRPr="001E73A0">
        <w:rPr>
          <w:sz w:val="24"/>
          <w:szCs w:val="24"/>
        </w:rPr>
        <w:t>efficiency in labo</w:t>
      </w:r>
      <w:r w:rsidR="002E7D97" w:rsidRPr="001E73A0">
        <w:rPr>
          <w:sz w:val="24"/>
          <w:szCs w:val="24"/>
        </w:rPr>
        <w:t>u</w:t>
      </w:r>
      <w:r w:rsidR="002A7D20" w:rsidRPr="001E73A0">
        <w:rPr>
          <w:sz w:val="24"/>
          <w:szCs w:val="24"/>
        </w:rPr>
        <w:t>r investment</w:t>
      </w:r>
      <w:r w:rsidR="00960B47" w:rsidRPr="001E73A0">
        <w:rPr>
          <w:sz w:val="24"/>
          <w:szCs w:val="24"/>
        </w:rPr>
        <w:t>s</w:t>
      </w:r>
      <w:r w:rsidR="002A7D20" w:rsidRPr="001E73A0">
        <w:rPr>
          <w:sz w:val="24"/>
          <w:szCs w:val="24"/>
        </w:rPr>
        <w:t xml:space="preserve">. </w:t>
      </w:r>
      <w:r w:rsidR="00B41BCC" w:rsidRPr="001E73A0">
        <w:rPr>
          <w:sz w:val="24"/>
          <w:szCs w:val="24"/>
        </w:rPr>
        <w:t>Further</w:t>
      </w:r>
      <w:r w:rsidR="00DA5E83" w:rsidRPr="001E73A0">
        <w:rPr>
          <w:sz w:val="24"/>
          <w:szCs w:val="24"/>
        </w:rPr>
        <w:t xml:space="preserve">, our results </w:t>
      </w:r>
      <w:r w:rsidR="002A7D20" w:rsidRPr="001E73A0">
        <w:rPr>
          <w:sz w:val="24"/>
          <w:szCs w:val="24"/>
        </w:rPr>
        <w:t xml:space="preserve">show </w:t>
      </w:r>
      <w:r w:rsidR="001D7998" w:rsidRPr="001E73A0">
        <w:rPr>
          <w:sz w:val="24"/>
          <w:szCs w:val="24"/>
        </w:rPr>
        <w:t xml:space="preserve">that </w:t>
      </w:r>
      <w:r w:rsidR="00382043" w:rsidRPr="001E73A0">
        <w:rPr>
          <w:sz w:val="24"/>
          <w:szCs w:val="24"/>
        </w:rPr>
        <w:t xml:space="preserve">accounting </w:t>
      </w:r>
      <w:r w:rsidR="002A7D20" w:rsidRPr="001E73A0">
        <w:rPr>
          <w:sz w:val="24"/>
          <w:szCs w:val="24"/>
        </w:rPr>
        <w:t>comparability</w:t>
      </w:r>
      <w:r w:rsidR="001D7998" w:rsidRPr="001E73A0">
        <w:rPr>
          <w:sz w:val="24"/>
          <w:szCs w:val="24"/>
        </w:rPr>
        <w:t xml:space="preserve"> affects </w:t>
      </w:r>
      <w:r w:rsidR="002A7D20" w:rsidRPr="001E73A0">
        <w:rPr>
          <w:sz w:val="24"/>
          <w:szCs w:val="24"/>
        </w:rPr>
        <w:t>labo</w:t>
      </w:r>
      <w:r w:rsidR="002E7D97" w:rsidRPr="001E73A0">
        <w:rPr>
          <w:sz w:val="24"/>
          <w:szCs w:val="24"/>
        </w:rPr>
        <w:t>u</w:t>
      </w:r>
      <w:r w:rsidR="002A7D20" w:rsidRPr="001E73A0">
        <w:rPr>
          <w:sz w:val="24"/>
          <w:szCs w:val="24"/>
        </w:rPr>
        <w:t>r investment</w:t>
      </w:r>
      <w:r w:rsidR="00CA21E9" w:rsidRPr="001E73A0">
        <w:rPr>
          <w:sz w:val="24"/>
          <w:szCs w:val="24"/>
        </w:rPr>
        <w:t>s</w:t>
      </w:r>
      <w:r w:rsidR="00211D4E" w:rsidRPr="001E73A0">
        <w:rPr>
          <w:sz w:val="24"/>
          <w:szCs w:val="24"/>
        </w:rPr>
        <w:t xml:space="preserve"> via </w:t>
      </w:r>
      <w:r w:rsidR="006029A3" w:rsidRPr="001E73A0">
        <w:rPr>
          <w:sz w:val="24"/>
          <w:szCs w:val="24"/>
        </w:rPr>
        <w:t xml:space="preserve">improved </w:t>
      </w:r>
      <w:r w:rsidR="00211D4E" w:rsidRPr="001E73A0">
        <w:rPr>
          <w:sz w:val="24"/>
          <w:szCs w:val="24"/>
        </w:rPr>
        <w:t>external monitoring and internal governance mechanisms</w:t>
      </w:r>
      <w:r w:rsidR="005A6DC0" w:rsidRPr="001E73A0">
        <w:rPr>
          <w:sz w:val="24"/>
          <w:szCs w:val="24"/>
        </w:rPr>
        <w:t>.</w:t>
      </w:r>
      <w:r w:rsidR="002A7D20" w:rsidRPr="001E73A0">
        <w:rPr>
          <w:sz w:val="24"/>
          <w:szCs w:val="24"/>
        </w:rPr>
        <w:t xml:space="preserve"> </w:t>
      </w:r>
      <w:r w:rsidR="00BD55ED" w:rsidRPr="001E73A0">
        <w:rPr>
          <w:sz w:val="24"/>
          <w:szCs w:val="24"/>
        </w:rPr>
        <w:t xml:space="preserve">Additional analyses </w:t>
      </w:r>
      <w:r w:rsidR="006029A3" w:rsidRPr="001E73A0">
        <w:rPr>
          <w:sz w:val="24"/>
          <w:szCs w:val="24"/>
        </w:rPr>
        <w:t>indicate</w:t>
      </w:r>
      <w:r w:rsidR="00F51B44" w:rsidRPr="001E73A0">
        <w:rPr>
          <w:sz w:val="24"/>
          <w:szCs w:val="24"/>
        </w:rPr>
        <w:t xml:space="preserve"> </w:t>
      </w:r>
      <w:r w:rsidR="00BD55ED" w:rsidRPr="001E73A0">
        <w:rPr>
          <w:sz w:val="24"/>
          <w:szCs w:val="24"/>
        </w:rPr>
        <w:t xml:space="preserve">that our </w:t>
      </w:r>
      <w:r w:rsidR="00582591" w:rsidRPr="001E73A0">
        <w:rPr>
          <w:sz w:val="24"/>
          <w:szCs w:val="24"/>
        </w:rPr>
        <w:t>findings</w:t>
      </w:r>
      <w:r w:rsidR="00211D4E" w:rsidRPr="001E73A0">
        <w:rPr>
          <w:sz w:val="24"/>
          <w:szCs w:val="24"/>
        </w:rPr>
        <w:t xml:space="preserve"> are not driven by </w:t>
      </w:r>
      <w:r w:rsidR="00BD55ED" w:rsidRPr="001E73A0">
        <w:rPr>
          <w:sz w:val="24"/>
          <w:szCs w:val="24"/>
        </w:rPr>
        <w:t>non-labo</w:t>
      </w:r>
      <w:r w:rsidR="002E7D97" w:rsidRPr="001E73A0">
        <w:rPr>
          <w:sz w:val="24"/>
          <w:szCs w:val="24"/>
        </w:rPr>
        <w:t>u</w:t>
      </w:r>
      <w:r w:rsidR="00BD55ED" w:rsidRPr="001E73A0">
        <w:rPr>
          <w:sz w:val="24"/>
          <w:szCs w:val="24"/>
        </w:rPr>
        <w:t>r investments</w:t>
      </w:r>
      <w:r w:rsidR="00A964E5" w:rsidRPr="001E73A0">
        <w:rPr>
          <w:sz w:val="24"/>
          <w:szCs w:val="24"/>
        </w:rPr>
        <w:t xml:space="preserve"> and </w:t>
      </w:r>
      <w:r w:rsidR="00BD55ED" w:rsidRPr="001E73A0">
        <w:rPr>
          <w:sz w:val="24"/>
          <w:szCs w:val="24"/>
        </w:rPr>
        <w:t xml:space="preserve">are robust to alternative </w:t>
      </w:r>
      <w:r w:rsidR="005A30FB" w:rsidRPr="001E73A0">
        <w:rPr>
          <w:sz w:val="24"/>
          <w:szCs w:val="24"/>
        </w:rPr>
        <w:t>explanations and</w:t>
      </w:r>
      <w:r w:rsidR="00BD55ED" w:rsidRPr="001E73A0">
        <w:rPr>
          <w:sz w:val="24"/>
          <w:szCs w:val="24"/>
        </w:rPr>
        <w:t xml:space="preserve"> endogeneity concerns. </w:t>
      </w:r>
      <w:r w:rsidR="00283B3F" w:rsidRPr="001E73A0">
        <w:rPr>
          <w:sz w:val="24"/>
          <w:szCs w:val="24"/>
        </w:rPr>
        <w:t>Collectively</w:t>
      </w:r>
      <w:r w:rsidR="001D7998" w:rsidRPr="001E73A0">
        <w:rPr>
          <w:sz w:val="24"/>
          <w:szCs w:val="24"/>
        </w:rPr>
        <w:t xml:space="preserve">, </w:t>
      </w:r>
      <w:r w:rsidR="005A30FB" w:rsidRPr="001E73A0">
        <w:rPr>
          <w:sz w:val="24"/>
          <w:szCs w:val="24"/>
        </w:rPr>
        <w:t xml:space="preserve">the results are consistent with the view that comparability </w:t>
      </w:r>
      <w:r w:rsidR="0021307A" w:rsidRPr="001E73A0">
        <w:rPr>
          <w:sz w:val="24"/>
          <w:szCs w:val="24"/>
        </w:rPr>
        <w:t xml:space="preserve">is </w:t>
      </w:r>
      <w:r w:rsidR="005A30FB" w:rsidRPr="001E73A0">
        <w:rPr>
          <w:sz w:val="24"/>
          <w:szCs w:val="24"/>
        </w:rPr>
        <w:t>an effective monitoring tool, which mitigate</w:t>
      </w:r>
      <w:r w:rsidR="00AD7F18" w:rsidRPr="001E73A0">
        <w:rPr>
          <w:sz w:val="24"/>
          <w:szCs w:val="24"/>
        </w:rPr>
        <w:t>s</w:t>
      </w:r>
      <w:r w:rsidR="005A30FB" w:rsidRPr="001E73A0">
        <w:rPr>
          <w:sz w:val="24"/>
          <w:szCs w:val="24"/>
        </w:rPr>
        <w:t xml:space="preserve"> agency conflict and </w:t>
      </w:r>
      <w:r w:rsidR="00D70AE4" w:rsidRPr="001E73A0">
        <w:rPr>
          <w:sz w:val="24"/>
          <w:szCs w:val="24"/>
        </w:rPr>
        <w:t>thereby reduce</w:t>
      </w:r>
      <w:r w:rsidR="00A964E5" w:rsidRPr="001E73A0">
        <w:rPr>
          <w:sz w:val="24"/>
          <w:szCs w:val="24"/>
        </w:rPr>
        <w:t>s</w:t>
      </w:r>
      <w:r w:rsidR="005A30FB" w:rsidRPr="001E73A0">
        <w:rPr>
          <w:sz w:val="24"/>
          <w:szCs w:val="24"/>
        </w:rPr>
        <w:t xml:space="preserve"> opportunistic employment decision-making.</w:t>
      </w:r>
    </w:p>
    <w:p w14:paraId="0ABB4C51" w14:textId="77777777" w:rsidR="006042B6" w:rsidRPr="001E73A0" w:rsidRDefault="006042B6" w:rsidP="00A5744C">
      <w:pPr>
        <w:adjustRightInd w:val="0"/>
        <w:snapToGrid w:val="0"/>
        <w:spacing w:after="0" w:line="360" w:lineRule="auto"/>
        <w:rPr>
          <w:sz w:val="24"/>
          <w:szCs w:val="24"/>
          <w:lang w:val="en-US"/>
        </w:rPr>
      </w:pPr>
    </w:p>
    <w:p w14:paraId="4E6B7E24" w14:textId="77777777" w:rsidR="001F5D54" w:rsidRPr="001E73A0" w:rsidRDefault="001F5D54" w:rsidP="00A5744C">
      <w:pPr>
        <w:adjustRightInd w:val="0"/>
        <w:snapToGrid w:val="0"/>
        <w:spacing w:after="0" w:line="360" w:lineRule="auto"/>
        <w:rPr>
          <w:sz w:val="24"/>
          <w:szCs w:val="24"/>
          <w:lang w:val="en-US"/>
        </w:rPr>
      </w:pPr>
    </w:p>
    <w:p w14:paraId="16A15AD9" w14:textId="72263D54" w:rsidR="006042B6" w:rsidRPr="001E73A0" w:rsidRDefault="00073B89" w:rsidP="00107454">
      <w:pPr>
        <w:adjustRightInd w:val="0"/>
        <w:snapToGrid w:val="0"/>
        <w:spacing w:after="0" w:line="360" w:lineRule="auto"/>
        <w:jc w:val="both"/>
        <w:rPr>
          <w:sz w:val="24"/>
          <w:szCs w:val="24"/>
        </w:rPr>
      </w:pPr>
      <w:r w:rsidRPr="001E73A0">
        <w:rPr>
          <w:i/>
          <w:sz w:val="24"/>
          <w:szCs w:val="24"/>
        </w:rPr>
        <w:t>Key</w:t>
      </w:r>
      <w:r w:rsidR="006042B6" w:rsidRPr="001E73A0">
        <w:rPr>
          <w:i/>
          <w:sz w:val="24"/>
          <w:szCs w:val="24"/>
        </w:rPr>
        <w:t>words</w:t>
      </w:r>
      <w:r w:rsidR="006042B6" w:rsidRPr="001E73A0">
        <w:rPr>
          <w:sz w:val="24"/>
          <w:szCs w:val="24"/>
        </w:rPr>
        <w:t>:</w:t>
      </w:r>
      <w:r w:rsidR="00AF1DD9" w:rsidRPr="001E73A0">
        <w:rPr>
          <w:sz w:val="24"/>
          <w:szCs w:val="24"/>
        </w:rPr>
        <w:t xml:space="preserve"> </w:t>
      </w:r>
      <w:r w:rsidR="00F51B44" w:rsidRPr="001E73A0">
        <w:rPr>
          <w:sz w:val="24"/>
          <w:szCs w:val="24"/>
        </w:rPr>
        <w:t xml:space="preserve">accounting </w:t>
      </w:r>
      <w:r w:rsidR="00014EC7" w:rsidRPr="001E73A0">
        <w:rPr>
          <w:sz w:val="24"/>
          <w:szCs w:val="24"/>
        </w:rPr>
        <w:t>c</w:t>
      </w:r>
      <w:r w:rsidR="00AF1DD9" w:rsidRPr="001E73A0">
        <w:rPr>
          <w:sz w:val="24"/>
          <w:szCs w:val="24"/>
        </w:rPr>
        <w:t>omparability</w:t>
      </w:r>
      <w:r w:rsidR="003F440A" w:rsidRPr="001E73A0">
        <w:rPr>
          <w:sz w:val="24"/>
          <w:szCs w:val="24"/>
        </w:rPr>
        <w:t xml:space="preserve">; </w:t>
      </w:r>
      <w:r w:rsidR="00F51B44" w:rsidRPr="001E73A0">
        <w:rPr>
          <w:sz w:val="24"/>
          <w:szCs w:val="24"/>
        </w:rPr>
        <w:t xml:space="preserve">labour </w:t>
      </w:r>
      <w:r w:rsidR="00AF1DD9" w:rsidRPr="001E73A0">
        <w:rPr>
          <w:sz w:val="24"/>
          <w:szCs w:val="24"/>
        </w:rPr>
        <w:t>investment efficiency</w:t>
      </w:r>
      <w:r w:rsidR="003F440A" w:rsidRPr="001E73A0">
        <w:rPr>
          <w:sz w:val="24"/>
          <w:szCs w:val="24"/>
        </w:rPr>
        <w:t xml:space="preserve">; </w:t>
      </w:r>
      <w:r w:rsidR="00F51B44" w:rsidRPr="001E73A0">
        <w:rPr>
          <w:sz w:val="24"/>
          <w:szCs w:val="24"/>
        </w:rPr>
        <w:t xml:space="preserve">employment </w:t>
      </w:r>
      <w:r w:rsidR="00AF1DD9" w:rsidRPr="001E73A0">
        <w:rPr>
          <w:sz w:val="24"/>
          <w:szCs w:val="24"/>
        </w:rPr>
        <w:t>decisions</w:t>
      </w:r>
      <w:r w:rsidR="003F440A" w:rsidRPr="001E73A0">
        <w:rPr>
          <w:sz w:val="24"/>
          <w:szCs w:val="24"/>
        </w:rPr>
        <w:t xml:space="preserve">; </w:t>
      </w:r>
      <w:r w:rsidR="00F51B44" w:rsidRPr="001E73A0">
        <w:rPr>
          <w:sz w:val="24"/>
          <w:szCs w:val="24"/>
        </w:rPr>
        <w:t xml:space="preserve">corporate </w:t>
      </w:r>
      <w:r w:rsidR="00413F55" w:rsidRPr="001E73A0">
        <w:rPr>
          <w:sz w:val="24"/>
          <w:szCs w:val="24"/>
        </w:rPr>
        <w:t>governance</w:t>
      </w:r>
      <w:r w:rsidR="0042401E" w:rsidRPr="001E73A0">
        <w:rPr>
          <w:sz w:val="24"/>
          <w:szCs w:val="24"/>
        </w:rPr>
        <w:t xml:space="preserve"> </w:t>
      </w:r>
    </w:p>
    <w:p w14:paraId="60B9C630" w14:textId="4C1966D7" w:rsidR="006449F4" w:rsidRPr="001E73A0" w:rsidRDefault="006449F4" w:rsidP="00107454">
      <w:pPr>
        <w:adjustRightInd w:val="0"/>
        <w:snapToGrid w:val="0"/>
        <w:spacing w:after="0" w:line="360" w:lineRule="auto"/>
        <w:jc w:val="both"/>
        <w:rPr>
          <w:sz w:val="24"/>
          <w:szCs w:val="24"/>
          <w:lang w:val="fr-FR"/>
        </w:rPr>
      </w:pPr>
      <w:r w:rsidRPr="001E73A0">
        <w:rPr>
          <w:i/>
          <w:sz w:val="24"/>
          <w:szCs w:val="24"/>
          <w:lang w:val="fr-FR"/>
        </w:rPr>
        <w:t>JEL Classification</w:t>
      </w:r>
      <w:r w:rsidRPr="001E73A0">
        <w:rPr>
          <w:sz w:val="24"/>
          <w:szCs w:val="24"/>
          <w:lang w:val="fr-FR"/>
        </w:rPr>
        <w:t>: G31, G38, M41, M51</w:t>
      </w:r>
    </w:p>
    <w:p w14:paraId="4726F087" w14:textId="77777777" w:rsidR="006042B6" w:rsidRPr="001E73A0" w:rsidRDefault="006042B6" w:rsidP="00A5744C">
      <w:pPr>
        <w:adjustRightInd w:val="0"/>
        <w:snapToGrid w:val="0"/>
        <w:spacing w:after="0" w:line="360" w:lineRule="auto"/>
        <w:rPr>
          <w:sz w:val="24"/>
          <w:szCs w:val="24"/>
          <w:lang w:val="fr-FR"/>
        </w:rPr>
      </w:pPr>
    </w:p>
    <w:p w14:paraId="3BE63FA3" w14:textId="77777777" w:rsidR="00AA08CE" w:rsidRPr="001E73A0" w:rsidRDefault="00AA08CE" w:rsidP="00A5744C">
      <w:pPr>
        <w:adjustRightInd w:val="0"/>
        <w:snapToGrid w:val="0"/>
        <w:spacing w:after="0" w:line="360" w:lineRule="auto"/>
        <w:rPr>
          <w:sz w:val="24"/>
          <w:szCs w:val="24"/>
          <w:lang w:val="fr-FR"/>
        </w:rPr>
      </w:pPr>
    </w:p>
    <w:p w14:paraId="5FED83CA" w14:textId="77777777" w:rsidR="00211D4E" w:rsidRPr="001E73A0" w:rsidRDefault="00211D4E" w:rsidP="00A5744C">
      <w:pPr>
        <w:adjustRightInd w:val="0"/>
        <w:snapToGrid w:val="0"/>
        <w:spacing w:after="0" w:line="360" w:lineRule="auto"/>
        <w:rPr>
          <w:sz w:val="24"/>
          <w:szCs w:val="24"/>
          <w:lang w:val="fr-FR"/>
        </w:rPr>
      </w:pPr>
    </w:p>
    <w:p w14:paraId="35E5BD57" w14:textId="77777777" w:rsidR="00211D4E" w:rsidRPr="001E73A0" w:rsidRDefault="00211D4E" w:rsidP="00A5744C">
      <w:pPr>
        <w:adjustRightInd w:val="0"/>
        <w:snapToGrid w:val="0"/>
        <w:spacing w:after="0" w:line="360" w:lineRule="auto"/>
        <w:rPr>
          <w:sz w:val="24"/>
          <w:szCs w:val="24"/>
          <w:lang w:val="fr-FR"/>
        </w:rPr>
      </w:pPr>
    </w:p>
    <w:p w14:paraId="499D8E18" w14:textId="77777777" w:rsidR="00211D4E" w:rsidRPr="001E73A0" w:rsidRDefault="00211D4E" w:rsidP="00A5744C">
      <w:pPr>
        <w:adjustRightInd w:val="0"/>
        <w:snapToGrid w:val="0"/>
        <w:spacing w:after="0" w:line="360" w:lineRule="auto"/>
        <w:rPr>
          <w:sz w:val="24"/>
          <w:szCs w:val="24"/>
          <w:lang w:val="fr-FR"/>
        </w:rPr>
      </w:pPr>
    </w:p>
    <w:p w14:paraId="20413984" w14:textId="77777777" w:rsidR="00B41BCC" w:rsidRPr="001E73A0" w:rsidRDefault="00B41BCC" w:rsidP="00A5744C">
      <w:pPr>
        <w:adjustRightInd w:val="0"/>
        <w:snapToGrid w:val="0"/>
        <w:spacing w:after="0" w:line="360" w:lineRule="auto"/>
        <w:rPr>
          <w:sz w:val="24"/>
          <w:szCs w:val="24"/>
          <w:lang w:val="fr-FR"/>
        </w:rPr>
      </w:pPr>
    </w:p>
    <w:p w14:paraId="01484530" w14:textId="17DAFA97" w:rsidR="00B41BCC" w:rsidRPr="001E73A0" w:rsidRDefault="00B41BCC" w:rsidP="00A5744C">
      <w:pPr>
        <w:adjustRightInd w:val="0"/>
        <w:snapToGrid w:val="0"/>
        <w:spacing w:after="0" w:line="360" w:lineRule="auto"/>
        <w:rPr>
          <w:sz w:val="24"/>
          <w:szCs w:val="24"/>
          <w:lang w:val="fr-FR"/>
        </w:rPr>
      </w:pPr>
    </w:p>
    <w:p w14:paraId="46CC3C96" w14:textId="2448C6BB" w:rsidR="00605200" w:rsidRPr="001E73A0" w:rsidRDefault="00605200" w:rsidP="00A5744C">
      <w:pPr>
        <w:adjustRightInd w:val="0"/>
        <w:snapToGrid w:val="0"/>
        <w:spacing w:after="0" w:line="360" w:lineRule="auto"/>
        <w:rPr>
          <w:sz w:val="24"/>
          <w:szCs w:val="24"/>
          <w:lang w:val="fr-FR"/>
        </w:rPr>
      </w:pPr>
    </w:p>
    <w:p w14:paraId="16FCCA07" w14:textId="396535E1" w:rsidR="00605200" w:rsidRPr="001E73A0" w:rsidRDefault="00605200" w:rsidP="00A5744C">
      <w:pPr>
        <w:adjustRightInd w:val="0"/>
        <w:snapToGrid w:val="0"/>
        <w:spacing w:after="0" w:line="360" w:lineRule="auto"/>
        <w:rPr>
          <w:sz w:val="24"/>
          <w:szCs w:val="24"/>
          <w:lang w:val="fr-FR"/>
        </w:rPr>
      </w:pPr>
    </w:p>
    <w:p w14:paraId="7AD0C922" w14:textId="77777777" w:rsidR="00605200" w:rsidRPr="001E73A0" w:rsidRDefault="00605200" w:rsidP="00A5744C">
      <w:pPr>
        <w:adjustRightInd w:val="0"/>
        <w:snapToGrid w:val="0"/>
        <w:spacing w:after="0" w:line="360" w:lineRule="auto"/>
        <w:rPr>
          <w:sz w:val="24"/>
          <w:szCs w:val="24"/>
          <w:lang w:val="fr-FR"/>
        </w:rPr>
      </w:pPr>
    </w:p>
    <w:p w14:paraId="0B242CD4" w14:textId="77777777" w:rsidR="00AC25F1" w:rsidRPr="001E73A0" w:rsidRDefault="00AC25F1">
      <w:pPr>
        <w:adjustRightInd w:val="0"/>
        <w:snapToGrid w:val="0"/>
        <w:spacing w:after="0" w:line="360" w:lineRule="auto"/>
        <w:rPr>
          <w:sz w:val="24"/>
          <w:szCs w:val="24"/>
          <w:lang w:val="fr-FR"/>
        </w:rPr>
      </w:pPr>
    </w:p>
    <w:p w14:paraId="5EE535D2" w14:textId="7F17ABEB" w:rsidR="006042B6" w:rsidRPr="001E73A0" w:rsidRDefault="005071D3" w:rsidP="0025406D">
      <w:pPr>
        <w:pStyle w:val="1"/>
        <w:adjustRightInd w:val="0"/>
        <w:snapToGrid w:val="0"/>
        <w:spacing w:line="360" w:lineRule="auto"/>
      </w:pPr>
      <w:r w:rsidRPr="001E73A0">
        <w:lastRenderedPageBreak/>
        <w:t>1. Introduction</w:t>
      </w:r>
    </w:p>
    <w:p w14:paraId="24909B59" w14:textId="7670CAA5" w:rsidR="00D70AE4" w:rsidRPr="001E73A0" w:rsidRDefault="00ED1433">
      <w:pPr>
        <w:adjustRightInd w:val="0"/>
        <w:snapToGrid w:val="0"/>
        <w:spacing w:after="0" w:line="360" w:lineRule="auto"/>
        <w:ind w:firstLine="720"/>
        <w:jc w:val="both"/>
        <w:rPr>
          <w:sz w:val="24"/>
          <w:szCs w:val="24"/>
        </w:rPr>
      </w:pPr>
      <w:r w:rsidRPr="001E73A0">
        <w:rPr>
          <w:sz w:val="24"/>
          <w:szCs w:val="24"/>
        </w:rPr>
        <w:t>In this paper, we depart from</w:t>
      </w:r>
      <w:r w:rsidR="00DB32F3" w:rsidRPr="001E73A0">
        <w:rPr>
          <w:sz w:val="24"/>
          <w:szCs w:val="24"/>
        </w:rPr>
        <w:t xml:space="preserve"> </w:t>
      </w:r>
      <w:r w:rsidR="00A964E5" w:rsidRPr="001E73A0">
        <w:rPr>
          <w:sz w:val="24"/>
          <w:szCs w:val="24"/>
        </w:rPr>
        <w:t xml:space="preserve">earlier </w:t>
      </w:r>
      <w:r w:rsidR="00DB32F3" w:rsidRPr="001E73A0">
        <w:rPr>
          <w:sz w:val="24"/>
          <w:szCs w:val="24"/>
        </w:rPr>
        <w:t>studies that have</w:t>
      </w:r>
      <w:r w:rsidRPr="001E73A0">
        <w:rPr>
          <w:sz w:val="24"/>
          <w:szCs w:val="24"/>
        </w:rPr>
        <w:t xml:space="preserve"> predominantly</w:t>
      </w:r>
      <w:r w:rsidR="00DB32F3" w:rsidRPr="001E73A0">
        <w:rPr>
          <w:sz w:val="24"/>
          <w:szCs w:val="24"/>
        </w:rPr>
        <w:t xml:space="preserve"> investigated the</w:t>
      </w:r>
      <w:r w:rsidRPr="001E73A0">
        <w:rPr>
          <w:sz w:val="24"/>
          <w:szCs w:val="24"/>
        </w:rPr>
        <w:t xml:space="preserve"> information role</w:t>
      </w:r>
      <w:r w:rsidR="00650559" w:rsidRPr="001E73A0">
        <w:rPr>
          <w:sz w:val="24"/>
          <w:szCs w:val="24"/>
        </w:rPr>
        <w:t xml:space="preserve"> </w:t>
      </w:r>
      <w:r w:rsidR="003034CB">
        <w:rPr>
          <w:sz w:val="24"/>
          <w:szCs w:val="24"/>
        </w:rPr>
        <w:t>and/</w:t>
      </w:r>
      <w:r w:rsidR="00650559" w:rsidRPr="001E73A0">
        <w:rPr>
          <w:sz w:val="24"/>
          <w:szCs w:val="24"/>
        </w:rPr>
        <w:t>or consequences</w:t>
      </w:r>
      <w:r w:rsidRPr="001E73A0">
        <w:rPr>
          <w:sz w:val="24"/>
          <w:szCs w:val="24"/>
        </w:rPr>
        <w:t xml:space="preserve"> of accounting comparability to</w:t>
      </w:r>
      <w:r w:rsidR="00B141C2" w:rsidRPr="001E73A0">
        <w:rPr>
          <w:sz w:val="24"/>
          <w:szCs w:val="24"/>
        </w:rPr>
        <w:t xml:space="preserve"> instead</w:t>
      </w:r>
      <w:r w:rsidRPr="001E73A0">
        <w:rPr>
          <w:sz w:val="24"/>
          <w:szCs w:val="24"/>
        </w:rPr>
        <w:t xml:space="preserve"> focus on its potential monitoring role by </w:t>
      </w:r>
      <w:r w:rsidR="00D70AE4" w:rsidRPr="001E73A0">
        <w:rPr>
          <w:sz w:val="24"/>
          <w:szCs w:val="24"/>
        </w:rPr>
        <w:t>examin</w:t>
      </w:r>
      <w:r w:rsidR="001056F9" w:rsidRPr="001E73A0">
        <w:rPr>
          <w:sz w:val="24"/>
          <w:szCs w:val="24"/>
        </w:rPr>
        <w:t>ing</w:t>
      </w:r>
      <w:r w:rsidR="00D70AE4" w:rsidRPr="001E73A0">
        <w:rPr>
          <w:sz w:val="24"/>
          <w:szCs w:val="24"/>
        </w:rPr>
        <w:t xml:space="preserve"> </w:t>
      </w:r>
      <w:r w:rsidR="00B141C2" w:rsidRPr="001E73A0">
        <w:rPr>
          <w:sz w:val="24"/>
          <w:szCs w:val="24"/>
        </w:rPr>
        <w:t xml:space="preserve">its </w:t>
      </w:r>
      <w:r w:rsidR="00D70AE4" w:rsidRPr="001E73A0">
        <w:rPr>
          <w:sz w:val="24"/>
          <w:szCs w:val="24"/>
        </w:rPr>
        <w:t xml:space="preserve">effect on corporate employment decision-making. Specifically, </w:t>
      </w:r>
      <w:r w:rsidR="00225BFF" w:rsidRPr="001E73A0">
        <w:rPr>
          <w:sz w:val="24"/>
          <w:szCs w:val="24"/>
        </w:rPr>
        <w:t>we</w:t>
      </w:r>
      <w:r w:rsidR="00120986" w:rsidRPr="001E73A0">
        <w:rPr>
          <w:sz w:val="24"/>
          <w:szCs w:val="24"/>
        </w:rPr>
        <w:t xml:space="preserve"> investigate </w:t>
      </w:r>
      <w:r w:rsidR="00AD064E" w:rsidRPr="001E73A0">
        <w:rPr>
          <w:sz w:val="24"/>
          <w:szCs w:val="24"/>
        </w:rPr>
        <w:t>whether accounting comparability can</w:t>
      </w:r>
      <w:r w:rsidR="00BD6877" w:rsidRPr="001E73A0">
        <w:rPr>
          <w:sz w:val="24"/>
          <w:szCs w:val="24"/>
        </w:rPr>
        <w:t xml:space="preserve"> improve corporate labour investment </w:t>
      </w:r>
      <w:r w:rsidR="00BD6877" w:rsidRPr="001E73A0">
        <w:rPr>
          <w:rFonts w:asciiTheme="minorHAnsi" w:hAnsiTheme="minorHAnsi" w:cstheme="minorHAnsi"/>
          <w:sz w:val="24"/>
          <w:szCs w:val="24"/>
        </w:rPr>
        <w:t>efficiency</w:t>
      </w:r>
      <w:r w:rsidR="00585827" w:rsidRPr="001E73A0">
        <w:rPr>
          <w:rStyle w:val="a8"/>
          <w:rFonts w:asciiTheme="minorHAnsi" w:hAnsiTheme="minorHAnsi" w:cstheme="minorHAnsi"/>
          <w:sz w:val="24"/>
          <w:szCs w:val="24"/>
        </w:rPr>
        <w:footnoteReference w:id="1"/>
      </w:r>
      <w:r w:rsidR="00BD6877" w:rsidRPr="001E73A0">
        <w:rPr>
          <w:rFonts w:asciiTheme="minorHAnsi" w:hAnsiTheme="minorHAnsi" w:cstheme="minorHAnsi"/>
          <w:sz w:val="24"/>
          <w:szCs w:val="24"/>
        </w:rPr>
        <w:t xml:space="preserve"> by</w:t>
      </w:r>
      <w:r w:rsidR="00AD064E" w:rsidRPr="001E73A0">
        <w:rPr>
          <w:rFonts w:asciiTheme="minorHAnsi" w:hAnsiTheme="minorHAnsi" w:cstheme="minorHAnsi"/>
          <w:sz w:val="24"/>
          <w:szCs w:val="24"/>
        </w:rPr>
        <w:t xml:space="preserve"> mitigat</w:t>
      </w:r>
      <w:r w:rsidR="00BD6877" w:rsidRPr="001E73A0">
        <w:rPr>
          <w:rFonts w:asciiTheme="minorHAnsi" w:hAnsiTheme="minorHAnsi" w:cstheme="minorHAnsi"/>
          <w:sz w:val="24"/>
          <w:szCs w:val="24"/>
        </w:rPr>
        <w:t>ing</w:t>
      </w:r>
      <w:r w:rsidR="00AD064E" w:rsidRPr="001E73A0">
        <w:rPr>
          <w:rFonts w:asciiTheme="minorHAnsi" w:hAnsiTheme="minorHAnsi" w:cstheme="minorHAnsi"/>
          <w:sz w:val="24"/>
          <w:szCs w:val="24"/>
        </w:rPr>
        <w:t xml:space="preserve"> agency conflict and information asymmetry </w:t>
      </w:r>
      <w:r w:rsidR="00B141C2" w:rsidRPr="001E73A0">
        <w:rPr>
          <w:rFonts w:asciiTheme="minorHAnsi" w:hAnsiTheme="minorHAnsi" w:cstheme="minorHAnsi"/>
          <w:sz w:val="24"/>
          <w:szCs w:val="24"/>
        </w:rPr>
        <w:t xml:space="preserve">issues </w:t>
      </w:r>
      <w:r w:rsidR="00BD6877" w:rsidRPr="001E73A0">
        <w:rPr>
          <w:rFonts w:asciiTheme="minorHAnsi" w:hAnsiTheme="minorHAnsi" w:cstheme="minorHAnsi"/>
          <w:sz w:val="24"/>
          <w:szCs w:val="24"/>
        </w:rPr>
        <w:t xml:space="preserve">that are </w:t>
      </w:r>
      <w:r w:rsidR="007E3217" w:rsidRPr="001E73A0">
        <w:rPr>
          <w:rFonts w:asciiTheme="minorHAnsi" w:hAnsiTheme="minorHAnsi" w:cstheme="minorHAnsi"/>
          <w:sz w:val="24"/>
          <w:szCs w:val="24"/>
        </w:rPr>
        <w:t xml:space="preserve">often </w:t>
      </w:r>
      <w:r w:rsidR="00AD064E" w:rsidRPr="001E73A0">
        <w:rPr>
          <w:rFonts w:asciiTheme="minorHAnsi" w:hAnsiTheme="minorHAnsi" w:cstheme="minorHAnsi"/>
          <w:sz w:val="24"/>
          <w:szCs w:val="24"/>
        </w:rPr>
        <w:t>associated with employment decisions</w:t>
      </w:r>
      <w:r w:rsidR="00B141C2" w:rsidRPr="001E73A0">
        <w:rPr>
          <w:rFonts w:asciiTheme="minorHAnsi" w:hAnsiTheme="minorHAnsi" w:cstheme="minorHAnsi"/>
          <w:sz w:val="24"/>
          <w:szCs w:val="24"/>
        </w:rPr>
        <w:t>,</w:t>
      </w:r>
      <w:r w:rsidR="001056F9" w:rsidRPr="001E73A0">
        <w:rPr>
          <w:rFonts w:asciiTheme="minorHAnsi" w:hAnsiTheme="minorHAnsi" w:cstheme="minorHAnsi"/>
          <w:sz w:val="24"/>
          <w:szCs w:val="24"/>
        </w:rPr>
        <w:t xml:space="preserve"> </w:t>
      </w:r>
      <w:r w:rsidR="00B141C2" w:rsidRPr="001E73A0">
        <w:rPr>
          <w:rFonts w:asciiTheme="minorHAnsi" w:hAnsiTheme="minorHAnsi" w:cstheme="minorHAnsi"/>
          <w:sz w:val="24"/>
          <w:szCs w:val="24"/>
        </w:rPr>
        <w:t xml:space="preserve">through </w:t>
      </w:r>
      <w:r w:rsidR="001056F9" w:rsidRPr="001E73A0">
        <w:rPr>
          <w:rFonts w:asciiTheme="minorHAnsi" w:eastAsia="Times New Roman" w:hAnsiTheme="minorHAnsi" w:cstheme="minorHAnsi"/>
          <w:sz w:val="24"/>
          <w:szCs w:val="24"/>
          <w:lang w:val="en-US" w:eastAsia="en-US"/>
        </w:rPr>
        <w:t xml:space="preserve">enhancing the ability of internal and external monitors of </w:t>
      </w:r>
      <w:r w:rsidR="00B141C2" w:rsidRPr="001E73A0">
        <w:rPr>
          <w:rFonts w:asciiTheme="minorHAnsi" w:eastAsia="Times New Roman" w:hAnsiTheme="minorHAnsi" w:cstheme="minorHAnsi"/>
          <w:sz w:val="24"/>
          <w:szCs w:val="24"/>
          <w:lang w:val="en-US" w:eastAsia="en-US"/>
        </w:rPr>
        <w:t xml:space="preserve">a </w:t>
      </w:r>
      <w:r w:rsidR="001056F9" w:rsidRPr="001E73A0">
        <w:rPr>
          <w:rFonts w:asciiTheme="minorHAnsi" w:eastAsia="Times New Roman" w:hAnsiTheme="minorHAnsi" w:cstheme="minorHAnsi"/>
          <w:sz w:val="24"/>
          <w:szCs w:val="24"/>
          <w:lang w:val="en-US" w:eastAsia="en-US"/>
        </w:rPr>
        <w:t>firm</w:t>
      </w:r>
      <w:r w:rsidR="00B141C2" w:rsidRPr="001E73A0">
        <w:rPr>
          <w:rFonts w:asciiTheme="minorHAnsi" w:eastAsia="Times New Roman" w:hAnsiTheme="minorHAnsi" w:cstheme="minorHAnsi"/>
          <w:sz w:val="24"/>
          <w:szCs w:val="24"/>
          <w:lang w:val="en-US" w:eastAsia="en-US"/>
        </w:rPr>
        <w:t>’</w:t>
      </w:r>
      <w:r w:rsidR="001056F9" w:rsidRPr="001E73A0">
        <w:rPr>
          <w:rFonts w:asciiTheme="minorHAnsi" w:eastAsia="Times New Roman" w:hAnsiTheme="minorHAnsi" w:cstheme="minorHAnsi"/>
          <w:sz w:val="24"/>
          <w:szCs w:val="24"/>
          <w:lang w:val="en-US" w:eastAsia="en-US"/>
        </w:rPr>
        <w:t>s manage</w:t>
      </w:r>
      <w:r w:rsidR="00B141C2" w:rsidRPr="001E73A0">
        <w:rPr>
          <w:rFonts w:asciiTheme="minorHAnsi" w:eastAsia="Times New Roman" w:hAnsiTheme="minorHAnsi" w:cstheme="minorHAnsi"/>
          <w:sz w:val="24"/>
          <w:szCs w:val="24"/>
          <w:lang w:val="en-US" w:eastAsia="en-US"/>
        </w:rPr>
        <w:t>ment</w:t>
      </w:r>
      <w:r w:rsidR="00DB32F3" w:rsidRPr="001E73A0">
        <w:rPr>
          <w:rFonts w:asciiTheme="minorHAnsi" w:eastAsia="Times New Roman" w:hAnsiTheme="minorHAnsi" w:cstheme="minorHAnsi"/>
          <w:sz w:val="24"/>
          <w:szCs w:val="24"/>
          <w:lang w:val="en-US" w:eastAsia="en-US"/>
        </w:rPr>
        <w:t xml:space="preserve"> behaviour and decisions</w:t>
      </w:r>
      <w:r w:rsidR="00AD064E" w:rsidRPr="001E73A0">
        <w:rPr>
          <w:rFonts w:asciiTheme="minorHAnsi" w:hAnsiTheme="minorHAnsi" w:cstheme="minorHAnsi"/>
          <w:sz w:val="24"/>
          <w:szCs w:val="24"/>
        </w:rPr>
        <w:t>.</w:t>
      </w:r>
      <w:r w:rsidR="00AD064E" w:rsidRPr="001E73A0">
        <w:rPr>
          <w:sz w:val="24"/>
          <w:szCs w:val="24"/>
        </w:rPr>
        <w:t xml:space="preserve"> </w:t>
      </w:r>
    </w:p>
    <w:p w14:paraId="22948692" w14:textId="5EB738B2" w:rsidR="00BA7D3C" w:rsidRPr="001E73A0" w:rsidRDefault="00B141C2" w:rsidP="00B1589B">
      <w:pPr>
        <w:adjustRightInd w:val="0"/>
        <w:snapToGrid w:val="0"/>
        <w:spacing w:after="0" w:line="360" w:lineRule="auto"/>
        <w:ind w:firstLine="720"/>
        <w:jc w:val="both"/>
        <w:rPr>
          <w:sz w:val="24"/>
          <w:szCs w:val="24"/>
        </w:rPr>
      </w:pPr>
      <w:r w:rsidRPr="001E73A0">
        <w:rPr>
          <w:sz w:val="24"/>
          <w:szCs w:val="24"/>
        </w:rPr>
        <w:t>I</w:t>
      </w:r>
      <w:r w:rsidR="008F00B0" w:rsidRPr="001E73A0">
        <w:rPr>
          <w:sz w:val="24"/>
          <w:szCs w:val="24"/>
        </w:rPr>
        <w:t xml:space="preserve">nvestment </w:t>
      </w:r>
      <w:r w:rsidR="00AD0211" w:rsidRPr="001E73A0">
        <w:rPr>
          <w:sz w:val="24"/>
          <w:szCs w:val="24"/>
        </w:rPr>
        <w:t xml:space="preserve">in labour </w:t>
      </w:r>
      <w:r w:rsidRPr="001E73A0">
        <w:rPr>
          <w:sz w:val="24"/>
          <w:szCs w:val="24"/>
        </w:rPr>
        <w:t xml:space="preserve">is </w:t>
      </w:r>
      <w:r w:rsidR="008F00B0" w:rsidRPr="001E73A0">
        <w:rPr>
          <w:sz w:val="24"/>
          <w:szCs w:val="24"/>
        </w:rPr>
        <w:t xml:space="preserve">economically significant for modern firms, which are often human capital intensive </w:t>
      </w:r>
      <w:r w:rsidR="00B42CFA" w:rsidRPr="001E73A0">
        <w:rPr>
          <w:sz w:val="24"/>
          <w:szCs w:val="24"/>
        </w:rPr>
        <w:fldChar w:fldCharType="begin" w:fldLock="1"/>
      </w:r>
      <w:r w:rsidR="00B42CFA" w:rsidRPr="001E73A0">
        <w:rPr>
          <w:sz w:val="24"/>
          <w:szCs w:val="24"/>
        </w:rPr>
        <w:instrText>ADDIN CSL_CITATION {"citationItems":[{"id":"ITEM-1","itemData":{"author":[{"dropping-particle":"","family":"Bernanke","given":"B.","non-dropping-particle":"","parse-names":false,"suffix":""}],"container-title":"Federal Reserve Board Speech delivered at the Meetings of the American Economic Association, San Diego, California, January 4.","id":"ITEM-1","issued":{"date-parts":[["2004"]]},"title":"Monetary policy and the economic outlook","type":"article-newspaper"},"uris":["http://www.mendeley.com/documents/?uuid=ac740287-5973-40c1-ad48-1b8db24bcdc8"]},{"id":"ITEM-2","itemData":{"ISSN":"00221082","author":[{"dropping-particle":"","family":"Zingales","given":"Luigi","non-dropping-particle":"","parse-names":false,"suffix":""}],"container-title":"The Journal of Finance","id":"ITEM-2","issue":"4","issued":{"date-parts":[["2000","8","1"]]},"page":"1623-1653","publisher":"Wiley/Blackwell (10.1111)","title":"In search of new foundations","type":"article-journal","volume":"55"},"uris":["http://www.mendeley.com/documents/?uuid=ec92c33c-f1b9-3a4f-9810-a41ef14b4fdd"]}],"mendeley":{"formattedCitation":"(Bernanke, 2004; Zingales, 2000)","plainTextFormattedCitation":"(Bernanke, 2004; Zingales, 2000)","previouslyFormattedCitation":"(Bernanke, 2004; Zingales, 2000)"},"properties":{"noteIndex":0},"schema":"https://github.com/citation-style-language/schema/raw/master/csl-citation.json"}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(Bernanke, 2004; Zingales, 2000)</w:t>
      </w:r>
      <w:r w:rsidR="00B42CFA" w:rsidRPr="001E73A0">
        <w:rPr>
          <w:sz w:val="24"/>
          <w:szCs w:val="24"/>
        </w:rPr>
        <w:fldChar w:fldCharType="end"/>
      </w:r>
      <w:r w:rsidR="000B7C93" w:rsidRPr="001E73A0">
        <w:rPr>
          <w:sz w:val="24"/>
          <w:szCs w:val="24"/>
        </w:rPr>
        <w:t>.</w:t>
      </w:r>
      <w:r w:rsidR="00FF7CE6" w:rsidRPr="001E73A0">
        <w:rPr>
          <w:sz w:val="24"/>
          <w:szCs w:val="24"/>
        </w:rPr>
        <w:t xml:space="preserve"> In particular</w:t>
      </w:r>
      <w:r w:rsidR="00402731" w:rsidRPr="001E73A0">
        <w:rPr>
          <w:sz w:val="24"/>
          <w:szCs w:val="24"/>
        </w:rPr>
        <w:t>,</w:t>
      </w:r>
      <w:r w:rsidR="00402731" w:rsidRPr="001E73A0">
        <w:rPr>
          <w:i/>
          <w:iCs/>
          <w:sz w:val="24"/>
          <w:szCs w:val="24"/>
        </w:rPr>
        <w:t xml:space="preserve"> </w:t>
      </w:r>
      <w:r w:rsidR="008F00B0" w:rsidRPr="001E73A0">
        <w:rPr>
          <w:sz w:val="24"/>
          <w:szCs w:val="24"/>
        </w:rPr>
        <w:t>devia</w:t>
      </w:r>
      <w:r w:rsidR="00FF7CE6" w:rsidRPr="001E73A0">
        <w:rPr>
          <w:sz w:val="24"/>
          <w:szCs w:val="24"/>
        </w:rPr>
        <w:t>t</w:t>
      </w:r>
      <w:r w:rsidR="00402731" w:rsidRPr="001E73A0">
        <w:rPr>
          <w:sz w:val="24"/>
          <w:szCs w:val="24"/>
        </w:rPr>
        <w:t>ion</w:t>
      </w:r>
      <w:r w:rsidR="008F00B0" w:rsidRPr="001E73A0">
        <w:rPr>
          <w:sz w:val="24"/>
          <w:szCs w:val="24"/>
        </w:rPr>
        <w:t xml:space="preserve"> from the optimal level of</w:t>
      </w:r>
      <w:r w:rsidR="00FF7CE6" w:rsidRPr="001E73A0">
        <w:rPr>
          <w:sz w:val="24"/>
          <w:szCs w:val="24"/>
        </w:rPr>
        <w:t xml:space="preserve"> labour investment</w:t>
      </w:r>
      <w:r w:rsidR="006F7086" w:rsidRPr="001E73A0">
        <w:rPr>
          <w:i/>
          <w:iCs/>
          <w:sz w:val="24"/>
          <w:szCs w:val="24"/>
        </w:rPr>
        <w:t xml:space="preserve"> –</w:t>
      </w:r>
      <w:r w:rsidR="00FF7CE6" w:rsidRPr="001E73A0">
        <w:rPr>
          <w:sz w:val="24"/>
          <w:szCs w:val="24"/>
        </w:rPr>
        <w:t xml:space="preserve"> </w:t>
      </w:r>
      <w:r w:rsidR="00C86AC1" w:rsidRPr="001E73A0">
        <w:rPr>
          <w:sz w:val="24"/>
          <w:szCs w:val="24"/>
        </w:rPr>
        <w:t>namely</w:t>
      </w:r>
      <w:r w:rsidR="00FF7CE6" w:rsidRPr="001E73A0">
        <w:rPr>
          <w:sz w:val="24"/>
          <w:szCs w:val="24"/>
        </w:rPr>
        <w:t xml:space="preserve"> over- or under-investment in labour</w:t>
      </w:r>
      <w:r w:rsidR="006F7086" w:rsidRPr="001E73A0">
        <w:rPr>
          <w:sz w:val="24"/>
          <w:szCs w:val="24"/>
        </w:rPr>
        <w:t xml:space="preserve"> – </w:t>
      </w:r>
      <w:r w:rsidR="00FF7CE6" w:rsidRPr="001E73A0">
        <w:rPr>
          <w:sz w:val="24"/>
          <w:szCs w:val="24"/>
        </w:rPr>
        <w:t xml:space="preserve">can be costly and detrimental to firms’ competitive advantage </w:t>
      </w:r>
      <w:r w:rsidR="00B42CFA" w:rsidRPr="001E73A0">
        <w:rPr>
          <w:sz w:val="24"/>
          <w:szCs w:val="24"/>
        </w:rPr>
        <w:fldChar w:fldCharType="begin" w:fldLock="1"/>
      </w:r>
      <w:r w:rsidR="00CD1FDD">
        <w:rPr>
          <w:sz w:val="24"/>
          <w:szCs w:val="24"/>
        </w:rPr>
        <w:instrText>ADDIN CSL_CITATION {"citationItems":[{"id":"ITEM-1","itemData":{"ISSN":"0022-3808","abstract":"15:41 UTC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support@jstor.org.","author":[{"dropping-particle":"","family":"Becker","given":"G. S.","non-dropping-particle":"","parse-names":false,"suffix":""}],"container-title":"Journal of Political Economy","id":"ITEM-1","issue":"5, Part 2","issued":{"date-parts":[["1962","10","22"]]},"page":"9-49","publisher":"University of Chicago Press","title":"Investment in human capital: A theoretical analysis","type":"article-journal","volume":"70"},"uris":["http://www.mendeley.com/documents/?uuid=e5e26310-1af0-3e16-af54-84524401b641"]}],"mendeley":{"formattedCitation":"(G. S. Becker, 1962)","manualFormatting":"(Becker, 1962)","plainTextFormattedCitation":"(G. S. Becker, 1962)","previouslyFormattedCitation":"(G. S. Becker, 1962)"},"properties":{"noteIndex":0},"schema":"https://github.com/citation-style-language/schema/raw/master/csl-citation.json"}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(Becker, 1962)</w:t>
      </w:r>
      <w:r w:rsidR="00B42CFA" w:rsidRPr="001E73A0">
        <w:rPr>
          <w:sz w:val="24"/>
          <w:szCs w:val="24"/>
        </w:rPr>
        <w:fldChar w:fldCharType="end"/>
      </w:r>
      <w:r w:rsidR="00FF7CE6" w:rsidRPr="001E73A0">
        <w:rPr>
          <w:sz w:val="24"/>
          <w:szCs w:val="24"/>
        </w:rPr>
        <w:t xml:space="preserve">, productivity </w:t>
      </w:r>
      <w:r w:rsidR="00B42CFA" w:rsidRPr="001E73A0">
        <w:rPr>
          <w:sz w:val="24"/>
          <w:szCs w:val="24"/>
        </w:rPr>
        <w:fldChar w:fldCharType="begin" w:fldLock="1"/>
      </w:r>
      <w:r w:rsidR="00B42CFA" w:rsidRPr="001E73A0">
        <w:rPr>
          <w:sz w:val="24"/>
          <w:szCs w:val="24"/>
        </w:rPr>
        <w:instrText>ADDIN CSL_CITATION {"citationItems":[{"id":"ITEM-1","itemData":{"author":[{"dropping-particle":"","family":"Hansson","given":"B","non-dropping-particle":"","parse-names":false,"suffix":""},{"dropping-particle":"","family":"Johanson","given":"U","non-dropping-particle":"","parse-names":false,"suffix":""},{"dropping-particle":"","family":"Leitner","given":"K. H","non-dropping-particle":"","parse-names":false,"suffix":""}],"container-title":"Evaluation and Impact of Education and Training: The Value of Learning. Third report on Vocational Training Research in Europe: Background Report.","editor":[{"dropping-particle":"","family":"Descy","given":"P.","non-dropping-particle":"","parse-names":false,"suffix":""},{"dropping-particle":"","family":"Tessaring","given":"M.","non-dropping-particle":"","parse-names":false,"suffix":""}],"id":"ITEM-1","issued":{"date-parts":[["2004"]]},"publisher":"vol. 2004 Office for Official Publications of the European Communities","publisher-place":"Luxembourg (Cedefop Reference Series, 54)","title":"The impact of human capital and human capital investments on company performance: Evidence from literature and European survey results","type":"chapter"},"uris":["http://www.mendeley.com/documents/?uuid=94fc722d-2645-3143-9aad-46a47a7f9fba"]}],"mendeley":{"formattedCitation":"(Hansson, Johanson, &amp; Leitner, 2004)","plainTextFormattedCitation":"(Hansson, Johanson, &amp; Leitner, 2004)","previouslyFormattedCitation":"(Hansson, Johanson, &amp; Leitner, 2004)"},"properties":{"noteIndex":0},"schema":"https://github.com/citation-style-language/schema/raw/master/csl-citation.json"}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(Hansson, Johanson, &amp; Leitner, 2004)</w:t>
      </w:r>
      <w:r w:rsidR="00B42CFA" w:rsidRPr="001E73A0">
        <w:rPr>
          <w:sz w:val="24"/>
          <w:szCs w:val="24"/>
        </w:rPr>
        <w:fldChar w:fldCharType="end"/>
      </w:r>
      <w:r w:rsidR="00FF7CE6" w:rsidRPr="001E73A0">
        <w:rPr>
          <w:sz w:val="24"/>
          <w:szCs w:val="24"/>
        </w:rPr>
        <w:t xml:space="preserve"> and ultimately future performance </w:t>
      </w:r>
      <w:r w:rsidR="00B42CFA" w:rsidRPr="001E73A0">
        <w:rPr>
          <w:sz w:val="24"/>
          <w:szCs w:val="24"/>
        </w:rPr>
        <w:fldChar w:fldCharType="begin" w:fldLock="1"/>
      </w:r>
      <w:r w:rsidR="00B42CFA"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efficiency","type":"article-journal","volume":"31"},"uris":["http://www.mendeley.com/documents/?uuid=c0be0420-4a3b-407c-be29-d99c32f42d71"]},{"id":"ITEM-2","itemData":{"ISSN":"0929-1199","abstract":"We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Finance","id":"ITEM-2","issued":{"date-parts":[["2019","8","10"]]},"page":"forthcoming","publisher":"North-Holland","title":"CEO-director ties and labor investment efficiency","type":"article-journal"},"uris":["http://www.mendeley.com/documents/?uuid=d748f965-c96a-37ab-af3c-4af2c2e2ee2b"]},{"id":"ITEM-3","itemData":{"ISBN":"00014826","ISSN":"00014826","abstract":"The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Review","id":"ITEM-3","issue":"4","issued":{"date-parts":[["2007"]]},"page":"1031-1053","title":"Profits versus losses: Does reporting an accounting loss act as a heuristic trigger to exercise the abandonment option and divest employees?","type":"article-journal","volume":"82"},"uris":["http://www.mendeley.com/documents/?uuid=f9b15269-da93-4155-ace1-4ce8ea5f860b"]}],"mendeley":{"formattedCitation":"(Jung, Lee, &amp; Weber, 2014; Khedmati, Sualihu, &amp; Yawson, 2019; Pinnuck &amp; Lillis, 2007)","plainTextFormattedCitation":"(Jung, Lee, &amp; Weber, 2014; Khedmati, Sualihu, &amp; Yawson, 2019; Pinnuck &amp; Lillis, 2007)","previouslyFormattedCitation":"(Jung, Lee, &amp; Weber, 2014; Khedmati, Sualihu, &amp; Yawson, 2019; Pinnuck &amp; Lillis, 2007)"},"properties":{"noteIndex":0},"schema":"https://github.com/citation-style-language/schema/raw/master/csl-citation.json"}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(Jung, Lee, &amp; Weber, 2014; Khedmati, Sualihu, &amp; Yawson, 2019; Pinnuck &amp; Lillis, 2007)</w:t>
      </w:r>
      <w:r w:rsidR="00B42CFA" w:rsidRPr="001E73A0">
        <w:rPr>
          <w:sz w:val="24"/>
          <w:szCs w:val="24"/>
        </w:rPr>
        <w:fldChar w:fldCharType="end"/>
      </w:r>
      <w:r w:rsidR="00FF7CE6" w:rsidRPr="001E73A0">
        <w:rPr>
          <w:sz w:val="24"/>
          <w:szCs w:val="24"/>
        </w:rPr>
        <w:t xml:space="preserve">. </w:t>
      </w:r>
      <w:r w:rsidR="008F00B0" w:rsidRPr="001E73A0">
        <w:rPr>
          <w:sz w:val="24"/>
          <w:szCs w:val="24"/>
        </w:rPr>
        <w:t>More importantly, d</w:t>
      </w:r>
      <w:r w:rsidR="000B7C93" w:rsidRPr="001E73A0">
        <w:rPr>
          <w:sz w:val="24"/>
          <w:szCs w:val="24"/>
        </w:rPr>
        <w:t xml:space="preserve">istinct from other forms of physical investment where detailed specifications are readily available, labour investment decisions may suffer </w:t>
      </w:r>
      <w:r w:rsidR="000B7C93" w:rsidRPr="001E73A0">
        <w:rPr>
          <w:rFonts w:hint="eastAsia"/>
          <w:sz w:val="24"/>
          <w:szCs w:val="24"/>
        </w:rPr>
        <w:t>severe</w:t>
      </w:r>
      <w:r w:rsidR="000B7C93" w:rsidRPr="001E73A0">
        <w:rPr>
          <w:sz w:val="24"/>
          <w:szCs w:val="24"/>
        </w:rPr>
        <w:t xml:space="preserve"> agency conflicts</w:t>
      </w:r>
      <w:r w:rsidR="001649D9" w:rsidRPr="001E73A0">
        <w:rPr>
          <w:sz w:val="24"/>
          <w:szCs w:val="24"/>
        </w:rPr>
        <w:t xml:space="preserve"> </w:t>
      </w:r>
      <w:r w:rsidR="001649D9" w:rsidRPr="001E73A0">
        <w:rPr>
          <w:rFonts w:hint="eastAsia"/>
          <w:sz w:val="24"/>
          <w:szCs w:val="24"/>
        </w:rPr>
        <w:t>and</w:t>
      </w:r>
      <w:r w:rsidR="00C86AC1" w:rsidRPr="001E73A0">
        <w:rPr>
          <w:sz w:val="24"/>
          <w:szCs w:val="24"/>
        </w:rPr>
        <w:t>,</w:t>
      </w:r>
      <w:r w:rsidR="001649D9" w:rsidRPr="001E73A0">
        <w:rPr>
          <w:sz w:val="24"/>
          <w:szCs w:val="24"/>
        </w:rPr>
        <w:t xml:space="preserve"> </w:t>
      </w:r>
      <w:r w:rsidR="00C86AC1" w:rsidRPr="001E73A0">
        <w:rPr>
          <w:sz w:val="24"/>
          <w:szCs w:val="24"/>
        </w:rPr>
        <w:t xml:space="preserve">in </w:t>
      </w:r>
      <w:r w:rsidR="001649D9" w:rsidRPr="001E73A0">
        <w:rPr>
          <w:sz w:val="24"/>
          <w:szCs w:val="24"/>
        </w:rPr>
        <w:t>particular</w:t>
      </w:r>
      <w:r w:rsidR="00C86AC1" w:rsidRPr="001E73A0">
        <w:rPr>
          <w:sz w:val="24"/>
          <w:szCs w:val="24"/>
        </w:rPr>
        <w:t>,</w:t>
      </w:r>
      <w:r w:rsidR="001649D9" w:rsidRPr="001E73A0">
        <w:rPr>
          <w:sz w:val="24"/>
          <w:szCs w:val="24"/>
        </w:rPr>
        <w:t xml:space="preserve"> salient information asymmetry</w:t>
      </w:r>
      <w:r w:rsidR="000B7C93" w:rsidRPr="001E73A0">
        <w:rPr>
          <w:sz w:val="24"/>
          <w:szCs w:val="24"/>
        </w:rPr>
        <w:t xml:space="preserve"> because such decisions rely heavily on private managerial information about the skills and productivity of employees </w:t>
      </w:r>
      <w:r w:rsidR="00B42CFA" w:rsidRPr="001E73A0">
        <w:rPr>
          <w:sz w:val="24"/>
          <w:szCs w:val="24"/>
        </w:rPr>
        <w:fldChar w:fldCharType="begin" w:fldLock="1"/>
      </w:r>
      <w:r w:rsidR="00B42CFA" w:rsidRPr="001E73A0">
        <w:rPr>
          <w:sz w:val="24"/>
          <w:szCs w:val="24"/>
        </w:rPr>
        <w:instrText>ADDIN CSL_CITATION {"citationItems":[{"id":"ITEM-1","itemData":{"ISSN":"00221082","author":[{"dropping-particle":"","family":"Atanassov","given":"Julian","non-dropping-particle":"","parse-names":false,"suffix":""},{"dropping-particle":"","family":"Kim","given":"E. Han","non-dropping-particle":"","parse-names":false,"suffix":""}],"container-title":"The Journal of Finance","id":"ITEM-1","issue":"1","issued":{"date-parts":[["2009","2","1"]]},"page":"341-374","publisher":"Wiley/Blackwell (10.1111)","title":"Labor and corporate governance: International evidence from restructuring decisions","type":"article-journal","volume":"64"},"uris":["http://www.mendeley.com/documents/?uuid=008cb15d-98a5-3606-b47e-bc27e0a0fe05"]},{"id":"ITEM-2","itemData":{"abstract":"Monitoring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Finance","id":"ITEM-2","issued":{"date-parts":[["2020"]]},"page":"In Press","title":"Institutional investors' horizons and corporate employment decisions","type":"article-journal"},"uris":["http://www.mendeley.com/documents/?uuid=9fb1e272-c104-4553-a10d-2894ab94491d"]}],"mendeley":{"formattedCitation":"(Atanassov &amp; Kim, 2009; Ghaly, Dang, &amp; Stathopoulos, 2020)","plainTextFormattedCitation":"(Atanassov &amp; Kim, 2009; Ghaly, Dang, &amp; Stathopoulos, 2020)","previouslyFormattedCitation":"(Atanassov &amp; Kim, 2009; Ghaly, Dang, &amp; Stathopoulos, 2020)"},"properties":{"noteIndex":0},"schema":"https://github.com/citation-style-language/schema/raw/master/csl-citation.json"}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(Atanassov &amp; Kim, 2009; Ghaly, Dang, &amp; Stathopoulos, 2020)</w:t>
      </w:r>
      <w:r w:rsidR="00B42CFA" w:rsidRPr="001E73A0">
        <w:rPr>
          <w:sz w:val="24"/>
          <w:szCs w:val="24"/>
        </w:rPr>
        <w:fldChar w:fldCharType="end"/>
      </w:r>
      <w:r w:rsidR="000B7C93" w:rsidRPr="001E73A0">
        <w:rPr>
          <w:sz w:val="24"/>
          <w:szCs w:val="24"/>
        </w:rPr>
        <w:t xml:space="preserve">. </w:t>
      </w:r>
      <w:r w:rsidR="003F4891" w:rsidRPr="001E73A0">
        <w:rPr>
          <w:sz w:val="24"/>
          <w:szCs w:val="24"/>
        </w:rPr>
        <w:t xml:space="preserve">Specifically, </w:t>
      </w:r>
      <w:r w:rsidR="00F66938" w:rsidRPr="001E73A0">
        <w:rPr>
          <w:sz w:val="24"/>
          <w:szCs w:val="24"/>
        </w:rPr>
        <w:t>privilege</w:t>
      </w:r>
      <w:r w:rsidR="003F4891" w:rsidRPr="001E73A0">
        <w:rPr>
          <w:sz w:val="24"/>
          <w:szCs w:val="24"/>
        </w:rPr>
        <w:t>d</w:t>
      </w:r>
      <w:r w:rsidR="00F66938" w:rsidRPr="001E73A0">
        <w:rPr>
          <w:sz w:val="24"/>
          <w:szCs w:val="24"/>
        </w:rPr>
        <w:t xml:space="preserve"> access to such information facilitates self-interested managers to participate in empire-building activit</w:t>
      </w:r>
      <w:r w:rsidR="003F4891" w:rsidRPr="001E73A0">
        <w:rPr>
          <w:sz w:val="24"/>
          <w:szCs w:val="24"/>
        </w:rPr>
        <w:t>y</w:t>
      </w:r>
      <w:r w:rsidR="00F66938" w:rsidRPr="001E73A0">
        <w:rPr>
          <w:sz w:val="24"/>
          <w:szCs w:val="24"/>
        </w:rPr>
        <w:t xml:space="preserve">, such as over-hiring or under-firing employees </w:t>
      </w:r>
      <w:r w:rsidR="00B42CFA" w:rsidRPr="001E73A0">
        <w:rPr>
          <w:sz w:val="24"/>
          <w:szCs w:val="24"/>
        </w:rPr>
        <w:fldChar w:fldCharType="begin" w:fldLock="1"/>
      </w:r>
      <w:r w:rsidR="004B59FB" w:rsidRPr="001E73A0">
        <w:rPr>
          <w:sz w:val="24"/>
          <w:szCs w:val="24"/>
        </w:rPr>
        <w:instrText>ADDIN CSL_CITATION {"citationItems":[{"id":"ITEM-1","itemData":{"author":[{"dropping-particle":"","family":"Jensen","given":"M","non-dropping-particle":"","parse-names":false,"suffix":""}],"container-title":"American Economic Review","id":"ITEM-1","issued":{"date-parts":[["1986"]]},"page":"323-329","title":"Agency costs of free cash flow, corporate finance, and takeovers","type":"article-journal","volume":"76"},"uris":["http://www.mendeley.com/documents/?uuid=675086ff-70e4-3883-a4be-b4ae5aa5af73"]},{"id":"ITEM-2","itemData":{"ISSN":"1380-6653","author":[{"dropping-particle":"","family":"Richardson","given":"Scott","non-dropping-particle":"","parse-names":false,"suffix":""}],"container-title":"Review of Accounting Studies","id":"ITEM-2","issue":"2-3","issued":{"date-parts":[["2006","7","18"]]},"page":"159-189","publisher":"Kluwer Academic Publishers-Plenum Publishers","title":"Over-investment of free cash flow","type":"article-journal","volume":"11"},"uris":["http://www.mendeley.com/documents/?uuid=f5ddc463-f895-38f8-ad8f-d97a5a008cb9"]}],"mendeley":{"formattedCitation":"(Jensen, 1986; Richardson, 2006)","plainTextFormattedCitation":"(Jensen, 1986; Richardson, 2006)","previouslyFormattedCitation":"(Jensen, 1986; Richardson, 2006)"},"properties":{"noteIndex":0},"schema":"https://github.com/citation-style-language/schema/raw/master/csl-citation.json"}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(Jensen, 1986; Richardson, 2006)</w:t>
      </w:r>
      <w:r w:rsidR="00B42CFA" w:rsidRPr="001E73A0">
        <w:rPr>
          <w:sz w:val="24"/>
          <w:szCs w:val="24"/>
        </w:rPr>
        <w:fldChar w:fldCharType="end"/>
      </w:r>
      <w:r w:rsidR="003F4891" w:rsidRPr="001E73A0">
        <w:rPr>
          <w:sz w:val="24"/>
          <w:szCs w:val="24"/>
        </w:rPr>
        <w:t>,</w:t>
      </w:r>
      <w:r w:rsidR="00F66938" w:rsidRPr="001E73A0">
        <w:rPr>
          <w:sz w:val="24"/>
          <w:szCs w:val="24"/>
        </w:rPr>
        <w:t xml:space="preserve"> </w:t>
      </w:r>
      <w:r w:rsidR="003F4891" w:rsidRPr="001E73A0">
        <w:rPr>
          <w:sz w:val="24"/>
          <w:szCs w:val="24"/>
        </w:rPr>
        <w:t>potentially</w:t>
      </w:r>
      <w:r w:rsidR="00F66938" w:rsidRPr="001E73A0">
        <w:rPr>
          <w:sz w:val="24"/>
          <w:szCs w:val="24"/>
        </w:rPr>
        <w:t xml:space="preserve"> lead</w:t>
      </w:r>
      <w:r w:rsidR="003F4891" w:rsidRPr="001E73A0">
        <w:rPr>
          <w:sz w:val="24"/>
          <w:szCs w:val="24"/>
        </w:rPr>
        <w:t>ing</w:t>
      </w:r>
      <w:r w:rsidR="00F66938" w:rsidRPr="001E73A0">
        <w:rPr>
          <w:sz w:val="24"/>
          <w:szCs w:val="24"/>
        </w:rPr>
        <w:t xml:space="preserve"> to over-investment in labour. </w:t>
      </w:r>
      <w:r w:rsidR="003F4891" w:rsidRPr="001E73A0">
        <w:rPr>
          <w:sz w:val="24"/>
          <w:szCs w:val="24"/>
        </w:rPr>
        <w:t>Equally</w:t>
      </w:r>
      <w:r w:rsidR="008F00B0" w:rsidRPr="001E73A0">
        <w:rPr>
          <w:sz w:val="24"/>
          <w:szCs w:val="24"/>
        </w:rPr>
        <w:t xml:space="preserve">, self-interested managers may under-hire or over-fire in order to meet short-term earnings targets </w:t>
      </w:r>
      <w:r w:rsidR="00B42CFA" w:rsidRPr="001E73A0">
        <w:rPr>
          <w:sz w:val="24"/>
          <w:szCs w:val="24"/>
        </w:rPr>
        <w:fldChar w:fldCharType="begin" w:fldLock="1"/>
      </w:r>
      <w:r w:rsidR="00DE57A9"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00B42CFA" w:rsidRPr="001E73A0">
        <w:rPr>
          <w:sz w:val="24"/>
          <w:szCs w:val="24"/>
        </w:rPr>
        <w:fldChar w:fldCharType="separate"/>
      </w:r>
      <w:r w:rsidR="00B42CFA" w:rsidRPr="001E73A0">
        <w:rPr>
          <w:noProof/>
          <w:sz w:val="24"/>
          <w:szCs w:val="24"/>
        </w:rPr>
        <w:t>(Ghaly et al., 2020)</w:t>
      </w:r>
      <w:r w:rsidR="00B42CFA" w:rsidRPr="001E73A0">
        <w:rPr>
          <w:sz w:val="24"/>
          <w:szCs w:val="24"/>
        </w:rPr>
        <w:fldChar w:fldCharType="end"/>
      </w:r>
      <w:r w:rsidR="008F00B0" w:rsidRPr="001E73A0">
        <w:rPr>
          <w:sz w:val="24"/>
          <w:szCs w:val="24"/>
        </w:rPr>
        <w:t xml:space="preserve">, which </w:t>
      </w:r>
      <w:r w:rsidR="001A398F" w:rsidRPr="001E73A0">
        <w:rPr>
          <w:sz w:val="24"/>
          <w:szCs w:val="24"/>
        </w:rPr>
        <w:t xml:space="preserve">can </w:t>
      </w:r>
      <w:r w:rsidR="003F4891" w:rsidRPr="001E73A0">
        <w:rPr>
          <w:sz w:val="24"/>
          <w:szCs w:val="24"/>
        </w:rPr>
        <w:t xml:space="preserve">give rise </w:t>
      </w:r>
      <w:r w:rsidR="008F00B0" w:rsidRPr="001E73A0">
        <w:rPr>
          <w:sz w:val="24"/>
          <w:szCs w:val="24"/>
        </w:rPr>
        <w:t>to deviation</w:t>
      </w:r>
      <w:r w:rsidR="001A398F" w:rsidRPr="001E73A0">
        <w:rPr>
          <w:sz w:val="24"/>
          <w:szCs w:val="24"/>
        </w:rPr>
        <w:t>s</w:t>
      </w:r>
      <w:r w:rsidR="008F00B0" w:rsidRPr="001E73A0">
        <w:rPr>
          <w:sz w:val="24"/>
          <w:szCs w:val="24"/>
        </w:rPr>
        <w:t xml:space="preserve"> from optimal employment.</w:t>
      </w:r>
      <w:r w:rsidR="00590CE5" w:rsidRPr="001E73A0">
        <w:rPr>
          <w:sz w:val="24"/>
          <w:szCs w:val="24"/>
        </w:rPr>
        <w:t xml:space="preserve"> </w:t>
      </w:r>
    </w:p>
    <w:p w14:paraId="22952C61" w14:textId="4DAC59F9" w:rsidR="00E97AEF" w:rsidRPr="001E73A0" w:rsidRDefault="00402731" w:rsidP="00B920E0">
      <w:pPr>
        <w:adjustRightInd w:val="0"/>
        <w:snapToGrid w:val="0"/>
        <w:spacing w:after="0" w:line="360" w:lineRule="auto"/>
        <w:ind w:firstLine="720"/>
        <w:jc w:val="both"/>
        <w:rPr>
          <w:sz w:val="24"/>
          <w:szCs w:val="24"/>
        </w:rPr>
      </w:pPr>
      <w:r w:rsidRPr="001E73A0">
        <w:rPr>
          <w:sz w:val="24"/>
          <w:szCs w:val="24"/>
        </w:rPr>
        <w:t>Meanwhile</w:t>
      </w:r>
      <w:r w:rsidR="00B306CA" w:rsidRPr="001E73A0">
        <w:rPr>
          <w:sz w:val="24"/>
          <w:szCs w:val="24"/>
        </w:rPr>
        <w:t xml:space="preserve">, </w:t>
      </w:r>
      <w:r w:rsidRPr="001E73A0">
        <w:rPr>
          <w:sz w:val="24"/>
          <w:szCs w:val="24"/>
        </w:rPr>
        <w:t>h</w:t>
      </w:r>
      <w:r w:rsidR="00F11D35" w:rsidRPr="001E73A0">
        <w:rPr>
          <w:sz w:val="24"/>
          <w:szCs w:val="24"/>
        </w:rPr>
        <w:t>igh</w:t>
      </w:r>
      <w:r w:rsidR="003F4891" w:rsidRPr="001E73A0">
        <w:rPr>
          <w:sz w:val="24"/>
          <w:szCs w:val="24"/>
        </w:rPr>
        <w:t xml:space="preserve"> </w:t>
      </w:r>
      <w:r w:rsidR="00F11D35" w:rsidRPr="001E73A0">
        <w:rPr>
          <w:sz w:val="24"/>
          <w:szCs w:val="24"/>
        </w:rPr>
        <w:t xml:space="preserve">quality accounting information can enhance the monitoring abilities of investors and other stakeholders </w:t>
      </w:r>
      <w:r w:rsidR="00DE57A9" w:rsidRPr="001E73A0">
        <w:rPr>
          <w:sz w:val="24"/>
          <w:szCs w:val="24"/>
        </w:rPr>
        <w:fldChar w:fldCharType="begin" w:fldLock="1"/>
      </w:r>
      <w:r w:rsidR="00DE57A9" w:rsidRPr="001E73A0">
        <w:rPr>
          <w:sz w:val="24"/>
          <w:szCs w:val="24"/>
        </w:rPr>
        <w:instrText>ADDIN CSL_CITATION {"citationItems":[{"id":"ITEM-1","itemData":{"ISSN":"01654101","abstract":"This paper reviews and proposes additional research concerning the role of publicly reported financial accounting information in the governance processes of corporations. We first discuss research on the use of financial accounting in managerial incentive plans and explore future research directions. We then propose that governance research be extended to explore more comprehensively the use of financial accounting information in additional corporate control mechanisms, and suggest opportunities for expanding such research. We also propose cross-country research to investigate more directly the effects of financial accounting information on economic performance through its role in governance and more generally. © 2001 Elsevier Science Ltd. All rights reserved.","author":[{"dropping-particle":"","family":"Bushman","given":"Robert M.","non-dropping-particle":"","parse-names":false,"suffix":""},{"dropping-particle":"","family":"Smith","given":"Abbie J.","non-dropping-particle":"","parse-names":false,"suffix":""}],"container-title":"Journal of Accounting and Economics","id":"ITEM-1","issue":"1-3","issued":{"date-parts":[["2001","12","1"]]},"page":"237-333","publisher":"North-Holland","title":"Financial accounting information and corporate governance","type":"article-journal","volume":"32"},"uris":["http://www.mendeley.com/documents/?uuid=060c2e24-9327-3727-96d6-85636ade35bd"]},{"id":"ITEM-2","itemData":{"ISSN":"01654101","abstract":"Financial reporting and disclosure are potentially important means for management to communicate firm performance and governance to outside investors. We provide a framework for analyzing managers' reporting and disclosure decisions in a capital markets setting, and identify key research questions. We then review current empirical research on disclosure regulation, information intermediaries, and the determinants and economic consequences of corporate disclosure. Our survey concludes that current research has generated a number of useful insights. We identify many fundamental questions that remain unanswered, and changes in the economic environment that raise new questions for research. © 2001 Published by Elsevier Science B.V.","author":[{"dropping-particle":"","family":"Healy","given":"Paul M.","non-dropping-particle":"","parse-names":false,"suffix":""},{"dropping-particle":"","family":"Palepu","given":"Krishna G.","non-dropping-particle":"","parse-names":false,"suffix":""}],"container-title":"Journal of Accounting and Economics","id":"ITEM-2","issue":"1-3","issued":{"date-parts":[["2001","9","1"]]},"page":"405-440","publisher":"Elsevier","title":"Information asymmetry, corporate disclosure, and the capital markets: A review of the empirical disclosure literature","type":"article-journal","volume":"31"},"uris":["http://www.mendeley.com/documents/?uuid=11f33370-68f6-3203-817d-9c4dd2ac0041"]}],"mendeley":{"formattedCitation":"(Bushman &amp; Smith, 2001; Healy &amp; Palepu, 2001)","plainTextFormattedCitation":"(Bushman &amp; Smith, 2001; Healy &amp; Palepu, 2001)","previouslyFormattedCitation":"(Bushman &amp; Smith, 2001; Healy &amp; Palepu, 2001)"},"properties":{"noteIndex":0},"schema":"https://github.com/citation-style-language/schema/raw/master/csl-citation.json"}</w:instrText>
      </w:r>
      <w:r w:rsidR="00DE57A9" w:rsidRPr="001E73A0">
        <w:rPr>
          <w:sz w:val="24"/>
          <w:szCs w:val="24"/>
        </w:rPr>
        <w:fldChar w:fldCharType="separate"/>
      </w:r>
      <w:r w:rsidR="00DE57A9" w:rsidRPr="001E73A0">
        <w:rPr>
          <w:noProof/>
          <w:sz w:val="24"/>
          <w:szCs w:val="24"/>
        </w:rPr>
        <w:t>(Bushman &amp; Smith, 2001; Healy &amp; Palepu, 2001)</w:t>
      </w:r>
      <w:r w:rsidR="00DE57A9" w:rsidRPr="001E73A0">
        <w:rPr>
          <w:sz w:val="24"/>
          <w:szCs w:val="24"/>
        </w:rPr>
        <w:fldChar w:fldCharType="end"/>
      </w:r>
      <w:r w:rsidR="00F11D35" w:rsidRPr="001E73A0">
        <w:rPr>
          <w:sz w:val="24"/>
          <w:szCs w:val="24"/>
        </w:rPr>
        <w:t xml:space="preserve">. </w:t>
      </w:r>
      <w:r w:rsidR="006F7086" w:rsidRPr="001E73A0">
        <w:rPr>
          <w:sz w:val="24"/>
          <w:szCs w:val="24"/>
        </w:rPr>
        <w:t>A</w:t>
      </w:r>
      <w:r w:rsidRPr="001E73A0">
        <w:rPr>
          <w:sz w:val="24"/>
          <w:szCs w:val="24"/>
        </w:rPr>
        <w:t xml:space="preserve">ccounting </w:t>
      </w:r>
      <w:r w:rsidR="00F11D35" w:rsidRPr="001E73A0">
        <w:rPr>
          <w:sz w:val="24"/>
          <w:szCs w:val="24"/>
        </w:rPr>
        <w:t xml:space="preserve">comparability, an important qualitative characteristic of accounting information, </w:t>
      </w:r>
      <w:r w:rsidR="00F332A5" w:rsidRPr="001E73A0">
        <w:rPr>
          <w:sz w:val="24"/>
          <w:szCs w:val="24"/>
        </w:rPr>
        <w:t>is</w:t>
      </w:r>
      <w:r w:rsidR="00F11D35" w:rsidRPr="001E73A0">
        <w:rPr>
          <w:sz w:val="24"/>
          <w:szCs w:val="24"/>
        </w:rPr>
        <w:t xml:space="preserve"> expected to play a significant role in monitoring</w:t>
      </w:r>
      <w:r w:rsidR="006F7086" w:rsidRPr="001E73A0">
        <w:rPr>
          <w:sz w:val="24"/>
          <w:szCs w:val="24"/>
        </w:rPr>
        <w:t xml:space="preserve"> </w:t>
      </w:r>
      <w:r w:rsidR="00F11D35" w:rsidRPr="001E73A0">
        <w:rPr>
          <w:sz w:val="24"/>
          <w:szCs w:val="24"/>
        </w:rPr>
        <w:t>management behaviour.</w:t>
      </w:r>
      <w:r w:rsidR="00F332A5" w:rsidRPr="001E73A0">
        <w:rPr>
          <w:sz w:val="24"/>
          <w:szCs w:val="24"/>
        </w:rPr>
        <w:t xml:space="preserve"> Specifically, comparable </w:t>
      </w:r>
      <w:r w:rsidR="0024673B" w:rsidRPr="001E73A0">
        <w:rPr>
          <w:sz w:val="24"/>
          <w:szCs w:val="24"/>
        </w:rPr>
        <w:t>financial reporting</w:t>
      </w:r>
      <w:r w:rsidR="00F332A5" w:rsidRPr="001E73A0">
        <w:rPr>
          <w:sz w:val="24"/>
          <w:szCs w:val="24"/>
        </w:rPr>
        <w:t xml:space="preserve"> could reduce the effort and costs for outside market participants to </w:t>
      </w:r>
      <w:r w:rsidR="0024673B" w:rsidRPr="001E73A0">
        <w:rPr>
          <w:sz w:val="24"/>
          <w:szCs w:val="24"/>
        </w:rPr>
        <w:t xml:space="preserve">interpret accounting information and </w:t>
      </w:r>
      <w:r w:rsidR="00093CE2" w:rsidRPr="001E73A0">
        <w:rPr>
          <w:sz w:val="24"/>
          <w:szCs w:val="24"/>
        </w:rPr>
        <w:t xml:space="preserve">gain </w:t>
      </w:r>
      <w:r w:rsidR="0024673B" w:rsidRPr="001E73A0">
        <w:rPr>
          <w:sz w:val="24"/>
          <w:szCs w:val="24"/>
        </w:rPr>
        <w:t xml:space="preserve">access </w:t>
      </w:r>
      <w:r w:rsidR="00093CE2" w:rsidRPr="001E73A0">
        <w:rPr>
          <w:sz w:val="24"/>
          <w:szCs w:val="24"/>
        </w:rPr>
        <w:t xml:space="preserve">to </w:t>
      </w:r>
      <w:r w:rsidR="006F7086" w:rsidRPr="001E73A0">
        <w:rPr>
          <w:sz w:val="24"/>
          <w:szCs w:val="24"/>
        </w:rPr>
        <w:t xml:space="preserve">insights on </w:t>
      </w:r>
      <w:r w:rsidR="0024673B" w:rsidRPr="001E73A0">
        <w:rPr>
          <w:sz w:val="24"/>
          <w:szCs w:val="24"/>
        </w:rPr>
        <w:t xml:space="preserve">firm </w:t>
      </w:r>
      <w:r w:rsidR="0024673B" w:rsidRPr="001E73A0">
        <w:rPr>
          <w:sz w:val="24"/>
          <w:szCs w:val="24"/>
        </w:rPr>
        <w:lastRenderedPageBreak/>
        <w:t xml:space="preserve">performance </w:t>
      </w:r>
      <w:r w:rsidR="00DE57A9" w:rsidRPr="001E73A0">
        <w:rPr>
          <w:sz w:val="24"/>
          <w:szCs w:val="24"/>
        </w:rPr>
        <w:fldChar w:fldCharType="begin" w:fldLock="1"/>
      </w:r>
      <w:r w:rsidR="00CD1FDD">
        <w:rPr>
          <w:sz w:val="24"/>
          <w:szCs w:val="24"/>
        </w:rPr>
        <w:instrText>ADDIN CSL_CITATION {"citationItems":[{"id":"ITEM-1","itemData":{"ISSN":"0001-4826","abstract":"ABSTRACT: We examine whether the mandatory introduction of International Financial Reporting Standards leads to an increase in institutional investor demand for equities. Using a large ownership database covering all types of institutional investors from around the world, we find that institutional holdings increase for mandatory IFRS adopters. Changes in holdings are concentrated around first-time annual reporting events. Second, we document that the positive IFRS effects on institutional holdings are concentrated among investors whose orientation and styles suggest they are most likely to benefit from higher quality financial statements, including active, value, and growth investors. These results are consistent with holdings changes being associated with the financial reporting regime change. Finally, we show that increased institutional holdings are concentrated in countries in which enforcement and reporting incentives are strongest, and where the differences between local GAAP and IFRS are relativel...","author":[{"dropping-particle":"","family":"Florou","given":"Annita","non-dropping-particle":"","parse-names":false,"suffix":""},{"dropping-particle":"","family":"Pope","given":"Peter F.","non-dropping-particle":"","parse-names":false,"suffix":""}],"container-title":"The Accounting Review","id":"ITEM-1","issue":"6","issued":{"date-parts":[["2012","11","1"]]},"page":"1993-2025","publisher":"American Accounting Association","title":"Mandatory IFRS adoption and institutional investment decisions","type":"article-journal","volume":"87"},"uris":["http://www.mendeley.com/documents/?uuid=a67e1dfc-576f-3e19-8327-9ae705955105"]},{"id":"ITEM-2","itemData":{"ISSN":"0001-4826","abstract":"ABSTRACT: This study examines whether the mandatory adoption of International Financial Reporting Standards (IFRS) in the European Union significantly improves information comparability in 17 European countries. We employ three proxies—the similarity of accounting functions that translate economic events into accounting data, the degree of information transfer, and the similarity of the information content of earnings and of the book value of equity—to measure information comparability. Our results suggest that mandatory IFRS adoption improves cross-country information comparability by making similar things look more alike without making different things look less different. Our results also suggest that both accounting convergence and higher quality information under IFRS are the likely drivers of the comparability improvement. In addition, we find some evidence that cross-country comparability improvement is affected by firms' institutional environment. Data Availability: Data are available from commerc...","author":[{"dropping-particle":"","family":"Yip","given":"Rita W. Y.","non-dropping-particle":"","parse-names":false,"suffix":""},{"dropping-particle":"","family":"Young","given":"Danqing","non-dropping-particle":"","parse-names":false,"suffix":""}],"container-title":"The Accounting Review","id":"ITEM-2","issue":"5","issued":{"date-parts":[["2012","9","1"]]},"page":"1767-1789","publisher":"American Accounting Association","title":"Does mandatory IFRS adoption improve information comparability?","type":"article-journal","volume":"87"},"uris":["http://www.mendeley.com/documents/?uuid=15950a0a-b91c-3b67-8009-f67b844f17fa"]},{"id":"ITEM-3","itemData":{"ISSN":"0001-4826","abstract":"ABSTRACT: Do differences in countries' accounting standards affect global investment decisions? We explore this question by examining how accounting distance, the difference in the accounting standards used in the investor's and the investee's countries, affects the asset allocation decisions of global mutual funds. We find that investors tend to underweight investees with greater accounting distance. Using the mandatory adoption of International Financial Reporting Standards (IFRS) as an event that changed the accounting standards of various country-pairs, we examine how two sources of changes in accounting distance—(1) changes due to IFRS adoption of the investee, and (2) changes due to IFRS adoption in the investor's country—affect global portfolio allocation decisions. We find that the tendency to underinvest in investees with greater accounting distance significantly weakens when accounting distance is reduced, either from an investee's IFRS adoption or from IFRS adoption in the investor's country. T...","author":[{"dropping-particle":"","family":"Yu","given":"Gwen","non-dropping-particle":"","parse-names":false,"suffix":""},{"dropping-particle":"","family":"Wahid","given":"Aida Sijamic","non-dropping-particle":"","parse-names":false,"suffix":""}],"container-title":"The Accounting Review","id":"ITEM-3","issue":"5","issued":{"date-parts":[["2014","9","1"]]},"page":"1895-1930","publisher":"American Accounting Association","title":"Accounting standards and international portfolio holdings","type":"article-journal","volume":"89"},"uris":["http://www.mendeley.com/documents/?uuid=e3b9f643-a782-342f-81bc-fbf0a7aa97a0"]}],"mendeley":{"formattedCitation":"(Florou &amp; Pope, 2012; Yip &amp; Young, 2012; G. Yu &amp; Wahid, 2014)","manualFormatting":"(Florou &amp; Pope, 2012; Yip &amp; Young, 2012; Yu &amp; Wahid, 2014)","plainTextFormattedCitation":"(Florou &amp; Pope, 2012; Yip &amp; Young, 2012; G. Yu &amp; Wahid, 2014)","previouslyFormattedCitation":"(Florou &amp; Pope, 2012; Yip &amp; Young, 2012; G. Yu &amp; Wahid, 2014)"},"properties":{"noteIndex":0},"schema":"https://github.com/citation-style-language/schema/raw/master/csl-citation.json"}</w:instrText>
      </w:r>
      <w:r w:rsidR="00DE57A9" w:rsidRPr="001E73A0">
        <w:rPr>
          <w:sz w:val="24"/>
          <w:szCs w:val="24"/>
        </w:rPr>
        <w:fldChar w:fldCharType="separate"/>
      </w:r>
      <w:r w:rsidR="00DE57A9" w:rsidRPr="001E73A0">
        <w:rPr>
          <w:noProof/>
          <w:sz w:val="24"/>
          <w:szCs w:val="24"/>
        </w:rPr>
        <w:t>(Florou &amp; Pope, 2012; Yip &amp; Young, 2012; Yu &amp; Wahid, 2014)</w:t>
      </w:r>
      <w:r w:rsidR="00DE57A9" w:rsidRPr="001E73A0">
        <w:rPr>
          <w:sz w:val="24"/>
          <w:szCs w:val="24"/>
        </w:rPr>
        <w:fldChar w:fldCharType="end"/>
      </w:r>
      <w:r w:rsidR="0024673B" w:rsidRPr="001E73A0">
        <w:rPr>
          <w:sz w:val="24"/>
          <w:szCs w:val="24"/>
        </w:rPr>
        <w:t xml:space="preserve">. Furthermore, </w:t>
      </w:r>
      <w:r w:rsidR="00F332A5" w:rsidRPr="001E73A0">
        <w:rPr>
          <w:sz w:val="24"/>
          <w:szCs w:val="24"/>
        </w:rPr>
        <w:t xml:space="preserve">comparability </w:t>
      </w:r>
      <w:r w:rsidR="0024673B" w:rsidRPr="001E73A0">
        <w:rPr>
          <w:sz w:val="24"/>
          <w:szCs w:val="24"/>
        </w:rPr>
        <w:t xml:space="preserve">“enables users to identify similarities in and differences between two sets of economic phenomena” </w:t>
      </w:r>
      <w:r w:rsidR="00DE57A9" w:rsidRPr="001E73A0">
        <w:rPr>
          <w:sz w:val="24"/>
          <w:szCs w:val="24"/>
        </w:rPr>
        <w:fldChar w:fldCharType="begin" w:fldLock="1"/>
      </w:r>
      <w:r w:rsidR="00DE57A9" w:rsidRPr="001E73A0">
        <w:rPr>
          <w:sz w:val="24"/>
          <w:szCs w:val="24"/>
        </w:rPr>
        <w:instrText>ADDIN CSL_CITATION {"citationItems":[{"id":"ITEM-1","itemData":{"author":[{"dropping-particle":"","family":"Financial Accounting Standards Board (FASB)","given":"","non-dropping-particle":"","parse-names":false,"suffix":""}],"id":"ITEM-1","issued":{"date-parts":[["1980"]]},"title":"Statement of Financial Accounting Concepts No. 2: Qualitative Characteristics of Accounting Information","type":"book"},"locator":"CON2-6","uris":["http://www.mendeley.com/documents/?uuid=754b49cc-b2d1-417d-8b93-e12437ab9398"]}],"mendeley":{"formattedCitation":"(Financial Accounting Standards Board (FASB), 1980, pp. CON2-6)","plainTextFormattedCitation":"(Financial Accounting Standards Board (FASB), 1980, pp. CON2-6)","previouslyFormattedCitation":"(Financial Accounting Standards Board (FASB), 1980, pp. CON2-6)"},"properties":{"noteIndex":0},"schema":"https://github.com/citation-style-language/schema/raw/master/csl-citation.json"}</w:instrText>
      </w:r>
      <w:r w:rsidR="00DE57A9" w:rsidRPr="001E73A0">
        <w:rPr>
          <w:sz w:val="24"/>
          <w:szCs w:val="24"/>
        </w:rPr>
        <w:fldChar w:fldCharType="separate"/>
      </w:r>
      <w:r w:rsidR="00DE57A9" w:rsidRPr="001E73A0">
        <w:rPr>
          <w:noProof/>
          <w:sz w:val="24"/>
          <w:szCs w:val="24"/>
        </w:rPr>
        <w:t>(Financial Accounting Standards Board (FASB), 1980, pp. CON2-6)</w:t>
      </w:r>
      <w:r w:rsidR="00DE57A9" w:rsidRPr="001E73A0">
        <w:rPr>
          <w:sz w:val="24"/>
          <w:szCs w:val="24"/>
        </w:rPr>
        <w:fldChar w:fldCharType="end"/>
      </w:r>
      <w:r w:rsidR="0024673B" w:rsidRPr="001E73A0">
        <w:rPr>
          <w:sz w:val="24"/>
          <w:szCs w:val="24"/>
        </w:rPr>
        <w:t xml:space="preserve"> and thus </w:t>
      </w:r>
      <w:r w:rsidR="00F332A5" w:rsidRPr="001E73A0">
        <w:rPr>
          <w:sz w:val="24"/>
          <w:szCs w:val="24"/>
        </w:rPr>
        <w:t>facilitates stakeholders to draw sharper inferences about economic similarities and differences across comparable firms</w:t>
      </w:r>
      <w:r w:rsidR="0024673B" w:rsidRPr="001E73A0">
        <w:rPr>
          <w:sz w:val="24"/>
          <w:szCs w:val="24"/>
        </w:rPr>
        <w:t xml:space="preserve"> </w:t>
      </w:r>
      <w:r w:rsidR="00DE57A9" w:rsidRPr="001E73A0">
        <w:rPr>
          <w:sz w:val="24"/>
          <w:szCs w:val="24"/>
        </w:rPr>
        <w:fldChar w:fldCharType="begin" w:fldLock="1"/>
      </w:r>
      <w:r w:rsidR="00DE57A9"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Kothari, &amp; Verdi, 2011)","plainTextFormattedCitation":"(De Franco, Kothari, &amp; Verdi, 2011)","previouslyFormattedCitation":"(De Franco, Kothari, &amp; Verdi, 2011)"},"properties":{"noteIndex":0},"schema":"https://github.com/citation-style-language/schema/raw/master/csl-citation.json"}</w:instrText>
      </w:r>
      <w:r w:rsidR="00DE57A9" w:rsidRPr="001E73A0">
        <w:rPr>
          <w:sz w:val="24"/>
          <w:szCs w:val="24"/>
        </w:rPr>
        <w:fldChar w:fldCharType="separate"/>
      </w:r>
      <w:r w:rsidR="00DE57A9" w:rsidRPr="001E73A0">
        <w:rPr>
          <w:noProof/>
          <w:sz w:val="24"/>
          <w:szCs w:val="24"/>
        </w:rPr>
        <w:t>(De Franco, Kothari, &amp; Verdi, 2011)</w:t>
      </w:r>
      <w:r w:rsidR="00DE57A9" w:rsidRPr="001E73A0">
        <w:rPr>
          <w:sz w:val="24"/>
          <w:szCs w:val="24"/>
        </w:rPr>
        <w:fldChar w:fldCharType="end"/>
      </w:r>
      <w:r w:rsidR="00F332A5" w:rsidRPr="001E73A0">
        <w:rPr>
          <w:sz w:val="24"/>
          <w:szCs w:val="24"/>
        </w:rPr>
        <w:t xml:space="preserve">. </w:t>
      </w:r>
      <w:r w:rsidR="00D87792" w:rsidRPr="001E73A0">
        <w:rPr>
          <w:sz w:val="24"/>
          <w:szCs w:val="24"/>
        </w:rPr>
        <w:t xml:space="preserve">With the lower costs of acquiring and processing information and the higher information quality available to users, information is more transferrable within and among comparable firms. Therefore, we argue that </w:t>
      </w:r>
      <w:r w:rsidR="0015551D" w:rsidRPr="001E73A0">
        <w:rPr>
          <w:sz w:val="24"/>
          <w:szCs w:val="24"/>
        </w:rPr>
        <w:t>accounting comparability</w:t>
      </w:r>
      <w:r w:rsidR="00C01DA8" w:rsidRPr="001E73A0">
        <w:rPr>
          <w:sz w:val="24"/>
          <w:szCs w:val="24"/>
        </w:rPr>
        <w:t xml:space="preserve"> can significantly reduce</w:t>
      </w:r>
      <w:r w:rsidR="007F2D2C" w:rsidRPr="001E73A0">
        <w:rPr>
          <w:sz w:val="24"/>
          <w:szCs w:val="24"/>
        </w:rPr>
        <w:t xml:space="preserve"> the</w:t>
      </w:r>
      <w:r w:rsidR="00C01DA8" w:rsidRPr="001E73A0">
        <w:rPr>
          <w:sz w:val="24"/>
          <w:szCs w:val="24"/>
        </w:rPr>
        <w:t xml:space="preserve"> </w:t>
      </w:r>
      <w:r w:rsidR="007F2D2C" w:rsidRPr="001E73A0">
        <w:rPr>
          <w:sz w:val="24"/>
          <w:szCs w:val="24"/>
        </w:rPr>
        <w:t xml:space="preserve">monitoring costs of </w:t>
      </w:r>
      <w:r w:rsidR="00C01DA8" w:rsidRPr="001E73A0">
        <w:rPr>
          <w:sz w:val="24"/>
          <w:szCs w:val="24"/>
        </w:rPr>
        <w:t>internal and external stakeholders such as analysts, institutional investors, auditors, labour unions, and corporate boards</w:t>
      </w:r>
      <w:r w:rsidR="00EE19DF" w:rsidRPr="001E73A0">
        <w:rPr>
          <w:sz w:val="24"/>
          <w:szCs w:val="24"/>
        </w:rPr>
        <w:t xml:space="preserve"> </w:t>
      </w:r>
      <w:r w:rsidR="00DE57A9" w:rsidRPr="001E73A0">
        <w:rPr>
          <w:sz w:val="24"/>
          <w:szCs w:val="24"/>
        </w:rPr>
        <w:fldChar w:fldCharType="begin" w:fldLock="1"/>
      </w:r>
      <w:r w:rsidR="00FB2C4B"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00DE57A9" w:rsidRPr="001E73A0">
        <w:rPr>
          <w:sz w:val="24"/>
          <w:szCs w:val="24"/>
        </w:rPr>
        <w:fldChar w:fldCharType="separate"/>
      </w:r>
      <w:r w:rsidR="00DE57A9" w:rsidRPr="001E73A0">
        <w:rPr>
          <w:noProof/>
          <w:sz w:val="24"/>
          <w:szCs w:val="24"/>
        </w:rPr>
        <w:t>(De Franco et al., 2011)</w:t>
      </w:r>
      <w:r w:rsidR="00DE57A9" w:rsidRPr="001E73A0">
        <w:rPr>
          <w:sz w:val="24"/>
          <w:szCs w:val="24"/>
        </w:rPr>
        <w:fldChar w:fldCharType="end"/>
      </w:r>
      <w:r w:rsidR="00ED577D">
        <w:rPr>
          <w:sz w:val="24"/>
          <w:szCs w:val="24"/>
        </w:rPr>
        <w:t xml:space="preserve">. </w:t>
      </w:r>
      <w:r w:rsidR="004A068D" w:rsidRPr="001E73A0">
        <w:rPr>
          <w:sz w:val="24"/>
          <w:szCs w:val="24"/>
        </w:rPr>
        <w:t xml:space="preserve">In particular, through inferences based on the disclosures of comparable industry peers, </w:t>
      </w:r>
      <w:r w:rsidR="00144898" w:rsidRPr="001E73A0">
        <w:rPr>
          <w:sz w:val="24"/>
          <w:szCs w:val="24"/>
        </w:rPr>
        <w:t>these monitoring agents</w:t>
      </w:r>
      <w:r w:rsidR="004A068D" w:rsidRPr="001E73A0">
        <w:rPr>
          <w:sz w:val="24"/>
          <w:szCs w:val="24"/>
        </w:rPr>
        <w:t xml:space="preserve"> can </w:t>
      </w:r>
      <w:r w:rsidR="00786BF8" w:rsidRPr="001E73A0">
        <w:rPr>
          <w:sz w:val="24"/>
          <w:szCs w:val="24"/>
        </w:rPr>
        <w:t xml:space="preserve">more easily </w:t>
      </w:r>
      <w:r w:rsidR="004A068D" w:rsidRPr="001E73A0">
        <w:rPr>
          <w:sz w:val="24"/>
          <w:szCs w:val="24"/>
        </w:rPr>
        <w:t xml:space="preserve">detect </w:t>
      </w:r>
      <w:r w:rsidR="00786BF8" w:rsidRPr="001E73A0">
        <w:rPr>
          <w:sz w:val="24"/>
          <w:szCs w:val="24"/>
        </w:rPr>
        <w:t xml:space="preserve">any </w:t>
      </w:r>
      <w:r w:rsidR="004A068D" w:rsidRPr="001E73A0">
        <w:rPr>
          <w:sz w:val="24"/>
          <w:szCs w:val="24"/>
        </w:rPr>
        <w:t xml:space="preserve">opportunistic behaviours of managers, even when undisclosed </w:t>
      </w:r>
      <w:r w:rsidR="00FB2C4B" w:rsidRPr="001E73A0">
        <w:rPr>
          <w:sz w:val="24"/>
          <w:szCs w:val="24"/>
        </w:rPr>
        <w:fldChar w:fldCharType="begin" w:fldLock="1"/>
      </w:r>
      <w:r w:rsidR="00CD1FDD">
        <w:rPr>
          <w:sz w:val="24"/>
          <w:szCs w:val="24"/>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risk","type":"article-journal","volume":"61"},"uris":["http://www.mendeley.com/documents/?uuid=6a92aef2-be5d-31d0-aed3-10b52719d593"]}],"mendeley":{"formattedCitation":"(J.-B. Kim, Li, Lu, &amp; Yu, 2016)","manualFormatting":"(Kim, Li, Lu, &amp; Yu, 2016)","plainTextFormattedCitation":"(J.-B. Kim, Li, Lu, &amp; Yu, 2016)","previouslyFormattedCitation":"(J.-B. Kim, Li, Lu, &amp; Yu, 2016)"},"properties":{"noteIndex":0},"schema":"https://github.com/citation-style-language/schema/raw/master/csl-citation.json"}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(Kim, Li, Lu, &amp; Yu, 2016)</w:t>
      </w:r>
      <w:r w:rsidR="00FB2C4B" w:rsidRPr="001E73A0">
        <w:rPr>
          <w:sz w:val="24"/>
          <w:szCs w:val="24"/>
        </w:rPr>
        <w:fldChar w:fldCharType="end"/>
      </w:r>
      <w:r w:rsidR="00144898" w:rsidRPr="001E73A0">
        <w:rPr>
          <w:sz w:val="24"/>
          <w:szCs w:val="24"/>
        </w:rPr>
        <w:t>.</w:t>
      </w:r>
      <w:r w:rsidR="004A068D" w:rsidRPr="001E73A0">
        <w:rPr>
          <w:sz w:val="24"/>
          <w:szCs w:val="24"/>
        </w:rPr>
        <w:t xml:space="preserve"> </w:t>
      </w:r>
    </w:p>
    <w:p w14:paraId="3709D996" w14:textId="3367AF5B" w:rsidR="00E97AEF" w:rsidRPr="001E73A0" w:rsidRDefault="00786BF8" w:rsidP="00E97AEF">
      <w:pPr>
        <w:adjustRightInd w:val="0"/>
        <w:snapToGrid w:val="0"/>
        <w:spacing w:after="0" w:line="360" w:lineRule="auto"/>
        <w:ind w:firstLine="720"/>
        <w:jc w:val="both"/>
        <w:rPr>
          <w:sz w:val="24"/>
          <w:szCs w:val="24"/>
        </w:rPr>
      </w:pPr>
      <w:r w:rsidRPr="001E73A0">
        <w:rPr>
          <w:sz w:val="24"/>
          <w:szCs w:val="24"/>
        </w:rPr>
        <w:t>W</w:t>
      </w:r>
      <w:r w:rsidR="00A11D8C" w:rsidRPr="001E73A0">
        <w:rPr>
          <w:sz w:val="24"/>
          <w:szCs w:val="24"/>
        </w:rPr>
        <w:t>e</w:t>
      </w:r>
      <w:r w:rsidRPr="001E73A0">
        <w:rPr>
          <w:sz w:val="24"/>
          <w:szCs w:val="24"/>
        </w:rPr>
        <w:t xml:space="preserve"> therefore</w:t>
      </w:r>
      <w:r w:rsidR="00A11D8C" w:rsidRPr="001E73A0">
        <w:rPr>
          <w:sz w:val="24"/>
          <w:szCs w:val="24"/>
        </w:rPr>
        <w:t xml:space="preserve"> argue that </w:t>
      </w:r>
      <w:r w:rsidR="00144898" w:rsidRPr="001E73A0">
        <w:rPr>
          <w:sz w:val="24"/>
          <w:szCs w:val="24"/>
        </w:rPr>
        <w:t>a</w:t>
      </w:r>
      <w:r w:rsidR="00752479" w:rsidRPr="001E73A0">
        <w:rPr>
          <w:sz w:val="24"/>
          <w:szCs w:val="24"/>
        </w:rPr>
        <w:t xml:space="preserve">ccounting </w:t>
      </w:r>
      <w:r w:rsidR="00611282" w:rsidRPr="001E73A0">
        <w:rPr>
          <w:sz w:val="24"/>
          <w:szCs w:val="24"/>
        </w:rPr>
        <w:t xml:space="preserve">comparability can enhance labour investment efficiency via external monitoring and internal governance mechanisms. </w:t>
      </w:r>
      <w:r w:rsidR="00F51B44" w:rsidRPr="001E73A0">
        <w:rPr>
          <w:sz w:val="24"/>
          <w:szCs w:val="24"/>
        </w:rPr>
        <w:t>Primarily</w:t>
      </w:r>
      <w:r w:rsidR="00611282" w:rsidRPr="001E73A0">
        <w:rPr>
          <w:sz w:val="24"/>
          <w:szCs w:val="24"/>
        </w:rPr>
        <w:t>, it enriches the quality</w:t>
      </w:r>
      <w:r w:rsidR="004149B9" w:rsidRPr="001E73A0">
        <w:rPr>
          <w:sz w:val="24"/>
          <w:szCs w:val="24"/>
        </w:rPr>
        <w:t xml:space="preserve"> of</w:t>
      </w:r>
      <w:r w:rsidR="00611282" w:rsidRPr="001E73A0">
        <w:rPr>
          <w:sz w:val="24"/>
          <w:szCs w:val="24"/>
        </w:rPr>
        <w:t xml:space="preserve"> information available to </w:t>
      </w:r>
      <w:r w:rsidR="00611282" w:rsidRPr="001E73A0">
        <w:rPr>
          <w:i/>
          <w:iCs/>
          <w:sz w:val="24"/>
          <w:szCs w:val="24"/>
        </w:rPr>
        <w:t>external</w:t>
      </w:r>
      <w:r w:rsidR="00611282" w:rsidRPr="001E73A0">
        <w:rPr>
          <w:sz w:val="24"/>
          <w:szCs w:val="24"/>
        </w:rPr>
        <w:t xml:space="preserve"> monitoring agents</w:t>
      </w:r>
      <w:r w:rsidR="00F51B44" w:rsidRPr="001E73A0">
        <w:rPr>
          <w:sz w:val="24"/>
          <w:szCs w:val="24"/>
        </w:rPr>
        <w:t xml:space="preserve">, </w:t>
      </w:r>
      <w:r w:rsidR="004149B9" w:rsidRPr="001E73A0">
        <w:rPr>
          <w:sz w:val="24"/>
          <w:szCs w:val="24"/>
        </w:rPr>
        <w:t xml:space="preserve">which </w:t>
      </w:r>
      <w:r w:rsidR="00611282" w:rsidRPr="001E73A0">
        <w:rPr>
          <w:sz w:val="24"/>
          <w:szCs w:val="24"/>
        </w:rPr>
        <w:t xml:space="preserve">may prevent managers from undertaking suboptimal labour investments that destroy corporate value </w:t>
      </w:r>
      <w:r w:rsidR="00FB2C4B" w:rsidRPr="001E73A0">
        <w:rPr>
          <w:sz w:val="24"/>
          <w:szCs w:val="24"/>
        </w:rPr>
        <w:fldChar w:fldCharType="begin" w:fldLock="1"/>
      </w:r>
      <w:r w:rsidR="00FB2C4B" w:rsidRPr="001E73A0">
        <w:rPr>
          <w:sz w:val="24"/>
          <w:szCs w:val="24"/>
        </w:rPr>
        <w:instrText>ADDIN CSL_CITATION {"citationItems":[{"id":"ITEM-1","itemData":{"ISSN":"00218456","author":[{"dropping-particle":"","family":"Byard","given":"Donal","non-dropping-particle":"","parse-names":false,"suffix":""},{"dropping-particle":"","family":"Li","given":"Ying","non-dropping-particle":"","parse-names":false,"suffix":""},{"dropping-particle":"","family":"Yu","given":"Yong","non-dropping-particle":"","parse-names":false,"suffix":""}],"container-title":"Journal of Accounting Research","id":"ITEM-1","issue":"1","issued":{"date-parts":[["2011","3","1"]]},"page":"69-96","publisher":"John Wiley &amp; Sons, Ltd (10.1111)","title":"The effect of mandatory IFRS adoption on financial analysts’ information environment","type":"article-journal","volume":"49"},"uris":["http://www.mendeley.com/documents/?uuid=5816dc81-f4a2-3b66-b583-42a05dcf7ebd"]},{"id":"ITEM-2","itemData":{"ISSN":"0361-3682","abstract":"The aim of this paper is to undertake a critical review of recently completed empirical work, carried out under the auspices of the SSRC, on the use of information in individual company and plant level bargaining. The authors also attempt to develop a strategy for further investigation of this important topic which highlights the importance of variations in the nature of the domestic organisation in relation to the potential importance and usefulness of financial information for union negotiators.","author":[{"dropping-particle":"","family":"Owen","given":"David L.","non-dropping-particle":"","parse-names":false,"suffix":""},{"dropping-particle":"","family":"Lloyd","given":"Anthony J.","non-dropping-particle":"","parse-names":false,"suffix":""}],"container-title":"Accounting, Organizations and Society","id":"ITEM-2","issue":"3","issued":{"date-parts":[["1985","1","1"]]},"page":"329-350","publisher":"Pergamon","title":"The use of financial information by trade union negotiators in plant level collective bargaining","type":"article-journal","volume":"10"},"uris":["http://www.mendeley.com/documents/?uuid=216180c8-5a9e-349d-bbe1-f4adcbbcb8ab"]}],"mendeley":{"formattedCitation":"(Byard, Li, &amp; Yu, 2011; Owen &amp; Lloyd, 1985)","plainTextFormattedCitation":"(Byard, Li, &amp; Yu, 2011; Owen &amp; Lloyd, 1985)","previouslyFormattedCitation":"(Byard, Li, &amp; Yu, 2011; Owen &amp; Lloyd, 1985)"},"properties":{"noteIndex":0},"schema":"https://github.com/citation-style-language/schema/raw/master/csl-citation.json"}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(Byard, Li, &amp; Yu, 2011; Owen &amp; Lloyd, 1985)</w:t>
      </w:r>
      <w:r w:rsidR="00FB2C4B" w:rsidRPr="001E73A0">
        <w:rPr>
          <w:sz w:val="24"/>
          <w:szCs w:val="24"/>
        </w:rPr>
        <w:fldChar w:fldCharType="end"/>
      </w:r>
      <w:r w:rsidR="00611282" w:rsidRPr="001E73A0">
        <w:rPr>
          <w:sz w:val="24"/>
          <w:szCs w:val="24"/>
        </w:rPr>
        <w:t xml:space="preserve">. </w:t>
      </w:r>
      <w:r w:rsidR="00F51B44" w:rsidRPr="001E73A0">
        <w:rPr>
          <w:sz w:val="24"/>
          <w:szCs w:val="24"/>
        </w:rPr>
        <w:t xml:space="preserve">It </w:t>
      </w:r>
      <w:r w:rsidR="004149B9" w:rsidRPr="001E73A0">
        <w:rPr>
          <w:sz w:val="24"/>
          <w:szCs w:val="24"/>
        </w:rPr>
        <w:t>may</w:t>
      </w:r>
      <w:r w:rsidR="00611282" w:rsidRPr="001E73A0">
        <w:rPr>
          <w:sz w:val="24"/>
          <w:szCs w:val="24"/>
        </w:rPr>
        <w:t xml:space="preserve">, for example, </w:t>
      </w:r>
      <w:r w:rsidR="00AF4BE9" w:rsidRPr="001E73A0">
        <w:rPr>
          <w:sz w:val="24"/>
          <w:szCs w:val="24"/>
        </w:rPr>
        <w:t xml:space="preserve">help auditors better understand </w:t>
      </w:r>
      <w:r w:rsidR="004149B9" w:rsidRPr="001E73A0">
        <w:rPr>
          <w:sz w:val="24"/>
          <w:szCs w:val="24"/>
        </w:rPr>
        <w:t xml:space="preserve">a </w:t>
      </w:r>
      <w:r w:rsidR="00AF4BE9" w:rsidRPr="001E73A0">
        <w:rPr>
          <w:sz w:val="24"/>
          <w:szCs w:val="24"/>
        </w:rPr>
        <w:t>firm</w:t>
      </w:r>
      <w:r w:rsidR="004149B9" w:rsidRPr="001E73A0">
        <w:rPr>
          <w:sz w:val="24"/>
          <w:szCs w:val="24"/>
        </w:rPr>
        <w:t>’</w:t>
      </w:r>
      <w:r w:rsidR="00AF4BE9" w:rsidRPr="001E73A0">
        <w:rPr>
          <w:sz w:val="24"/>
          <w:szCs w:val="24"/>
        </w:rPr>
        <w:t xml:space="preserve">s operations through parallelizing </w:t>
      </w:r>
      <w:r w:rsidR="004149B9" w:rsidRPr="001E73A0">
        <w:rPr>
          <w:sz w:val="24"/>
          <w:szCs w:val="24"/>
        </w:rPr>
        <w:t xml:space="preserve">with </w:t>
      </w:r>
      <w:r w:rsidR="00AF4BE9" w:rsidRPr="001E73A0">
        <w:rPr>
          <w:sz w:val="24"/>
          <w:szCs w:val="24"/>
        </w:rPr>
        <w:t>those of industry peers</w:t>
      </w:r>
      <w:r w:rsidR="004149B9" w:rsidRPr="001E73A0">
        <w:rPr>
          <w:sz w:val="24"/>
          <w:szCs w:val="24"/>
        </w:rPr>
        <w:t>. T</w:t>
      </w:r>
      <w:r w:rsidR="00AF4BE9" w:rsidRPr="001E73A0">
        <w:rPr>
          <w:sz w:val="24"/>
          <w:szCs w:val="24"/>
        </w:rPr>
        <w:t xml:space="preserve">his may </w:t>
      </w:r>
      <w:r w:rsidR="004149B9" w:rsidRPr="001E73A0">
        <w:rPr>
          <w:sz w:val="24"/>
          <w:szCs w:val="24"/>
        </w:rPr>
        <w:t xml:space="preserve">enhance </w:t>
      </w:r>
      <w:r w:rsidR="00AF4BE9" w:rsidRPr="001E73A0">
        <w:rPr>
          <w:sz w:val="24"/>
          <w:szCs w:val="24"/>
        </w:rPr>
        <w:t>their ability to influence corporate employment decision</w:t>
      </w:r>
      <w:r w:rsidR="004149B9" w:rsidRPr="001E73A0">
        <w:rPr>
          <w:sz w:val="24"/>
          <w:szCs w:val="24"/>
        </w:rPr>
        <w:t>-making</w:t>
      </w:r>
      <w:r w:rsidR="00AF4BE9" w:rsidRPr="001E73A0">
        <w:rPr>
          <w:sz w:val="24"/>
          <w:szCs w:val="24"/>
        </w:rPr>
        <w:t xml:space="preserve"> through their recommendations arising from risk assessments </w:t>
      </w:r>
      <w:r w:rsidR="00FB2C4B" w:rsidRPr="001E73A0">
        <w:rPr>
          <w:sz w:val="24"/>
          <w:szCs w:val="24"/>
        </w:rPr>
        <w:fldChar w:fldCharType="begin" w:fldLock="1"/>
      </w:r>
      <w:r w:rsidR="00FB2C4B"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(Zhang, 2018)</w:t>
      </w:r>
      <w:r w:rsidR="00FB2C4B" w:rsidRPr="001E73A0">
        <w:rPr>
          <w:sz w:val="24"/>
          <w:szCs w:val="24"/>
        </w:rPr>
        <w:fldChar w:fldCharType="end"/>
      </w:r>
      <w:r w:rsidR="00611282" w:rsidRPr="001E73A0">
        <w:rPr>
          <w:sz w:val="24"/>
          <w:szCs w:val="24"/>
        </w:rPr>
        <w:t xml:space="preserve">. </w:t>
      </w:r>
      <w:r w:rsidR="00E97AEF" w:rsidRPr="001E73A0">
        <w:rPr>
          <w:sz w:val="24"/>
          <w:szCs w:val="24"/>
        </w:rPr>
        <w:t xml:space="preserve">Similarly, </w:t>
      </w:r>
      <w:r w:rsidR="0068705C" w:rsidRPr="001E73A0">
        <w:rPr>
          <w:sz w:val="24"/>
          <w:szCs w:val="24"/>
        </w:rPr>
        <w:t>t</w:t>
      </w:r>
      <w:r w:rsidR="00611282" w:rsidRPr="001E73A0">
        <w:rPr>
          <w:sz w:val="24"/>
          <w:szCs w:val="24"/>
        </w:rPr>
        <w:t>hrough inference</w:t>
      </w:r>
      <w:r w:rsidR="004149B9" w:rsidRPr="001E73A0">
        <w:rPr>
          <w:sz w:val="24"/>
          <w:szCs w:val="24"/>
        </w:rPr>
        <w:t>s</w:t>
      </w:r>
      <w:r w:rsidR="00611282" w:rsidRPr="001E73A0">
        <w:rPr>
          <w:sz w:val="24"/>
          <w:szCs w:val="24"/>
        </w:rPr>
        <w:t xml:space="preserve"> based on</w:t>
      </w:r>
      <w:r w:rsidR="004149B9" w:rsidRPr="001E73A0">
        <w:rPr>
          <w:sz w:val="24"/>
          <w:szCs w:val="24"/>
        </w:rPr>
        <w:t xml:space="preserve"> the</w:t>
      </w:r>
      <w:r w:rsidR="00611282" w:rsidRPr="001E73A0">
        <w:rPr>
          <w:sz w:val="24"/>
          <w:szCs w:val="24"/>
        </w:rPr>
        <w:t xml:space="preserve"> disclosures of </w:t>
      </w:r>
      <w:r w:rsidR="00E3626D" w:rsidRPr="001E73A0">
        <w:rPr>
          <w:sz w:val="24"/>
          <w:szCs w:val="24"/>
        </w:rPr>
        <w:t xml:space="preserve">a </w:t>
      </w:r>
      <w:r w:rsidR="00611282" w:rsidRPr="001E73A0">
        <w:rPr>
          <w:sz w:val="24"/>
          <w:szCs w:val="24"/>
        </w:rPr>
        <w:t>firm</w:t>
      </w:r>
      <w:r w:rsidR="00E3626D" w:rsidRPr="001E73A0">
        <w:rPr>
          <w:sz w:val="24"/>
          <w:szCs w:val="24"/>
        </w:rPr>
        <w:t>’</w:t>
      </w:r>
      <w:r w:rsidR="00611282" w:rsidRPr="001E73A0">
        <w:rPr>
          <w:sz w:val="24"/>
          <w:szCs w:val="24"/>
        </w:rPr>
        <w:t>s comparable peers,</w:t>
      </w:r>
      <w:r w:rsidR="001E75F3" w:rsidRPr="001E73A0">
        <w:rPr>
          <w:sz w:val="24"/>
          <w:szCs w:val="24"/>
        </w:rPr>
        <w:t xml:space="preserve"> especially </w:t>
      </w:r>
      <w:r w:rsidR="00092222" w:rsidRPr="001E73A0">
        <w:rPr>
          <w:sz w:val="24"/>
          <w:szCs w:val="24"/>
        </w:rPr>
        <w:t xml:space="preserve">disclosures </w:t>
      </w:r>
      <w:r w:rsidR="001E75F3" w:rsidRPr="001E73A0">
        <w:rPr>
          <w:sz w:val="24"/>
          <w:szCs w:val="24"/>
        </w:rPr>
        <w:t>relat</w:t>
      </w:r>
      <w:r w:rsidR="00E3626D" w:rsidRPr="001E73A0">
        <w:rPr>
          <w:sz w:val="24"/>
          <w:szCs w:val="24"/>
        </w:rPr>
        <w:t>ed</w:t>
      </w:r>
      <w:r w:rsidR="001E75F3" w:rsidRPr="001E73A0">
        <w:rPr>
          <w:sz w:val="24"/>
          <w:szCs w:val="24"/>
        </w:rPr>
        <w:t xml:space="preserve"> to human resource</w:t>
      </w:r>
      <w:r w:rsidR="004149B9" w:rsidRPr="001E73A0">
        <w:rPr>
          <w:sz w:val="24"/>
          <w:szCs w:val="24"/>
        </w:rPr>
        <w:t>s</w:t>
      </w:r>
      <w:r w:rsidR="001E75F3" w:rsidRPr="001E73A0">
        <w:rPr>
          <w:sz w:val="24"/>
          <w:szCs w:val="24"/>
        </w:rPr>
        <w:t>,</w:t>
      </w:r>
      <w:r w:rsidR="00611282" w:rsidRPr="001E73A0">
        <w:rPr>
          <w:sz w:val="24"/>
          <w:szCs w:val="24"/>
        </w:rPr>
        <w:t xml:space="preserve"> </w:t>
      </w:r>
      <w:r w:rsidR="00AF4BE9" w:rsidRPr="001E73A0">
        <w:rPr>
          <w:sz w:val="24"/>
          <w:szCs w:val="24"/>
        </w:rPr>
        <w:t>institutional investors</w:t>
      </w:r>
      <w:r w:rsidR="00611282" w:rsidRPr="001E73A0">
        <w:rPr>
          <w:sz w:val="24"/>
          <w:szCs w:val="24"/>
        </w:rPr>
        <w:t xml:space="preserve"> </w:t>
      </w:r>
      <w:r w:rsidR="00F51B44" w:rsidRPr="001E73A0">
        <w:rPr>
          <w:sz w:val="24"/>
          <w:szCs w:val="24"/>
        </w:rPr>
        <w:t>can more</w:t>
      </w:r>
      <w:r w:rsidR="00611282" w:rsidRPr="001E73A0">
        <w:rPr>
          <w:sz w:val="24"/>
          <w:szCs w:val="24"/>
        </w:rPr>
        <w:t xml:space="preserve"> easily understand </w:t>
      </w:r>
      <w:r w:rsidR="00E3626D" w:rsidRPr="001E73A0">
        <w:rPr>
          <w:sz w:val="24"/>
          <w:szCs w:val="24"/>
        </w:rPr>
        <w:t xml:space="preserve">the </w:t>
      </w:r>
      <w:r w:rsidR="00611282" w:rsidRPr="001E73A0">
        <w:rPr>
          <w:sz w:val="24"/>
          <w:szCs w:val="24"/>
        </w:rPr>
        <w:t xml:space="preserve">firm performance and obtain value-relevant information </w:t>
      </w:r>
      <w:r w:rsidR="00FB2C4B" w:rsidRPr="001E73A0">
        <w:rPr>
          <w:sz w:val="24"/>
          <w:szCs w:val="24"/>
        </w:rPr>
        <w:fldChar w:fldCharType="begin" w:fldLock="1"/>
      </w:r>
      <w:r w:rsidR="00CD1FDD">
        <w:rPr>
          <w:sz w:val="24"/>
          <w:szCs w:val="24"/>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risk","type":"article-journal","volume":"61"},"uris":["http://www.mendeley.com/documents/?uuid=6a92aef2-be5d-31d0-aed3-10b52719d593"]}],"mendeley":{"formattedCitation":"(J.-B. Kim et al., 2016)","manualFormatting":"(Kim et al., 2016)","plainTextFormattedCitation":"(J.-B. Kim et al., 2016)","previouslyFormattedCitation":"(J.-B. Kim et al., 2016)"},"properties":{"noteIndex":0},"schema":"https://github.com/citation-style-language/schema/raw/master/csl-citation.json"}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(Kim et al., 2016)</w:t>
      </w:r>
      <w:r w:rsidR="00FB2C4B" w:rsidRPr="001E73A0">
        <w:rPr>
          <w:sz w:val="24"/>
          <w:szCs w:val="24"/>
        </w:rPr>
        <w:fldChar w:fldCharType="end"/>
      </w:r>
      <w:r w:rsidR="00611282" w:rsidRPr="001E73A0">
        <w:rPr>
          <w:sz w:val="24"/>
          <w:szCs w:val="24"/>
        </w:rPr>
        <w:t>.</w:t>
      </w:r>
      <w:r w:rsidR="00C234E4" w:rsidRPr="001E73A0">
        <w:rPr>
          <w:sz w:val="24"/>
          <w:szCs w:val="24"/>
        </w:rPr>
        <w:t xml:space="preserve"> </w:t>
      </w:r>
      <w:r w:rsidR="0068705C" w:rsidRPr="001E73A0">
        <w:rPr>
          <w:sz w:val="24"/>
          <w:szCs w:val="24"/>
        </w:rPr>
        <w:t>In this instance, accounting comparability c</w:t>
      </w:r>
      <w:r w:rsidR="00E3626D" w:rsidRPr="001E73A0">
        <w:rPr>
          <w:sz w:val="24"/>
          <w:szCs w:val="24"/>
        </w:rPr>
        <w:t>ould</w:t>
      </w:r>
      <w:r w:rsidR="00C234E4" w:rsidRPr="001E73A0">
        <w:rPr>
          <w:sz w:val="24"/>
          <w:szCs w:val="24"/>
        </w:rPr>
        <w:t xml:space="preserve"> </w:t>
      </w:r>
      <w:r w:rsidR="00E3626D" w:rsidRPr="001E73A0">
        <w:rPr>
          <w:sz w:val="24"/>
          <w:szCs w:val="24"/>
        </w:rPr>
        <w:t xml:space="preserve">enable </w:t>
      </w:r>
      <w:r w:rsidR="00C234E4" w:rsidRPr="001E73A0">
        <w:rPr>
          <w:sz w:val="24"/>
          <w:szCs w:val="24"/>
        </w:rPr>
        <w:t xml:space="preserve">institutional investors </w:t>
      </w:r>
      <w:r w:rsidR="00585827" w:rsidRPr="001E73A0">
        <w:rPr>
          <w:sz w:val="24"/>
          <w:szCs w:val="24"/>
        </w:rPr>
        <w:t xml:space="preserve">to, for example, </w:t>
      </w:r>
      <w:r w:rsidR="00C234E4" w:rsidRPr="001E73A0">
        <w:rPr>
          <w:sz w:val="24"/>
          <w:szCs w:val="24"/>
        </w:rPr>
        <w:t xml:space="preserve">apply greater pressure on managers to use human capital more efficiently. </w:t>
      </w:r>
      <w:r w:rsidR="00722B6D" w:rsidRPr="001E73A0">
        <w:rPr>
          <w:sz w:val="24"/>
          <w:szCs w:val="24"/>
        </w:rPr>
        <w:t xml:space="preserve">Also, enhanced </w:t>
      </w:r>
      <w:r w:rsidR="00585827" w:rsidRPr="001E73A0">
        <w:rPr>
          <w:sz w:val="24"/>
          <w:szCs w:val="24"/>
        </w:rPr>
        <w:t xml:space="preserve">accounting </w:t>
      </w:r>
      <w:r w:rsidR="00722B6D" w:rsidRPr="001E73A0">
        <w:rPr>
          <w:sz w:val="24"/>
          <w:szCs w:val="24"/>
        </w:rPr>
        <w:t xml:space="preserve">comparability </w:t>
      </w:r>
      <w:r w:rsidR="00E3626D" w:rsidRPr="001E73A0">
        <w:rPr>
          <w:sz w:val="24"/>
          <w:szCs w:val="24"/>
        </w:rPr>
        <w:t>related to</w:t>
      </w:r>
      <w:r w:rsidR="00722B6D" w:rsidRPr="001E73A0">
        <w:rPr>
          <w:sz w:val="24"/>
          <w:szCs w:val="24"/>
        </w:rPr>
        <w:t xml:space="preserve"> employment-related information c</w:t>
      </w:r>
      <w:r w:rsidR="00E3626D" w:rsidRPr="001E73A0">
        <w:rPr>
          <w:sz w:val="24"/>
          <w:szCs w:val="24"/>
        </w:rPr>
        <w:t>ould</w:t>
      </w:r>
      <w:r w:rsidR="00722B6D" w:rsidRPr="001E73A0">
        <w:rPr>
          <w:sz w:val="24"/>
          <w:szCs w:val="24"/>
        </w:rPr>
        <w:t xml:space="preserve"> increase the bargaining power of labour unions </w:t>
      </w:r>
      <w:r w:rsidR="00E3626D" w:rsidRPr="001E73A0">
        <w:rPr>
          <w:sz w:val="24"/>
          <w:szCs w:val="24"/>
        </w:rPr>
        <w:t xml:space="preserve">in </w:t>
      </w:r>
      <w:r w:rsidR="00722B6D" w:rsidRPr="001E73A0">
        <w:rPr>
          <w:sz w:val="24"/>
          <w:szCs w:val="24"/>
        </w:rPr>
        <w:t>corporate employment decisions</w:t>
      </w:r>
      <w:r w:rsidR="00AA0EBD" w:rsidRPr="001E73A0">
        <w:rPr>
          <w:sz w:val="24"/>
          <w:szCs w:val="24"/>
        </w:rPr>
        <w:t>. It could</w:t>
      </w:r>
      <w:r w:rsidR="00722B6D" w:rsidRPr="001E73A0">
        <w:rPr>
          <w:sz w:val="24"/>
          <w:szCs w:val="24"/>
        </w:rPr>
        <w:t xml:space="preserve"> confer </w:t>
      </w:r>
      <w:r w:rsidR="00E3626D" w:rsidRPr="001E73A0">
        <w:rPr>
          <w:sz w:val="24"/>
          <w:szCs w:val="24"/>
        </w:rPr>
        <w:t xml:space="preserve">power </w:t>
      </w:r>
      <w:r w:rsidR="00722B6D" w:rsidRPr="001E73A0">
        <w:rPr>
          <w:sz w:val="24"/>
          <w:szCs w:val="24"/>
        </w:rPr>
        <w:t>on</w:t>
      </w:r>
      <w:r w:rsidR="00471604" w:rsidRPr="001E73A0">
        <w:rPr>
          <w:sz w:val="24"/>
          <w:szCs w:val="24"/>
        </w:rPr>
        <w:t xml:space="preserve"> labour</w:t>
      </w:r>
      <w:r w:rsidR="00722B6D" w:rsidRPr="001E73A0">
        <w:rPr>
          <w:sz w:val="24"/>
          <w:szCs w:val="24"/>
        </w:rPr>
        <w:t xml:space="preserve"> unions </w:t>
      </w:r>
      <w:r w:rsidR="00E3626D" w:rsidRPr="001E73A0">
        <w:rPr>
          <w:sz w:val="24"/>
          <w:szCs w:val="24"/>
        </w:rPr>
        <w:t>through</w:t>
      </w:r>
      <w:r w:rsidR="00AA0EBD" w:rsidRPr="001E73A0">
        <w:rPr>
          <w:sz w:val="24"/>
          <w:szCs w:val="24"/>
        </w:rPr>
        <w:t xml:space="preserve"> </w:t>
      </w:r>
      <w:r w:rsidR="00471604" w:rsidRPr="001E73A0">
        <w:rPr>
          <w:sz w:val="24"/>
          <w:szCs w:val="24"/>
        </w:rPr>
        <w:t>supporting</w:t>
      </w:r>
      <w:r w:rsidR="00AA0EBD" w:rsidRPr="001E73A0">
        <w:rPr>
          <w:sz w:val="24"/>
          <w:szCs w:val="24"/>
        </w:rPr>
        <w:t xml:space="preserve"> their</w:t>
      </w:r>
      <w:r w:rsidR="00E3626D" w:rsidRPr="001E73A0">
        <w:rPr>
          <w:sz w:val="24"/>
          <w:szCs w:val="24"/>
        </w:rPr>
        <w:t xml:space="preserve"> access to </w:t>
      </w:r>
      <w:r w:rsidR="00722B6D" w:rsidRPr="001E73A0">
        <w:rPr>
          <w:sz w:val="24"/>
          <w:szCs w:val="24"/>
        </w:rPr>
        <w:t xml:space="preserve">more meaningful peer-to-peer industry comparisons </w:t>
      </w:r>
      <w:r w:rsidR="00FB2C4B" w:rsidRPr="001E73A0">
        <w:rPr>
          <w:sz w:val="24"/>
          <w:szCs w:val="24"/>
        </w:rPr>
        <w:fldChar w:fldCharType="begin" w:fldLock="1"/>
      </w:r>
      <w:r w:rsidR="00FB2C4B" w:rsidRPr="001E73A0">
        <w:rPr>
          <w:sz w:val="24"/>
          <w:szCs w:val="24"/>
        </w:rPr>
        <w:instrText>ADDIN CSL_CITATION {"citationItems":[{"id":"ITEM-1","itemData":{"ISSN":"0361-3682","abstract":"The aim of this paper is to undertake a critical review of recently completed empirical work, carried out under the auspices of the SSRC, on the use of information in individual company and plant level bargaining. The authors also attempt to develop a strategy for further investigation of this important topic which highlights the importance of variations in the nature of the domestic organisation in relation to the potential importance and usefulness of financial information for union negotiators.","author":[{"dropping-particle":"","family":"Owen","given":"David L.","non-dropping-particle":"","parse-names":false,"suffix":""},{"dropping-particle":"","family":"Lloyd","given":"Anthony J.","non-dropping-particle":"","parse-names":false,"suffix":""}],"container-title":"Accounting, Organizations and Society","id":"ITEM-1","issue":"3","issued":{"date-parts":[["1985","1","1"]]},"page":"329-350","publisher":"Pergamon","title":"The use of financial information by trade union negotiators in plant level collective bargaining","type":"article-journal","volume":"10"},"uris":["http://www.mendeley.com/documents/?uuid=216180c8-5a9e-349d-bbe1-f4adcbbcb8ab"]}],"mendeley":{"formattedCitation":"(Owen &amp; Lloyd, 1985)","plainTextFormattedCitation":"(Owen &amp; Lloyd, 1985)","previouslyFormattedCitation":"(Owen &amp; Lloyd, 1985)"},"properties":{"noteIndex":0},"schema":"https://github.com/citation-style-language/schema/raw/master/csl-citation.json"}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(Owen &amp; Lloyd, 1985)</w:t>
      </w:r>
      <w:r w:rsidR="00FB2C4B" w:rsidRPr="001E73A0">
        <w:rPr>
          <w:sz w:val="24"/>
          <w:szCs w:val="24"/>
        </w:rPr>
        <w:fldChar w:fldCharType="end"/>
      </w:r>
      <w:r w:rsidR="00722B6D" w:rsidRPr="001E73A0">
        <w:rPr>
          <w:sz w:val="24"/>
          <w:szCs w:val="24"/>
        </w:rPr>
        <w:t>.</w:t>
      </w:r>
      <w:r w:rsidR="0068705C" w:rsidRPr="001E73A0">
        <w:rPr>
          <w:sz w:val="24"/>
          <w:szCs w:val="24"/>
        </w:rPr>
        <w:t xml:space="preserve"> </w:t>
      </w:r>
    </w:p>
    <w:p w14:paraId="70A9FE8E" w14:textId="77334A27" w:rsidR="00AA0EBD" w:rsidRPr="001E73A0" w:rsidRDefault="00E97AEF" w:rsidP="00E97AEF">
      <w:pPr>
        <w:adjustRightInd w:val="0"/>
        <w:snapToGrid w:val="0"/>
        <w:spacing w:after="0" w:line="360" w:lineRule="auto"/>
        <w:ind w:firstLine="720"/>
        <w:jc w:val="both"/>
        <w:rPr>
          <w:sz w:val="24"/>
          <w:szCs w:val="24"/>
        </w:rPr>
      </w:pPr>
      <w:r w:rsidRPr="001E73A0">
        <w:rPr>
          <w:sz w:val="24"/>
          <w:szCs w:val="24"/>
        </w:rPr>
        <w:t>Further</w:t>
      </w:r>
      <w:r w:rsidR="00611282" w:rsidRPr="001E73A0">
        <w:rPr>
          <w:sz w:val="24"/>
          <w:szCs w:val="24"/>
        </w:rPr>
        <w:t xml:space="preserve">, </w:t>
      </w:r>
      <w:r w:rsidR="0068705C" w:rsidRPr="001E73A0">
        <w:rPr>
          <w:sz w:val="24"/>
          <w:szCs w:val="24"/>
        </w:rPr>
        <w:t>accounting</w:t>
      </w:r>
      <w:r w:rsidR="00611282" w:rsidRPr="001E73A0">
        <w:rPr>
          <w:sz w:val="24"/>
          <w:szCs w:val="24"/>
        </w:rPr>
        <w:t xml:space="preserve"> comparability can improve </w:t>
      </w:r>
      <w:r w:rsidR="00611282" w:rsidRPr="001E73A0">
        <w:rPr>
          <w:i/>
          <w:iCs/>
          <w:sz w:val="24"/>
          <w:szCs w:val="24"/>
        </w:rPr>
        <w:t>internal</w:t>
      </w:r>
      <w:r w:rsidR="00611282" w:rsidRPr="001E73A0">
        <w:rPr>
          <w:sz w:val="24"/>
          <w:szCs w:val="24"/>
        </w:rPr>
        <w:t xml:space="preserve"> governance mechanism</w:t>
      </w:r>
      <w:r w:rsidR="00E3626D" w:rsidRPr="001E73A0">
        <w:rPr>
          <w:sz w:val="24"/>
          <w:szCs w:val="24"/>
        </w:rPr>
        <w:t>s</w:t>
      </w:r>
      <w:r w:rsidR="00611282" w:rsidRPr="001E73A0">
        <w:rPr>
          <w:sz w:val="24"/>
          <w:szCs w:val="24"/>
        </w:rPr>
        <w:t xml:space="preserve"> and prevent managers from wasting corporate resources by allowing internal monitoring agents</w:t>
      </w:r>
      <w:r w:rsidR="00F51B44" w:rsidRPr="001E73A0">
        <w:rPr>
          <w:sz w:val="24"/>
          <w:szCs w:val="24"/>
        </w:rPr>
        <w:t>, like</w:t>
      </w:r>
      <w:r w:rsidR="00611282" w:rsidRPr="001E73A0">
        <w:rPr>
          <w:sz w:val="24"/>
          <w:szCs w:val="24"/>
        </w:rPr>
        <w:t xml:space="preserve"> board</w:t>
      </w:r>
      <w:r w:rsidR="00F51B44" w:rsidRPr="001E73A0">
        <w:rPr>
          <w:sz w:val="24"/>
          <w:szCs w:val="24"/>
        </w:rPr>
        <w:t>s</w:t>
      </w:r>
      <w:r w:rsidR="00611282" w:rsidRPr="001E73A0">
        <w:rPr>
          <w:sz w:val="24"/>
          <w:szCs w:val="24"/>
        </w:rPr>
        <w:t xml:space="preserve"> of directors</w:t>
      </w:r>
      <w:r w:rsidR="00F51B44" w:rsidRPr="001E73A0">
        <w:rPr>
          <w:sz w:val="24"/>
          <w:szCs w:val="24"/>
        </w:rPr>
        <w:t xml:space="preserve">, </w:t>
      </w:r>
      <w:r w:rsidR="00611282" w:rsidRPr="001E73A0">
        <w:rPr>
          <w:sz w:val="24"/>
          <w:szCs w:val="24"/>
        </w:rPr>
        <w:t xml:space="preserve">to </w:t>
      </w:r>
      <w:r w:rsidR="00F51B44" w:rsidRPr="001E73A0">
        <w:rPr>
          <w:sz w:val="24"/>
          <w:szCs w:val="24"/>
        </w:rPr>
        <w:t xml:space="preserve">also </w:t>
      </w:r>
      <w:r w:rsidR="00611282" w:rsidRPr="001E73A0">
        <w:rPr>
          <w:sz w:val="24"/>
          <w:szCs w:val="24"/>
        </w:rPr>
        <w:t xml:space="preserve">make meaningful comparisons with industry peers. This </w:t>
      </w:r>
      <w:r w:rsidR="003E0726" w:rsidRPr="001E73A0">
        <w:rPr>
          <w:sz w:val="24"/>
          <w:szCs w:val="24"/>
        </w:rPr>
        <w:t xml:space="preserve">can </w:t>
      </w:r>
      <w:r w:rsidR="00611282" w:rsidRPr="001E73A0">
        <w:rPr>
          <w:sz w:val="24"/>
          <w:szCs w:val="24"/>
        </w:rPr>
        <w:t xml:space="preserve">improve </w:t>
      </w:r>
      <w:r w:rsidR="00F51B44" w:rsidRPr="001E73A0">
        <w:rPr>
          <w:sz w:val="24"/>
          <w:szCs w:val="24"/>
        </w:rPr>
        <w:t>scrutiny</w:t>
      </w:r>
      <w:r w:rsidR="00611282" w:rsidRPr="001E73A0">
        <w:rPr>
          <w:sz w:val="24"/>
          <w:szCs w:val="24"/>
        </w:rPr>
        <w:t xml:space="preserve"> </w:t>
      </w:r>
      <w:r w:rsidR="00AA0EBD" w:rsidRPr="001E73A0">
        <w:rPr>
          <w:sz w:val="24"/>
          <w:szCs w:val="24"/>
        </w:rPr>
        <w:t>in</w:t>
      </w:r>
      <w:r w:rsidR="00E3626D" w:rsidRPr="001E73A0">
        <w:rPr>
          <w:sz w:val="24"/>
          <w:szCs w:val="24"/>
        </w:rPr>
        <w:t xml:space="preserve"> </w:t>
      </w:r>
      <w:r w:rsidR="00611282" w:rsidRPr="001E73A0">
        <w:rPr>
          <w:sz w:val="24"/>
          <w:szCs w:val="24"/>
        </w:rPr>
        <w:t xml:space="preserve">management decisions, including those </w:t>
      </w:r>
      <w:r w:rsidR="00585827" w:rsidRPr="001E73A0">
        <w:rPr>
          <w:sz w:val="24"/>
          <w:szCs w:val="24"/>
        </w:rPr>
        <w:t>relat</w:t>
      </w:r>
      <w:r w:rsidR="00AA0EBD" w:rsidRPr="001E73A0">
        <w:rPr>
          <w:sz w:val="24"/>
          <w:szCs w:val="24"/>
        </w:rPr>
        <w:t>ed</w:t>
      </w:r>
      <w:r w:rsidR="00585827" w:rsidRPr="001E73A0">
        <w:rPr>
          <w:sz w:val="24"/>
          <w:szCs w:val="24"/>
        </w:rPr>
        <w:t xml:space="preserve"> to</w:t>
      </w:r>
      <w:r w:rsidR="00611282" w:rsidRPr="001E73A0">
        <w:rPr>
          <w:sz w:val="24"/>
          <w:szCs w:val="24"/>
        </w:rPr>
        <w:t xml:space="preserve"> labour investment. </w:t>
      </w:r>
    </w:p>
    <w:p w14:paraId="44C9EEEA" w14:textId="3DB9F0B9" w:rsidR="00764792" w:rsidRPr="001E73A0" w:rsidRDefault="00611282" w:rsidP="00E97AEF">
      <w:pPr>
        <w:adjustRightInd w:val="0"/>
        <w:snapToGrid w:val="0"/>
        <w:spacing w:after="0" w:line="360" w:lineRule="auto"/>
        <w:ind w:firstLine="720"/>
        <w:jc w:val="both"/>
        <w:rPr>
          <w:sz w:val="24"/>
          <w:szCs w:val="24"/>
        </w:rPr>
      </w:pPr>
      <w:r w:rsidRPr="001E73A0">
        <w:rPr>
          <w:sz w:val="24"/>
          <w:szCs w:val="24"/>
        </w:rPr>
        <w:lastRenderedPageBreak/>
        <w:t>In short, we suggest that accounting comparability can improv</w:t>
      </w:r>
      <w:r w:rsidR="001754B0" w:rsidRPr="001E73A0">
        <w:rPr>
          <w:sz w:val="24"/>
          <w:szCs w:val="24"/>
        </w:rPr>
        <w:t xml:space="preserve">e </w:t>
      </w:r>
      <w:r w:rsidRPr="001E73A0">
        <w:rPr>
          <w:sz w:val="24"/>
          <w:szCs w:val="24"/>
        </w:rPr>
        <w:t xml:space="preserve">transparency </w:t>
      </w:r>
      <w:r w:rsidR="00F51B44" w:rsidRPr="001E73A0">
        <w:rPr>
          <w:sz w:val="24"/>
          <w:szCs w:val="24"/>
        </w:rPr>
        <w:t xml:space="preserve">in </w:t>
      </w:r>
      <w:r w:rsidRPr="001E73A0">
        <w:rPr>
          <w:sz w:val="24"/>
          <w:szCs w:val="24"/>
        </w:rPr>
        <w:t xml:space="preserve">managerial employment decisions </w:t>
      </w:r>
      <w:r w:rsidR="00CF73B4" w:rsidRPr="001E73A0">
        <w:rPr>
          <w:sz w:val="24"/>
          <w:szCs w:val="24"/>
        </w:rPr>
        <w:t xml:space="preserve">for </w:t>
      </w:r>
      <w:r w:rsidRPr="001E73A0">
        <w:rPr>
          <w:sz w:val="24"/>
          <w:szCs w:val="24"/>
        </w:rPr>
        <w:t>a number of powerful internal (</w:t>
      </w:r>
      <w:r w:rsidR="00AA0EBD" w:rsidRPr="001E73A0">
        <w:rPr>
          <w:sz w:val="24"/>
          <w:szCs w:val="24"/>
        </w:rPr>
        <w:t>such as</w:t>
      </w:r>
      <w:r w:rsidRPr="001E73A0">
        <w:rPr>
          <w:sz w:val="24"/>
          <w:szCs w:val="24"/>
        </w:rPr>
        <w:t xml:space="preserve"> board</w:t>
      </w:r>
      <w:r w:rsidR="00F74FA7" w:rsidRPr="001E73A0">
        <w:rPr>
          <w:sz w:val="24"/>
          <w:szCs w:val="24"/>
        </w:rPr>
        <w:t>s</w:t>
      </w:r>
      <w:r w:rsidRPr="001E73A0">
        <w:rPr>
          <w:sz w:val="24"/>
          <w:szCs w:val="24"/>
        </w:rPr>
        <w:t xml:space="preserve"> of directors) and external (</w:t>
      </w:r>
      <w:r w:rsidR="00AA0EBD" w:rsidRPr="001E73A0">
        <w:rPr>
          <w:sz w:val="24"/>
          <w:szCs w:val="24"/>
        </w:rPr>
        <w:t>such as</w:t>
      </w:r>
      <w:r w:rsidRPr="001E73A0">
        <w:rPr>
          <w:sz w:val="24"/>
          <w:szCs w:val="24"/>
        </w:rPr>
        <w:t xml:space="preserve"> auditors, analysts, institutional investors, and labour unions) corporate monitors</w:t>
      </w:r>
      <w:r w:rsidR="00CF73B4" w:rsidRPr="001E73A0">
        <w:rPr>
          <w:sz w:val="24"/>
          <w:szCs w:val="24"/>
        </w:rPr>
        <w:t xml:space="preserve"> involved in governance. All these</w:t>
      </w:r>
      <w:r w:rsidRPr="001E73A0">
        <w:rPr>
          <w:sz w:val="24"/>
          <w:szCs w:val="24"/>
        </w:rPr>
        <w:t xml:space="preserve"> stakeholders may </w:t>
      </w:r>
      <w:r w:rsidR="00AA0EBD" w:rsidRPr="001E73A0">
        <w:rPr>
          <w:sz w:val="24"/>
          <w:szCs w:val="24"/>
        </w:rPr>
        <w:t xml:space="preserve">usefully </w:t>
      </w:r>
      <w:r w:rsidRPr="001E73A0">
        <w:rPr>
          <w:sz w:val="24"/>
          <w:szCs w:val="24"/>
        </w:rPr>
        <w:t xml:space="preserve">be </w:t>
      </w:r>
      <w:r w:rsidR="00CF73B4" w:rsidRPr="001E73A0">
        <w:rPr>
          <w:sz w:val="24"/>
          <w:szCs w:val="24"/>
        </w:rPr>
        <w:t>en</w:t>
      </w:r>
      <w:r w:rsidRPr="001E73A0">
        <w:rPr>
          <w:sz w:val="24"/>
          <w:szCs w:val="24"/>
        </w:rPr>
        <w:t>able</w:t>
      </w:r>
      <w:r w:rsidR="00CF73B4" w:rsidRPr="001E73A0">
        <w:rPr>
          <w:sz w:val="24"/>
          <w:szCs w:val="24"/>
        </w:rPr>
        <w:t>d</w:t>
      </w:r>
      <w:r w:rsidRPr="001E73A0">
        <w:rPr>
          <w:sz w:val="24"/>
          <w:szCs w:val="24"/>
        </w:rPr>
        <w:t xml:space="preserve"> to apply appropriate counter-balancing pressures </w:t>
      </w:r>
      <w:r w:rsidR="00AA0EBD" w:rsidRPr="001E73A0">
        <w:rPr>
          <w:sz w:val="24"/>
          <w:szCs w:val="24"/>
        </w:rPr>
        <w:t xml:space="preserve">to ultimately compel managers to make optimal employment decisions. For instance, </w:t>
      </w:r>
      <w:r w:rsidRPr="001E73A0">
        <w:rPr>
          <w:sz w:val="24"/>
          <w:szCs w:val="24"/>
        </w:rPr>
        <w:t xml:space="preserve">labour unions may apply pressure </w:t>
      </w:r>
      <w:r w:rsidR="00CF73B4" w:rsidRPr="001E73A0">
        <w:rPr>
          <w:sz w:val="24"/>
          <w:szCs w:val="24"/>
        </w:rPr>
        <w:t>against</w:t>
      </w:r>
      <w:r w:rsidRPr="001E73A0">
        <w:rPr>
          <w:sz w:val="24"/>
          <w:szCs w:val="24"/>
        </w:rPr>
        <w:t xml:space="preserve"> under-hiring</w:t>
      </w:r>
      <w:r w:rsidR="00471604" w:rsidRPr="001E73A0">
        <w:rPr>
          <w:sz w:val="24"/>
          <w:szCs w:val="24"/>
        </w:rPr>
        <w:t xml:space="preserve"> and </w:t>
      </w:r>
      <w:r w:rsidRPr="001E73A0">
        <w:rPr>
          <w:sz w:val="24"/>
          <w:szCs w:val="24"/>
        </w:rPr>
        <w:t xml:space="preserve">investors </w:t>
      </w:r>
      <w:r w:rsidR="00CF73B4" w:rsidRPr="001E73A0">
        <w:rPr>
          <w:sz w:val="24"/>
          <w:szCs w:val="24"/>
        </w:rPr>
        <w:t>against</w:t>
      </w:r>
      <w:r w:rsidRPr="001E73A0">
        <w:rPr>
          <w:sz w:val="24"/>
          <w:szCs w:val="24"/>
        </w:rPr>
        <w:t xml:space="preserve"> over-hiring.</w:t>
      </w:r>
    </w:p>
    <w:p w14:paraId="0687F83F" w14:textId="32D10ECB" w:rsidR="00176EB7" w:rsidRPr="001E73A0" w:rsidRDefault="00471604" w:rsidP="00B4706C">
      <w:pPr>
        <w:adjustRightInd w:val="0"/>
        <w:snapToGrid w:val="0"/>
        <w:spacing w:after="0" w:line="360" w:lineRule="auto"/>
        <w:ind w:firstLine="720"/>
        <w:jc w:val="both"/>
        <w:rPr>
          <w:sz w:val="24"/>
          <w:szCs w:val="24"/>
        </w:rPr>
      </w:pPr>
      <w:r w:rsidRPr="001E73A0">
        <w:rPr>
          <w:sz w:val="24"/>
          <w:szCs w:val="24"/>
        </w:rPr>
        <w:t>A</w:t>
      </w:r>
      <w:r w:rsidR="0028169D" w:rsidRPr="001E73A0">
        <w:rPr>
          <w:sz w:val="24"/>
          <w:szCs w:val="24"/>
        </w:rPr>
        <w:t xml:space="preserve"> number of past studies have examined the effect</w:t>
      </w:r>
      <w:r w:rsidRPr="001E73A0">
        <w:rPr>
          <w:sz w:val="24"/>
          <w:szCs w:val="24"/>
        </w:rPr>
        <w:t>s</w:t>
      </w:r>
      <w:r w:rsidR="0028169D" w:rsidRPr="001E73A0">
        <w:rPr>
          <w:sz w:val="24"/>
          <w:szCs w:val="24"/>
        </w:rPr>
        <w:t xml:space="preserve"> of accounting comparability on </w:t>
      </w:r>
      <w:r w:rsidRPr="001E73A0">
        <w:rPr>
          <w:sz w:val="24"/>
          <w:szCs w:val="24"/>
        </w:rPr>
        <w:t xml:space="preserve">various </w:t>
      </w:r>
      <w:r w:rsidR="0028169D" w:rsidRPr="001E73A0">
        <w:rPr>
          <w:sz w:val="24"/>
          <w:szCs w:val="24"/>
        </w:rPr>
        <w:t xml:space="preserve">corporate </w:t>
      </w:r>
      <w:r w:rsidR="00902934" w:rsidRPr="001E73A0">
        <w:rPr>
          <w:sz w:val="24"/>
          <w:szCs w:val="24"/>
        </w:rPr>
        <w:t>measures</w:t>
      </w:r>
      <w:r w:rsidR="0028169D" w:rsidRPr="001E73A0">
        <w:rPr>
          <w:sz w:val="24"/>
          <w:szCs w:val="24"/>
        </w:rPr>
        <w:t xml:space="preserve"> </w:t>
      </w:r>
      <w:r w:rsidR="00FB2C4B" w:rsidRPr="001E73A0">
        <w:rPr>
          <w:sz w:val="24"/>
          <w:szCs w:val="24"/>
        </w:rPr>
        <w:fldChar w:fldCharType="begin" w:fldLock="1"/>
      </w:r>
      <w:r w:rsidR="00A26F5D">
        <w:rPr>
          <w:sz w:val="24"/>
          <w:szCs w:val="24"/>
        </w:rPr>
        <w:instrText>ADDIN CSL_CITATION {"citationItems":[{"id":"ITEM-1","itemData":{"ISSN":"08239150","author":[{"dropping-particle":"","family":"Choi","given":"Jong-Hag","non-dropping-particle":"","parse-names":false,"suffix":""},{"dropping-particle":"","family":"Choi","given":"Sunhwa","non-dropping-particle":"","parse-names":false,"suffix":""},{"dropping-particle":"","family":"Myers","given":"Linda A.","non-dropping-particle":"","parse-names":false,"suffix":""},{"dropping-particle":"","family":"Ziebart","given":"David","non-dropping-particle":"","parse-names":false,"suffix":""}],"container-title":"Contemporary Accounting Research","id":"ITEM-1","issue":"1","issued":{"date-parts":[["2019","7","17"]]},"page":"389-417","publisher":"Wiley/Blackwell (10.1111)","title":"Financial statement comparability and the informativeness of stock prices about future earnings","type":"article-journal","volume":"36"},"uris":["http://www.mendeley.com/documents/?uuid=7b01c9dc-5e81-31e5-82fb-88dfb1f4d005"]},{"id":"ITEM-2","itemData":{"ISBN":"00218456","ISSN":"00218456","PMID":"62963369","abstract":"Investors,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Research","id":"ITEM-2","issue":"4","issued":{"date-parts":[["2011"]]},"page":"895-931","title":"The benefits of financial statement comparability","type":"article-journal","volume":"49"},"uris":["http://www.mendeley.com/documents/?uuid=8d27b5be-25e6-48a6-a72a-283bb7ea747d"]},{"id":"ITEM-3","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Studies","id":"ITEM-3","issue":"3","issued":{"date-parts":[["2013","9","13"]]},"page":"783-823","publisher":"Springer US","title":"Financial statement comparability and credit risk","type":"article-journal","volume":"18"},"uris":["http://www.mendeley.com/documents/?uuid=e972df64-99d1-3933-8dc6-d33829ee5701"]},{"id":"ITEM-4","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Economics","id":"ITEM-4","issue":"2-3","issued":{"date-parts":[["2016","4"]]},"page":"294-312","title":"Financial statement comparability and expected crash risk","type":"article-journal","volume":"61"},"uris":["http://www.mendeley.com/documents/?uuid=6a92aef2-be5d-31d0-aed3-10b52719d593"]},{"id":"ITEM-5","itemData":{"ISSN":"1380-6653","author":[{"dropping-particle":"","family":"Lobo","given":"Gerald J.","non-dropping-particle":"","parse-names":false,"suffix":""},{"dropping-particle":"","family":"Neel","given":"Michael","non-dropping-particle":"","parse-names":false,"suffix":""},{"dropping-particle":"","family":"Rhodes","given":"Adrienne","non-dropping-particle":"","parse-names":false,"suffix":""}],"container-title":"Review of Accounting Studies","id":"ITEM-5","issue":"3","issued":{"date-parts":[["2018","9","18"]]},"page":"1137-1176","publisher":"Springer US","title":"Accounting comparability and relative performance evaluation in CEO compensation","type":"article-journal","volume":"23"},"uris":["http://www.mendeley.com/documents/?uuid=53823848-c7a4-329c-a435-33da0e4e7348"]},{"id":"ITEM-6","itemData":{"ISSN":"08239150","author":[{"dropping-particle":"","family":"Zhang","given":"Joseph H.","non-dropping-particle":"","parse-names":false,"suffix":""}],"container-title":"Contemporary Accounting Research","id":"ITEM-6","issue":"1","issued":{"date-parts":[["2018","3","1"]]},"page":"245-276","publisher":"Wiley/Blackwell (10.1111)","title":"Accounting comparability, audit effort, and audit outcomes","type":"article-journal","volume":"35"},"uris":["http://www.mendeley.com/documents/?uuid=f446f684-96f3-3b20-b904-edd4724f1aa0"]}],"mendeley":{"formattedCitation":"(Choi, Choi, Myers, &amp; Ziebart, 2019; De Franco et al., 2011; J.-B. Kim et al., 2016; S. Kim, Kraft, &amp; Ryan, 2013; Lobo, Neel, &amp; Rhodes, 2018; Zhang, 2018)","manualFormatting":"(Choi, Choi, Myers, &amp; Ziebart, 2019; De Franco et al., 2011; Kim et al., 2016; Kim, Kraft, &amp; Ryan, 2013; Lobo, Neel, &amp; Rhodes, 2018; Zhang, 2018)","plainTextFormattedCitation":"(Choi, Choi, Myers, &amp; Ziebart, 2019; De Franco et al., 2011; J.-B. Kim et al., 2016; S. Kim, Kraft, &amp; Ryan, 2013; Lobo, Neel, &amp; Rhodes, 2018; Zhang, 2018)","previouslyFormattedCitation":"(Choi, Choi, Myers, &amp; Ziebart, 2019; De Franco et al., 2011; J.-B. Kim et al., 2016; S. Kim, Kraft, &amp; Ryan, 2013; Lobo, Neel, &amp; Rhodes, 2018; Zhang, 2018)"},"properties":{"noteIndex":0},"schema":"https://github.com/citation-style-language/schema/raw/master/csl-citation.json"}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(Choi, Choi, Myers, &amp; Ziebart, 2019; De Franco et al., 2011; Kim et al., 2016; Kim, Kraft, &amp; Ryan, 2013; Lobo, Neel, &amp; Rhodes, 2018; Zhang, 2018)</w:t>
      </w:r>
      <w:r w:rsidR="00FB2C4B" w:rsidRPr="001E73A0">
        <w:rPr>
          <w:sz w:val="24"/>
          <w:szCs w:val="24"/>
        </w:rPr>
        <w:fldChar w:fldCharType="end"/>
      </w:r>
      <w:r w:rsidR="0028169D" w:rsidRPr="001E73A0">
        <w:rPr>
          <w:sz w:val="24"/>
          <w:szCs w:val="24"/>
        </w:rPr>
        <w:t>.</w:t>
      </w:r>
      <w:r w:rsidR="00902934" w:rsidRPr="001E73A0">
        <w:rPr>
          <w:sz w:val="24"/>
          <w:szCs w:val="24"/>
        </w:rPr>
        <w:t xml:space="preserve"> </w:t>
      </w:r>
      <w:r w:rsidRPr="001E73A0">
        <w:rPr>
          <w:sz w:val="24"/>
          <w:szCs w:val="24"/>
        </w:rPr>
        <w:t xml:space="preserve">In their </w:t>
      </w:r>
      <w:r w:rsidR="00D338F5" w:rsidRPr="001E73A0">
        <w:rPr>
          <w:sz w:val="24"/>
          <w:szCs w:val="24"/>
        </w:rPr>
        <w:t xml:space="preserve">seminal study, De Franco et al. </w:t>
      </w:r>
      <w:r w:rsidR="00FB2C4B" w:rsidRPr="001E73A0">
        <w:rPr>
          <w:sz w:val="24"/>
          <w:szCs w:val="24"/>
        </w:rPr>
        <w:fldChar w:fldCharType="begin" w:fldLock="1"/>
      </w:r>
      <w:r w:rsidR="00FB2C4B"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(2011)</w:t>
      </w:r>
      <w:r w:rsidR="00FB2C4B" w:rsidRPr="001E73A0">
        <w:rPr>
          <w:sz w:val="24"/>
          <w:szCs w:val="24"/>
        </w:rPr>
        <w:fldChar w:fldCharType="end"/>
      </w:r>
      <w:r w:rsidR="00D338F5" w:rsidRPr="001E73A0">
        <w:rPr>
          <w:sz w:val="24"/>
          <w:szCs w:val="24"/>
        </w:rPr>
        <w:t xml:space="preserve"> </w:t>
      </w:r>
      <w:r w:rsidR="00A26F5D">
        <w:rPr>
          <w:sz w:val="24"/>
          <w:szCs w:val="24"/>
        </w:rPr>
        <w:t xml:space="preserve">have </w:t>
      </w:r>
      <w:r w:rsidR="00D338F5" w:rsidRPr="001E73A0">
        <w:rPr>
          <w:sz w:val="24"/>
          <w:szCs w:val="24"/>
        </w:rPr>
        <w:t>examine</w:t>
      </w:r>
      <w:r w:rsidR="00A26F5D">
        <w:rPr>
          <w:sz w:val="24"/>
          <w:szCs w:val="24"/>
        </w:rPr>
        <w:t>d</w:t>
      </w:r>
      <w:r w:rsidR="00D338F5" w:rsidRPr="001E73A0">
        <w:rPr>
          <w:sz w:val="24"/>
          <w:szCs w:val="24"/>
        </w:rPr>
        <w:t xml:space="preserve"> </w:t>
      </w:r>
      <w:r w:rsidRPr="001E73A0">
        <w:rPr>
          <w:sz w:val="24"/>
          <w:szCs w:val="24"/>
        </w:rPr>
        <w:t xml:space="preserve">its </w:t>
      </w:r>
      <w:r w:rsidR="00D338F5" w:rsidRPr="001E73A0">
        <w:rPr>
          <w:sz w:val="24"/>
          <w:szCs w:val="24"/>
        </w:rPr>
        <w:t>benefits. Using a sample of US firms, they f</w:t>
      </w:r>
      <w:r w:rsidR="00A26F5D">
        <w:rPr>
          <w:sz w:val="24"/>
          <w:szCs w:val="24"/>
        </w:rPr>
        <w:t>ind</w:t>
      </w:r>
      <w:r w:rsidR="00D338F5" w:rsidRPr="001E73A0">
        <w:rPr>
          <w:sz w:val="24"/>
          <w:szCs w:val="24"/>
        </w:rPr>
        <w:t xml:space="preserve"> that accounting comparability</w:t>
      </w:r>
      <w:r w:rsidR="00DE4F75" w:rsidRPr="001E73A0">
        <w:rPr>
          <w:sz w:val="24"/>
          <w:szCs w:val="24"/>
        </w:rPr>
        <w:t xml:space="preserve"> </w:t>
      </w:r>
      <w:r w:rsidR="00507D16" w:rsidRPr="001E73A0">
        <w:rPr>
          <w:sz w:val="24"/>
          <w:szCs w:val="24"/>
        </w:rPr>
        <w:t>is positively related to</w:t>
      </w:r>
      <w:r w:rsidR="00D338F5" w:rsidRPr="001E73A0">
        <w:rPr>
          <w:sz w:val="24"/>
          <w:szCs w:val="24"/>
        </w:rPr>
        <w:t xml:space="preserve"> analyst</w:t>
      </w:r>
      <w:r w:rsidRPr="001E73A0">
        <w:rPr>
          <w:sz w:val="24"/>
          <w:szCs w:val="24"/>
        </w:rPr>
        <w:t>s</w:t>
      </w:r>
      <w:r w:rsidR="00D338F5" w:rsidRPr="001E73A0">
        <w:rPr>
          <w:sz w:val="24"/>
          <w:szCs w:val="24"/>
        </w:rPr>
        <w:t xml:space="preserve"> following and forecast accuracy, but negative</w:t>
      </w:r>
      <w:r w:rsidR="00507D16" w:rsidRPr="001E73A0">
        <w:rPr>
          <w:sz w:val="24"/>
          <w:szCs w:val="24"/>
        </w:rPr>
        <w:t>ly</w:t>
      </w:r>
      <w:r w:rsidR="00D338F5" w:rsidRPr="001E73A0">
        <w:rPr>
          <w:sz w:val="24"/>
          <w:szCs w:val="24"/>
        </w:rPr>
        <w:t xml:space="preserve"> </w:t>
      </w:r>
      <w:r w:rsidR="00507D16" w:rsidRPr="001E73A0">
        <w:rPr>
          <w:sz w:val="24"/>
          <w:szCs w:val="24"/>
        </w:rPr>
        <w:t>associated with</w:t>
      </w:r>
      <w:r w:rsidR="00DE4F75" w:rsidRPr="001E73A0">
        <w:rPr>
          <w:sz w:val="24"/>
          <w:szCs w:val="24"/>
        </w:rPr>
        <w:t xml:space="preserve"> the dispersion in the </w:t>
      </w:r>
      <w:r w:rsidR="00D338F5" w:rsidRPr="001E73A0">
        <w:rPr>
          <w:sz w:val="24"/>
          <w:szCs w:val="24"/>
        </w:rPr>
        <w:t>earnings</w:t>
      </w:r>
      <w:r w:rsidR="00DE4F75" w:rsidRPr="001E73A0">
        <w:rPr>
          <w:sz w:val="24"/>
          <w:szCs w:val="24"/>
        </w:rPr>
        <w:t xml:space="preserve"> of analyst</w:t>
      </w:r>
      <w:r w:rsidR="00D338F5" w:rsidRPr="001E73A0">
        <w:rPr>
          <w:sz w:val="24"/>
          <w:szCs w:val="24"/>
        </w:rPr>
        <w:t xml:space="preserve"> forecasts. </w:t>
      </w:r>
      <w:r w:rsidR="00D134FB" w:rsidRPr="001E73A0">
        <w:rPr>
          <w:sz w:val="24"/>
          <w:szCs w:val="24"/>
        </w:rPr>
        <w:t xml:space="preserve">Overall, their findings indicate </w:t>
      </w:r>
      <w:r w:rsidR="00FE74F5" w:rsidRPr="001E73A0">
        <w:rPr>
          <w:sz w:val="24"/>
          <w:szCs w:val="24"/>
        </w:rPr>
        <w:t xml:space="preserve">that </w:t>
      </w:r>
      <w:r w:rsidR="00D134FB" w:rsidRPr="001E73A0">
        <w:rPr>
          <w:sz w:val="24"/>
          <w:szCs w:val="24"/>
        </w:rPr>
        <w:t>accounting comparability</w:t>
      </w:r>
      <w:r w:rsidR="00D338F5" w:rsidRPr="001E73A0">
        <w:rPr>
          <w:sz w:val="24"/>
          <w:szCs w:val="24"/>
        </w:rPr>
        <w:t xml:space="preserve"> </w:t>
      </w:r>
      <w:r w:rsidRPr="001E73A0">
        <w:rPr>
          <w:sz w:val="24"/>
          <w:szCs w:val="24"/>
        </w:rPr>
        <w:t xml:space="preserve">aids </w:t>
      </w:r>
      <w:r w:rsidR="00077180" w:rsidRPr="001E73A0">
        <w:rPr>
          <w:sz w:val="24"/>
          <w:szCs w:val="24"/>
        </w:rPr>
        <w:t>in increasing the overall quality and qua</w:t>
      </w:r>
      <w:r w:rsidR="00276079" w:rsidRPr="001E73A0">
        <w:rPr>
          <w:sz w:val="24"/>
          <w:szCs w:val="24"/>
        </w:rPr>
        <w:t>nt</w:t>
      </w:r>
      <w:r w:rsidR="00077180" w:rsidRPr="001E73A0">
        <w:rPr>
          <w:sz w:val="24"/>
          <w:szCs w:val="24"/>
        </w:rPr>
        <w:t xml:space="preserve">ity of information available to analysts about a firm by </w:t>
      </w:r>
      <w:r w:rsidR="00D338F5" w:rsidRPr="001E73A0">
        <w:rPr>
          <w:sz w:val="24"/>
          <w:szCs w:val="24"/>
        </w:rPr>
        <w:t>lower</w:t>
      </w:r>
      <w:r w:rsidR="00077180" w:rsidRPr="001E73A0">
        <w:rPr>
          <w:sz w:val="24"/>
          <w:szCs w:val="24"/>
        </w:rPr>
        <w:t>ing</w:t>
      </w:r>
      <w:r w:rsidR="00D338F5" w:rsidRPr="001E73A0">
        <w:rPr>
          <w:sz w:val="24"/>
          <w:szCs w:val="24"/>
        </w:rPr>
        <w:t xml:space="preserve"> the cost of information</w:t>
      </w:r>
      <w:r w:rsidR="00077180" w:rsidRPr="001E73A0">
        <w:rPr>
          <w:sz w:val="24"/>
          <w:szCs w:val="24"/>
        </w:rPr>
        <w:t xml:space="preserve"> acquisition.</w:t>
      </w:r>
      <w:r w:rsidR="00A85DB4" w:rsidRPr="001E73A0">
        <w:rPr>
          <w:sz w:val="24"/>
          <w:szCs w:val="24"/>
        </w:rPr>
        <w:t xml:space="preserve"> </w:t>
      </w:r>
      <w:r w:rsidR="000E5B74" w:rsidRPr="001E73A0">
        <w:rPr>
          <w:sz w:val="24"/>
          <w:szCs w:val="24"/>
        </w:rPr>
        <w:t xml:space="preserve">Similarly, Kim et al. </w:t>
      </w:r>
      <w:r w:rsidR="00FB2C4B" w:rsidRPr="001E73A0">
        <w:rPr>
          <w:sz w:val="24"/>
          <w:szCs w:val="24"/>
        </w:rPr>
        <w:fldChar w:fldCharType="begin" w:fldLock="1"/>
      </w:r>
      <w:r w:rsidR="00FD4FF6" w:rsidRPr="001E73A0">
        <w:rPr>
          <w:sz w:val="24"/>
          <w:szCs w:val="24"/>
        </w:rP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suppress-author":1,"uris":["http://www.mendeley.com/documents/?uuid=e972df64-99d1-3933-8dc6-d33829ee5701"]}],"mendeley":{"formattedCitation":"(2013)","plainTextFormattedCitation":"(2013)","previouslyFormattedCitation":"(2013)"},"properties":{"noteIndex":0},"schema":"https://github.com/citation-style-language/schema/raw/master/csl-citation.json"}</w:instrText>
      </w:r>
      <w:r w:rsidR="00FB2C4B" w:rsidRPr="001E73A0">
        <w:rPr>
          <w:sz w:val="24"/>
          <w:szCs w:val="24"/>
        </w:rPr>
        <w:fldChar w:fldCharType="separate"/>
      </w:r>
      <w:r w:rsidR="00FB2C4B" w:rsidRPr="001E73A0">
        <w:rPr>
          <w:noProof/>
          <w:sz w:val="24"/>
          <w:szCs w:val="24"/>
        </w:rPr>
        <w:t>(2013)</w:t>
      </w:r>
      <w:r w:rsidR="00FB2C4B" w:rsidRPr="001E73A0">
        <w:rPr>
          <w:sz w:val="24"/>
          <w:szCs w:val="24"/>
        </w:rPr>
        <w:fldChar w:fldCharType="end"/>
      </w:r>
      <w:r w:rsidR="000E5B74" w:rsidRPr="001E73A0">
        <w:rPr>
          <w:sz w:val="24"/>
          <w:szCs w:val="24"/>
        </w:rPr>
        <w:t xml:space="preserve"> have investigated the association between accounting comparability and debt market outcomes. Using a sample of US firms, their findings </w:t>
      </w:r>
      <w:r w:rsidR="00FE74F5" w:rsidRPr="001E73A0">
        <w:rPr>
          <w:sz w:val="24"/>
          <w:szCs w:val="24"/>
        </w:rPr>
        <w:t>suggest</w:t>
      </w:r>
      <w:r w:rsidR="000E5B74" w:rsidRPr="001E73A0">
        <w:rPr>
          <w:sz w:val="24"/>
          <w:szCs w:val="24"/>
        </w:rPr>
        <w:t xml:space="preserve"> that </w:t>
      </w:r>
      <w:r w:rsidR="00ED32A9" w:rsidRPr="001E73A0">
        <w:rPr>
          <w:sz w:val="24"/>
          <w:szCs w:val="24"/>
        </w:rPr>
        <w:t xml:space="preserve">increased </w:t>
      </w:r>
      <w:r w:rsidR="000E5B74" w:rsidRPr="001E73A0">
        <w:rPr>
          <w:sz w:val="24"/>
          <w:szCs w:val="24"/>
        </w:rPr>
        <w:t xml:space="preserve">accounting comparability </w:t>
      </w:r>
      <w:r w:rsidR="00ED32A9" w:rsidRPr="001E73A0">
        <w:rPr>
          <w:sz w:val="24"/>
          <w:szCs w:val="24"/>
        </w:rPr>
        <w:t>reduces: (i) the</w:t>
      </w:r>
      <w:r w:rsidR="000E5B74" w:rsidRPr="001E73A0">
        <w:rPr>
          <w:sz w:val="24"/>
          <w:szCs w:val="24"/>
        </w:rPr>
        <w:t xml:space="preserve"> estimated bid-ask spreads</w:t>
      </w:r>
      <w:r w:rsidR="00ED32A9" w:rsidRPr="001E73A0">
        <w:rPr>
          <w:sz w:val="24"/>
          <w:szCs w:val="24"/>
        </w:rPr>
        <w:t xml:space="preserve">; (ii) </w:t>
      </w:r>
      <w:r w:rsidR="000E5B74" w:rsidRPr="001E73A0">
        <w:rPr>
          <w:sz w:val="24"/>
          <w:szCs w:val="24"/>
        </w:rPr>
        <w:t xml:space="preserve">credit </w:t>
      </w:r>
      <w:r w:rsidR="00ED32A9" w:rsidRPr="001E73A0">
        <w:rPr>
          <w:sz w:val="24"/>
          <w:szCs w:val="24"/>
        </w:rPr>
        <w:t xml:space="preserve">risk </w:t>
      </w:r>
      <w:r w:rsidR="000E5B74" w:rsidRPr="001E73A0">
        <w:rPr>
          <w:sz w:val="24"/>
          <w:szCs w:val="24"/>
        </w:rPr>
        <w:t>spreads</w:t>
      </w:r>
      <w:r w:rsidR="00ED32A9" w:rsidRPr="001E73A0">
        <w:rPr>
          <w:sz w:val="24"/>
          <w:szCs w:val="24"/>
        </w:rPr>
        <w:t>;</w:t>
      </w:r>
      <w:r w:rsidR="000E5B74" w:rsidRPr="001E73A0">
        <w:rPr>
          <w:sz w:val="24"/>
          <w:szCs w:val="24"/>
        </w:rPr>
        <w:t xml:space="preserve"> and </w:t>
      </w:r>
      <w:r w:rsidR="00ED32A9" w:rsidRPr="001E73A0">
        <w:rPr>
          <w:sz w:val="24"/>
          <w:szCs w:val="24"/>
        </w:rPr>
        <w:t>(iii)</w:t>
      </w:r>
      <w:r w:rsidR="000E5B74" w:rsidRPr="001E73A0">
        <w:rPr>
          <w:sz w:val="24"/>
          <w:szCs w:val="24"/>
        </w:rPr>
        <w:t xml:space="preserve"> credit default swap term structure. </w:t>
      </w:r>
      <w:r w:rsidR="00736DDC" w:rsidRPr="001E73A0">
        <w:rPr>
          <w:sz w:val="24"/>
          <w:szCs w:val="24"/>
        </w:rPr>
        <w:t xml:space="preserve">Taken together, their results </w:t>
      </w:r>
      <w:r w:rsidR="00FE74F5" w:rsidRPr="001E73A0">
        <w:rPr>
          <w:sz w:val="24"/>
          <w:szCs w:val="24"/>
        </w:rPr>
        <w:t>highlight the ability of</w:t>
      </w:r>
      <w:r w:rsidR="00736DDC" w:rsidRPr="001E73A0">
        <w:rPr>
          <w:sz w:val="24"/>
          <w:szCs w:val="24"/>
        </w:rPr>
        <w:t xml:space="preserve"> accounting</w:t>
      </w:r>
      <w:r w:rsidR="000E5B74" w:rsidRPr="001E73A0">
        <w:rPr>
          <w:sz w:val="24"/>
          <w:szCs w:val="24"/>
        </w:rPr>
        <w:t xml:space="preserve"> comp</w:t>
      </w:r>
      <w:r w:rsidR="00FE74F5" w:rsidRPr="001E73A0">
        <w:rPr>
          <w:sz w:val="24"/>
          <w:szCs w:val="24"/>
        </w:rPr>
        <w:t xml:space="preserve">arability </w:t>
      </w:r>
      <w:r w:rsidR="007D5250" w:rsidRPr="001E73A0">
        <w:rPr>
          <w:sz w:val="24"/>
          <w:szCs w:val="24"/>
        </w:rPr>
        <w:t xml:space="preserve">to </w:t>
      </w:r>
      <w:r w:rsidR="000E5B74" w:rsidRPr="001E73A0">
        <w:rPr>
          <w:sz w:val="24"/>
          <w:szCs w:val="24"/>
        </w:rPr>
        <w:t>reduc</w:t>
      </w:r>
      <w:r w:rsidR="007D5250" w:rsidRPr="001E73A0">
        <w:rPr>
          <w:sz w:val="24"/>
          <w:szCs w:val="24"/>
        </w:rPr>
        <w:t>e</w:t>
      </w:r>
      <w:r w:rsidR="00FE74F5" w:rsidRPr="001E73A0">
        <w:rPr>
          <w:sz w:val="24"/>
          <w:szCs w:val="24"/>
        </w:rPr>
        <w:t xml:space="preserve"> the levels of uncertainty that market participants may have about</w:t>
      </w:r>
      <w:r w:rsidR="000E5B74" w:rsidRPr="001E73A0">
        <w:rPr>
          <w:sz w:val="24"/>
          <w:szCs w:val="24"/>
        </w:rPr>
        <w:t xml:space="preserve"> firms’ credit risk</w:t>
      </w:r>
      <w:r w:rsidR="00FE74F5" w:rsidRPr="001E73A0">
        <w:rPr>
          <w:sz w:val="24"/>
          <w:szCs w:val="24"/>
        </w:rPr>
        <w:t xml:space="preserve"> by increasing the quality and quantity of information</w:t>
      </w:r>
      <w:r w:rsidR="000E5B74" w:rsidRPr="001E73A0">
        <w:rPr>
          <w:sz w:val="24"/>
          <w:szCs w:val="24"/>
        </w:rPr>
        <w:t xml:space="preserve">. </w:t>
      </w:r>
    </w:p>
    <w:p w14:paraId="77F111E6" w14:textId="69E77358" w:rsidR="00717245" w:rsidRPr="001E73A0" w:rsidRDefault="007D5250" w:rsidP="00717245">
      <w:pPr>
        <w:adjustRightInd w:val="0"/>
        <w:snapToGrid w:val="0"/>
        <w:spacing w:after="0" w:line="360" w:lineRule="auto"/>
        <w:ind w:firstLine="720"/>
        <w:jc w:val="both"/>
        <w:rPr>
          <w:sz w:val="24"/>
          <w:szCs w:val="24"/>
        </w:rPr>
      </w:pPr>
      <w:r w:rsidRPr="001E73A0">
        <w:rPr>
          <w:sz w:val="24"/>
          <w:szCs w:val="24"/>
        </w:rPr>
        <w:t>S</w:t>
      </w:r>
      <w:r w:rsidR="00383320" w:rsidRPr="001E73A0">
        <w:rPr>
          <w:sz w:val="24"/>
          <w:szCs w:val="24"/>
        </w:rPr>
        <w:t xml:space="preserve">everal </w:t>
      </w:r>
      <w:r w:rsidR="00176EB7" w:rsidRPr="001E73A0">
        <w:rPr>
          <w:sz w:val="24"/>
          <w:szCs w:val="24"/>
        </w:rPr>
        <w:t xml:space="preserve">other past </w:t>
      </w:r>
      <w:r w:rsidR="00383320" w:rsidRPr="001E73A0">
        <w:rPr>
          <w:sz w:val="24"/>
          <w:szCs w:val="24"/>
        </w:rPr>
        <w:t>studies have reported</w:t>
      </w:r>
      <w:r w:rsidR="00B4706C" w:rsidRPr="001E73A0">
        <w:rPr>
          <w:sz w:val="24"/>
          <w:szCs w:val="24"/>
        </w:rPr>
        <w:t xml:space="preserve"> that accounting comparability enhances </w:t>
      </w:r>
      <w:r w:rsidR="00E67282" w:rsidRPr="001E73A0">
        <w:rPr>
          <w:sz w:val="24"/>
          <w:szCs w:val="24"/>
        </w:rPr>
        <w:t xml:space="preserve">audit quality </w:t>
      </w:r>
      <w:r w:rsidR="00FD4FF6" w:rsidRPr="001E73A0">
        <w:rPr>
          <w:sz w:val="24"/>
          <w:szCs w:val="24"/>
        </w:rPr>
        <w:fldChar w:fldCharType="begin" w:fldLock="1"/>
      </w:r>
      <w:r w:rsidR="00FD4FF6"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(Zhang, 2018)</w:t>
      </w:r>
      <w:r w:rsidR="00FD4FF6" w:rsidRPr="001E73A0">
        <w:rPr>
          <w:sz w:val="24"/>
          <w:szCs w:val="24"/>
        </w:rPr>
        <w:fldChar w:fldCharType="end"/>
      </w:r>
      <w:r w:rsidR="00E67282" w:rsidRPr="001E73A0">
        <w:rPr>
          <w:sz w:val="24"/>
          <w:szCs w:val="24"/>
        </w:rPr>
        <w:t xml:space="preserve">, seasoned equity offerings </w:t>
      </w:r>
      <w:r w:rsidR="00FD4FF6" w:rsidRPr="001E73A0">
        <w:rPr>
          <w:sz w:val="24"/>
          <w:szCs w:val="24"/>
        </w:rPr>
        <w:fldChar w:fldCharType="begin" w:fldLock="1"/>
      </w:r>
      <w:r w:rsidR="00FD4FF6" w:rsidRPr="001E73A0">
        <w:rPr>
          <w:sz w:val="24"/>
          <w:szCs w:val="24"/>
        </w:rPr>
        <w:instrText>ADDIN CSL_CITATION {"citationItems":[{"id":"ITEM-1","itemData":{"ISSN":"1556-5068","author":[{"dropping-particle":"","family":"Shane","given":"Philip B.","non-dropping-particle":"","parse-names":false,"suffix":""},{"dropping-particle":"","family":"Smith","given":"David B.","non-dropping-particle":"","parse-names":false,"suffix":""},{"dropping-particle":"","family":"Zhang","given":"Suning","non-dropping-particle":"","parse-names":false,"suffix":""}],"container-title":"Available at: SSRN 12372965","id":"ITEM-1","issued":{"date-parts":[["2014","2","27"]]},"title":"Financial statement comparability and valuation of seasoned equity offerings","type":"article-journal"},"uris":["http://www.mendeley.com/documents/?uuid=d8089ebb-e1ce-3e92-8264-09dee276f013"]}],"mendeley":{"formattedCitation":"(Shane, Smith, &amp; Zhang, 2014)","plainTextFormattedCitation":"(Shane, Smith, &amp; Zhang, 2014)","previouslyFormattedCitation":"(Shane, Smith, &amp; Zhang, 2014)"},"properties":{"noteIndex":0},"schema":"https://github.com/citation-style-language/schema/raw/master/csl-citation.json"}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(Shane, Smith, &amp; Zhang, 2014)</w:t>
      </w:r>
      <w:r w:rsidR="00FD4FF6" w:rsidRPr="001E73A0">
        <w:rPr>
          <w:sz w:val="24"/>
          <w:szCs w:val="24"/>
        </w:rPr>
        <w:fldChar w:fldCharType="end"/>
      </w:r>
      <w:r w:rsidR="00E67282" w:rsidRPr="001E73A0">
        <w:rPr>
          <w:sz w:val="24"/>
          <w:szCs w:val="24"/>
        </w:rPr>
        <w:t>,</w:t>
      </w:r>
      <w:r w:rsidR="00B4706C" w:rsidRPr="001E73A0">
        <w:rPr>
          <w:sz w:val="24"/>
          <w:szCs w:val="24"/>
        </w:rPr>
        <w:t xml:space="preserve"> </w:t>
      </w:r>
      <w:r w:rsidR="00AF70E4" w:rsidRPr="001E73A0">
        <w:rPr>
          <w:sz w:val="24"/>
          <w:szCs w:val="24"/>
        </w:rPr>
        <w:t xml:space="preserve">the </w:t>
      </w:r>
      <w:r w:rsidR="00B4706C" w:rsidRPr="001E73A0">
        <w:rPr>
          <w:sz w:val="24"/>
          <w:szCs w:val="24"/>
        </w:rPr>
        <w:t xml:space="preserve">economic outcomes of mandatory IFRS adoption </w:t>
      </w:r>
      <w:r w:rsidR="00FD4FF6" w:rsidRPr="001E73A0">
        <w:rPr>
          <w:sz w:val="24"/>
          <w:szCs w:val="24"/>
        </w:rPr>
        <w:fldChar w:fldCharType="begin" w:fldLock="1"/>
      </w:r>
      <w:r w:rsidR="00FD4FF6" w:rsidRPr="001E73A0">
        <w:rPr>
          <w:sz w:val="24"/>
          <w:szCs w:val="24"/>
        </w:rPr>
        <w:instrText>ADDIN CSL_CITATION {"citationItems":[{"id":"ITEM-1","itemData":{"ISSN":"08239150","abstract":"This study examines the associations between four economic outcomes of the 2005 mandatory adoption of International Financial Reporting Standards (IFRS) and concurrent changes in two important accounting constructs, accounting comparability and reporting quality. My primary purpose is to evaluate the relative importance of cross-country accounting comparability and firm-specific reporting quality in explaining previously documented increases in Tobin's Q, stock liquidity, analyst forecast accuracy, and analyst forecast agreement following IFRS adoption. Given that improvements in both comparability and reporting quality are primary stated objectives of the International Accounting Standards Board (IASB), it is important to understand their relative roles in shaping the information environment of financial statement users following IFRS adoption. Using 1,861 first-time adopters in 23 countries, I find that firms with a larger improvement in comparability have larger increases in Q, liquidity, forecast accuracy, and forecast agreement following adoption, relative to other adopters. In contrast, improvements in reporting quality around adoption appear to have only a second-order effect that is generally limited to Q effects among those adopters with concurrent improvements in comparability. These results are robust to alternative design and variable specifications. Finally, I continue to find these results for samples restricted to countries with weaker pre-adoption institutional environments and countries that did not initiate proactive financial statement reviews, indicating that strong institutions and regulatory improvements are not driving the results Overall, my results suggest that improvements in cross-country accounting comparability played an important role in the previously documented economic benefits that accrued to 2005 mandatory IFRS adopters.","author":[{"dropping-particle":"","family":"Neel","given":"Michael","non-dropping-particle":"","parse-names":false,"suffix":""}],"container-title":"Contemporary Accounting Research","id":"ITEM-1","issue":"1","issued":{"date-parts":[["2017"]]},"page":"658-690","title":"Accounting comparability and economic outcomes of mandatory IFRS adoption","type":"article-journal","volume":"34"},"uris":["http://www.mendeley.com/documents/?uuid=f9b59ea6-d919-40ad-8c53-dbaec2592479"]}],"mendeley":{"formattedCitation":"(Neel, 2017)","plainTextFormattedCitation":"(Neel, 2017)","previouslyFormattedCitation":"(Neel, 2017)"},"properties":{"noteIndex":0},"schema":"https://github.com/citation-style-language/schema/raw/master/csl-citation.json"}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(Neel, 2017)</w:t>
      </w:r>
      <w:r w:rsidR="00FD4FF6" w:rsidRPr="001E73A0">
        <w:rPr>
          <w:sz w:val="24"/>
          <w:szCs w:val="24"/>
        </w:rPr>
        <w:fldChar w:fldCharType="end"/>
      </w:r>
      <w:r w:rsidR="00B4706C" w:rsidRPr="001E73A0">
        <w:rPr>
          <w:sz w:val="24"/>
          <w:szCs w:val="24"/>
        </w:rPr>
        <w:t>,</w:t>
      </w:r>
      <w:r w:rsidR="00E67282" w:rsidRPr="001E73A0">
        <w:rPr>
          <w:sz w:val="24"/>
          <w:szCs w:val="24"/>
        </w:rPr>
        <w:t xml:space="preserve"> </w:t>
      </w:r>
      <w:r w:rsidR="00AF70E4" w:rsidRPr="001E73A0">
        <w:rPr>
          <w:sz w:val="24"/>
          <w:szCs w:val="24"/>
        </w:rPr>
        <w:t xml:space="preserve">the </w:t>
      </w:r>
      <w:r w:rsidR="00B4706C" w:rsidRPr="001E73A0">
        <w:rPr>
          <w:sz w:val="24"/>
          <w:szCs w:val="24"/>
        </w:rPr>
        <w:t xml:space="preserve">efficiency of acquisition decisions </w:t>
      </w:r>
      <w:r w:rsidR="00FD4FF6" w:rsidRPr="001E73A0">
        <w:rPr>
          <w:sz w:val="24"/>
          <w:szCs w:val="24"/>
        </w:rPr>
        <w:fldChar w:fldCharType="begin" w:fldLock="1"/>
      </w:r>
      <w:r w:rsidR="00CD1FDD">
        <w:rPr>
          <w:sz w:val="24"/>
          <w:szCs w:val="24"/>
        </w:rPr>
        <w:instrText>ADDIN CSL_CITATION {"citationItems":[{"id":"ITEM-1","itemData":{"ISBN":"0000000154871","ISSN":"19113846","abstract":"This study examines whether acquirers make better acquisition decisions when target firms’ financial statements exhibit greater comparability with industry peer firms. We predict and find that acquirers make more profitable acquisition decisions when target firms’ financial statements are more comparable—as evidenced by higher merger announcement returns, higher acquisition synergies, and better future operating performance. We also find that post-acquisition goodwill impairments and post- acquisition divestitures are less likely when target firms’ financial statements are more comparable. Finally, we find that acquirers benefit most from comparability when acquirers’ ex-ante information asymmetry is higher, acquirers operate in volatile operating environments, and management knows relatively less about the target. In total, our evidence suggests targets’ financial statement comparability helps acquirers make better acquisition-investment decisions and fosters more efficient capital allocation","author":[{"dropping-particle":"","family":"Chen","given":"Ciao Wei","non-dropping-particle":"","parse-names":false,"suffix":""},{"dropping-particle":"","family":"Collins","given":"Daniel W.","non-dropping-particle":"","parse-names":false,"suffix":""},{"dropping-particle":"","family":"Kravet","given":"Todd D.","non-dropping-particle":"","parse-names":false,"suffix":""},{"dropping-particle":"","family":"Mergenthaler","given":"Richard D.","non-dropping-particle":"","parse-names":false,"suffix":""}],"container-title":"Contemporary Accounting Research","id":"ITEM-1","issue":"1","issued":{"date-parts":[["2018"]]},"page":"164-202","title":"Financial statement comparability and the efficiency of acquisition decisions","type":"article-journal","volume":"35"},"uris":["http://www.mendeley.com/documents/?uuid=7f6f93a8-6611-4a6f-bf36-fd8301911ee3"]}],"mendeley":{"formattedCitation":"(C. W. Chen, Collins, Kravet, &amp; Mergenthaler, 2018)","manualFormatting":"(Chen, Collins, Kravet, &amp; Mergenthaler, 2018)","plainTextFormattedCitation":"(C. W. Chen, Collins, Kravet, &amp; Mergenthaler, 2018)","previouslyFormattedCitation":"(C. W. Chen, Collins, Kravet, &amp; Mergenthaler, 2018)"},"properties":{"noteIndex":0},"schema":"https://github.com/citation-style-language/schema/raw/master/csl-citation.json"}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(Chen, Collins, Kravet, &amp; Mergenthaler, 2018)</w:t>
      </w:r>
      <w:r w:rsidR="00FD4FF6" w:rsidRPr="001E73A0">
        <w:rPr>
          <w:sz w:val="24"/>
          <w:szCs w:val="24"/>
        </w:rPr>
        <w:fldChar w:fldCharType="end"/>
      </w:r>
      <w:r w:rsidR="00B4706C" w:rsidRPr="001E73A0">
        <w:rPr>
          <w:sz w:val="24"/>
          <w:szCs w:val="24"/>
        </w:rPr>
        <w:t xml:space="preserve">, relative performance evaluation in CEO compensation </w:t>
      </w:r>
      <w:r w:rsidR="00FD4FF6" w:rsidRPr="001E73A0">
        <w:rPr>
          <w:sz w:val="24"/>
          <w:szCs w:val="24"/>
        </w:rPr>
        <w:fldChar w:fldCharType="begin" w:fldLock="1"/>
      </w:r>
      <w:r w:rsidR="00FD4FF6" w:rsidRPr="001E73A0">
        <w:rPr>
          <w:sz w:val="24"/>
          <w:szCs w:val="24"/>
        </w:rPr>
        <w:instrText>ADDIN CSL_CITATION {"citationItems":[{"id":"ITEM-1","itemData":{"ISSN":"1380-6653","author":[{"dropping-particle":"","family":"Lobo","given":"Gerald J.","non-dropping-particle":"","parse-names":false,"suffix":""},{"dropping-particle":"","family":"Neel","given":"Michael","non-dropping-particle":"","parse-names":false,"suffix":""},{"dropping-particle":"","family":"Rhodes","given":"Adrienne","non-dropping-particle":"","parse-names":false,"suffix":""}],"container-title":"Review of Accounting Studies","id":"ITEM-1","issue":"3","issued":{"date-parts":[["2018","9","18"]]},"page":"1137-1176","publisher":"Springer US","title":"Accounting comparability and relative performance evaluation in CEO compensation","type":"article-journal","volume":"23"},"uris":["http://www.mendeley.com/documents/?uuid=53823848-c7a4-329c-a435-33da0e4e7348"]}],"mendeley":{"formattedCitation":"(Lobo et al., 2018)","plainTextFormattedCitation":"(Lobo et al., 2018)","previouslyFormattedCitation":"(Lobo et al., 2018)"},"properties":{"noteIndex":0},"schema":"https://github.com/citation-style-language/schema/raw/master/csl-citation.json"}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(Lobo et al., 2018)</w:t>
      </w:r>
      <w:r w:rsidR="00FD4FF6" w:rsidRPr="001E73A0">
        <w:rPr>
          <w:sz w:val="24"/>
          <w:szCs w:val="24"/>
        </w:rPr>
        <w:fldChar w:fldCharType="end"/>
      </w:r>
      <w:r w:rsidR="00B4706C" w:rsidRPr="001E73A0">
        <w:rPr>
          <w:sz w:val="24"/>
          <w:szCs w:val="24"/>
        </w:rPr>
        <w:t xml:space="preserve">, and informativeness of stock prices </w:t>
      </w:r>
      <w:r w:rsidR="00AF70E4" w:rsidRPr="001E73A0">
        <w:rPr>
          <w:sz w:val="24"/>
          <w:szCs w:val="24"/>
        </w:rPr>
        <w:t xml:space="preserve">on </w:t>
      </w:r>
      <w:r w:rsidR="00B4706C" w:rsidRPr="001E73A0">
        <w:rPr>
          <w:sz w:val="24"/>
          <w:szCs w:val="24"/>
        </w:rPr>
        <w:t xml:space="preserve">future earnings </w:t>
      </w:r>
      <w:r w:rsidR="00FD4FF6" w:rsidRPr="001E73A0">
        <w:rPr>
          <w:sz w:val="24"/>
          <w:szCs w:val="24"/>
        </w:rPr>
        <w:fldChar w:fldCharType="begin" w:fldLock="1"/>
      </w:r>
      <w:r w:rsidR="00FD4FF6" w:rsidRPr="001E73A0">
        <w:rPr>
          <w:sz w:val="24"/>
          <w:szCs w:val="24"/>
        </w:rPr>
        <w:instrText>ADDIN CSL_CITATION {"citationItems":[{"id":"ITEM-1","itemData":{"ISSN":"08239150","author":[{"dropping-particle":"","family":"Choi","given":"Jong-Hag","non-dropping-particle":"","parse-names":false,"suffix":""},{"dropping-particle":"","family":"Choi","given":"Sunhwa","non-dropping-particle":"","parse-names":false,"suffix":""},{"dropping-particle":"","family":"Myers","given":"Linda A.","non-dropping-particle":"","parse-names":false,"suffix":""},{"dropping-particle":"","family":"Ziebart","given":"David","non-dropping-particle":"","parse-names":false,"suffix":""}],"container-title":"Contemporary Accounting Research","id":"ITEM-1","issue":"1","issued":{"date-parts":[["2019","7","17"]]},"page":"389-417","publisher":"Wiley/Blackwell (10.1111)","title":"Financial statement comparability and the informativeness of stock prices about future earnings","type":"article-journal","volume":"36"},"uris":["http://www.mendeley.com/documents/?uuid=7b01c9dc-5e81-31e5-82fb-88dfb1f4d005"]}],"mendeley":{"formattedCitation":"(Choi et al., 2019)","plainTextFormattedCitation":"(Choi et al., 2019)","previouslyFormattedCitation":"(Choi et al., 2019)"},"properties":{"noteIndex":0},"schema":"https://github.com/citation-style-language/schema/raw/master/csl-citation.json"}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(Choi et al., 2019)</w:t>
      </w:r>
      <w:r w:rsidR="00FD4FF6" w:rsidRPr="001E73A0">
        <w:rPr>
          <w:sz w:val="24"/>
          <w:szCs w:val="24"/>
        </w:rPr>
        <w:fldChar w:fldCharType="end"/>
      </w:r>
      <w:r w:rsidR="00B4706C" w:rsidRPr="001E73A0">
        <w:rPr>
          <w:sz w:val="24"/>
          <w:szCs w:val="24"/>
        </w:rPr>
        <w:t xml:space="preserve">, but reduces </w:t>
      </w:r>
      <w:r w:rsidR="00E67282" w:rsidRPr="001E73A0">
        <w:rPr>
          <w:sz w:val="24"/>
          <w:szCs w:val="24"/>
        </w:rPr>
        <w:t xml:space="preserve">credit risk </w:t>
      </w:r>
      <w:r w:rsidR="00FD4FF6" w:rsidRPr="001E73A0">
        <w:rPr>
          <w:sz w:val="24"/>
          <w:szCs w:val="24"/>
        </w:rPr>
        <w:fldChar w:fldCharType="begin" w:fldLock="1"/>
      </w:r>
      <w:r w:rsidR="00CD1FDD">
        <w:rPr>
          <w:sz w:val="24"/>
          <w:szCs w:val="24"/>
        </w:rP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risk","type":"article-journal","volume":"18"},"uris":["http://www.mendeley.com/documents/?uuid=e972df64-99d1-3933-8dc6-d33829ee5701"]}],"mendeley":{"formattedCitation":"(S. Kim et al., 2013)","manualFormatting":"(Kim et al., 2013)","plainTextFormattedCitation":"(S. Kim et al., 2013)","previouslyFormattedCitation":"(S. Kim et al., 2013)"},"properties":{"noteIndex":0},"schema":"https://github.com/citation-style-language/schema/raw/master/csl-citation.json"}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(Kim et al., 2013)</w:t>
      </w:r>
      <w:r w:rsidR="00FD4FF6" w:rsidRPr="001E73A0">
        <w:rPr>
          <w:sz w:val="24"/>
          <w:szCs w:val="24"/>
        </w:rPr>
        <w:fldChar w:fldCharType="end"/>
      </w:r>
      <w:r w:rsidR="00E67282" w:rsidRPr="001E73A0">
        <w:rPr>
          <w:sz w:val="24"/>
          <w:szCs w:val="24"/>
        </w:rPr>
        <w:t xml:space="preserve">, stock crash risk </w:t>
      </w:r>
      <w:r w:rsidR="00FD4FF6" w:rsidRPr="001E73A0">
        <w:rPr>
          <w:sz w:val="24"/>
          <w:szCs w:val="24"/>
        </w:rPr>
        <w:fldChar w:fldCharType="begin" w:fldLock="1"/>
      </w:r>
      <w:r w:rsidR="00CD1FDD">
        <w:rPr>
          <w:sz w:val="24"/>
          <w:szCs w:val="24"/>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risk","type":"article-journal","volume":"61"},"uris":["http://www.mendeley.com/documents/?uuid=6a92aef2-be5d-31d0-aed3-10b52719d593"]}],"mendeley":{"formattedCitation":"(J.-B. Kim et al., 2016)","manualFormatting":"(Kim et al., 2016)","plainTextFormattedCitation":"(J.-B. Kim et al., 2016)","previouslyFormattedCitation":"(J.-B. Kim et al., 2016)"},"properties":{"noteIndex":0},"schema":"https://github.com/citation-style-language/schema/raw/master/csl-citation.json"}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(Kim et al., 2016)</w:t>
      </w:r>
      <w:r w:rsidR="00FD4FF6" w:rsidRPr="001E73A0">
        <w:rPr>
          <w:sz w:val="24"/>
          <w:szCs w:val="24"/>
        </w:rPr>
        <w:fldChar w:fldCharType="end"/>
      </w:r>
      <w:r w:rsidR="00E67282" w:rsidRPr="001E73A0">
        <w:rPr>
          <w:sz w:val="24"/>
          <w:szCs w:val="24"/>
        </w:rPr>
        <w:t xml:space="preserve">, accruals and real-earnings based management </w:t>
      </w:r>
      <w:r w:rsidR="00FD4FF6" w:rsidRPr="001E73A0">
        <w:rPr>
          <w:sz w:val="24"/>
          <w:szCs w:val="24"/>
        </w:rPr>
        <w:fldChar w:fldCharType="begin" w:fldLock="1"/>
      </w:r>
      <w:r w:rsidR="00FD4FF6" w:rsidRPr="001E73A0">
        <w:rPr>
          <w:sz w:val="24"/>
          <w:szCs w:val="24"/>
        </w:rPr>
        <w:instrText>ADDIN CSL_CITATION {"citationItems":[{"id":"ITEM-1","itemData":{"ISSN":"0278-4254","abstract":"This study investigates whether and how managers’ opportunistic earnings management activities are affected by the degree of their firms’ accounting comparability with other firms. Using a large sample of U.S. firms, I find that managers’ real earnings management (REM) increases whereas their accrual-based earnings management (AEM) decreases with the degree of their firms’ accounting comparability with other firms. I also find that this opportunistic behavior to “escape” from AEM to REM facing higher accounting comparability is mitigated when firms’ information environment and/or audit quality are better. These findings are robust to various sensitivity tests including the one to address the possible endogeneity of accounting comparability.","author":[{"dropping-particle":"","family":"Sohn","given":"Byungcherl Charlie","non-dropping-particle":"","parse-names":false,"suffix":""}],"container-title":"Journal of Accounting and Public Policy","id":"ITEM-1","issue":"5","issued":{"date-parts":[["2016","9","1"]]},"page":"513-539","publisher":"Elsevier","title":"The effect of accounting comparability on the accrual-based and real earnings management","type":"article-journal","volume":"35"},"uris":["http://www.mendeley.com/documents/?uuid=f06dbbac-85af-3628-9f8b-c22e2d3207d2"]}],"mendeley":{"formattedCitation":"(Sohn, 2016)","plainTextFormattedCitation":"(Sohn, 2016)","previouslyFormattedCitation":"(Sohn, 2016)"},"properties":{"noteIndex":0},"schema":"https://github.com/citation-style-language/schema/raw/master/csl-citation.json"}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(Sohn, 2016)</w:t>
      </w:r>
      <w:r w:rsidR="00FD4FF6" w:rsidRPr="001E73A0">
        <w:rPr>
          <w:sz w:val="24"/>
          <w:szCs w:val="24"/>
        </w:rPr>
        <w:fldChar w:fldCharType="end"/>
      </w:r>
      <w:r w:rsidR="00E67282" w:rsidRPr="001E73A0">
        <w:rPr>
          <w:sz w:val="24"/>
          <w:szCs w:val="24"/>
        </w:rPr>
        <w:t xml:space="preserve">, cost of equity capital </w:t>
      </w:r>
      <w:r w:rsidR="00FD4FF6" w:rsidRPr="001E73A0">
        <w:rPr>
          <w:sz w:val="24"/>
          <w:szCs w:val="24"/>
        </w:rPr>
        <w:fldChar w:fldCharType="begin" w:fldLock="1"/>
      </w:r>
      <w:r w:rsidR="00FD4FF6" w:rsidRPr="001E73A0">
        <w:rPr>
          <w:sz w:val="24"/>
          <w:szCs w:val="24"/>
        </w:rPr>
        <w:instrText>ADDIN CSL_CITATION {"citationItems":[{"id":"ITEM-1","itemData":{"ISSN":"0888-7993","abstract":"SYNOPSIS: We investigate how the comparability of a company's financial statements is related to its cost of equity capital. The Financial Accounting Standards Board's (FASB 2010) Statement of Financial Accounting Concept No. 8 proposes that comparability is a key tenet of accounting because it allows users of financial statements to benchmark a firm against similar firms when distinguishing between alternative investment opportunities. We provide evidence that greater financial statement comparability is associated with lower cost of equity capital, and show that comparability's effect on cost of equity remains after controlling for within-firm accounting quality. Additionally, we find that investors derive greater benefits from financial statement comparability in firms whose information environments are less transparent (high information asymmetry) and whose equity shares trade in markets that are less competitive (imperfect markets). Our findings contribute to accounting research by providing evidence...","author":[{"dropping-particle":"","family":"Imhof","given":"Michael J","non-dropping-particle":"","parse-names":false,"suffix":""},{"dropping-particle":"","family":"Seavey","given":"Scott E.","non-dropping-particle":"","parse-names":false,"suffix":""},{"dropping-particle":"","family":"Smith","given":"David B.","non-dropping-particle":"","parse-names":false,"suffix":""}],"container-title":"Accounting Horizons","id":"ITEM-1","issue":"2","issued":{"date-parts":[["2017","6","1"]]},"page":"125-138","publisher":"American Accounting Association","title":"Comparability and cost of equity capital","type":"article-journal","volume":"31"},"uris":["http://www.mendeley.com/documents/?uuid=f2b3994c-4cb2-315c-8b0d-0fbd4dd3bfcd"]}],"mendeley":{"formattedCitation":"(Imhof, Seavey, &amp; Smith, 2017)","plainTextFormattedCitation":"(Imhof, Seavey, &amp; Smith, 2017)","previouslyFormattedCitation":"(Imhof, Seavey, &amp; Smith, 2017)"},"properties":{"noteIndex":0},"schema":"https://github.com/citation-style-language/schema/raw/master/csl-citation.json"}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(Imhof, Seavey, &amp; Smith, 2017)</w:t>
      </w:r>
      <w:r w:rsidR="00FD4FF6" w:rsidRPr="001E73A0">
        <w:rPr>
          <w:sz w:val="24"/>
          <w:szCs w:val="24"/>
        </w:rPr>
        <w:fldChar w:fldCharType="end"/>
      </w:r>
      <w:r w:rsidR="00B4706C" w:rsidRPr="001E73A0">
        <w:rPr>
          <w:sz w:val="24"/>
          <w:szCs w:val="24"/>
        </w:rPr>
        <w:t xml:space="preserve"> and</w:t>
      </w:r>
      <w:r w:rsidR="00E67282" w:rsidRPr="001E73A0">
        <w:rPr>
          <w:sz w:val="24"/>
          <w:szCs w:val="24"/>
        </w:rPr>
        <w:t xml:space="preserve"> aggressive tax avoidance </w:t>
      </w:r>
      <w:r w:rsidR="00FD4FF6" w:rsidRPr="001E73A0">
        <w:rPr>
          <w:sz w:val="24"/>
          <w:szCs w:val="24"/>
        </w:rPr>
        <w:fldChar w:fldCharType="begin" w:fldLock="1"/>
      </w:r>
      <w:r w:rsidR="00FD4FF6" w:rsidRPr="001E73A0">
        <w:rPr>
          <w:sz w:val="24"/>
          <w:szCs w:val="24"/>
        </w:rPr>
        <w:instrText>ADDIN CSL_CITATION {"citationItems":[{"id":"ITEM-1","itemData":{"ISSN":"1556-5068","author":[{"dropping-particle":"","family":"Suk","given":"Inho","non-dropping-particle":"","parse-names":false,"suffix":""},{"dropping-particle":"","family":"Zhao","given":"Yan","non-dropping-particle":"","parse-names":false,"suffix":""}],"container-title":"Available at: SSRN 3065250","id":"ITEM-1","issued":{"date-parts":[["2017","9","1"]]},"title":"Does financial statement comparability deter aggressive tax avoidance?","type":"article-journal"},"uris":["http://www.mendeley.com/documents/?uuid=834e718e-5e03-3f94-be40-35d4db3605fe"]}],"mendeley":{"formattedCitation":"(Suk &amp; Zhao, 2017)","plainTextFormattedCitation":"(Suk &amp; Zhao, 2017)","previouslyFormattedCitation":"(Suk &amp; Zhao, 2017)"},"properties":{"noteIndex":0},"schema":"https://github.com/citation-style-language/schema/raw/master/csl-citation.json"}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(Suk &amp; Zhao, 2017)</w:t>
      </w:r>
      <w:r w:rsidR="00FD4FF6" w:rsidRPr="001E73A0">
        <w:rPr>
          <w:sz w:val="24"/>
          <w:szCs w:val="24"/>
        </w:rPr>
        <w:fldChar w:fldCharType="end"/>
      </w:r>
      <w:r w:rsidR="00B4706C" w:rsidRPr="001E73A0">
        <w:rPr>
          <w:sz w:val="24"/>
          <w:szCs w:val="24"/>
        </w:rPr>
        <w:t>.</w:t>
      </w:r>
      <w:r w:rsidR="00E67282" w:rsidRPr="001E73A0">
        <w:rPr>
          <w:sz w:val="24"/>
          <w:szCs w:val="24"/>
        </w:rPr>
        <w:t xml:space="preserve"> </w:t>
      </w:r>
      <w:r w:rsidR="00AF70E4" w:rsidRPr="001E73A0">
        <w:rPr>
          <w:sz w:val="24"/>
          <w:szCs w:val="24"/>
        </w:rPr>
        <w:t>Notably</w:t>
      </w:r>
      <w:r w:rsidR="00C27203" w:rsidRPr="001E73A0">
        <w:rPr>
          <w:sz w:val="24"/>
          <w:szCs w:val="24"/>
        </w:rPr>
        <w:t xml:space="preserve">, existing accounting comparability studies have focused almost exclusively on the informational role of accounting comparability, with </w:t>
      </w:r>
      <w:r w:rsidR="00A26F5D">
        <w:rPr>
          <w:sz w:val="24"/>
          <w:szCs w:val="24"/>
        </w:rPr>
        <w:t>few</w:t>
      </w:r>
      <w:r w:rsidR="00C27203" w:rsidRPr="001E73A0">
        <w:rPr>
          <w:sz w:val="24"/>
          <w:szCs w:val="24"/>
        </w:rPr>
        <w:t xml:space="preserve"> exa</w:t>
      </w:r>
      <w:r w:rsidR="00A26F5D">
        <w:rPr>
          <w:sz w:val="24"/>
          <w:szCs w:val="24"/>
        </w:rPr>
        <w:t>mining its potential monitoring</w:t>
      </w:r>
      <w:r w:rsidR="00C27203" w:rsidRPr="001E73A0">
        <w:rPr>
          <w:sz w:val="24"/>
          <w:szCs w:val="24"/>
        </w:rPr>
        <w:t xml:space="preserve"> role. </w:t>
      </w:r>
      <w:r w:rsidR="00AF70E4" w:rsidRPr="001E73A0">
        <w:rPr>
          <w:sz w:val="24"/>
          <w:szCs w:val="24"/>
        </w:rPr>
        <w:t>These works</w:t>
      </w:r>
      <w:r w:rsidR="00C27203" w:rsidRPr="001E73A0">
        <w:rPr>
          <w:sz w:val="24"/>
          <w:szCs w:val="24"/>
        </w:rPr>
        <w:t xml:space="preserve"> </w:t>
      </w:r>
      <w:r w:rsidR="00AF70E4" w:rsidRPr="001E73A0">
        <w:rPr>
          <w:sz w:val="24"/>
          <w:szCs w:val="24"/>
        </w:rPr>
        <w:lastRenderedPageBreak/>
        <w:t xml:space="preserve">to date </w:t>
      </w:r>
      <w:r w:rsidR="00C27203" w:rsidRPr="001E73A0">
        <w:rPr>
          <w:sz w:val="24"/>
          <w:szCs w:val="24"/>
        </w:rPr>
        <w:t xml:space="preserve">have investigated </w:t>
      </w:r>
      <w:r w:rsidR="00AF70E4" w:rsidRPr="001E73A0">
        <w:rPr>
          <w:sz w:val="24"/>
          <w:szCs w:val="24"/>
        </w:rPr>
        <w:t xml:space="preserve">neither </w:t>
      </w:r>
      <w:r w:rsidR="00C27203" w:rsidRPr="001E73A0">
        <w:rPr>
          <w:sz w:val="24"/>
          <w:szCs w:val="24"/>
        </w:rPr>
        <w:t>the effect of accounting comparability on corporate employment decision</w:t>
      </w:r>
      <w:r w:rsidR="00AF70E4" w:rsidRPr="001E73A0">
        <w:rPr>
          <w:sz w:val="24"/>
          <w:szCs w:val="24"/>
        </w:rPr>
        <w:t>-making</w:t>
      </w:r>
      <w:r w:rsidR="00C27203" w:rsidRPr="001E73A0">
        <w:rPr>
          <w:sz w:val="24"/>
          <w:szCs w:val="24"/>
        </w:rPr>
        <w:t xml:space="preserve"> nor the specific </w:t>
      </w:r>
      <w:r w:rsidR="00507D16" w:rsidRPr="001E73A0">
        <w:rPr>
          <w:sz w:val="24"/>
          <w:szCs w:val="24"/>
        </w:rPr>
        <w:t>mechanisms</w:t>
      </w:r>
      <w:r w:rsidR="00C27203" w:rsidRPr="001E73A0">
        <w:rPr>
          <w:sz w:val="24"/>
          <w:szCs w:val="24"/>
        </w:rPr>
        <w:t xml:space="preserve"> through which accounting comparability influences labour investment efficiency. </w:t>
      </w:r>
    </w:p>
    <w:p w14:paraId="2B404077" w14:textId="3452E342" w:rsidR="00B51522" w:rsidRPr="001E73A0" w:rsidRDefault="00AF70E4" w:rsidP="00D85F67">
      <w:pPr>
        <w:adjustRightInd w:val="0"/>
        <w:snapToGrid w:val="0"/>
        <w:spacing w:after="0" w:line="360" w:lineRule="auto"/>
        <w:ind w:firstLine="720"/>
        <w:jc w:val="both"/>
        <w:rPr>
          <w:sz w:val="24"/>
          <w:szCs w:val="24"/>
        </w:rPr>
      </w:pPr>
      <w:r w:rsidRPr="001E73A0">
        <w:rPr>
          <w:sz w:val="24"/>
          <w:szCs w:val="24"/>
        </w:rPr>
        <w:t>There are</w:t>
      </w:r>
      <w:r w:rsidR="00A86A57" w:rsidRPr="001E73A0">
        <w:rPr>
          <w:sz w:val="24"/>
          <w:szCs w:val="24"/>
        </w:rPr>
        <w:t xml:space="preserve"> studies </w:t>
      </w:r>
      <w:r w:rsidRPr="001E73A0">
        <w:rPr>
          <w:sz w:val="24"/>
          <w:szCs w:val="24"/>
        </w:rPr>
        <w:t xml:space="preserve">that </w:t>
      </w:r>
      <w:r w:rsidR="00A86A57" w:rsidRPr="001E73A0">
        <w:rPr>
          <w:sz w:val="24"/>
          <w:szCs w:val="24"/>
        </w:rPr>
        <w:t xml:space="preserve">have investigated the effect of </w:t>
      </w:r>
      <w:r w:rsidRPr="001E73A0">
        <w:rPr>
          <w:sz w:val="24"/>
          <w:szCs w:val="24"/>
        </w:rPr>
        <w:t xml:space="preserve">certain </w:t>
      </w:r>
      <w:r w:rsidR="00A86A57" w:rsidRPr="001E73A0">
        <w:rPr>
          <w:sz w:val="24"/>
          <w:szCs w:val="24"/>
        </w:rPr>
        <w:t xml:space="preserve">firm-specific characteristics on </w:t>
      </w:r>
      <w:r w:rsidR="00123729" w:rsidRPr="001E73A0">
        <w:rPr>
          <w:sz w:val="24"/>
          <w:szCs w:val="24"/>
        </w:rPr>
        <w:t>corporate employment decision</w:t>
      </w:r>
      <w:r w:rsidRPr="001E73A0">
        <w:rPr>
          <w:sz w:val="24"/>
          <w:szCs w:val="24"/>
        </w:rPr>
        <w:t>-making</w:t>
      </w:r>
      <w:r w:rsidR="006E18DF" w:rsidRPr="001E73A0">
        <w:rPr>
          <w:sz w:val="24"/>
          <w:szCs w:val="24"/>
        </w:rPr>
        <w:t xml:space="preserve">. For example, the findings of past </w:t>
      </w:r>
      <w:r w:rsidR="00DD3749" w:rsidRPr="001E73A0">
        <w:rPr>
          <w:sz w:val="24"/>
          <w:szCs w:val="24"/>
        </w:rPr>
        <w:t xml:space="preserve">scholarship have </w:t>
      </w:r>
      <w:r w:rsidR="006E18DF" w:rsidRPr="001E73A0">
        <w:rPr>
          <w:sz w:val="24"/>
          <w:szCs w:val="24"/>
        </w:rPr>
        <w:t>indicate</w:t>
      </w:r>
      <w:r w:rsidR="00DD3749" w:rsidRPr="001E73A0">
        <w:rPr>
          <w:sz w:val="24"/>
          <w:szCs w:val="24"/>
        </w:rPr>
        <w:t>d</w:t>
      </w:r>
      <w:r w:rsidR="006E18DF" w:rsidRPr="001E73A0">
        <w:rPr>
          <w:sz w:val="24"/>
          <w:szCs w:val="24"/>
        </w:rPr>
        <w:t xml:space="preserve"> </w:t>
      </w:r>
      <w:r w:rsidR="00972F92" w:rsidRPr="001E73A0">
        <w:rPr>
          <w:sz w:val="24"/>
          <w:szCs w:val="24"/>
        </w:rPr>
        <w:t xml:space="preserve">that </w:t>
      </w:r>
      <w:r w:rsidR="00D85F67" w:rsidRPr="001E73A0">
        <w:rPr>
          <w:sz w:val="24"/>
          <w:szCs w:val="24"/>
        </w:rPr>
        <w:t xml:space="preserve">labour </w:t>
      </w:r>
      <w:r w:rsidR="006E18DF" w:rsidRPr="001E73A0">
        <w:rPr>
          <w:sz w:val="24"/>
          <w:szCs w:val="24"/>
        </w:rPr>
        <w:t xml:space="preserve">investment efficiency </w:t>
      </w:r>
      <w:r w:rsidR="00D85F67" w:rsidRPr="001E73A0">
        <w:rPr>
          <w:sz w:val="24"/>
          <w:szCs w:val="24"/>
        </w:rPr>
        <w:t xml:space="preserve">is affected by </w:t>
      </w:r>
      <w:r w:rsidR="00717245" w:rsidRPr="001E73A0">
        <w:rPr>
          <w:sz w:val="24"/>
          <w:szCs w:val="24"/>
        </w:rPr>
        <w:t xml:space="preserve">financial reporting quality </w:t>
      </w:r>
      <w:r w:rsidR="00FD4FF6" w:rsidRPr="001E73A0">
        <w:rPr>
          <w:sz w:val="24"/>
          <w:szCs w:val="24"/>
        </w:rPr>
        <w:fldChar w:fldCharType="begin" w:fldLock="1"/>
      </w:r>
      <w:r w:rsidR="00FD4FF6"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efficiency","type":"article-journal","volume":"31"},"uris":["http://www.mendeley.com/documents/?uuid=c0be0420-4a3b-407c-be29-d99c32f42d71"]}],"mendeley":{"formattedCitation":"(Jung et al., 2014)","plainTextFormattedCitation":"(Jung et al., 2014)","previouslyFormattedCitation":"(Jung et al., 2014)"},"properties":{"noteIndex":0},"schema":"https://github.com/citation-style-language/schema/raw/master/csl-citation.json"}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(Jung et al., 2014)</w:t>
      </w:r>
      <w:r w:rsidR="00FD4FF6" w:rsidRPr="001E73A0">
        <w:rPr>
          <w:sz w:val="24"/>
          <w:szCs w:val="24"/>
        </w:rPr>
        <w:fldChar w:fldCharType="end"/>
      </w:r>
      <w:r w:rsidR="00717245" w:rsidRPr="001E73A0">
        <w:rPr>
          <w:sz w:val="24"/>
          <w:szCs w:val="24"/>
        </w:rPr>
        <w:t xml:space="preserve">, stock price informativeness </w:t>
      </w:r>
      <w:r w:rsidR="00FD4FF6" w:rsidRPr="001E73A0">
        <w:rPr>
          <w:sz w:val="24"/>
          <w:szCs w:val="24"/>
        </w:rPr>
        <w:fldChar w:fldCharType="begin" w:fldLock="1"/>
      </w:r>
      <w:r w:rsidR="00FD4FF6" w:rsidRPr="001E73A0">
        <w:rPr>
          <w:sz w:val="24"/>
          <w:szCs w:val="24"/>
        </w:rPr>
        <w:instrText>ADDIN CSL_CITATION {"citationItems":[{"id":"ITEM-1","itemData":{"ISSN":"09291199","abstract":"In this paper, we examine whether managers use information included in stock prices when making labor investment decisions. Specifically, we examine whether stock price informativeness affects labor investment efficiency. We find that a higher probability of informed trading (PIN) is associated with lower deviations of labor investment from the level justified by economic fundamentals, i.e., higher labor investment efficiency. This finding is robust to using alternative proxies for stock price informativeness and labor investment efficiency, when we control for earnings quality and mispricing, and when we address endogeneity issues. Furthermore, we report evidence suggesting that the positive impact of stock price on labor investment efficiency is more (less) pronounced in firms from highly unionized industries and firms facing higher financial constraints (firms from industries that rely more on skilled labor).","author":[{"dropping-particle":"","family":"Ben-Nasr","given":"Hamdi","non-dropping-particle":"","parse-names":false,"suffix":""},{"dropping-particle":"","family":"Alshwer","given":"Abdullah A.","non-dropping-particle":"","parse-names":false,"suffix":""}],"container-title":"Journal of Corporate Finance","id":"ITEM-1","issue":"C","issued":{"date-parts":[["2016"]]},"page":"249-271","publisher":"Elsevier B.V.","title":"Does stock price informativeness affect labor investment efficiency?","type":"article-journal","volume":"38"},"uris":["http://www.mendeley.com/documents/?uuid=792d336f-df82-4c74-a20d-bf441787c56b"]}],"mendeley":{"formattedCitation":"(Ben-Nasr &amp; Alshwer, 2016)","plainTextFormattedCitation":"(Ben-Nasr &amp; Alshwer, 2016)","previouslyFormattedCitation":"(Ben-Nasr &amp; Alshwer, 2016)"},"properties":{"noteIndex":0},"schema":"https://github.com/citation-style-language/schema/raw/master/csl-citation.json"}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(Ben-Nasr &amp; Alshwer, 2016)</w:t>
      </w:r>
      <w:r w:rsidR="00FD4FF6" w:rsidRPr="001E73A0">
        <w:rPr>
          <w:sz w:val="24"/>
          <w:szCs w:val="24"/>
        </w:rPr>
        <w:fldChar w:fldCharType="end"/>
      </w:r>
      <w:r w:rsidR="00717245" w:rsidRPr="001E73A0">
        <w:rPr>
          <w:sz w:val="24"/>
          <w:szCs w:val="24"/>
        </w:rPr>
        <w:t xml:space="preserve">, institutional investor horizons </w:t>
      </w:r>
      <w:r w:rsidR="00FD4FF6" w:rsidRPr="001E73A0">
        <w:rPr>
          <w:sz w:val="24"/>
          <w:szCs w:val="24"/>
        </w:rPr>
        <w:fldChar w:fldCharType="begin" w:fldLock="1"/>
      </w:r>
      <w:r w:rsidR="00FD4FF6"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(Ghaly et al., 2020)</w:t>
      </w:r>
      <w:r w:rsidR="00FD4FF6" w:rsidRPr="001E73A0">
        <w:rPr>
          <w:sz w:val="24"/>
          <w:szCs w:val="24"/>
        </w:rPr>
        <w:fldChar w:fldCharType="end"/>
      </w:r>
      <w:r w:rsidR="00717245" w:rsidRPr="001E73A0">
        <w:rPr>
          <w:sz w:val="24"/>
          <w:szCs w:val="24"/>
        </w:rPr>
        <w:t>, political promotion</w:t>
      </w:r>
      <w:r w:rsidR="00DD3749" w:rsidRPr="001E73A0">
        <w:rPr>
          <w:sz w:val="24"/>
          <w:szCs w:val="24"/>
        </w:rPr>
        <w:t>s</w:t>
      </w:r>
      <w:r w:rsidR="00717245" w:rsidRPr="001E73A0">
        <w:rPr>
          <w:sz w:val="24"/>
          <w:szCs w:val="24"/>
        </w:rPr>
        <w:t xml:space="preserve"> </w:t>
      </w:r>
      <w:r w:rsidR="00FD4FF6" w:rsidRPr="001E73A0">
        <w:rPr>
          <w:sz w:val="24"/>
          <w:szCs w:val="24"/>
        </w:rPr>
        <w:fldChar w:fldCharType="begin" w:fldLock="1"/>
      </w:r>
      <w:r w:rsidR="00FD4FF6" w:rsidRPr="001E73A0">
        <w:rPr>
          <w:sz w:val="24"/>
          <w:szCs w:val="24"/>
        </w:rPr>
        <w:instrText>ADDIN CSL_CITATION {"citationItems":[{"id":"ITEM-1","itemData":{"ISSN":"1043951X","author":[{"dropping-particle":"","family":"Kong","given":"Dongmin","non-dropping-particle":"","parse-names":false,"suffix":""},{"dropping-particle":"","family":"Liu","given":"Shasha","non-dropping-particle":"","parse-names":false,"suffix":""},{"dropping-particle":"","family":"Xiang","given":"Junyi","non-dropping-particle":"","parse-names":false,"suffix":""}],"container-title":"China Economic Review","id":"ITEM-1","issued":{"date-parts":[["2018","8"]]},"page":"273-293","title":"Political promotion and labor investment efficiency","type":"article-journal","volume":"50"},"uris":["http://www.mendeley.com/documents/?uuid=5b64c980-6000-3a4c-b538-cfb142e9ad10"]}],"mendeley":{"formattedCitation":"(Kong, Liu, &amp; Xiang, 2018)","plainTextFormattedCitation":"(Kong, Liu, &amp; Xiang, 2018)","previouslyFormattedCitation":"(Kong, Liu, &amp; Xiang, 2018)"},"properties":{"noteIndex":0},"schema":"https://github.com/citation-style-language/schema/raw/master/csl-citation.json"}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(Kong, Liu, &amp; Xiang, 2018)</w:t>
      </w:r>
      <w:r w:rsidR="00FD4FF6" w:rsidRPr="001E73A0">
        <w:rPr>
          <w:sz w:val="24"/>
          <w:szCs w:val="24"/>
        </w:rPr>
        <w:fldChar w:fldCharType="end"/>
      </w:r>
      <w:r w:rsidR="00717245" w:rsidRPr="001E73A0">
        <w:rPr>
          <w:sz w:val="24"/>
          <w:szCs w:val="24"/>
        </w:rPr>
        <w:t xml:space="preserve">, firm performance </w:t>
      </w:r>
      <w:r w:rsidR="00FD4FF6" w:rsidRPr="001E73A0">
        <w:rPr>
          <w:sz w:val="24"/>
          <w:szCs w:val="24"/>
        </w:rPr>
        <w:fldChar w:fldCharType="begin" w:fldLock="1"/>
      </w:r>
      <w:r w:rsidR="00FD4FF6" w:rsidRPr="001E73A0">
        <w:rPr>
          <w:sz w:val="24"/>
          <w:szCs w:val="24"/>
        </w:rPr>
        <w:instrText>ADDIN CSL_CITATION {"citationItems":[{"id":"ITEM-1","itemData":{"ISSN":"1556-5068","author":[{"dropping-particle":"","family":"Cao","given":"Zhangfan","non-dropping-particle":"","parse-names":false,"suffix":""},{"dropping-particle":"","family":"Rees","given":"Bill","non-dropping-particle":"","parse-names":false,"suffix":""}],"container-title":"Available at: SSRN 3119189","id":"ITEM-1","issued":{"date-parts":[["2019","2","1"]]},"title":"Employee treatment, labor investment efficiency and firm performance","type":"report"},"uris":["http://www.mendeley.com/documents/?uuid=089225ac-5161-3ec5-b1bb-b6841e20e114"]}],"mendeley":{"formattedCitation":"(Cao &amp; Rees, 2019)","plainTextFormattedCitation":"(Cao &amp; Rees, 2019)","previouslyFormattedCitation":"(Cao &amp; Rees, 2019)"},"properties":{"noteIndex":0},"schema":"https://github.com/citation-style-language/schema/raw/master/csl-citation.json"}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(Cao &amp; Rees, 2019)</w:t>
      </w:r>
      <w:r w:rsidR="00FD4FF6" w:rsidRPr="001E73A0">
        <w:rPr>
          <w:sz w:val="24"/>
          <w:szCs w:val="24"/>
        </w:rPr>
        <w:fldChar w:fldCharType="end"/>
      </w:r>
      <w:r w:rsidR="00717245" w:rsidRPr="001E73A0">
        <w:rPr>
          <w:sz w:val="24"/>
          <w:szCs w:val="24"/>
        </w:rPr>
        <w:t xml:space="preserve">, </w:t>
      </w:r>
      <w:r w:rsidR="00B51522" w:rsidRPr="001E73A0">
        <w:rPr>
          <w:sz w:val="24"/>
          <w:szCs w:val="24"/>
        </w:rPr>
        <w:t xml:space="preserve">and </w:t>
      </w:r>
      <w:r w:rsidR="00717245" w:rsidRPr="001E73A0">
        <w:rPr>
          <w:sz w:val="24"/>
          <w:szCs w:val="24"/>
        </w:rPr>
        <w:t xml:space="preserve">CEO-director ties </w:t>
      </w:r>
      <w:r w:rsidR="00FD4FF6" w:rsidRPr="001E73A0">
        <w:rPr>
          <w:sz w:val="24"/>
          <w:szCs w:val="24"/>
        </w:rPr>
        <w:fldChar w:fldCharType="begin" w:fldLock="1"/>
      </w:r>
      <w:r w:rsidR="00FD4FF6" w:rsidRPr="001E73A0">
        <w:rPr>
          <w:sz w:val="24"/>
          <w:szCs w:val="24"/>
        </w:rPr>
        <w:instrText>ADDIN CSL_CITATION {"citationItems":[{"id":"ITEM-1","itemData":{"ISSN":"0929-1199","abstract":"We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Finance","id":"ITEM-1","issued":{"date-parts":[["2019","8","10"]]},"page":"forthcoming","publisher":"North-Holland","title":"CEO-director ties and labor investment efficiency","type":"article-journal"},"uris":["http://www.mendeley.com/documents/?uuid=d748f965-c96a-37ab-af3c-4af2c2e2ee2b"]}],"mendeley":{"formattedCitation":"(Khedmati et al., 2019)","plainTextFormattedCitation":"(Khedmati et al., 2019)","previouslyFormattedCitation":"(Khedmati et al., 2019)"},"properties":{"noteIndex":0},"schema":"https://github.com/citation-style-language/schema/raw/master/csl-citation.json"}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(Khedmati et al., 2019)</w:t>
      </w:r>
      <w:r w:rsidR="00FD4FF6" w:rsidRPr="001E73A0">
        <w:rPr>
          <w:sz w:val="24"/>
          <w:szCs w:val="24"/>
        </w:rPr>
        <w:fldChar w:fldCharType="end"/>
      </w:r>
      <w:r w:rsidR="00B51522" w:rsidRPr="001E73A0">
        <w:rPr>
          <w:sz w:val="24"/>
          <w:szCs w:val="24"/>
        </w:rPr>
        <w:t>.</w:t>
      </w:r>
      <w:r w:rsidR="00C27203" w:rsidRPr="001E73A0">
        <w:rPr>
          <w:sz w:val="24"/>
          <w:szCs w:val="24"/>
        </w:rPr>
        <w:t xml:space="preserve"> </w:t>
      </w:r>
      <w:r w:rsidR="00DD3749" w:rsidRPr="001E73A0">
        <w:rPr>
          <w:sz w:val="24"/>
          <w:szCs w:val="24"/>
        </w:rPr>
        <w:t>As before</w:t>
      </w:r>
      <w:r w:rsidR="00C27203" w:rsidRPr="001E73A0">
        <w:rPr>
          <w:sz w:val="24"/>
          <w:szCs w:val="24"/>
        </w:rPr>
        <w:t>, none of the existing labour investment efficiency studies ha</w:t>
      </w:r>
      <w:r w:rsidR="008507D7" w:rsidRPr="001E73A0">
        <w:rPr>
          <w:sz w:val="24"/>
          <w:szCs w:val="24"/>
        </w:rPr>
        <w:t>s</w:t>
      </w:r>
      <w:r w:rsidR="00C27203" w:rsidRPr="001E73A0">
        <w:rPr>
          <w:sz w:val="24"/>
          <w:szCs w:val="24"/>
        </w:rPr>
        <w:t xml:space="preserve"> investigated its potential relationship with accounting comparability</w:t>
      </w:r>
      <w:r w:rsidR="00103EDA" w:rsidRPr="001E73A0">
        <w:rPr>
          <w:sz w:val="24"/>
          <w:szCs w:val="24"/>
        </w:rPr>
        <w:t>, a unique cross-firm attribute</w:t>
      </w:r>
      <w:r w:rsidR="00C27203" w:rsidRPr="001E73A0">
        <w:rPr>
          <w:sz w:val="24"/>
          <w:szCs w:val="24"/>
        </w:rPr>
        <w:t xml:space="preserve">. These limitations, </w:t>
      </w:r>
      <w:r w:rsidR="00DD3749" w:rsidRPr="001E73A0">
        <w:rPr>
          <w:sz w:val="24"/>
          <w:szCs w:val="24"/>
        </w:rPr>
        <w:t>therefore,</w:t>
      </w:r>
      <w:r w:rsidR="00C27203" w:rsidRPr="001E73A0">
        <w:rPr>
          <w:sz w:val="24"/>
          <w:szCs w:val="24"/>
        </w:rPr>
        <w:t xml:space="preserve"> offer opportunities </w:t>
      </w:r>
      <w:r w:rsidR="00DD3749" w:rsidRPr="001E73A0">
        <w:rPr>
          <w:sz w:val="24"/>
          <w:szCs w:val="24"/>
        </w:rPr>
        <w:t xml:space="preserve">for </w:t>
      </w:r>
      <w:r w:rsidR="00C27203" w:rsidRPr="001E73A0">
        <w:rPr>
          <w:sz w:val="24"/>
          <w:szCs w:val="24"/>
        </w:rPr>
        <w:t xml:space="preserve">unique contributions to both </w:t>
      </w:r>
      <w:r w:rsidR="00A34D5B" w:rsidRPr="001E73A0">
        <w:rPr>
          <w:sz w:val="24"/>
          <w:szCs w:val="24"/>
        </w:rPr>
        <w:t xml:space="preserve">the </w:t>
      </w:r>
      <w:r w:rsidR="00C27203" w:rsidRPr="001E73A0">
        <w:rPr>
          <w:sz w:val="24"/>
          <w:szCs w:val="24"/>
        </w:rPr>
        <w:t>accounting comparability and corporate employment decision</w:t>
      </w:r>
      <w:r w:rsidR="00DD3749" w:rsidRPr="001E73A0">
        <w:rPr>
          <w:sz w:val="24"/>
          <w:szCs w:val="24"/>
        </w:rPr>
        <w:t>-making</w:t>
      </w:r>
      <w:r w:rsidR="00C27203" w:rsidRPr="001E73A0">
        <w:rPr>
          <w:sz w:val="24"/>
          <w:szCs w:val="24"/>
        </w:rPr>
        <w:t xml:space="preserve"> strands of the existing literature.</w:t>
      </w:r>
    </w:p>
    <w:p w14:paraId="181E7CE1" w14:textId="6D835438" w:rsidR="00DC09DB" w:rsidRPr="001E73A0" w:rsidRDefault="00176316" w:rsidP="00D338F5">
      <w:pPr>
        <w:adjustRightInd w:val="0"/>
        <w:snapToGrid w:val="0"/>
        <w:spacing w:after="0" w:line="360" w:lineRule="auto"/>
        <w:ind w:firstLine="720"/>
        <w:jc w:val="both"/>
        <w:rPr>
          <w:sz w:val="24"/>
          <w:szCs w:val="24"/>
        </w:rPr>
      </w:pPr>
      <w:r w:rsidRPr="001E73A0">
        <w:rPr>
          <w:sz w:val="24"/>
          <w:szCs w:val="24"/>
        </w:rPr>
        <w:t xml:space="preserve">Therefore, </w:t>
      </w:r>
      <w:r w:rsidR="0073478A" w:rsidRPr="001E73A0">
        <w:rPr>
          <w:sz w:val="24"/>
          <w:szCs w:val="24"/>
        </w:rPr>
        <w:t xml:space="preserve">we seek to contribute to the extant </w:t>
      </w:r>
      <w:r w:rsidR="00B51522" w:rsidRPr="001E73A0">
        <w:rPr>
          <w:sz w:val="24"/>
          <w:szCs w:val="24"/>
        </w:rPr>
        <w:t xml:space="preserve">accounting comparability and labour investment efficiency </w:t>
      </w:r>
      <w:r w:rsidR="0073478A" w:rsidRPr="001E73A0">
        <w:rPr>
          <w:sz w:val="24"/>
          <w:szCs w:val="24"/>
        </w:rPr>
        <w:t>literature</w:t>
      </w:r>
      <w:r w:rsidR="00DB5256" w:rsidRPr="001E73A0">
        <w:rPr>
          <w:sz w:val="24"/>
          <w:szCs w:val="24"/>
        </w:rPr>
        <w:t xml:space="preserve"> </w:t>
      </w:r>
      <w:r w:rsidR="0073478A" w:rsidRPr="001E73A0">
        <w:rPr>
          <w:sz w:val="24"/>
          <w:szCs w:val="24"/>
        </w:rPr>
        <w:t xml:space="preserve">by </w:t>
      </w:r>
      <w:r w:rsidR="00DB5256" w:rsidRPr="001E73A0">
        <w:rPr>
          <w:sz w:val="24"/>
          <w:szCs w:val="24"/>
        </w:rPr>
        <w:t>investigat</w:t>
      </w:r>
      <w:r w:rsidR="0073478A" w:rsidRPr="001E73A0">
        <w:rPr>
          <w:sz w:val="24"/>
          <w:szCs w:val="24"/>
        </w:rPr>
        <w:t>ing</w:t>
      </w:r>
      <w:r w:rsidR="00DB5256" w:rsidRPr="001E73A0">
        <w:rPr>
          <w:sz w:val="24"/>
          <w:szCs w:val="24"/>
        </w:rPr>
        <w:t xml:space="preserve"> </w:t>
      </w:r>
      <w:r w:rsidR="008507D7" w:rsidRPr="001E73A0">
        <w:rPr>
          <w:sz w:val="24"/>
          <w:szCs w:val="24"/>
        </w:rPr>
        <w:t xml:space="preserve">both </w:t>
      </w:r>
      <w:r w:rsidR="00DB5256" w:rsidRPr="001E73A0">
        <w:rPr>
          <w:sz w:val="24"/>
          <w:szCs w:val="24"/>
        </w:rPr>
        <w:t xml:space="preserve">the </w:t>
      </w:r>
      <w:r w:rsidR="00982F10" w:rsidRPr="001E73A0">
        <w:rPr>
          <w:sz w:val="24"/>
          <w:szCs w:val="24"/>
        </w:rPr>
        <w:t>monitor</w:t>
      </w:r>
      <w:r w:rsidR="00752479" w:rsidRPr="001E73A0">
        <w:rPr>
          <w:sz w:val="24"/>
          <w:szCs w:val="24"/>
        </w:rPr>
        <w:t>ing</w:t>
      </w:r>
      <w:r w:rsidR="00982F10" w:rsidRPr="001E73A0">
        <w:rPr>
          <w:sz w:val="24"/>
          <w:szCs w:val="24"/>
        </w:rPr>
        <w:t xml:space="preserve"> </w:t>
      </w:r>
      <w:r w:rsidR="00DB5256" w:rsidRPr="001E73A0">
        <w:rPr>
          <w:sz w:val="24"/>
          <w:szCs w:val="24"/>
        </w:rPr>
        <w:t xml:space="preserve">role of </w:t>
      </w:r>
      <w:r w:rsidR="00E35F14" w:rsidRPr="001E73A0">
        <w:rPr>
          <w:sz w:val="24"/>
          <w:szCs w:val="24"/>
        </w:rPr>
        <w:t xml:space="preserve">accounting </w:t>
      </w:r>
      <w:r w:rsidR="00DB5256" w:rsidRPr="001E73A0">
        <w:rPr>
          <w:sz w:val="24"/>
          <w:szCs w:val="24"/>
        </w:rPr>
        <w:t>comparability</w:t>
      </w:r>
      <w:r w:rsidR="00982F10" w:rsidRPr="001E73A0">
        <w:rPr>
          <w:sz w:val="24"/>
          <w:szCs w:val="24"/>
        </w:rPr>
        <w:t xml:space="preserve"> </w:t>
      </w:r>
      <w:r w:rsidR="00DB5256" w:rsidRPr="001E73A0">
        <w:rPr>
          <w:sz w:val="24"/>
          <w:szCs w:val="24"/>
        </w:rPr>
        <w:t xml:space="preserve">in </w:t>
      </w:r>
      <w:r w:rsidR="00982F10" w:rsidRPr="001E73A0">
        <w:rPr>
          <w:sz w:val="24"/>
          <w:szCs w:val="24"/>
        </w:rPr>
        <w:t xml:space="preserve">firms’ </w:t>
      </w:r>
      <w:r w:rsidR="00DB5256" w:rsidRPr="001E73A0">
        <w:rPr>
          <w:sz w:val="24"/>
          <w:szCs w:val="24"/>
        </w:rPr>
        <w:t xml:space="preserve">employment </w:t>
      </w:r>
      <w:r w:rsidR="00AC505D" w:rsidRPr="001E73A0">
        <w:rPr>
          <w:sz w:val="24"/>
          <w:szCs w:val="24"/>
        </w:rPr>
        <w:t>decision-making</w:t>
      </w:r>
      <w:r w:rsidR="008507D7" w:rsidRPr="001E73A0">
        <w:rPr>
          <w:sz w:val="24"/>
          <w:szCs w:val="24"/>
        </w:rPr>
        <w:t xml:space="preserve"> and </w:t>
      </w:r>
      <w:r w:rsidR="00452782" w:rsidRPr="001E73A0">
        <w:rPr>
          <w:sz w:val="24"/>
          <w:szCs w:val="24"/>
        </w:rPr>
        <w:t xml:space="preserve">the unique mechanisms through which </w:t>
      </w:r>
      <w:r w:rsidR="008507D7" w:rsidRPr="001E73A0">
        <w:rPr>
          <w:sz w:val="24"/>
          <w:szCs w:val="24"/>
        </w:rPr>
        <w:t xml:space="preserve">it </w:t>
      </w:r>
      <w:r w:rsidR="00452782" w:rsidRPr="001E73A0">
        <w:rPr>
          <w:sz w:val="24"/>
          <w:szCs w:val="24"/>
        </w:rPr>
        <w:t xml:space="preserve">affects labour investment decisions. </w:t>
      </w:r>
      <w:r w:rsidR="00483F55" w:rsidRPr="001E73A0">
        <w:rPr>
          <w:sz w:val="24"/>
          <w:szCs w:val="24"/>
        </w:rPr>
        <w:t xml:space="preserve">We test our hypothesis using </w:t>
      </w:r>
      <w:r w:rsidR="00067F3B" w:rsidRPr="001E73A0">
        <w:rPr>
          <w:sz w:val="24"/>
          <w:szCs w:val="24"/>
        </w:rPr>
        <w:t>54</w:t>
      </w:r>
      <w:r w:rsidR="00483F55" w:rsidRPr="001E73A0">
        <w:rPr>
          <w:sz w:val="24"/>
          <w:szCs w:val="24"/>
        </w:rPr>
        <w:t>,</w:t>
      </w:r>
      <w:r w:rsidR="00067F3B" w:rsidRPr="001E73A0">
        <w:rPr>
          <w:sz w:val="24"/>
          <w:szCs w:val="24"/>
        </w:rPr>
        <w:t xml:space="preserve">601 </w:t>
      </w:r>
      <w:r w:rsidR="00483F55" w:rsidRPr="001E73A0">
        <w:rPr>
          <w:sz w:val="24"/>
          <w:szCs w:val="24"/>
        </w:rPr>
        <w:t xml:space="preserve">firm-year observations </w:t>
      </w:r>
      <w:r w:rsidR="00650CF1" w:rsidRPr="001E73A0">
        <w:rPr>
          <w:sz w:val="24"/>
          <w:szCs w:val="24"/>
        </w:rPr>
        <w:t>for 6,</w:t>
      </w:r>
      <w:r w:rsidR="00067F3B" w:rsidRPr="001E73A0">
        <w:rPr>
          <w:sz w:val="24"/>
          <w:szCs w:val="24"/>
        </w:rPr>
        <w:t xml:space="preserve">295 </w:t>
      </w:r>
      <w:r w:rsidR="003369C6" w:rsidRPr="001E73A0">
        <w:rPr>
          <w:sz w:val="24"/>
          <w:szCs w:val="24"/>
        </w:rPr>
        <w:t>US</w:t>
      </w:r>
      <w:r w:rsidR="00611282" w:rsidRPr="001E73A0">
        <w:rPr>
          <w:sz w:val="24"/>
          <w:szCs w:val="24"/>
        </w:rPr>
        <w:t xml:space="preserve"> firms</w:t>
      </w:r>
      <w:r w:rsidR="00555D7D" w:rsidRPr="001E73A0">
        <w:rPr>
          <w:sz w:val="24"/>
          <w:szCs w:val="24"/>
        </w:rPr>
        <w:t>,</w:t>
      </w:r>
      <w:r w:rsidR="00611282" w:rsidRPr="001E73A0">
        <w:rPr>
          <w:sz w:val="24"/>
          <w:szCs w:val="24"/>
        </w:rPr>
        <w:t xml:space="preserve"> </w:t>
      </w:r>
      <w:r w:rsidR="00483F55" w:rsidRPr="001E73A0">
        <w:rPr>
          <w:sz w:val="24"/>
          <w:szCs w:val="24"/>
        </w:rPr>
        <w:t>spanning the period 1984</w:t>
      </w:r>
      <w:r w:rsidR="007B738C" w:rsidRPr="001E73A0">
        <w:rPr>
          <w:sz w:val="24"/>
          <w:szCs w:val="24"/>
        </w:rPr>
        <w:t>–</w:t>
      </w:r>
      <w:r w:rsidR="00483F55" w:rsidRPr="001E73A0">
        <w:rPr>
          <w:sz w:val="24"/>
          <w:szCs w:val="24"/>
        </w:rPr>
        <w:t xml:space="preserve">2015. </w:t>
      </w:r>
      <w:r w:rsidR="00A34D5B" w:rsidRPr="001E73A0">
        <w:rPr>
          <w:sz w:val="24"/>
          <w:szCs w:val="24"/>
        </w:rPr>
        <w:t>W</w:t>
      </w:r>
      <w:r w:rsidR="00611282" w:rsidRPr="001E73A0">
        <w:rPr>
          <w:sz w:val="24"/>
          <w:szCs w:val="24"/>
        </w:rPr>
        <w:t>e are particularly interested in the US labour market</w:t>
      </w:r>
      <w:r w:rsidR="00300D47" w:rsidRPr="001E73A0">
        <w:rPr>
          <w:sz w:val="24"/>
          <w:szCs w:val="24"/>
        </w:rPr>
        <w:t>,</w:t>
      </w:r>
      <w:r w:rsidR="00611282" w:rsidRPr="001E73A0">
        <w:rPr>
          <w:sz w:val="24"/>
          <w:szCs w:val="24"/>
        </w:rPr>
        <w:t xml:space="preserve"> which is</w:t>
      </w:r>
      <w:r w:rsidR="00300D47" w:rsidRPr="001E73A0">
        <w:rPr>
          <w:sz w:val="24"/>
          <w:szCs w:val="24"/>
        </w:rPr>
        <w:t xml:space="preserve"> arguably one of</w:t>
      </w:r>
      <w:r w:rsidR="00611282" w:rsidRPr="001E73A0">
        <w:rPr>
          <w:sz w:val="24"/>
          <w:szCs w:val="24"/>
        </w:rPr>
        <w:t xml:space="preserve"> the </w:t>
      </w:r>
      <w:r w:rsidR="00300D47" w:rsidRPr="001E73A0">
        <w:rPr>
          <w:sz w:val="24"/>
          <w:szCs w:val="24"/>
        </w:rPr>
        <w:t xml:space="preserve">largest and </w:t>
      </w:r>
      <w:r w:rsidR="00611282" w:rsidRPr="001E73A0">
        <w:rPr>
          <w:sz w:val="24"/>
          <w:szCs w:val="24"/>
        </w:rPr>
        <w:t>most efficient</w:t>
      </w:r>
      <w:r w:rsidR="008507D7" w:rsidRPr="001E73A0">
        <w:rPr>
          <w:sz w:val="24"/>
          <w:szCs w:val="24"/>
        </w:rPr>
        <w:t xml:space="preserve"> in the world, </w:t>
      </w:r>
      <w:r w:rsidR="00300D47" w:rsidRPr="001E73A0">
        <w:rPr>
          <w:sz w:val="24"/>
          <w:szCs w:val="24"/>
        </w:rPr>
        <w:t>with entrenched liberal labour laws and regulations</w:t>
      </w:r>
      <w:r w:rsidR="007325DD" w:rsidRPr="001E73A0">
        <w:rPr>
          <w:sz w:val="24"/>
          <w:szCs w:val="24"/>
        </w:rPr>
        <w:t xml:space="preserve"> (‘a strong culture of hire and fire’)</w:t>
      </w:r>
      <w:r w:rsidR="00611282" w:rsidRPr="001E73A0">
        <w:rPr>
          <w:sz w:val="24"/>
          <w:szCs w:val="24"/>
        </w:rPr>
        <w:t xml:space="preserve">. </w:t>
      </w:r>
      <w:r w:rsidR="00483F55" w:rsidRPr="001E73A0">
        <w:rPr>
          <w:sz w:val="24"/>
          <w:szCs w:val="24"/>
        </w:rPr>
        <w:t xml:space="preserve">To proxy for accounting comparability, </w:t>
      </w:r>
      <w:r w:rsidR="004A52AB" w:rsidRPr="001E73A0">
        <w:rPr>
          <w:sz w:val="24"/>
          <w:szCs w:val="24"/>
        </w:rPr>
        <w:t xml:space="preserve">we </w:t>
      </w:r>
      <w:r w:rsidR="00483F55" w:rsidRPr="001E73A0">
        <w:rPr>
          <w:sz w:val="24"/>
          <w:szCs w:val="24"/>
        </w:rPr>
        <w:t xml:space="preserve">adopt </w:t>
      </w:r>
      <w:r w:rsidR="00250ADC" w:rsidRPr="001E73A0">
        <w:rPr>
          <w:sz w:val="24"/>
          <w:szCs w:val="24"/>
        </w:rPr>
        <w:t>two</w:t>
      </w:r>
      <w:r w:rsidR="00483F55" w:rsidRPr="001E73A0">
        <w:rPr>
          <w:sz w:val="24"/>
          <w:szCs w:val="24"/>
        </w:rPr>
        <w:t xml:space="preserve"> aggregated, </w:t>
      </w:r>
      <w:r w:rsidR="004A52AB" w:rsidRPr="001E73A0">
        <w:rPr>
          <w:sz w:val="24"/>
          <w:szCs w:val="24"/>
        </w:rPr>
        <w:t>firm-</w:t>
      </w:r>
      <w:r w:rsidR="00483F55" w:rsidRPr="001E73A0">
        <w:rPr>
          <w:sz w:val="24"/>
          <w:szCs w:val="24"/>
        </w:rPr>
        <w:t>specific variables</w:t>
      </w:r>
      <w:r w:rsidR="004A52AB" w:rsidRPr="001E73A0">
        <w:rPr>
          <w:sz w:val="24"/>
          <w:szCs w:val="24"/>
        </w:rPr>
        <w:t xml:space="preserve"> </w:t>
      </w:r>
      <w:r w:rsidR="002B2FC1" w:rsidRPr="001E73A0">
        <w:rPr>
          <w:sz w:val="24"/>
          <w:szCs w:val="24"/>
        </w:rPr>
        <w:t>proposed by</w:t>
      </w:r>
      <w:r w:rsidR="004A52AB" w:rsidRPr="001E73A0">
        <w:rPr>
          <w:sz w:val="24"/>
          <w:szCs w:val="24"/>
        </w:rPr>
        <w:t xml:space="preserve"> De Franco et al. </w:t>
      </w:r>
      <w:r w:rsidR="008D322A" w:rsidRPr="001E73A0">
        <w:rPr>
          <w:sz w:val="24"/>
          <w:szCs w:val="24"/>
        </w:rPr>
        <w:fldChar w:fldCharType="begin" w:fldLock="1"/>
      </w:r>
      <w:r w:rsidR="00AA7251"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008D322A" w:rsidRPr="001E73A0">
        <w:rPr>
          <w:sz w:val="24"/>
          <w:szCs w:val="24"/>
        </w:rPr>
        <w:fldChar w:fldCharType="separate"/>
      </w:r>
      <w:r w:rsidR="008D322A" w:rsidRPr="001E73A0">
        <w:rPr>
          <w:noProof/>
          <w:sz w:val="24"/>
          <w:szCs w:val="24"/>
        </w:rPr>
        <w:t>(2011)</w:t>
      </w:r>
      <w:r w:rsidR="008D322A" w:rsidRPr="001E73A0">
        <w:rPr>
          <w:sz w:val="24"/>
          <w:szCs w:val="24"/>
        </w:rPr>
        <w:fldChar w:fldCharType="end"/>
      </w:r>
      <w:r w:rsidR="009C50AB" w:rsidRPr="001E73A0">
        <w:rPr>
          <w:sz w:val="24"/>
          <w:szCs w:val="24"/>
        </w:rPr>
        <w:t xml:space="preserve"> and two </w:t>
      </w:r>
      <w:r w:rsidR="005C0B8F" w:rsidRPr="001E73A0">
        <w:rPr>
          <w:sz w:val="24"/>
          <w:szCs w:val="24"/>
        </w:rPr>
        <w:t>alternative measures</w:t>
      </w:r>
      <w:r w:rsidR="004A52AB" w:rsidRPr="001E73A0">
        <w:rPr>
          <w:sz w:val="24"/>
          <w:szCs w:val="24"/>
        </w:rPr>
        <w:t xml:space="preserve">. </w:t>
      </w:r>
      <w:r w:rsidR="002E0774" w:rsidRPr="001E73A0">
        <w:rPr>
          <w:sz w:val="24"/>
          <w:szCs w:val="24"/>
        </w:rPr>
        <w:t xml:space="preserve">Following </w:t>
      </w:r>
      <w:r w:rsidR="0019094A" w:rsidRPr="001E73A0">
        <w:rPr>
          <w:sz w:val="24"/>
          <w:szCs w:val="24"/>
        </w:rPr>
        <w:t xml:space="preserve">Jung et al. </w:t>
      </w:r>
      <w:r w:rsidR="0019094A" w:rsidRPr="001E73A0">
        <w:rPr>
          <w:sz w:val="24"/>
          <w:szCs w:val="24"/>
        </w:rPr>
        <w:fldChar w:fldCharType="begin" w:fldLock="1"/>
      </w:r>
      <w:r w:rsidR="000A2330"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suppress-author":1,"uris":["http://www.mendeley.com/documents/?uuid=c0be0420-4a3b-407c-be29-d99c32f42d71"]}],"mendeley":{"formattedCitation":"(2014)","plainTextFormattedCitation":"(2014)","previouslyFormattedCitation":"(2014)"},"properties":{"noteIndex":0},"schema":"https://github.com/citation-style-language/schema/raw/master/csl-citation.json"}</w:instrText>
      </w:r>
      <w:r w:rsidR="0019094A" w:rsidRPr="001E73A0">
        <w:rPr>
          <w:sz w:val="24"/>
          <w:szCs w:val="24"/>
        </w:rPr>
        <w:fldChar w:fldCharType="separate"/>
      </w:r>
      <w:r w:rsidR="0019094A" w:rsidRPr="001E73A0">
        <w:rPr>
          <w:noProof/>
          <w:sz w:val="24"/>
          <w:szCs w:val="24"/>
        </w:rPr>
        <w:t>(2014)</w:t>
      </w:r>
      <w:r w:rsidR="0019094A" w:rsidRPr="001E73A0">
        <w:rPr>
          <w:sz w:val="24"/>
          <w:szCs w:val="24"/>
        </w:rPr>
        <w:fldChar w:fldCharType="end"/>
      </w:r>
      <w:r w:rsidR="00717426" w:rsidRPr="001E73A0">
        <w:rPr>
          <w:sz w:val="24"/>
          <w:szCs w:val="24"/>
        </w:rPr>
        <w:t xml:space="preserve"> and Khedmati et al. </w:t>
      </w:r>
      <w:r w:rsidR="0024592A" w:rsidRPr="001E73A0">
        <w:rPr>
          <w:sz w:val="24"/>
          <w:szCs w:val="24"/>
        </w:rPr>
        <w:fldChar w:fldCharType="begin" w:fldLock="1"/>
      </w:r>
      <w:r w:rsidR="00D30919" w:rsidRPr="001E73A0">
        <w:rPr>
          <w:sz w:val="24"/>
          <w:szCs w:val="24"/>
        </w:rPr>
        <w:instrText>ADDIN CSL_CITATION {"citationItems":[{"id":"ITEM-1","itemData":{"ISSN":"0929-1199","abstract":"We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Finance","id":"ITEM-1","issued":{"date-parts":[["2019","8","10"]]},"page":"forthcoming","publisher":"North-Holland","title":"CEO-director ties and labor investment efficiency","type":"article-journal"},"suppress-author":1,"uris":["http://www.mendeley.com/documents/?uuid=d748f965-c96a-37ab-af3c-4af2c2e2ee2b"]}],"mendeley":{"formattedCitation":"(2019)","plainTextFormattedCitation":"(2019)","previouslyFormattedCitation":"(2019)"},"properties":{"noteIndex":0},"schema":"https://github.com/citation-style-language/schema/raw/master/csl-citation.json"}</w:instrText>
      </w:r>
      <w:r w:rsidR="0024592A" w:rsidRPr="001E73A0">
        <w:rPr>
          <w:sz w:val="24"/>
          <w:szCs w:val="24"/>
        </w:rPr>
        <w:fldChar w:fldCharType="separate"/>
      </w:r>
      <w:r w:rsidR="0024592A" w:rsidRPr="001E73A0">
        <w:rPr>
          <w:noProof/>
          <w:sz w:val="24"/>
          <w:szCs w:val="24"/>
        </w:rPr>
        <w:t>(2019)</w:t>
      </w:r>
      <w:r w:rsidR="0024592A" w:rsidRPr="001E73A0">
        <w:rPr>
          <w:sz w:val="24"/>
          <w:szCs w:val="24"/>
        </w:rPr>
        <w:fldChar w:fldCharType="end"/>
      </w:r>
      <w:r w:rsidR="002E0774" w:rsidRPr="001E73A0">
        <w:rPr>
          <w:sz w:val="24"/>
          <w:szCs w:val="24"/>
        </w:rPr>
        <w:t>, w</w:t>
      </w:r>
      <w:r w:rsidR="004A52AB" w:rsidRPr="001E73A0">
        <w:rPr>
          <w:sz w:val="24"/>
          <w:szCs w:val="24"/>
        </w:rPr>
        <w:t xml:space="preserve">e measure </w:t>
      </w:r>
      <w:r w:rsidR="002E0774" w:rsidRPr="001E73A0">
        <w:rPr>
          <w:sz w:val="24"/>
          <w:szCs w:val="24"/>
        </w:rPr>
        <w:t>labo</w:t>
      </w:r>
      <w:r w:rsidR="005C0B8F" w:rsidRPr="001E73A0">
        <w:rPr>
          <w:sz w:val="24"/>
          <w:szCs w:val="24"/>
        </w:rPr>
        <w:t>u</w:t>
      </w:r>
      <w:r w:rsidR="002E0774" w:rsidRPr="001E73A0">
        <w:rPr>
          <w:sz w:val="24"/>
          <w:szCs w:val="24"/>
        </w:rPr>
        <w:t>r investment</w:t>
      </w:r>
      <w:r w:rsidR="004A52AB" w:rsidRPr="001E73A0">
        <w:rPr>
          <w:sz w:val="24"/>
          <w:szCs w:val="24"/>
        </w:rPr>
        <w:t xml:space="preserve"> </w:t>
      </w:r>
      <w:r w:rsidR="0019094A" w:rsidRPr="001E73A0">
        <w:rPr>
          <w:sz w:val="24"/>
          <w:szCs w:val="24"/>
        </w:rPr>
        <w:t xml:space="preserve">inefficiency </w:t>
      </w:r>
      <w:r w:rsidR="004A52AB" w:rsidRPr="001E73A0">
        <w:rPr>
          <w:sz w:val="24"/>
          <w:szCs w:val="24"/>
        </w:rPr>
        <w:t xml:space="preserve">using </w:t>
      </w:r>
      <w:r w:rsidR="0019094A" w:rsidRPr="001E73A0">
        <w:rPr>
          <w:sz w:val="24"/>
          <w:szCs w:val="24"/>
        </w:rPr>
        <w:t xml:space="preserve">abnormal net hiring </w:t>
      </w:r>
      <w:r w:rsidR="00452782" w:rsidRPr="001E73A0">
        <w:rPr>
          <w:sz w:val="24"/>
          <w:szCs w:val="24"/>
        </w:rPr>
        <w:t>(</w:t>
      </w:r>
      <w:r w:rsidR="0019094A" w:rsidRPr="001E73A0">
        <w:rPr>
          <w:sz w:val="24"/>
          <w:szCs w:val="24"/>
        </w:rPr>
        <w:t>the absolute deviation from optimal labo</w:t>
      </w:r>
      <w:r w:rsidR="005C0B8F" w:rsidRPr="001E73A0">
        <w:rPr>
          <w:sz w:val="24"/>
          <w:szCs w:val="24"/>
        </w:rPr>
        <w:t>u</w:t>
      </w:r>
      <w:r w:rsidR="0019094A" w:rsidRPr="001E73A0">
        <w:rPr>
          <w:sz w:val="24"/>
          <w:szCs w:val="24"/>
        </w:rPr>
        <w:t>r investment</w:t>
      </w:r>
      <w:r w:rsidR="00452782" w:rsidRPr="001E73A0">
        <w:rPr>
          <w:sz w:val="24"/>
          <w:szCs w:val="24"/>
        </w:rPr>
        <w:t>)</w:t>
      </w:r>
      <w:r w:rsidR="0019094A" w:rsidRPr="001E73A0">
        <w:rPr>
          <w:sz w:val="24"/>
          <w:szCs w:val="24"/>
        </w:rPr>
        <w:t>.</w:t>
      </w:r>
      <w:r w:rsidR="00721F66" w:rsidRPr="001E73A0">
        <w:rPr>
          <w:sz w:val="24"/>
          <w:szCs w:val="24"/>
        </w:rPr>
        <w:t xml:space="preserve"> </w:t>
      </w:r>
    </w:p>
    <w:p w14:paraId="12A781D7" w14:textId="1DBA31FC" w:rsidR="00F85CB5" w:rsidRPr="001E73A0" w:rsidRDefault="00C93C96" w:rsidP="00DC1859">
      <w:pPr>
        <w:adjustRightInd w:val="0"/>
        <w:snapToGrid w:val="0"/>
        <w:spacing w:after="0" w:line="360" w:lineRule="auto"/>
        <w:ind w:firstLine="720"/>
        <w:jc w:val="both"/>
        <w:rPr>
          <w:sz w:val="24"/>
          <w:szCs w:val="24"/>
        </w:rPr>
      </w:pPr>
      <w:r w:rsidRPr="001E73A0">
        <w:rPr>
          <w:sz w:val="24"/>
          <w:szCs w:val="24"/>
        </w:rPr>
        <w:t>In line with our prediction, we find</w:t>
      </w:r>
      <w:r w:rsidR="00B80D14" w:rsidRPr="001E73A0">
        <w:rPr>
          <w:sz w:val="24"/>
          <w:szCs w:val="24"/>
        </w:rPr>
        <w:t xml:space="preserve"> </w:t>
      </w:r>
      <w:r w:rsidR="00BD4C85" w:rsidRPr="001E73A0">
        <w:rPr>
          <w:sz w:val="24"/>
          <w:szCs w:val="24"/>
        </w:rPr>
        <w:t xml:space="preserve">a strong negative association between </w:t>
      </w:r>
      <w:r w:rsidR="009A5C8A" w:rsidRPr="001E73A0">
        <w:rPr>
          <w:sz w:val="24"/>
          <w:szCs w:val="24"/>
        </w:rPr>
        <w:t>accounting</w:t>
      </w:r>
      <w:r w:rsidR="00B80D14" w:rsidRPr="001E73A0">
        <w:rPr>
          <w:sz w:val="24"/>
          <w:szCs w:val="24"/>
        </w:rPr>
        <w:t xml:space="preserve"> comparability </w:t>
      </w:r>
      <w:r w:rsidR="00BD4C85" w:rsidRPr="001E73A0">
        <w:rPr>
          <w:sz w:val="24"/>
          <w:szCs w:val="24"/>
        </w:rPr>
        <w:t>and</w:t>
      </w:r>
      <w:r w:rsidR="00B80D14" w:rsidRPr="001E73A0">
        <w:rPr>
          <w:sz w:val="24"/>
          <w:szCs w:val="24"/>
        </w:rPr>
        <w:t xml:space="preserve"> abnormal net hiring. For instance, we document that, on average,</w:t>
      </w:r>
      <w:r w:rsidR="00650CF1" w:rsidRPr="001E73A0">
        <w:rPr>
          <w:sz w:val="24"/>
          <w:szCs w:val="24"/>
        </w:rPr>
        <w:t xml:space="preserve"> </w:t>
      </w:r>
      <w:r w:rsidR="00C30847" w:rsidRPr="001E73A0">
        <w:rPr>
          <w:sz w:val="24"/>
          <w:szCs w:val="24"/>
        </w:rPr>
        <w:t xml:space="preserve">a </w:t>
      </w:r>
      <w:r w:rsidR="00721F66" w:rsidRPr="001E73A0">
        <w:rPr>
          <w:sz w:val="24"/>
          <w:szCs w:val="24"/>
        </w:rPr>
        <w:t>one</w:t>
      </w:r>
      <w:r w:rsidR="003369C6" w:rsidRPr="001E73A0">
        <w:rPr>
          <w:sz w:val="24"/>
          <w:szCs w:val="24"/>
        </w:rPr>
        <w:t>-standard-</w:t>
      </w:r>
      <w:r w:rsidR="00721F66" w:rsidRPr="001E73A0">
        <w:rPr>
          <w:sz w:val="24"/>
          <w:szCs w:val="24"/>
        </w:rPr>
        <w:t xml:space="preserve">deviation increase in the level of </w:t>
      </w:r>
      <w:r w:rsidR="005C0B8F" w:rsidRPr="001E73A0">
        <w:rPr>
          <w:sz w:val="24"/>
          <w:szCs w:val="24"/>
        </w:rPr>
        <w:t xml:space="preserve">accounting </w:t>
      </w:r>
      <w:r w:rsidR="00721F66" w:rsidRPr="001E73A0">
        <w:rPr>
          <w:sz w:val="24"/>
          <w:szCs w:val="24"/>
        </w:rPr>
        <w:t>comparability lead</w:t>
      </w:r>
      <w:r w:rsidR="00A91AE0" w:rsidRPr="001E73A0">
        <w:rPr>
          <w:sz w:val="24"/>
          <w:szCs w:val="24"/>
        </w:rPr>
        <w:t>s</w:t>
      </w:r>
      <w:r w:rsidR="00721F66" w:rsidRPr="001E73A0">
        <w:rPr>
          <w:sz w:val="24"/>
          <w:szCs w:val="24"/>
        </w:rPr>
        <w:t xml:space="preserve"> to a </w:t>
      </w:r>
      <w:r w:rsidR="00CC52B7" w:rsidRPr="001E73A0">
        <w:rPr>
          <w:sz w:val="24"/>
          <w:szCs w:val="24"/>
        </w:rPr>
        <w:t>4</w:t>
      </w:r>
      <w:r w:rsidR="00721F66" w:rsidRPr="001E73A0">
        <w:rPr>
          <w:sz w:val="24"/>
          <w:szCs w:val="24"/>
        </w:rPr>
        <w:t>.</w:t>
      </w:r>
      <w:r w:rsidR="00CC52B7" w:rsidRPr="001E73A0">
        <w:rPr>
          <w:sz w:val="24"/>
          <w:szCs w:val="24"/>
        </w:rPr>
        <w:t>11</w:t>
      </w:r>
      <w:r w:rsidR="00721F66" w:rsidRPr="001E73A0">
        <w:rPr>
          <w:sz w:val="24"/>
          <w:szCs w:val="24"/>
        </w:rPr>
        <w:t xml:space="preserve">% </w:t>
      </w:r>
      <w:r w:rsidR="002939BD" w:rsidRPr="001E73A0">
        <w:rPr>
          <w:sz w:val="24"/>
          <w:szCs w:val="24"/>
        </w:rPr>
        <w:t>to</w:t>
      </w:r>
      <w:r w:rsidR="00721F66" w:rsidRPr="001E73A0">
        <w:rPr>
          <w:sz w:val="24"/>
          <w:szCs w:val="24"/>
        </w:rPr>
        <w:t xml:space="preserve"> </w:t>
      </w:r>
      <w:r w:rsidR="00CC52B7" w:rsidRPr="001E73A0">
        <w:rPr>
          <w:sz w:val="24"/>
          <w:szCs w:val="24"/>
        </w:rPr>
        <w:t>6.16</w:t>
      </w:r>
      <w:r w:rsidR="00721F66" w:rsidRPr="001E73A0">
        <w:rPr>
          <w:sz w:val="24"/>
          <w:szCs w:val="24"/>
        </w:rPr>
        <w:t>% reduction in labo</w:t>
      </w:r>
      <w:r w:rsidR="005C0B8F" w:rsidRPr="001E73A0">
        <w:rPr>
          <w:sz w:val="24"/>
          <w:szCs w:val="24"/>
        </w:rPr>
        <w:t>u</w:t>
      </w:r>
      <w:r w:rsidR="00721F66" w:rsidRPr="001E73A0">
        <w:rPr>
          <w:sz w:val="24"/>
          <w:szCs w:val="24"/>
        </w:rPr>
        <w:t>r investment inefficiency.</w:t>
      </w:r>
      <w:r w:rsidR="00FA58DE" w:rsidRPr="001E73A0">
        <w:rPr>
          <w:rStyle w:val="a8"/>
        </w:rPr>
        <w:footnoteReference w:id="2"/>
      </w:r>
      <w:r w:rsidR="00721F66" w:rsidRPr="001E73A0">
        <w:rPr>
          <w:sz w:val="24"/>
          <w:szCs w:val="24"/>
        </w:rPr>
        <w:t xml:space="preserve"> </w:t>
      </w:r>
      <w:r w:rsidR="00B80D14" w:rsidRPr="001E73A0">
        <w:rPr>
          <w:sz w:val="24"/>
          <w:szCs w:val="24"/>
        </w:rPr>
        <w:t xml:space="preserve">We also </w:t>
      </w:r>
      <w:r w:rsidR="00333788" w:rsidRPr="001E73A0">
        <w:rPr>
          <w:sz w:val="24"/>
          <w:szCs w:val="24"/>
        </w:rPr>
        <w:t xml:space="preserve">demonstrate </w:t>
      </w:r>
      <w:r w:rsidR="00E3728A" w:rsidRPr="001E73A0">
        <w:rPr>
          <w:sz w:val="24"/>
          <w:szCs w:val="24"/>
        </w:rPr>
        <w:t>that</w:t>
      </w:r>
      <w:r w:rsidRPr="001E73A0">
        <w:rPr>
          <w:sz w:val="24"/>
          <w:szCs w:val="24"/>
        </w:rPr>
        <w:t xml:space="preserve"> </w:t>
      </w:r>
      <w:r w:rsidR="00452782" w:rsidRPr="001E73A0">
        <w:rPr>
          <w:sz w:val="24"/>
          <w:szCs w:val="24"/>
        </w:rPr>
        <w:t xml:space="preserve">accounting </w:t>
      </w:r>
      <w:r w:rsidRPr="001E73A0">
        <w:rPr>
          <w:sz w:val="24"/>
          <w:szCs w:val="24"/>
        </w:rPr>
        <w:t>comparability</w:t>
      </w:r>
      <w:r w:rsidR="00CB5DA1" w:rsidRPr="001E73A0">
        <w:rPr>
          <w:sz w:val="24"/>
          <w:szCs w:val="24"/>
        </w:rPr>
        <w:t xml:space="preserve"> can </w:t>
      </w:r>
      <w:r w:rsidR="00A91AE0" w:rsidRPr="001E73A0">
        <w:rPr>
          <w:sz w:val="24"/>
          <w:szCs w:val="24"/>
        </w:rPr>
        <w:t xml:space="preserve">reduce </w:t>
      </w:r>
      <w:r w:rsidR="00D54792" w:rsidRPr="001E73A0">
        <w:rPr>
          <w:sz w:val="24"/>
          <w:szCs w:val="24"/>
        </w:rPr>
        <w:t>different forms of labo</w:t>
      </w:r>
      <w:r w:rsidR="005C0B8F" w:rsidRPr="001E73A0">
        <w:rPr>
          <w:sz w:val="24"/>
          <w:szCs w:val="24"/>
        </w:rPr>
        <w:t>u</w:t>
      </w:r>
      <w:r w:rsidR="00D54792" w:rsidRPr="001E73A0">
        <w:rPr>
          <w:sz w:val="24"/>
          <w:szCs w:val="24"/>
        </w:rPr>
        <w:t>r investment inefficiency</w:t>
      </w:r>
      <w:r w:rsidR="003E1361" w:rsidRPr="001E73A0">
        <w:rPr>
          <w:rFonts w:cs="Calibri"/>
          <w:sz w:val="24"/>
          <w:szCs w:val="24"/>
        </w:rPr>
        <w:t xml:space="preserve">, </w:t>
      </w:r>
      <w:r w:rsidR="00875586" w:rsidRPr="001E73A0">
        <w:rPr>
          <w:sz w:val="24"/>
          <w:szCs w:val="24"/>
        </w:rPr>
        <w:t xml:space="preserve">namely </w:t>
      </w:r>
      <w:r w:rsidR="00CB5DA1" w:rsidRPr="001E73A0">
        <w:rPr>
          <w:sz w:val="24"/>
          <w:szCs w:val="24"/>
        </w:rPr>
        <w:t>over</w:t>
      </w:r>
      <w:r w:rsidR="00333788" w:rsidRPr="001E73A0">
        <w:rPr>
          <w:sz w:val="24"/>
          <w:szCs w:val="24"/>
        </w:rPr>
        <w:t xml:space="preserve">- or </w:t>
      </w:r>
      <w:r w:rsidR="00D54792" w:rsidRPr="001E73A0">
        <w:rPr>
          <w:sz w:val="24"/>
          <w:szCs w:val="24"/>
        </w:rPr>
        <w:lastRenderedPageBreak/>
        <w:t>under-</w:t>
      </w:r>
      <w:r w:rsidR="00CB5DA1" w:rsidRPr="001E73A0">
        <w:rPr>
          <w:sz w:val="24"/>
          <w:szCs w:val="24"/>
        </w:rPr>
        <w:t xml:space="preserve">hiring and </w:t>
      </w:r>
      <w:r w:rsidR="00D54792" w:rsidRPr="001E73A0">
        <w:rPr>
          <w:sz w:val="24"/>
          <w:szCs w:val="24"/>
        </w:rPr>
        <w:t>over</w:t>
      </w:r>
      <w:r w:rsidR="00333788" w:rsidRPr="001E73A0">
        <w:rPr>
          <w:sz w:val="24"/>
          <w:szCs w:val="24"/>
        </w:rPr>
        <w:t xml:space="preserve">- or </w:t>
      </w:r>
      <w:r w:rsidR="00CB5DA1" w:rsidRPr="001E73A0">
        <w:rPr>
          <w:sz w:val="24"/>
          <w:szCs w:val="24"/>
        </w:rPr>
        <w:t xml:space="preserve">under-firing. </w:t>
      </w:r>
      <w:r w:rsidR="003E1361" w:rsidRPr="001E73A0">
        <w:rPr>
          <w:sz w:val="24"/>
          <w:szCs w:val="24"/>
        </w:rPr>
        <w:t>It</w:t>
      </w:r>
      <w:r w:rsidR="009E4B5C" w:rsidRPr="001E73A0">
        <w:rPr>
          <w:sz w:val="24"/>
          <w:szCs w:val="24"/>
        </w:rPr>
        <w:t xml:space="preserve"> does not </w:t>
      </w:r>
      <w:r w:rsidR="006C3B26" w:rsidRPr="001E73A0">
        <w:rPr>
          <w:sz w:val="24"/>
          <w:szCs w:val="24"/>
        </w:rPr>
        <w:t xml:space="preserve">simply </w:t>
      </w:r>
      <w:r w:rsidR="009E4B5C" w:rsidRPr="001E73A0">
        <w:rPr>
          <w:sz w:val="24"/>
          <w:szCs w:val="24"/>
        </w:rPr>
        <w:t xml:space="preserve">affect </w:t>
      </w:r>
      <w:r w:rsidR="009B5B9C" w:rsidRPr="001E73A0">
        <w:rPr>
          <w:sz w:val="24"/>
          <w:szCs w:val="24"/>
        </w:rPr>
        <w:t>firing or hiring</w:t>
      </w:r>
      <w:r w:rsidR="009E4B5C" w:rsidRPr="001E73A0">
        <w:rPr>
          <w:sz w:val="24"/>
          <w:szCs w:val="24"/>
        </w:rPr>
        <w:t xml:space="preserve"> </w:t>
      </w:r>
      <w:r w:rsidR="009E4B5C" w:rsidRPr="001E73A0">
        <w:rPr>
          <w:iCs/>
          <w:sz w:val="24"/>
          <w:szCs w:val="24"/>
        </w:rPr>
        <w:t>per se</w:t>
      </w:r>
      <w:r w:rsidR="004F2CA7" w:rsidRPr="001E73A0">
        <w:rPr>
          <w:sz w:val="24"/>
          <w:szCs w:val="24"/>
        </w:rPr>
        <w:t xml:space="preserve">; </w:t>
      </w:r>
      <w:r w:rsidR="009E4B5C" w:rsidRPr="001E73A0">
        <w:rPr>
          <w:sz w:val="24"/>
          <w:szCs w:val="24"/>
        </w:rPr>
        <w:t>rather</w:t>
      </w:r>
      <w:r w:rsidR="004F2CA7" w:rsidRPr="001E73A0">
        <w:rPr>
          <w:sz w:val="24"/>
          <w:szCs w:val="24"/>
        </w:rPr>
        <w:t>, it</w:t>
      </w:r>
      <w:r w:rsidR="009E4B5C" w:rsidRPr="001E73A0">
        <w:rPr>
          <w:sz w:val="24"/>
          <w:szCs w:val="24"/>
        </w:rPr>
        <w:t xml:space="preserve"> </w:t>
      </w:r>
      <w:r w:rsidR="00E611E2" w:rsidRPr="001E73A0">
        <w:rPr>
          <w:sz w:val="24"/>
          <w:szCs w:val="24"/>
        </w:rPr>
        <w:t xml:space="preserve">helps </w:t>
      </w:r>
      <w:r w:rsidR="00333788" w:rsidRPr="001E73A0">
        <w:rPr>
          <w:sz w:val="24"/>
          <w:szCs w:val="24"/>
        </w:rPr>
        <w:t xml:space="preserve">steer </w:t>
      </w:r>
      <w:r w:rsidR="00E3728A" w:rsidRPr="001E73A0">
        <w:rPr>
          <w:sz w:val="24"/>
          <w:szCs w:val="24"/>
        </w:rPr>
        <w:t>labo</w:t>
      </w:r>
      <w:r w:rsidR="005C0B8F" w:rsidRPr="001E73A0">
        <w:rPr>
          <w:sz w:val="24"/>
          <w:szCs w:val="24"/>
        </w:rPr>
        <w:t>u</w:t>
      </w:r>
      <w:r w:rsidR="00E3728A" w:rsidRPr="001E73A0">
        <w:rPr>
          <w:sz w:val="24"/>
          <w:szCs w:val="24"/>
        </w:rPr>
        <w:t>r investment to</w:t>
      </w:r>
      <w:r w:rsidR="00333788" w:rsidRPr="001E73A0">
        <w:rPr>
          <w:sz w:val="24"/>
          <w:szCs w:val="24"/>
        </w:rPr>
        <w:t>wards</w:t>
      </w:r>
      <w:r w:rsidR="00E611E2" w:rsidRPr="001E73A0">
        <w:rPr>
          <w:sz w:val="24"/>
          <w:szCs w:val="24"/>
        </w:rPr>
        <w:t xml:space="preserve"> </w:t>
      </w:r>
      <w:r w:rsidR="00333788" w:rsidRPr="001E73A0">
        <w:rPr>
          <w:sz w:val="24"/>
          <w:szCs w:val="24"/>
        </w:rPr>
        <w:t xml:space="preserve">an </w:t>
      </w:r>
      <w:r w:rsidR="00E611E2" w:rsidRPr="001E73A0">
        <w:rPr>
          <w:sz w:val="24"/>
          <w:szCs w:val="24"/>
        </w:rPr>
        <w:t>optimal level</w:t>
      </w:r>
      <w:r w:rsidR="009E4B5C" w:rsidRPr="001E73A0">
        <w:rPr>
          <w:sz w:val="24"/>
          <w:szCs w:val="24"/>
        </w:rPr>
        <w:t>.</w:t>
      </w:r>
      <w:r w:rsidRPr="001E73A0">
        <w:rPr>
          <w:sz w:val="24"/>
          <w:szCs w:val="24"/>
        </w:rPr>
        <w:t xml:space="preserve"> </w:t>
      </w:r>
    </w:p>
    <w:p w14:paraId="37E641F6" w14:textId="14C818DD" w:rsidR="00E3728A" w:rsidRPr="001E73A0" w:rsidRDefault="00250ADC" w:rsidP="00DC1859">
      <w:pPr>
        <w:adjustRightInd w:val="0"/>
        <w:snapToGrid w:val="0"/>
        <w:spacing w:after="0" w:line="360" w:lineRule="auto"/>
        <w:ind w:firstLine="720"/>
        <w:jc w:val="both"/>
        <w:rPr>
          <w:sz w:val="24"/>
          <w:szCs w:val="24"/>
        </w:rPr>
      </w:pPr>
      <w:r w:rsidRPr="001E73A0">
        <w:rPr>
          <w:sz w:val="24"/>
          <w:szCs w:val="24"/>
        </w:rPr>
        <w:t>Next</w:t>
      </w:r>
      <w:r w:rsidR="005C0B8F" w:rsidRPr="001E73A0">
        <w:rPr>
          <w:sz w:val="24"/>
          <w:szCs w:val="24"/>
        </w:rPr>
        <w:t>,</w:t>
      </w:r>
      <w:r w:rsidRPr="001E73A0">
        <w:rPr>
          <w:sz w:val="24"/>
          <w:szCs w:val="24"/>
        </w:rPr>
        <w:t xml:space="preserve"> we </w:t>
      </w:r>
      <w:r w:rsidR="009C50AB" w:rsidRPr="001E73A0">
        <w:rPr>
          <w:sz w:val="24"/>
          <w:szCs w:val="24"/>
        </w:rPr>
        <w:t>investigate</w:t>
      </w:r>
      <w:r w:rsidRPr="001E73A0">
        <w:rPr>
          <w:sz w:val="24"/>
          <w:szCs w:val="24"/>
        </w:rPr>
        <w:t xml:space="preserve"> the </w:t>
      </w:r>
      <w:r w:rsidR="00A203B6" w:rsidRPr="001E73A0">
        <w:rPr>
          <w:sz w:val="24"/>
          <w:szCs w:val="24"/>
        </w:rPr>
        <w:t>mechanisms</w:t>
      </w:r>
      <w:r w:rsidRPr="001E73A0">
        <w:rPr>
          <w:sz w:val="24"/>
          <w:szCs w:val="24"/>
        </w:rPr>
        <w:t xml:space="preserve"> though </w:t>
      </w:r>
      <w:r w:rsidR="009C50AB" w:rsidRPr="001E73A0">
        <w:rPr>
          <w:sz w:val="24"/>
          <w:szCs w:val="24"/>
        </w:rPr>
        <w:t>which accounting comparability improves labo</w:t>
      </w:r>
      <w:r w:rsidR="005C0B8F" w:rsidRPr="001E73A0">
        <w:rPr>
          <w:sz w:val="24"/>
          <w:szCs w:val="24"/>
        </w:rPr>
        <w:t>u</w:t>
      </w:r>
      <w:r w:rsidR="009C50AB" w:rsidRPr="001E73A0">
        <w:rPr>
          <w:sz w:val="24"/>
          <w:szCs w:val="24"/>
        </w:rPr>
        <w:t xml:space="preserve">r investment efficiency. </w:t>
      </w:r>
      <w:r w:rsidR="003A1EE6" w:rsidRPr="001E73A0">
        <w:rPr>
          <w:sz w:val="24"/>
          <w:szCs w:val="24"/>
        </w:rPr>
        <w:t xml:space="preserve">Our results </w:t>
      </w:r>
      <w:r w:rsidR="00CE1602" w:rsidRPr="001E73A0">
        <w:rPr>
          <w:sz w:val="24"/>
          <w:szCs w:val="24"/>
        </w:rPr>
        <w:t xml:space="preserve">reveal </w:t>
      </w:r>
      <w:r w:rsidR="003A1EE6" w:rsidRPr="001E73A0">
        <w:rPr>
          <w:sz w:val="24"/>
          <w:szCs w:val="24"/>
        </w:rPr>
        <w:t xml:space="preserve">that </w:t>
      </w:r>
      <w:r w:rsidR="00236009" w:rsidRPr="001E73A0">
        <w:rPr>
          <w:sz w:val="24"/>
          <w:szCs w:val="24"/>
        </w:rPr>
        <w:t xml:space="preserve">the </w:t>
      </w:r>
      <w:r w:rsidR="00CE1602" w:rsidRPr="001E73A0">
        <w:rPr>
          <w:sz w:val="24"/>
          <w:szCs w:val="24"/>
        </w:rPr>
        <w:t>relation between</w:t>
      </w:r>
      <w:r w:rsidR="00127151" w:rsidRPr="001E73A0">
        <w:rPr>
          <w:sz w:val="24"/>
          <w:szCs w:val="24"/>
        </w:rPr>
        <w:t xml:space="preserve"> </w:t>
      </w:r>
      <w:r w:rsidR="00333788" w:rsidRPr="001E73A0">
        <w:rPr>
          <w:sz w:val="24"/>
          <w:szCs w:val="24"/>
        </w:rPr>
        <w:t>the two</w:t>
      </w:r>
      <w:r w:rsidR="00127151" w:rsidRPr="001E73A0">
        <w:rPr>
          <w:sz w:val="24"/>
          <w:szCs w:val="24"/>
        </w:rPr>
        <w:t xml:space="preserve"> is </w:t>
      </w:r>
      <w:r w:rsidR="00BB0D0D" w:rsidRPr="001E73A0">
        <w:rPr>
          <w:sz w:val="24"/>
          <w:szCs w:val="24"/>
        </w:rPr>
        <w:t xml:space="preserve">more </w:t>
      </w:r>
      <w:r w:rsidR="009C50AB" w:rsidRPr="001E73A0">
        <w:rPr>
          <w:sz w:val="24"/>
          <w:szCs w:val="24"/>
        </w:rPr>
        <w:t>pronounced</w:t>
      </w:r>
      <w:r w:rsidR="00127151" w:rsidRPr="001E73A0">
        <w:rPr>
          <w:sz w:val="24"/>
          <w:szCs w:val="24"/>
        </w:rPr>
        <w:t xml:space="preserve"> </w:t>
      </w:r>
      <w:r w:rsidR="009C50AB" w:rsidRPr="001E73A0">
        <w:rPr>
          <w:sz w:val="24"/>
          <w:szCs w:val="24"/>
        </w:rPr>
        <w:t>in</w:t>
      </w:r>
      <w:r w:rsidR="00246B30" w:rsidRPr="001E73A0">
        <w:rPr>
          <w:sz w:val="24"/>
          <w:szCs w:val="24"/>
        </w:rPr>
        <w:t xml:space="preserve"> </w:t>
      </w:r>
      <w:r w:rsidR="00127151" w:rsidRPr="001E73A0">
        <w:rPr>
          <w:sz w:val="24"/>
          <w:szCs w:val="24"/>
        </w:rPr>
        <w:t xml:space="preserve">firms </w:t>
      </w:r>
      <w:r w:rsidR="003E1361" w:rsidRPr="001E73A0">
        <w:rPr>
          <w:sz w:val="24"/>
          <w:szCs w:val="24"/>
        </w:rPr>
        <w:t xml:space="preserve">with </w:t>
      </w:r>
      <w:r w:rsidR="00BB0D0D" w:rsidRPr="001E73A0">
        <w:rPr>
          <w:sz w:val="24"/>
          <w:szCs w:val="24"/>
        </w:rPr>
        <w:t xml:space="preserve">weak </w:t>
      </w:r>
      <w:r w:rsidR="003E1361" w:rsidRPr="001E73A0">
        <w:rPr>
          <w:sz w:val="24"/>
          <w:szCs w:val="24"/>
        </w:rPr>
        <w:t xml:space="preserve">monitoring both </w:t>
      </w:r>
      <w:r w:rsidR="00333788" w:rsidRPr="001E73A0">
        <w:rPr>
          <w:sz w:val="24"/>
          <w:szCs w:val="24"/>
        </w:rPr>
        <w:t>internal</w:t>
      </w:r>
      <w:r w:rsidR="003E1361" w:rsidRPr="001E73A0">
        <w:rPr>
          <w:sz w:val="24"/>
          <w:szCs w:val="24"/>
        </w:rPr>
        <w:t>ly</w:t>
      </w:r>
      <w:r w:rsidR="00333788" w:rsidRPr="001E73A0">
        <w:rPr>
          <w:sz w:val="24"/>
          <w:szCs w:val="24"/>
        </w:rPr>
        <w:t xml:space="preserve"> </w:t>
      </w:r>
      <w:r w:rsidR="00563BF7" w:rsidRPr="001E73A0">
        <w:rPr>
          <w:sz w:val="24"/>
          <w:szCs w:val="24"/>
        </w:rPr>
        <w:t>(</w:t>
      </w:r>
      <w:r w:rsidR="003E1361" w:rsidRPr="001E73A0">
        <w:rPr>
          <w:sz w:val="24"/>
          <w:szCs w:val="24"/>
        </w:rPr>
        <w:t xml:space="preserve">from </w:t>
      </w:r>
      <w:r w:rsidR="00563BF7" w:rsidRPr="001E73A0">
        <w:rPr>
          <w:sz w:val="24"/>
          <w:szCs w:val="24"/>
        </w:rPr>
        <w:t>corporate boards)</w:t>
      </w:r>
      <w:r w:rsidR="00481DBE" w:rsidRPr="001E73A0">
        <w:rPr>
          <w:sz w:val="24"/>
          <w:szCs w:val="24"/>
        </w:rPr>
        <w:t xml:space="preserve"> </w:t>
      </w:r>
      <w:r w:rsidR="00563BF7" w:rsidRPr="001E73A0">
        <w:rPr>
          <w:sz w:val="24"/>
          <w:szCs w:val="24"/>
        </w:rPr>
        <w:t>and</w:t>
      </w:r>
      <w:r w:rsidR="00333788" w:rsidRPr="001E73A0">
        <w:rPr>
          <w:sz w:val="24"/>
          <w:szCs w:val="24"/>
        </w:rPr>
        <w:t xml:space="preserve"> </w:t>
      </w:r>
      <w:r w:rsidR="00BB0D0D" w:rsidRPr="001E73A0">
        <w:rPr>
          <w:sz w:val="24"/>
          <w:szCs w:val="24"/>
        </w:rPr>
        <w:t>external</w:t>
      </w:r>
      <w:r w:rsidR="003E1361" w:rsidRPr="001E73A0">
        <w:rPr>
          <w:sz w:val="24"/>
          <w:szCs w:val="24"/>
        </w:rPr>
        <w:t>ly</w:t>
      </w:r>
      <w:r w:rsidR="00BB0D0D" w:rsidRPr="001E73A0">
        <w:rPr>
          <w:sz w:val="24"/>
          <w:szCs w:val="24"/>
        </w:rPr>
        <w:t xml:space="preserve"> (</w:t>
      </w:r>
      <w:r w:rsidR="003E1361" w:rsidRPr="001E73A0">
        <w:rPr>
          <w:sz w:val="24"/>
          <w:szCs w:val="24"/>
        </w:rPr>
        <w:t xml:space="preserve">from </w:t>
      </w:r>
      <w:r w:rsidR="00BB0D0D" w:rsidRPr="001E73A0">
        <w:rPr>
          <w:sz w:val="24"/>
          <w:szCs w:val="24"/>
        </w:rPr>
        <w:t>analysts, institutional investors, auditors, and labo</w:t>
      </w:r>
      <w:r w:rsidR="005C0B8F" w:rsidRPr="001E73A0">
        <w:rPr>
          <w:sz w:val="24"/>
          <w:szCs w:val="24"/>
        </w:rPr>
        <w:t>u</w:t>
      </w:r>
      <w:r w:rsidR="00BB0D0D" w:rsidRPr="001E73A0">
        <w:rPr>
          <w:sz w:val="24"/>
          <w:szCs w:val="24"/>
        </w:rPr>
        <w:t>r unions)</w:t>
      </w:r>
      <w:r w:rsidR="003E1361" w:rsidRPr="001E73A0">
        <w:rPr>
          <w:sz w:val="24"/>
          <w:szCs w:val="24"/>
        </w:rPr>
        <w:t xml:space="preserve">. </w:t>
      </w:r>
      <w:r w:rsidR="00BB0D0D" w:rsidRPr="001E73A0">
        <w:rPr>
          <w:sz w:val="24"/>
          <w:szCs w:val="24"/>
        </w:rPr>
        <w:t xml:space="preserve">The results support our </w:t>
      </w:r>
      <w:r w:rsidR="00333788" w:rsidRPr="001E73A0">
        <w:rPr>
          <w:sz w:val="24"/>
          <w:szCs w:val="24"/>
        </w:rPr>
        <w:t xml:space="preserve">assertion </w:t>
      </w:r>
      <w:r w:rsidR="00BB0D0D" w:rsidRPr="001E73A0">
        <w:rPr>
          <w:sz w:val="24"/>
          <w:szCs w:val="24"/>
        </w:rPr>
        <w:t xml:space="preserve">that </w:t>
      </w:r>
      <w:r w:rsidR="003F3F89" w:rsidRPr="001E73A0">
        <w:rPr>
          <w:sz w:val="24"/>
          <w:szCs w:val="24"/>
        </w:rPr>
        <w:t xml:space="preserve">accounting </w:t>
      </w:r>
      <w:r w:rsidR="00BB0D0D" w:rsidRPr="001E73A0">
        <w:rPr>
          <w:sz w:val="24"/>
          <w:szCs w:val="24"/>
        </w:rPr>
        <w:t>comparability influence</w:t>
      </w:r>
      <w:r w:rsidR="0012589D" w:rsidRPr="001E73A0">
        <w:rPr>
          <w:sz w:val="24"/>
          <w:szCs w:val="24"/>
        </w:rPr>
        <w:t>s</w:t>
      </w:r>
      <w:r w:rsidR="00BB0D0D" w:rsidRPr="001E73A0">
        <w:rPr>
          <w:sz w:val="24"/>
          <w:szCs w:val="24"/>
        </w:rPr>
        <w:t xml:space="preserve"> employment </w:t>
      </w:r>
      <w:r w:rsidR="00333788" w:rsidRPr="001E73A0">
        <w:rPr>
          <w:sz w:val="24"/>
          <w:szCs w:val="24"/>
        </w:rPr>
        <w:t xml:space="preserve">decision-making </w:t>
      </w:r>
      <w:r w:rsidR="00BB0D0D" w:rsidRPr="001E73A0">
        <w:rPr>
          <w:sz w:val="24"/>
          <w:szCs w:val="24"/>
        </w:rPr>
        <w:t>via external monitoring and internal governance mechanisms.</w:t>
      </w:r>
    </w:p>
    <w:p w14:paraId="31C1B15D" w14:textId="2DAA2003" w:rsidR="00CD4AF7" w:rsidRPr="001E73A0" w:rsidRDefault="00B714EE" w:rsidP="00C27203">
      <w:pPr>
        <w:adjustRightInd w:val="0"/>
        <w:snapToGrid w:val="0"/>
        <w:spacing w:after="0" w:line="360" w:lineRule="auto"/>
        <w:ind w:firstLine="720"/>
        <w:jc w:val="both"/>
        <w:rPr>
          <w:sz w:val="24"/>
          <w:szCs w:val="24"/>
        </w:rPr>
      </w:pPr>
      <w:r w:rsidRPr="001E73A0">
        <w:rPr>
          <w:sz w:val="24"/>
          <w:szCs w:val="24"/>
        </w:rPr>
        <w:t>T</w:t>
      </w:r>
      <w:r w:rsidR="00166A00" w:rsidRPr="001E73A0">
        <w:rPr>
          <w:sz w:val="24"/>
          <w:szCs w:val="24"/>
        </w:rPr>
        <w:t>his paper</w:t>
      </w:r>
      <w:r w:rsidR="00673251" w:rsidRPr="001E73A0">
        <w:rPr>
          <w:sz w:val="24"/>
          <w:szCs w:val="24"/>
        </w:rPr>
        <w:t xml:space="preserve"> </w:t>
      </w:r>
      <w:r w:rsidR="00CC6EC2" w:rsidRPr="001E73A0">
        <w:rPr>
          <w:sz w:val="24"/>
          <w:szCs w:val="24"/>
        </w:rPr>
        <w:t xml:space="preserve">makes </w:t>
      </w:r>
      <w:r w:rsidR="00563BF7" w:rsidRPr="001E73A0">
        <w:rPr>
          <w:sz w:val="24"/>
          <w:szCs w:val="24"/>
        </w:rPr>
        <w:t>t</w:t>
      </w:r>
      <w:r w:rsidR="00C27203" w:rsidRPr="001E73A0">
        <w:rPr>
          <w:sz w:val="24"/>
          <w:szCs w:val="24"/>
        </w:rPr>
        <w:t>hree</w:t>
      </w:r>
      <w:r w:rsidR="00563BF7" w:rsidRPr="001E73A0">
        <w:rPr>
          <w:sz w:val="24"/>
          <w:szCs w:val="24"/>
        </w:rPr>
        <w:t xml:space="preserve">-fold </w:t>
      </w:r>
      <w:r w:rsidR="00CC6EC2" w:rsidRPr="001E73A0">
        <w:rPr>
          <w:sz w:val="24"/>
          <w:szCs w:val="24"/>
        </w:rPr>
        <w:t xml:space="preserve">contributions </w:t>
      </w:r>
      <w:r w:rsidR="00673251" w:rsidRPr="001E73A0">
        <w:rPr>
          <w:sz w:val="24"/>
          <w:szCs w:val="24"/>
        </w:rPr>
        <w:t xml:space="preserve">to </w:t>
      </w:r>
      <w:r w:rsidR="00AC505D" w:rsidRPr="001E73A0">
        <w:rPr>
          <w:sz w:val="24"/>
          <w:szCs w:val="24"/>
        </w:rPr>
        <w:t>the field</w:t>
      </w:r>
      <w:r w:rsidR="00673251" w:rsidRPr="001E73A0">
        <w:rPr>
          <w:sz w:val="24"/>
          <w:szCs w:val="24"/>
        </w:rPr>
        <w:t xml:space="preserve">. First, we </w:t>
      </w:r>
      <w:r w:rsidR="008200F3" w:rsidRPr="001E73A0">
        <w:rPr>
          <w:sz w:val="24"/>
          <w:szCs w:val="24"/>
        </w:rPr>
        <w:t xml:space="preserve">document novel evidence </w:t>
      </w:r>
      <w:r w:rsidR="003E1361" w:rsidRPr="001E73A0">
        <w:rPr>
          <w:sz w:val="24"/>
          <w:szCs w:val="24"/>
        </w:rPr>
        <w:t xml:space="preserve">for </w:t>
      </w:r>
      <w:r w:rsidR="008200F3" w:rsidRPr="001E73A0">
        <w:rPr>
          <w:sz w:val="24"/>
          <w:szCs w:val="24"/>
        </w:rPr>
        <w:t>the monitor</w:t>
      </w:r>
      <w:r w:rsidR="00EE19DF" w:rsidRPr="001E73A0">
        <w:rPr>
          <w:sz w:val="24"/>
          <w:szCs w:val="24"/>
        </w:rPr>
        <w:t>ing</w:t>
      </w:r>
      <w:r w:rsidR="008200F3" w:rsidRPr="001E73A0">
        <w:rPr>
          <w:sz w:val="24"/>
          <w:szCs w:val="24"/>
        </w:rPr>
        <w:t xml:space="preserve"> role of accounting comparability in mitigating agency conflicts associated with employment decision</w:t>
      </w:r>
      <w:r w:rsidR="00C33CAF" w:rsidRPr="001E73A0">
        <w:rPr>
          <w:sz w:val="24"/>
          <w:szCs w:val="24"/>
        </w:rPr>
        <w:t>s</w:t>
      </w:r>
      <w:r w:rsidR="00673251" w:rsidRPr="001E73A0">
        <w:rPr>
          <w:sz w:val="24"/>
          <w:szCs w:val="24"/>
        </w:rPr>
        <w:t xml:space="preserve">. </w:t>
      </w:r>
      <w:r w:rsidR="00233B76" w:rsidRPr="001E73A0">
        <w:rPr>
          <w:sz w:val="24"/>
          <w:szCs w:val="24"/>
        </w:rPr>
        <w:t>P</w:t>
      </w:r>
      <w:r w:rsidR="00673251" w:rsidRPr="001E73A0">
        <w:rPr>
          <w:sz w:val="24"/>
          <w:szCs w:val="24"/>
        </w:rPr>
        <w:t xml:space="preserve">rior </w:t>
      </w:r>
      <w:r w:rsidR="000D7493" w:rsidRPr="001E73A0">
        <w:rPr>
          <w:sz w:val="24"/>
          <w:szCs w:val="24"/>
        </w:rPr>
        <w:t>literature</w:t>
      </w:r>
      <w:r w:rsidR="002103A7" w:rsidRPr="001E73A0">
        <w:rPr>
          <w:sz w:val="24"/>
          <w:szCs w:val="24"/>
        </w:rPr>
        <w:t xml:space="preserve"> </w:t>
      </w:r>
      <w:r w:rsidR="00673251" w:rsidRPr="001E73A0">
        <w:rPr>
          <w:sz w:val="24"/>
          <w:szCs w:val="24"/>
        </w:rPr>
        <w:t xml:space="preserve">in this area </w:t>
      </w:r>
      <w:r w:rsidR="00017F04" w:rsidRPr="001E73A0">
        <w:rPr>
          <w:sz w:val="24"/>
          <w:szCs w:val="24"/>
        </w:rPr>
        <w:t xml:space="preserve">has </w:t>
      </w:r>
      <w:r w:rsidR="00233B76" w:rsidRPr="001E73A0">
        <w:rPr>
          <w:sz w:val="24"/>
          <w:szCs w:val="24"/>
        </w:rPr>
        <w:t xml:space="preserve">mainly </w:t>
      </w:r>
      <w:r w:rsidR="00DC065E" w:rsidRPr="001E73A0">
        <w:rPr>
          <w:sz w:val="24"/>
          <w:szCs w:val="24"/>
        </w:rPr>
        <w:t>focus</w:t>
      </w:r>
      <w:r w:rsidR="008604F2" w:rsidRPr="001E73A0">
        <w:rPr>
          <w:sz w:val="24"/>
          <w:szCs w:val="24"/>
        </w:rPr>
        <w:t>e</w:t>
      </w:r>
      <w:r w:rsidR="00017F04" w:rsidRPr="001E73A0">
        <w:rPr>
          <w:sz w:val="24"/>
          <w:szCs w:val="24"/>
        </w:rPr>
        <w:t>d</w:t>
      </w:r>
      <w:r w:rsidR="00DC065E" w:rsidRPr="001E73A0">
        <w:rPr>
          <w:sz w:val="24"/>
          <w:szCs w:val="24"/>
        </w:rPr>
        <w:t xml:space="preserve"> on </w:t>
      </w:r>
      <w:r w:rsidR="00673251" w:rsidRPr="001E73A0">
        <w:rPr>
          <w:sz w:val="24"/>
          <w:szCs w:val="24"/>
        </w:rPr>
        <w:t xml:space="preserve">the </w:t>
      </w:r>
      <w:r w:rsidR="00DC065E" w:rsidRPr="001E73A0">
        <w:rPr>
          <w:sz w:val="24"/>
          <w:szCs w:val="24"/>
        </w:rPr>
        <w:t>informati</w:t>
      </w:r>
      <w:r w:rsidR="003E1361" w:rsidRPr="001E73A0">
        <w:rPr>
          <w:sz w:val="24"/>
          <w:szCs w:val="24"/>
        </w:rPr>
        <w:t>ve</w:t>
      </w:r>
      <w:r w:rsidR="00DC065E" w:rsidRPr="001E73A0">
        <w:rPr>
          <w:sz w:val="24"/>
          <w:szCs w:val="24"/>
        </w:rPr>
        <w:t xml:space="preserve"> role </w:t>
      </w:r>
      <w:r w:rsidR="00673251" w:rsidRPr="001E73A0">
        <w:rPr>
          <w:sz w:val="24"/>
          <w:szCs w:val="24"/>
        </w:rPr>
        <w:t xml:space="preserve">of </w:t>
      </w:r>
      <w:r w:rsidR="00DC065E" w:rsidRPr="001E73A0">
        <w:rPr>
          <w:sz w:val="24"/>
          <w:szCs w:val="24"/>
        </w:rPr>
        <w:t xml:space="preserve">accounting comparability. The seminal work by De Franco et al. </w:t>
      </w:r>
      <w:r w:rsidR="00DC065E" w:rsidRPr="001E73A0">
        <w:rPr>
          <w:sz w:val="24"/>
          <w:szCs w:val="24"/>
        </w:rPr>
        <w:fldChar w:fldCharType="begin" w:fldLock="1"/>
      </w:r>
      <w:r w:rsidR="00DC065E"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00DC065E" w:rsidRPr="001E73A0">
        <w:rPr>
          <w:sz w:val="24"/>
          <w:szCs w:val="24"/>
        </w:rPr>
        <w:fldChar w:fldCharType="separate"/>
      </w:r>
      <w:r w:rsidR="00DC065E" w:rsidRPr="001E73A0">
        <w:rPr>
          <w:noProof/>
          <w:sz w:val="24"/>
          <w:szCs w:val="24"/>
        </w:rPr>
        <w:t>(2011)</w:t>
      </w:r>
      <w:r w:rsidR="00DC065E" w:rsidRPr="001E73A0">
        <w:rPr>
          <w:sz w:val="24"/>
          <w:szCs w:val="24"/>
        </w:rPr>
        <w:fldChar w:fldCharType="end"/>
      </w:r>
      <w:r w:rsidR="00DC065E" w:rsidRPr="001E73A0">
        <w:rPr>
          <w:sz w:val="24"/>
          <w:szCs w:val="24"/>
        </w:rPr>
        <w:t xml:space="preserve"> </w:t>
      </w:r>
      <w:r w:rsidR="00EE17C6" w:rsidRPr="001E73A0">
        <w:rPr>
          <w:sz w:val="24"/>
          <w:szCs w:val="24"/>
        </w:rPr>
        <w:t>argue</w:t>
      </w:r>
      <w:r w:rsidR="003E1361" w:rsidRPr="001E73A0">
        <w:rPr>
          <w:sz w:val="24"/>
          <w:szCs w:val="24"/>
        </w:rPr>
        <w:t>s</w:t>
      </w:r>
      <w:r w:rsidR="00EE17C6" w:rsidRPr="001E73A0">
        <w:rPr>
          <w:sz w:val="24"/>
          <w:szCs w:val="24"/>
        </w:rPr>
        <w:t xml:space="preserve"> that comparable accounting information enriches its user</w:t>
      </w:r>
      <w:r w:rsidR="00507092" w:rsidRPr="001E73A0">
        <w:rPr>
          <w:sz w:val="24"/>
          <w:szCs w:val="24"/>
        </w:rPr>
        <w:t>s’</w:t>
      </w:r>
      <w:r w:rsidR="00EE17C6" w:rsidRPr="001E73A0">
        <w:rPr>
          <w:sz w:val="24"/>
          <w:szCs w:val="24"/>
        </w:rPr>
        <w:t xml:space="preserve"> information environments and enable</w:t>
      </w:r>
      <w:r w:rsidR="00507092" w:rsidRPr="001E73A0">
        <w:rPr>
          <w:sz w:val="24"/>
          <w:szCs w:val="24"/>
        </w:rPr>
        <w:t>s</w:t>
      </w:r>
      <w:r w:rsidR="00EE17C6" w:rsidRPr="001E73A0">
        <w:rPr>
          <w:sz w:val="24"/>
          <w:szCs w:val="24"/>
        </w:rPr>
        <w:t xml:space="preserve"> market participants to make more accurate </w:t>
      </w:r>
      <w:r w:rsidR="003C7D00" w:rsidRPr="001E73A0">
        <w:rPr>
          <w:sz w:val="24"/>
          <w:szCs w:val="24"/>
        </w:rPr>
        <w:t>valuation judgements</w:t>
      </w:r>
      <w:r w:rsidR="00EE17C6" w:rsidRPr="001E73A0">
        <w:rPr>
          <w:sz w:val="24"/>
          <w:szCs w:val="24"/>
        </w:rPr>
        <w:t xml:space="preserve"> on firm performance and </w:t>
      </w:r>
      <w:r w:rsidR="003C7D00" w:rsidRPr="001E73A0">
        <w:rPr>
          <w:sz w:val="24"/>
          <w:szCs w:val="24"/>
        </w:rPr>
        <w:t>risk level</w:t>
      </w:r>
      <w:r w:rsidR="00017F04" w:rsidRPr="001E73A0">
        <w:rPr>
          <w:sz w:val="24"/>
          <w:szCs w:val="24"/>
        </w:rPr>
        <w:t>s</w:t>
      </w:r>
      <w:r w:rsidR="003C7D00" w:rsidRPr="001E73A0">
        <w:rPr>
          <w:sz w:val="24"/>
          <w:szCs w:val="24"/>
        </w:rPr>
        <w:t>.</w:t>
      </w:r>
      <w:r w:rsidR="00DC065E" w:rsidRPr="001E73A0">
        <w:rPr>
          <w:sz w:val="24"/>
          <w:szCs w:val="24"/>
        </w:rPr>
        <w:t xml:space="preserve"> </w:t>
      </w:r>
      <w:r w:rsidR="005E5D17" w:rsidRPr="001E73A0">
        <w:rPr>
          <w:sz w:val="24"/>
          <w:szCs w:val="24"/>
        </w:rPr>
        <w:t xml:space="preserve">In line with </w:t>
      </w:r>
      <w:r w:rsidR="00EE17C6" w:rsidRPr="001E73A0">
        <w:rPr>
          <w:sz w:val="24"/>
          <w:szCs w:val="24"/>
        </w:rPr>
        <w:t>this research</w:t>
      </w:r>
      <w:r w:rsidR="003C7D00" w:rsidRPr="001E73A0">
        <w:rPr>
          <w:sz w:val="24"/>
          <w:szCs w:val="24"/>
        </w:rPr>
        <w:t>,</w:t>
      </w:r>
      <w:r w:rsidR="00C01DA8" w:rsidRPr="001E73A0">
        <w:rPr>
          <w:sz w:val="24"/>
          <w:szCs w:val="24"/>
        </w:rPr>
        <w:t xml:space="preserve"> </w:t>
      </w:r>
      <w:r w:rsidR="00017F04" w:rsidRPr="001E73A0">
        <w:rPr>
          <w:sz w:val="24"/>
          <w:szCs w:val="24"/>
        </w:rPr>
        <w:t xml:space="preserve">other </w:t>
      </w:r>
      <w:r w:rsidR="00C01DA8" w:rsidRPr="001E73A0">
        <w:rPr>
          <w:sz w:val="24"/>
          <w:szCs w:val="24"/>
        </w:rPr>
        <w:t>studies</w:t>
      </w:r>
      <w:r w:rsidR="003C7D00" w:rsidRPr="001E73A0">
        <w:rPr>
          <w:sz w:val="24"/>
          <w:szCs w:val="24"/>
        </w:rPr>
        <w:t xml:space="preserve"> </w:t>
      </w:r>
      <w:r w:rsidR="00C01DA8" w:rsidRPr="001E73A0">
        <w:rPr>
          <w:sz w:val="24"/>
          <w:szCs w:val="24"/>
        </w:rPr>
        <w:t xml:space="preserve">examine the impact of </w:t>
      </w:r>
      <w:r w:rsidR="00507092" w:rsidRPr="001E73A0">
        <w:rPr>
          <w:sz w:val="24"/>
          <w:szCs w:val="24"/>
        </w:rPr>
        <w:t>accounting comparability</w:t>
      </w:r>
      <w:r w:rsidR="00C01DA8" w:rsidRPr="001E73A0">
        <w:rPr>
          <w:sz w:val="24"/>
          <w:szCs w:val="24"/>
        </w:rPr>
        <w:t xml:space="preserve"> on firm credit risk </w:t>
      </w:r>
      <w:r w:rsidR="00C01DA8" w:rsidRPr="001E73A0">
        <w:rPr>
          <w:sz w:val="24"/>
          <w:szCs w:val="24"/>
        </w:rPr>
        <w:fldChar w:fldCharType="begin" w:fldLock="1"/>
      </w:r>
      <w:r w:rsidR="00FB2C4B" w:rsidRPr="001E73A0">
        <w:rPr>
          <w:sz w:val="24"/>
          <w:szCs w:val="24"/>
        </w:rP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risk","type":"article-journal","volume":"18"},"uris":["http://www.mendeley.com/documents/?uuid=e972df64-99d1-3933-8dc6-d33829ee5701"]}],"mendeley":{"formattedCitation":"(S. Kim et al., 2013)","manualFormatting":"(Kim et al., 2013)","plainTextFormattedCitation":"(S. Kim et al., 2013)","previouslyFormattedCitation":"(S. Kim et al., 2013)"},"properties":{"noteIndex":0},"schema":"https://github.com/citation-style-language/schema/raw/master/csl-citation.json"}</w:instrText>
      </w:r>
      <w:r w:rsidR="00C01DA8" w:rsidRPr="001E73A0">
        <w:rPr>
          <w:sz w:val="24"/>
          <w:szCs w:val="24"/>
        </w:rPr>
        <w:fldChar w:fldCharType="separate"/>
      </w:r>
      <w:r w:rsidR="00C01DA8" w:rsidRPr="001E73A0">
        <w:rPr>
          <w:noProof/>
          <w:sz w:val="24"/>
          <w:szCs w:val="24"/>
        </w:rPr>
        <w:t>(Kim et al., 2013)</w:t>
      </w:r>
      <w:r w:rsidR="00C01DA8" w:rsidRPr="001E73A0">
        <w:rPr>
          <w:sz w:val="24"/>
          <w:szCs w:val="24"/>
        </w:rPr>
        <w:fldChar w:fldCharType="end"/>
      </w:r>
      <w:r w:rsidR="00C01DA8" w:rsidRPr="001E73A0">
        <w:rPr>
          <w:sz w:val="24"/>
          <w:szCs w:val="24"/>
        </w:rPr>
        <w:t xml:space="preserve">, stock crash risk </w:t>
      </w:r>
      <w:r w:rsidR="00C01DA8" w:rsidRPr="001E73A0">
        <w:rPr>
          <w:sz w:val="24"/>
          <w:szCs w:val="24"/>
        </w:rPr>
        <w:fldChar w:fldCharType="begin" w:fldLock="1"/>
      </w:r>
      <w:r w:rsidR="00C01DA8" w:rsidRPr="001E73A0">
        <w:rPr>
          <w:sz w:val="24"/>
          <w:szCs w:val="24"/>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risk","type":"article-journal","volume":"61"},"uris":["http://www.mendeley.com/documents/?uuid=6a92aef2-be5d-31d0-aed3-10b52719d593"]}],"mendeley":{"formattedCitation":"(J.-B. Kim et al., 2016)","manualFormatting":"(Kim et al., 2016)","plainTextFormattedCitation":"(J.-B. Kim et al., 2016)","previouslyFormattedCitation":"(J.-B. Kim et al., 2016)"},"properties":{"noteIndex":0},"schema":"https://github.com/citation-style-language/schema/raw/master/csl-citation.json"}</w:instrText>
      </w:r>
      <w:r w:rsidR="00C01DA8" w:rsidRPr="001E73A0">
        <w:rPr>
          <w:sz w:val="24"/>
          <w:szCs w:val="24"/>
        </w:rPr>
        <w:fldChar w:fldCharType="separate"/>
      </w:r>
      <w:r w:rsidR="00C01DA8" w:rsidRPr="001E73A0">
        <w:rPr>
          <w:noProof/>
          <w:sz w:val="24"/>
          <w:szCs w:val="24"/>
        </w:rPr>
        <w:t>(Kim et al., 2016)</w:t>
      </w:r>
      <w:r w:rsidR="00C01DA8" w:rsidRPr="001E73A0">
        <w:rPr>
          <w:sz w:val="24"/>
          <w:szCs w:val="24"/>
        </w:rPr>
        <w:fldChar w:fldCharType="end"/>
      </w:r>
      <w:r w:rsidR="00C01DA8" w:rsidRPr="001E73A0">
        <w:rPr>
          <w:sz w:val="24"/>
          <w:szCs w:val="24"/>
        </w:rPr>
        <w:t>, analyst forecasting</w:t>
      </w:r>
      <w:r w:rsidR="008200F3" w:rsidRPr="001E73A0">
        <w:rPr>
          <w:sz w:val="24"/>
          <w:szCs w:val="24"/>
        </w:rPr>
        <w:t xml:space="preserve"> accuracy</w:t>
      </w:r>
      <w:r w:rsidR="00C01DA8" w:rsidRPr="001E73A0">
        <w:rPr>
          <w:sz w:val="24"/>
          <w:szCs w:val="24"/>
        </w:rPr>
        <w:t xml:space="preserve"> </w:t>
      </w:r>
      <w:r w:rsidR="00C01DA8" w:rsidRPr="001E73A0">
        <w:rPr>
          <w:sz w:val="24"/>
          <w:szCs w:val="24"/>
        </w:rPr>
        <w:fldChar w:fldCharType="begin" w:fldLock="1"/>
      </w:r>
      <w:r w:rsidR="00C01DA8"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00C01DA8" w:rsidRPr="001E73A0">
        <w:rPr>
          <w:sz w:val="24"/>
          <w:szCs w:val="24"/>
        </w:rPr>
        <w:fldChar w:fldCharType="separate"/>
      </w:r>
      <w:r w:rsidR="00C01DA8" w:rsidRPr="001E73A0">
        <w:rPr>
          <w:noProof/>
          <w:sz w:val="24"/>
          <w:szCs w:val="24"/>
        </w:rPr>
        <w:t>(De Franco et al., 2011)</w:t>
      </w:r>
      <w:r w:rsidR="00C01DA8" w:rsidRPr="001E73A0">
        <w:rPr>
          <w:sz w:val="24"/>
          <w:szCs w:val="24"/>
        </w:rPr>
        <w:fldChar w:fldCharType="end"/>
      </w:r>
      <w:r w:rsidR="00017F04" w:rsidRPr="001E73A0">
        <w:rPr>
          <w:sz w:val="24"/>
          <w:szCs w:val="24"/>
        </w:rPr>
        <w:t>,</w:t>
      </w:r>
      <w:r w:rsidR="00C01DA8" w:rsidRPr="001E73A0">
        <w:rPr>
          <w:sz w:val="24"/>
          <w:szCs w:val="24"/>
        </w:rPr>
        <w:t xml:space="preserve"> and audit accuracy </w:t>
      </w:r>
      <w:r w:rsidR="00C01DA8" w:rsidRPr="001E73A0">
        <w:rPr>
          <w:sz w:val="24"/>
          <w:szCs w:val="24"/>
        </w:rPr>
        <w:fldChar w:fldCharType="begin" w:fldLock="1"/>
      </w:r>
      <w:r w:rsidR="00C01DA8"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00C01DA8" w:rsidRPr="001E73A0">
        <w:rPr>
          <w:sz w:val="24"/>
          <w:szCs w:val="24"/>
        </w:rPr>
        <w:fldChar w:fldCharType="separate"/>
      </w:r>
      <w:r w:rsidR="00C01DA8" w:rsidRPr="001E73A0">
        <w:rPr>
          <w:noProof/>
          <w:sz w:val="24"/>
          <w:szCs w:val="24"/>
        </w:rPr>
        <w:t>(Zhang, 2018)</w:t>
      </w:r>
      <w:r w:rsidR="00C01DA8" w:rsidRPr="001E73A0">
        <w:rPr>
          <w:sz w:val="24"/>
          <w:szCs w:val="24"/>
        </w:rPr>
        <w:fldChar w:fldCharType="end"/>
      </w:r>
      <w:r w:rsidR="00233B76" w:rsidRPr="001E73A0">
        <w:rPr>
          <w:sz w:val="24"/>
          <w:szCs w:val="24"/>
        </w:rPr>
        <w:t xml:space="preserve">. </w:t>
      </w:r>
      <w:r w:rsidR="008200F3" w:rsidRPr="001E73A0">
        <w:rPr>
          <w:sz w:val="24"/>
          <w:szCs w:val="24"/>
        </w:rPr>
        <w:t>However</w:t>
      </w:r>
      <w:r w:rsidR="00233B76" w:rsidRPr="001E73A0">
        <w:rPr>
          <w:sz w:val="24"/>
          <w:szCs w:val="24"/>
        </w:rPr>
        <w:t>, the monit</w:t>
      </w:r>
      <w:r w:rsidR="00843F3A" w:rsidRPr="001E73A0">
        <w:rPr>
          <w:sz w:val="24"/>
          <w:szCs w:val="24"/>
        </w:rPr>
        <w:t>oring</w:t>
      </w:r>
      <w:r w:rsidR="004D3C1B" w:rsidRPr="001E73A0">
        <w:rPr>
          <w:sz w:val="24"/>
          <w:szCs w:val="24"/>
        </w:rPr>
        <w:t xml:space="preserve"> </w:t>
      </w:r>
      <w:r w:rsidR="00233B76" w:rsidRPr="001E73A0">
        <w:rPr>
          <w:sz w:val="24"/>
          <w:szCs w:val="24"/>
        </w:rPr>
        <w:t xml:space="preserve">role of accounting comparability </w:t>
      </w:r>
      <w:r w:rsidR="00C01DA8" w:rsidRPr="001E73A0">
        <w:rPr>
          <w:sz w:val="24"/>
          <w:szCs w:val="24"/>
        </w:rPr>
        <w:t xml:space="preserve">is </w:t>
      </w:r>
      <w:r w:rsidR="00017F04" w:rsidRPr="001E73A0">
        <w:rPr>
          <w:sz w:val="24"/>
          <w:szCs w:val="24"/>
        </w:rPr>
        <w:t xml:space="preserve">largely </w:t>
      </w:r>
      <w:r w:rsidR="00C01DA8" w:rsidRPr="001E73A0">
        <w:rPr>
          <w:sz w:val="24"/>
          <w:szCs w:val="24"/>
        </w:rPr>
        <w:t>neglect</w:t>
      </w:r>
      <w:r w:rsidR="00605200" w:rsidRPr="001E73A0">
        <w:rPr>
          <w:sz w:val="24"/>
          <w:szCs w:val="24"/>
        </w:rPr>
        <w:t>ed</w:t>
      </w:r>
      <w:r w:rsidR="00C01DA8" w:rsidRPr="001E73A0">
        <w:rPr>
          <w:sz w:val="24"/>
          <w:szCs w:val="24"/>
        </w:rPr>
        <w:t xml:space="preserve">. </w:t>
      </w:r>
      <w:r w:rsidR="004576F6" w:rsidRPr="001E73A0">
        <w:rPr>
          <w:sz w:val="24"/>
          <w:szCs w:val="24"/>
        </w:rPr>
        <w:t>Our study seeks not only to depart from these studies</w:t>
      </w:r>
      <w:r w:rsidR="004D3C1B" w:rsidRPr="001E73A0">
        <w:rPr>
          <w:sz w:val="24"/>
          <w:szCs w:val="24"/>
        </w:rPr>
        <w:t>,</w:t>
      </w:r>
      <w:r w:rsidR="004576F6" w:rsidRPr="001E73A0">
        <w:rPr>
          <w:sz w:val="24"/>
          <w:szCs w:val="24"/>
        </w:rPr>
        <w:t xml:space="preserve"> but also extend them</w:t>
      </w:r>
      <w:r w:rsidR="00AC505D" w:rsidRPr="001E73A0">
        <w:rPr>
          <w:sz w:val="24"/>
          <w:szCs w:val="24"/>
        </w:rPr>
        <w:t>,</w:t>
      </w:r>
      <w:r w:rsidR="004576F6" w:rsidRPr="001E73A0">
        <w:rPr>
          <w:sz w:val="24"/>
          <w:szCs w:val="24"/>
        </w:rPr>
        <w:t xml:space="preserve"> by </w:t>
      </w:r>
      <w:r w:rsidR="008200F3" w:rsidRPr="001E73A0">
        <w:rPr>
          <w:sz w:val="24"/>
          <w:szCs w:val="24"/>
        </w:rPr>
        <w:t>exploring the monitor</w:t>
      </w:r>
      <w:r w:rsidR="00843F3A" w:rsidRPr="001E73A0">
        <w:rPr>
          <w:sz w:val="24"/>
          <w:szCs w:val="24"/>
        </w:rPr>
        <w:t>ing</w:t>
      </w:r>
      <w:r w:rsidR="008200F3" w:rsidRPr="001E73A0">
        <w:rPr>
          <w:sz w:val="24"/>
          <w:szCs w:val="24"/>
        </w:rPr>
        <w:t xml:space="preserve"> role</w:t>
      </w:r>
      <w:r w:rsidR="000D7493" w:rsidRPr="001E73A0">
        <w:rPr>
          <w:sz w:val="24"/>
          <w:szCs w:val="24"/>
        </w:rPr>
        <w:t xml:space="preserve"> </w:t>
      </w:r>
      <w:r w:rsidR="005C0E93" w:rsidRPr="001E73A0">
        <w:rPr>
          <w:sz w:val="24"/>
          <w:szCs w:val="24"/>
        </w:rPr>
        <w:t xml:space="preserve">of accounting comparability </w:t>
      </w:r>
      <w:r w:rsidR="00605200" w:rsidRPr="001E73A0">
        <w:rPr>
          <w:sz w:val="24"/>
          <w:szCs w:val="24"/>
        </w:rPr>
        <w:t xml:space="preserve">in </w:t>
      </w:r>
      <w:r w:rsidR="005C0E93" w:rsidRPr="001E73A0">
        <w:rPr>
          <w:sz w:val="24"/>
          <w:szCs w:val="24"/>
        </w:rPr>
        <w:t>e</w:t>
      </w:r>
      <w:r w:rsidR="004251F9" w:rsidRPr="001E73A0">
        <w:rPr>
          <w:sz w:val="24"/>
          <w:szCs w:val="24"/>
        </w:rPr>
        <w:t xml:space="preserve">mployment </w:t>
      </w:r>
      <w:r w:rsidR="00AC505D" w:rsidRPr="001E73A0">
        <w:rPr>
          <w:sz w:val="24"/>
          <w:szCs w:val="24"/>
        </w:rPr>
        <w:t>decision-making</w:t>
      </w:r>
      <w:r w:rsidR="00017F04" w:rsidRPr="001E73A0">
        <w:rPr>
          <w:sz w:val="24"/>
          <w:szCs w:val="24"/>
        </w:rPr>
        <w:t xml:space="preserve">, with </w:t>
      </w:r>
      <w:r w:rsidR="005C0E93" w:rsidRPr="001E73A0">
        <w:rPr>
          <w:sz w:val="24"/>
          <w:szCs w:val="24"/>
        </w:rPr>
        <w:t>results suggest</w:t>
      </w:r>
      <w:r w:rsidR="00017F04" w:rsidRPr="001E73A0">
        <w:rPr>
          <w:sz w:val="24"/>
          <w:szCs w:val="24"/>
        </w:rPr>
        <w:t>ing it serves as</w:t>
      </w:r>
      <w:r w:rsidR="00143D2C" w:rsidRPr="001E73A0">
        <w:rPr>
          <w:sz w:val="24"/>
          <w:szCs w:val="24"/>
        </w:rPr>
        <w:t xml:space="preserve"> an important</w:t>
      </w:r>
      <w:r w:rsidR="000E77B5" w:rsidRPr="001E73A0">
        <w:rPr>
          <w:sz w:val="24"/>
          <w:szCs w:val="24"/>
        </w:rPr>
        <w:t xml:space="preserve"> monitor</w:t>
      </w:r>
      <w:r w:rsidR="00B40E81" w:rsidRPr="001E73A0">
        <w:rPr>
          <w:sz w:val="24"/>
          <w:szCs w:val="24"/>
        </w:rPr>
        <w:t>ing</w:t>
      </w:r>
      <w:r w:rsidR="00143D2C" w:rsidRPr="001E73A0">
        <w:rPr>
          <w:sz w:val="24"/>
          <w:szCs w:val="24"/>
        </w:rPr>
        <w:t xml:space="preserve"> tool </w:t>
      </w:r>
      <w:r w:rsidR="00017F04" w:rsidRPr="001E73A0">
        <w:rPr>
          <w:sz w:val="24"/>
          <w:szCs w:val="24"/>
        </w:rPr>
        <w:t xml:space="preserve">supporting </w:t>
      </w:r>
      <w:r w:rsidR="005C0E93" w:rsidRPr="001E73A0">
        <w:rPr>
          <w:sz w:val="24"/>
          <w:szCs w:val="24"/>
        </w:rPr>
        <w:t xml:space="preserve">efficient </w:t>
      </w:r>
      <w:r w:rsidR="004576F6" w:rsidRPr="001E73A0">
        <w:rPr>
          <w:sz w:val="24"/>
          <w:szCs w:val="24"/>
        </w:rPr>
        <w:t>labour</w:t>
      </w:r>
      <w:r w:rsidR="005C0E93" w:rsidRPr="001E73A0">
        <w:rPr>
          <w:sz w:val="24"/>
          <w:szCs w:val="24"/>
        </w:rPr>
        <w:t xml:space="preserve"> investment. </w:t>
      </w:r>
    </w:p>
    <w:p w14:paraId="1C788885" w14:textId="2FCD6FFC" w:rsidR="00C27203" w:rsidRPr="001E73A0" w:rsidRDefault="009F71AE" w:rsidP="009F71AE">
      <w:pPr>
        <w:adjustRightInd w:val="0"/>
        <w:snapToGrid w:val="0"/>
        <w:spacing w:after="0" w:line="360" w:lineRule="auto"/>
        <w:ind w:firstLine="720"/>
        <w:jc w:val="both"/>
        <w:rPr>
          <w:sz w:val="24"/>
          <w:szCs w:val="24"/>
        </w:rPr>
      </w:pPr>
      <w:r w:rsidRPr="001E73A0">
        <w:rPr>
          <w:sz w:val="24"/>
          <w:szCs w:val="24"/>
        </w:rPr>
        <w:t>Second, we contribute to the literature by identifying the mechanisms through which accounting comparability affects corporate investment efficiency, specifically by means of external monitoring and internal governance.</w:t>
      </w:r>
      <w:r>
        <w:rPr>
          <w:sz w:val="24"/>
          <w:szCs w:val="24"/>
        </w:rPr>
        <w:t xml:space="preserve"> </w:t>
      </w:r>
      <w:r w:rsidR="00563BF7" w:rsidRPr="001E73A0">
        <w:rPr>
          <w:sz w:val="24"/>
          <w:szCs w:val="24"/>
        </w:rPr>
        <w:t>In particular, we argue that comparable accounting information enables greater accessibility by both internal and external monitoring agents, such as analysts, institutional investors, auditors, labour unions, and boards of directors, which in turn constrains managerial opportunism in employment decisions.</w:t>
      </w:r>
      <w:r w:rsidR="00C27203" w:rsidRPr="001E73A0">
        <w:rPr>
          <w:sz w:val="24"/>
          <w:szCs w:val="24"/>
        </w:rPr>
        <w:t xml:space="preserve"> </w:t>
      </w:r>
    </w:p>
    <w:p w14:paraId="554B8298" w14:textId="26BDAC13" w:rsidR="00673251" w:rsidRPr="001E73A0" w:rsidRDefault="00C27203" w:rsidP="00DC1859">
      <w:pPr>
        <w:adjustRightInd w:val="0"/>
        <w:snapToGrid w:val="0"/>
        <w:spacing w:after="0" w:line="360" w:lineRule="auto"/>
        <w:ind w:firstLine="720"/>
        <w:jc w:val="both"/>
        <w:rPr>
          <w:sz w:val="24"/>
          <w:szCs w:val="24"/>
        </w:rPr>
      </w:pPr>
      <w:r w:rsidRPr="001E73A0">
        <w:rPr>
          <w:sz w:val="24"/>
          <w:szCs w:val="24"/>
        </w:rPr>
        <w:t>Finally</w:t>
      </w:r>
      <w:r w:rsidR="008604F2" w:rsidRPr="001E73A0">
        <w:rPr>
          <w:sz w:val="24"/>
          <w:szCs w:val="24"/>
        </w:rPr>
        <w:t>,</w:t>
      </w:r>
      <w:r w:rsidR="00673251" w:rsidRPr="001E73A0">
        <w:rPr>
          <w:sz w:val="24"/>
          <w:szCs w:val="24"/>
        </w:rPr>
        <w:t xml:space="preserve"> our study </w:t>
      </w:r>
      <w:r w:rsidR="005C0E93" w:rsidRPr="001E73A0">
        <w:rPr>
          <w:sz w:val="24"/>
          <w:szCs w:val="24"/>
        </w:rPr>
        <w:t xml:space="preserve">enriches </w:t>
      </w:r>
      <w:r w:rsidR="00673251" w:rsidRPr="001E73A0">
        <w:rPr>
          <w:sz w:val="24"/>
          <w:szCs w:val="24"/>
        </w:rPr>
        <w:t xml:space="preserve">the literature on </w:t>
      </w:r>
      <w:r w:rsidR="004576F6" w:rsidRPr="001E73A0">
        <w:rPr>
          <w:sz w:val="24"/>
          <w:szCs w:val="24"/>
        </w:rPr>
        <w:t>labour</w:t>
      </w:r>
      <w:r w:rsidR="00673251" w:rsidRPr="001E73A0">
        <w:rPr>
          <w:sz w:val="24"/>
          <w:szCs w:val="24"/>
        </w:rPr>
        <w:t xml:space="preserve"> </w:t>
      </w:r>
      <w:r w:rsidR="005C0E93" w:rsidRPr="001E73A0">
        <w:rPr>
          <w:sz w:val="24"/>
          <w:szCs w:val="24"/>
        </w:rPr>
        <w:t>investment</w:t>
      </w:r>
      <w:r w:rsidR="007A561B" w:rsidRPr="001E73A0">
        <w:rPr>
          <w:sz w:val="24"/>
          <w:szCs w:val="24"/>
        </w:rPr>
        <w:t xml:space="preserve"> decision</w:t>
      </w:r>
      <w:r w:rsidR="002A07BA" w:rsidRPr="001E73A0">
        <w:rPr>
          <w:sz w:val="24"/>
          <w:szCs w:val="24"/>
        </w:rPr>
        <w:t>-making</w:t>
      </w:r>
      <w:r w:rsidR="00673251" w:rsidRPr="001E73A0">
        <w:rPr>
          <w:sz w:val="24"/>
          <w:szCs w:val="24"/>
        </w:rPr>
        <w:t xml:space="preserve">. </w:t>
      </w:r>
      <w:r w:rsidR="00AC505D" w:rsidRPr="001E73A0">
        <w:rPr>
          <w:sz w:val="24"/>
          <w:szCs w:val="24"/>
        </w:rPr>
        <w:t>E</w:t>
      </w:r>
      <w:r w:rsidR="00673251" w:rsidRPr="001E73A0">
        <w:rPr>
          <w:sz w:val="24"/>
          <w:szCs w:val="24"/>
        </w:rPr>
        <w:t xml:space="preserve">mployment </w:t>
      </w:r>
      <w:r w:rsidR="00AC505D" w:rsidRPr="001E73A0">
        <w:rPr>
          <w:sz w:val="24"/>
          <w:szCs w:val="24"/>
        </w:rPr>
        <w:t xml:space="preserve">decision-making </w:t>
      </w:r>
      <w:r w:rsidR="00673251" w:rsidRPr="001E73A0">
        <w:rPr>
          <w:sz w:val="24"/>
          <w:szCs w:val="24"/>
        </w:rPr>
        <w:t xml:space="preserve">is </w:t>
      </w:r>
      <w:r w:rsidR="005C0E93" w:rsidRPr="001E73A0">
        <w:rPr>
          <w:sz w:val="24"/>
          <w:szCs w:val="24"/>
        </w:rPr>
        <w:t xml:space="preserve">underscored </w:t>
      </w:r>
      <w:r w:rsidR="00107454" w:rsidRPr="001E73A0">
        <w:rPr>
          <w:sz w:val="24"/>
          <w:szCs w:val="24"/>
        </w:rPr>
        <w:t xml:space="preserve">by </w:t>
      </w:r>
      <w:r w:rsidR="004576F6" w:rsidRPr="001E73A0">
        <w:rPr>
          <w:sz w:val="24"/>
          <w:szCs w:val="24"/>
        </w:rPr>
        <w:t xml:space="preserve">investors, </w:t>
      </w:r>
      <w:r w:rsidR="00673251" w:rsidRPr="001E73A0">
        <w:rPr>
          <w:sz w:val="24"/>
          <w:szCs w:val="24"/>
        </w:rPr>
        <w:t>regulator</w:t>
      </w:r>
      <w:r w:rsidR="00862A9A" w:rsidRPr="001E73A0">
        <w:rPr>
          <w:sz w:val="24"/>
          <w:szCs w:val="24"/>
        </w:rPr>
        <w:t>s</w:t>
      </w:r>
      <w:r w:rsidR="00673251" w:rsidRPr="001E73A0">
        <w:rPr>
          <w:sz w:val="24"/>
          <w:szCs w:val="24"/>
        </w:rPr>
        <w:t>, practitioners</w:t>
      </w:r>
      <w:r w:rsidR="00AC505D" w:rsidRPr="001E73A0">
        <w:rPr>
          <w:sz w:val="24"/>
          <w:szCs w:val="24"/>
        </w:rPr>
        <w:t>,</w:t>
      </w:r>
      <w:r w:rsidR="00673251" w:rsidRPr="001E73A0">
        <w:rPr>
          <w:sz w:val="24"/>
          <w:szCs w:val="24"/>
        </w:rPr>
        <w:t xml:space="preserve"> and researchers </w:t>
      </w:r>
      <w:r w:rsidR="00AC505D" w:rsidRPr="001E73A0">
        <w:rPr>
          <w:sz w:val="24"/>
          <w:szCs w:val="24"/>
        </w:rPr>
        <w:t xml:space="preserve">as a </w:t>
      </w:r>
      <w:r w:rsidR="002A07BA" w:rsidRPr="001E73A0">
        <w:rPr>
          <w:sz w:val="24"/>
          <w:szCs w:val="24"/>
        </w:rPr>
        <w:t xml:space="preserve">core </w:t>
      </w:r>
      <w:r w:rsidR="00657E9D" w:rsidRPr="001E73A0">
        <w:rPr>
          <w:sz w:val="24"/>
          <w:szCs w:val="24"/>
        </w:rPr>
        <w:t xml:space="preserve">human-capital-intensive feature of </w:t>
      </w:r>
      <w:r w:rsidR="00862A9A" w:rsidRPr="001E73A0">
        <w:rPr>
          <w:sz w:val="24"/>
          <w:szCs w:val="24"/>
        </w:rPr>
        <w:t>modern</w:t>
      </w:r>
      <w:r w:rsidR="00673251" w:rsidRPr="001E73A0">
        <w:rPr>
          <w:sz w:val="24"/>
          <w:szCs w:val="24"/>
        </w:rPr>
        <w:t xml:space="preserve"> firms </w:t>
      </w:r>
      <w:r w:rsidR="006F73FD" w:rsidRPr="001E73A0">
        <w:rPr>
          <w:sz w:val="24"/>
          <w:szCs w:val="24"/>
        </w:rPr>
        <w:fldChar w:fldCharType="begin" w:fldLock="1"/>
      </w:r>
      <w:r w:rsidR="00091ADB" w:rsidRPr="001E73A0">
        <w:rPr>
          <w:sz w:val="24"/>
          <w:szCs w:val="24"/>
        </w:rPr>
        <w:instrText>ADDIN CSL_CITATION {"citationItems":[{"id":"ITEM-1","itemData":{"author":[{"dropping-particle":"","family":"Bernanke","given":"B.","non-dropping-particle":"","parse-names":false,"suffix":""}],"container-title":"Federal Reserve Board Speech delivered at the Meetings of the American Economic Association, San Diego, California, January 4.","id":"ITEM-1","issued":{"date-parts":[["2004"]]},"title":"Monetary policy and the economic outlook","type":"article-newspaper"},"uris":["http://www.mendeley.com/documents/?uuid=ac740287-5973-40c1-ad48-1b8db24bcdc8"]},{"id":"ITEM-2","itemData":{"ISBN":"0823-9150","ISSN":"19113846","abstract":"We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Research","id":"ITEM-2","issue":"4","issued":{"date-parts":[["2014"]]},"page":"1047-1076","title":"Financial reporting quality and labor investment efficiency","type":"article-journal","volume":"31"},"uris":["http://www.mendeley.com/documents/?uuid=c0be0420-4a3b-407c-be29-d99c32f42d71"]}],"mendeley":{"formattedCitation":"(Bernanke, 2004; Jung et al., 2014)","plainTextFormattedCitation":"(Bernanke, 2004; Jung et al., 2014)","previouslyFormattedCitation":"(Bernanke, 2004; Jung et al., 2014)"},"properties":{"noteIndex":0},"schema":"https://github.com/citation-style-language/schema/raw/master/csl-citation.json"}</w:instrText>
      </w:r>
      <w:r w:rsidR="006F73FD" w:rsidRPr="001E73A0">
        <w:rPr>
          <w:sz w:val="24"/>
          <w:szCs w:val="24"/>
        </w:rPr>
        <w:fldChar w:fldCharType="separate"/>
      </w:r>
      <w:r w:rsidR="00AA7251" w:rsidRPr="001E73A0">
        <w:rPr>
          <w:noProof/>
          <w:sz w:val="24"/>
          <w:szCs w:val="24"/>
        </w:rPr>
        <w:t>(Bernanke, 2004; Jung et al., 2014)</w:t>
      </w:r>
      <w:r w:rsidR="006F73FD" w:rsidRPr="001E73A0">
        <w:rPr>
          <w:sz w:val="24"/>
          <w:szCs w:val="24"/>
        </w:rPr>
        <w:fldChar w:fldCharType="end"/>
      </w:r>
      <w:r w:rsidR="00673251" w:rsidRPr="001E73A0">
        <w:rPr>
          <w:sz w:val="24"/>
          <w:szCs w:val="24"/>
        </w:rPr>
        <w:t xml:space="preserve">. </w:t>
      </w:r>
      <w:r w:rsidR="00754A76" w:rsidRPr="001E73A0">
        <w:rPr>
          <w:sz w:val="24"/>
          <w:szCs w:val="24"/>
        </w:rPr>
        <w:t>P</w:t>
      </w:r>
      <w:r w:rsidR="005C0E93" w:rsidRPr="001E73A0">
        <w:rPr>
          <w:sz w:val="24"/>
          <w:szCs w:val="24"/>
        </w:rPr>
        <w:t xml:space="preserve">revious literature </w:t>
      </w:r>
      <w:r w:rsidR="00754A76" w:rsidRPr="001E73A0">
        <w:rPr>
          <w:sz w:val="24"/>
          <w:szCs w:val="24"/>
        </w:rPr>
        <w:t xml:space="preserve">examines </w:t>
      </w:r>
      <w:r w:rsidR="005C0E93" w:rsidRPr="001E73A0">
        <w:rPr>
          <w:sz w:val="24"/>
          <w:szCs w:val="24"/>
        </w:rPr>
        <w:t xml:space="preserve">the </w:t>
      </w:r>
      <w:r w:rsidR="00F64FC7" w:rsidRPr="001E73A0">
        <w:rPr>
          <w:sz w:val="24"/>
          <w:szCs w:val="24"/>
        </w:rPr>
        <w:t xml:space="preserve">impact </w:t>
      </w:r>
      <w:r w:rsidR="005C0E93" w:rsidRPr="001E73A0">
        <w:rPr>
          <w:sz w:val="24"/>
          <w:szCs w:val="24"/>
        </w:rPr>
        <w:t>of firm</w:t>
      </w:r>
      <w:r w:rsidR="00657E9D" w:rsidRPr="001E73A0">
        <w:rPr>
          <w:sz w:val="24"/>
          <w:szCs w:val="24"/>
        </w:rPr>
        <w:t>-</w:t>
      </w:r>
      <w:r w:rsidR="005C0E93" w:rsidRPr="001E73A0">
        <w:rPr>
          <w:sz w:val="24"/>
          <w:szCs w:val="24"/>
        </w:rPr>
        <w:t>specific attributes</w:t>
      </w:r>
      <w:r w:rsidR="00AC505D" w:rsidRPr="001E73A0">
        <w:rPr>
          <w:sz w:val="24"/>
          <w:szCs w:val="24"/>
        </w:rPr>
        <w:t>, such as</w:t>
      </w:r>
      <w:r w:rsidR="00163915" w:rsidRPr="001E73A0">
        <w:rPr>
          <w:sz w:val="24"/>
          <w:szCs w:val="24"/>
        </w:rPr>
        <w:t xml:space="preserve"> </w:t>
      </w:r>
      <w:r w:rsidR="00736DF4" w:rsidRPr="001E73A0">
        <w:rPr>
          <w:sz w:val="24"/>
          <w:szCs w:val="24"/>
        </w:rPr>
        <w:t xml:space="preserve">accounting </w:t>
      </w:r>
      <w:r w:rsidR="005C0E93" w:rsidRPr="001E73A0">
        <w:rPr>
          <w:sz w:val="24"/>
          <w:szCs w:val="24"/>
        </w:rPr>
        <w:t xml:space="preserve">quality </w:t>
      </w:r>
      <w:r w:rsidR="00D31BF4" w:rsidRPr="001E73A0">
        <w:rPr>
          <w:sz w:val="24"/>
          <w:szCs w:val="24"/>
        </w:rPr>
        <w:fldChar w:fldCharType="begin" w:fldLock="1"/>
      </w:r>
      <w:r w:rsidR="00D31BF4"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efficiency","type":"article-journal","volume":"31"},"uris":["http://www.mendeley.com/documents/?uuid=c0be0420-4a3b-407c-be29-d99c32f42d71"]}],"mendeley":{"formattedCitation":"(Jung et al., 2014)","plainTextFormattedCitation":"(Jung et al., 2014)","previouslyFormattedCitation":"(Jung et al., 2014)"},"properties":{"noteIndex":0},"schema":"https://github.com/citation-style-language/schema/raw/master/csl-citation.json"}</w:instrText>
      </w:r>
      <w:r w:rsidR="00D31BF4" w:rsidRPr="001E73A0">
        <w:rPr>
          <w:sz w:val="24"/>
          <w:szCs w:val="24"/>
        </w:rPr>
        <w:fldChar w:fldCharType="separate"/>
      </w:r>
      <w:r w:rsidR="00D31BF4" w:rsidRPr="001E73A0">
        <w:rPr>
          <w:noProof/>
          <w:sz w:val="24"/>
          <w:szCs w:val="24"/>
        </w:rPr>
        <w:t>(Jung et al., 2014)</w:t>
      </w:r>
      <w:r w:rsidR="00D31BF4" w:rsidRPr="001E73A0">
        <w:rPr>
          <w:sz w:val="24"/>
          <w:szCs w:val="24"/>
        </w:rPr>
        <w:fldChar w:fldCharType="end"/>
      </w:r>
      <w:r w:rsidR="00567A5D" w:rsidRPr="001E73A0">
        <w:rPr>
          <w:sz w:val="24"/>
          <w:szCs w:val="24"/>
        </w:rPr>
        <w:t xml:space="preserve">, </w:t>
      </w:r>
      <w:r w:rsidR="00764792" w:rsidRPr="001E73A0">
        <w:rPr>
          <w:sz w:val="24"/>
          <w:szCs w:val="24"/>
        </w:rPr>
        <w:t xml:space="preserve">CEO-director ties </w:t>
      </w:r>
      <w:r w:rsidR="002A68D3" w:rsidRPr="001E73A0">
        <w:rPr>
          <w:sz w:val="24"/>
          <w:szCs w:val="24"/>
        </w:rPr>
        <w:fldChar w:fldCharType="begin" w:fldLock="1"/>
      </w:r>
      <w:r w:rsidR="00AE6B07" w:rsidRPr="001E73A0">
        <w:rPr>
          <w:sz w:val="24"/>
          <w:szCs w:val="24"/>
        </w:rPr>
        <w:instrText>ADDIN CSL_CITATION {"citationItems":[{"id":"ITEM-1","itemData":{"ISSN":"0929-1199","abstract":"We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Finance","id":"ITEM-1","issued":{"date-parts":[["2019","8","10"]]},"page":"forthcoming","publisher":"North-Holland","title":"CEO-director ties and labor investment efficiency","type":"article-journal"},"uris":["http://www.mendeley.com/documents/?uuid=d748f965-c96a-37ab-af3c-4af2c2e2ee2b"]}],"mendeley":{"formattedCitation":"(Khedmati et al., 2019)","plainTextFormattedCitation":"(Khedmati et al., 2019)","previouslyFormattedCitation":"(Khedmati et al., 2019)"},"properties":{"noteIndex":0},"schema":"https://github.com/citation-style-language/schema/raw/master/csl-citation.json"}</w:instrText>
      </w:r>
      <w:r w:rsidR="002A68D3" w:rsidRPr="001E73A0">
        <w:rPr>
          <w:sz w:val="24"/>
          <w:szCs w:val="24"/>
        </w:rPr>
        <w:fldChar w:fldCharType="separate"/>
      </w:r>
      <w:r w:rsidR="002A68D3" w:rsidRPr="001E73A0">
        <w:rPr>
          <w:noProof/>
          <w:sz w:val="24"/>
          <w:szCs w:val="24"/>
        </w:rPr>
        <w:t>(Khedmati et al., 2019)</w:t>
      </w:r>
      <w:r w:rsidR="002A68D3" w:rsidRPr="001E73A0">
        <w:rPr>
          <w:sz w:val="24"/>
          <w:szCs w:val="24"/>
        </w:rPr>
        <w:fldChar w:fldCharType="end"/>
      </w:r>
      <w:r w:rsidR="00764792" w:rsidRPr="001E73A0">
        <w:rPr>
          <w:sz w:val="24"/>
          <w:szCs w:val="24"/>
        </w:rPr>
        <w:t xml:space="preserve">, </w:t>
      </w:r>
      <w:r w:rsidR="00567A5D" w:rsidRPr="001E73A0">
        <w:rPr>
          <w:sz w:val="24"/>
          <w:szCs w:val="24"/>
        </w:rPr>
        <w:t xml:space="preserve">and </w:t>
      </w:r>
      <w:r w:rsidR="002A07BA" w:rsidRPr="001E73A0">
        <w:rPr>
          <w:sz w:val="24"/>
          <w:szCs w:val="24"/>
        </w:rPr>
        <w:t xml:space="preserve">the </w:t>
      </w:r>
      <w:r w:rsidR="00DD361C" w:rsidRPr="001E73A0">
        <w:rPr>
          <w:sz w:val="24"/>
          <w:szCs w:val="24"/>
        </w:rPr>
        <w:lastRenderedPageBreak/>
        <w:t>promotion incentive</w:t>
      </w:r>
      <w:r w:rsidR="00AC505D" w:rsidRPr="001E73A0">
        <w:rPr>
          <w:sz w:val="24"/>
          <w:szCs w:val="24"/>
        </w:rPr>
        <w:t>s</w:t>
      </w:r>
      <w:r w:rsidR="00DD361C" w:rsidRPr="001E73A0">
        <w:rPr>
          <w:sz w:val="24"/>
          <w:szCs w:val="24"/>
        </w:rPr>
        <w:t xml:space="preserve"> of politicians</w:t>
      </w:r>
      <w:r w:rsidR="00163915" w:rsidRPr="001E73A0">
        <w:rPr>
          <w:sz w:val="24"/>
          <w:szCs w:val="24"/>
        </w:rPr>
        <w:t xml:space="preserve"> </w:t>
      </w:r>
      <w:r w:rsidR="00D31BF4" w:rsidRPr="001E73A0">
        <w:rPr>
          <w:sz w:val="24"/>
          <w:szCs w:val="24"/>
        </w:rPr>
        <w:fldChar w:fldCharType="begin" w:fldLock="1"/>
      </w:r>
      <w:r w:rsidR="00FD4FF6" w:rsidRPr="001E73A0">
        <w:rPr>
          <w:sz w:val="24"/>
          <w:szCs w:val="24"/>
        </w:rPr>
        <w:instrText>ADDIN CSL_CITATION {"citationItems":[{"id":"ITEM-1","itemData":{"ISSN":"1043951X","author":[{"dropping-particle":"","family":"Kong","given":"Dongmin","non-dropping-particle":"","parse-names":false,"suffix":""},{"dropping-particle":"","family":"Liu","given":"Shasha","non-dropping-particle":"","parse-names":false,"suffix":""},{"dropping-particle":"","family":"Xiang","given":"Junyi","non-dropping-particle":"","parse-names":false,"suffix":""}],"container-title":"China Economic Review","id":"ITEM-1","issued":{"date-parts":[["2018","8"]]},"page":"273-293","title":"Political promotion and labor investment efficiency","type":"article-journal","volume":"50"},"uris":["http://www.mendeley.com/documents/?uuid=5b64c980-6000-3a4c-b538-cfb142e9ad10"]}],"mendeley":{"formattedCitation":"(Kong et al., 2018)","plainTextFormattedCitation":"(Kong et al., 2018)","previouslyFormattedCitation":"(Kong et al., 2018)"},"properties":{"noteIndex":0},"schema":"https://github.com/citation-style-language/schema/raw/master/csl-citation.json"}</w:instrText>
      </w:r>
      <w:r w:rsidR="00D31BF4" w:rsidRPr="001E73A0">
        <w:rPr>
          <w:sz w:val="24"/>
          <w:szCs w:val="24"/>
        </w:rPr>
        <w:fldChar w:fldCharType="separate"/>
      </w:r>
      <w:r w:rsidR="00FD4FF6" w:rsidRPr="001E73A0">
        <w:rPr>
          <w:noProof/>
          <w:sz w:val="24"/>
          <w:szCs w:val="24"/>
        </w:rPr>
        <w:t>(Kong et al., 2018)</w:t>
      </w:r>
      <w:r w:rsidR="00D31BF4" w:rsidRPr="001E73A0">
        <w:rPr>
          <w:sz w:val="24"/>
          <w:szCs w:val="24"/>
        </w:rPr>
        <w:fldChar w:fldCharType="end"/>
      </w:r>
      <w:r w:rsidR="005C0E93" w:rsidRPr="001E73A0">
        <w:rPr>
          <w:sz w:val="24"/>
          <w:szCs w:val="24"/>
        </w:rPr>
        <w:t xml:space="preserve"> on </w:t>
      </w:r>
      <w:r w:rsidR="004576F6" w:rsidRPr="001E73A0">
        <w:rPr>
          <w:sz w:val="24"/>
          <w:szCs w:val="24"/>
        </w:rPr>
        <w:t>labour</w:t>
      </w:r>
      <w:r w:rsidR="00567A5D" w:rsidRPr="001E73A0">
        <w:rPr>
          <w:sz w:val="24"/>
          <w:szCs w:val="24"/>
        </w:rPr>
        <w:t xml:space="preserve"> investment</w:t>
      </w:r>
      <w:r w:rsidR="00754A76" w:rsidRPr="001E73A0">
        <w:rPr>
          <w:sz w:val="24"/>
          <w:szCs w:val="24"/>
        </w:rPr>
        <w:t>. Distinct from these studies</w:t>
      </w:r>
      <w:r w:rsidR="007E77F9" w:rsidRPr="001E73A0">
        <w:rPr>
          <w:sz w:val="24"/>
          <w:szCs w:val="24"/>
        </w:rPr>
        <w:t xml:space="preserve"> </w:t>
      </w:r>
      <w:r w:rsidR="002A07BA" w:rsidRPr="001E73A0">
        <w:rPr>
          <w:sz w:val="24"/>
          <w:szCs w:val="24"/>
        </w:rPr>
        <w:t xml:space="preserve">using </w:t>
      </w:r>
      <w:r w:rsidR="007E77F9" w:rsidRPr="001E73A0">
        <w:rPr>
          <w:sz w:val="24"/>
          <w:szCs w:val="24"/>
        </w:rPr>
        <w:t>firm-specific factors</w:t>
      </w:r>
      <w:r w:rsidR="00754A76" w:rsidRPr="001E73A0">
        <w:rPr>
          <w:sz w:val="24"/>
          <w:szCs w:val="24"/>
        </w:rPr>
        <w:t>, we</w:t>
      </w:r>
      <w:r w:rsidR="00673251" w:rsidRPr="001E73A0">
        <w:rPr>
          <w:sz w:val="24"/>
          <w:szCs w:val="24"/>
        </w:rPr>
        <w:t xml:space="preserve"> </w:t>
      </w:r>
      <w:r w:rsidR="00280A10" w:rsidRPr="001E73A0">
        <w:rPr>
          <w:sz w:val="24"/>
          <w:szCs w:val="24"/>
        </w:rPr>
        <w:t xml:space="preserve">show </w:t>
      </w:r>
      <w:r w:rsidR="00567A5D" w:rsidRPr="001E73A0">
        <w:rPr>
          <w:sz w:val="24"/>
          <w:szCs w:val="24"/>
        </w:rPr>
        <w:t>that accounting</w:t>
      </w:r>
      <w:r w:rsidR="005C0E93" w:rsidRPr="001E73A0">
        <w:rPr>
          <w:sz w:val="24"/>
          <w:szCs w:val="24"/>
        </w:rPr>
        <w:t xml:space="preserve"> comparability, a cross-firm attribute, </w:t>
      </w:r>
      <w:r w:rsidR="00754A76" w:rsidRPr="001E73A0">
        <w:rPr>
          <w:sz w:val="24"/>
          <w:szCs w:val="24"/>
        </w:rPr>
        <w:t xml:space="preserve">plays an important </w:t>
      </w:r>
      <w:r w:rsidR="000403C1" w:rsidRPr="001E73A0">
        <w:rPr>
          <w:sz w:val="24"/>
          <w:szCs w:val="24"/>
        </w:rPr>
        <w:t>monitor</w:t>
      </w:r>
      <w:r w:rsidR="00507092" w:rsidRPr="001E73A0">
        <w:rPr>
          <w:sz w:val="24"/>
          <w:szCs w:val="24"/>
        </w:rPr>
        <w:t>ing</w:t>
      </w:r>
      <w:r w:rsidR="000403C1" w:rsidRPr="001E73A0">
        <w:rPr>
          <w:sz w:val="24"/>
          <w:szCs w:val="24"/>
        </w:rPr>
        <w:t xml:space="preserve"> </w:t>
      </w:r>
      <w:r w:rsidR="00754A76" w:rsidRPr="001E73A0">
        <w:rPr>
          <w:sz w:val="24"/>
          <w:szCs w:val="24"/>
        </w:rPr>
        <w:t>role in</w:t>
      </w:r>
      <w:r w:rsidR="005672FE" w:rsidRPr="001E73A0">
        <w:rPr>
          <w:sz w:val="24"/>
          <w:szCs w:val="24"/>
        </w:rPr>
        <w:t xml:space="preserve"> corporate </w:t>
      </w:r>
      <w:r w:rsidR="005C0E93" w:rsidRPr="001E73A0">
        <w:rPr>
          <w:sz w:val="24"/>
          <w:szCs w:val="24"/>
        </w:rPr>
        <w:t>employment decision</w:t>
      </w:r>
      <w:r w:rsidR="004D556C" w:rsidRPr="001E73A0">
        <w:rPr>
          <w:sz w:val="24"/>
          <w:szCs w:val="24"/>
        </w:rPr>
        <w:t>s</w:t>
      </w:r>
      <w:r w:rsidR="00567A5D" w:rsidRPr="001E73A0">
        <w:rPr>
          <w:sz w:val="24"/>
          <w:szCs w:val="24"/>
        </w:rPr>
        <w:t xml:space="preserve">, even after controlling for various firm-specific </w:t>
      </w:r>
      <w:r w:rsidR="00754A76" w:rsidRPr="001E73A0">
        <w:rPr>
          <w:sz w:val="24"/>
          <w:szCs w:val="24"/>
        </w:rPr>
        <w:t>attributes</w:t>
      </w:r>
      <w:r w:rsidR="00567A5D" w:rsidRPr="001E73A0">
        <w:rPr>
          <w:sz w:val="24"/>
          <w:szCs w:val="24"/>
        </w:rPr>
        <w:t>.</w:t>
      </w:r>
    </w:p>
    <w:p w14:paraId="3DCA691F" w14:textId="4F3E2A64" w:rsidR="004756F0" w:rsidRPr="001E73A0" w:rsidRDefault="00C6783C" w:rsidP="00031399">
      <w:pPr>
        <w:adjustRightInd w:val="0"/>
        <w:snapToGrid w:val="0"/>
        <w:spacing w:after="0" w:line="360" w:lineRule="auto"/>
        <w:ind w:firstLine="720"/>
        <w:jc w:val="both"/>
        <w:rPr>
          <w:sz w:val="24"/>
          <w:szCs w:val="24"/>
        </w:rPr>
      </w:pPr>
      <w:r w:rsidRPr="001E73A0">
        <w:rPr>
          <w:sz w:val="24"/>
          <w:szCs w:val="24"/>
        </w:rPr>
        <w:t xml:space="preserve">The </w:t>
      </w:r>
      <w:r w:rsidR="00841125" w:rsidRPr="001E73A0">
        <w:rPr>
          <w:sz w:val="24"/>
          <w:szCs w:val="24"/>
        </w:rPr>
        <w:t>article</w:t>
      </w:r>
      <w:r w:rsidRPr="001E73A0">
        <w:rPr>
          <w:sz w:val="24"/>
          <w:szCs w:val="24"/>
        </w:rPr>
        <w:t xml:space="preserve"> proceeds</w:t>
      </w:r>
      <w:r w:rsidR="006042B6" w:rsidRPr="001E73A0">
        <w:rPr>
          <w:sz w:val="24"/>
          <w:szCs w:val="24"/>
        </w:rPr>
        <w:t xml:space="preserve"> as follows.</w:t>
      </w:r>
      <w:r w:rsidRPr="001E73A0">
        <w:rPr>
          <w:sz w:val="24"/>
          <w:szCs w:val="24"/>
        </w:rPr>
        <w:t xml:space="preserve"> </w:t>
      </w:r>
      <w:r w:rsidR="00841125" w:rsidRPr="001E73A0">
        <w:rPr>
          <w:sz w:val="24"/>
          <w:szCs w:val="24"/>
        </w:rPr>
        <w:t>Section 2 reviews the related literature and develops our hypothes</w:t>
      </w:r>
      <w:r w:rsidR="00043DFF" w:rsidRPr="001E73A0">
        <w:rPr>
          <w:sz w:val="24"/>
          <w:szCs w:val="24"/>
        </w:rPr>
        <w:t>i</w:t>
      </w:r>
      <w:r w:rsidR="00841125" w:rsidRPr="001E73A0">
        <w:rPr>
          <w:sz w:val="24"/>
          <w:szCs w:val="24"/>
        </w:rPr>
        <w:t>s</w:t>
      </w:r>
      <w:r w:rsidR="00DF7150" w:rsidRPr="001E73A0">
        <w:rPr>
          <w:sz w:val="24"/>
          <w:szCs w:val="24"/>
        </w:rPr>
        <w:t xml:space="preserve">. </w:t>
      </w:r>
      <w:r w:rsidR="002A07BA" w:rsidRPr="001E73A0">
        <w:rPr>
          <w:sz w:val="24"/>
          <w:szCs w:val="24"/>
        </w:rPr>
        <w:t>The research methodology, sample construction, and d</w:t>
      </w:r>
      <w:r w:rsidR="00DF7150" w:rsidRPr="001E73A0">
        <w:rPr>
          <w:sz w:val="24"/>
          <w:szCs w:val="24"/>
        </w:rPr>
        <w:t xml:space="preserve">ata are described in Section 3. </w:t>
      </w:r>
      <w:r w:rsidR="00502237" w:rsidRPr="001E73A0">
        <w:rPr>
          <w:sz w:val="24"/>
          <w:szCs w:val="24"/>
        </w:rPr>
        <w:t>We</w:t>
      </w:r>
      <w:r w:rsidR="00DF7150" w:rsidRPr="001E73A0">
        <w:rPr>
          <w:sz w:val="24"/>
          <w:szCs w:val="24"/>
        </w:rPr>
        <w:t xml:space="preserve"> present primary empirical results </w:t>
      </w:r>
      <w:r w:rsidR="00502237" w:rsidRPr="001E73A0">
        <w:rPr>
          <w:sz w:val="24"/>
          <w:szCs w:val="24"/>
        </w:rPr>
        <w:t>in Section 4</w:t>
      </w:r>
      <w:r w:rsidR="00BA7B2F" w:rsidRPr="001E73A0">
        <w:rPr>
          <w:sz w:val="24"/>
          <w:szCs w:val="24"/>
        </w:rPr>
        <w:t xml:space="preserve">. </w:t>
      </w:r>
      <w:r w:rsidR="00DF7150" w:rsidRPr="001E73A0">
        <w:rPr>
          <w:sz w:val="24"/>
          <w:szCs w:val="24"/>
        </w:rPr>
        <w:t xml:space="preserve">Section </w:t>
      </w:r>
      <w:r w:rsidR="009D443D" w:rsidRPr="001E73A0">
        <w:rPr>
          <w:sz w:val="24"/>
          <w:szCs w:val="24"/>
        </w:rPr>
        <w:t>5</w:t>
      </w:r>
      <w:r w:rsidR="00BA7B2F" w:rsidRPr="001E73A0">
        <w:rPr>
          <w:sz w:val="24"/>
          <w:szCs w:val="24"/>
        </w:rPr>
        <w:t xml:space="preserve"> </w:t>
      </w:r>
      <w:r w:rsidR="00DF7150" w:rsidRPr="001E73A0">
        <w:rPr>
          <w:sz w:val="24"/>
          <w:szCs w:val="24"/>
        </w:rPr>
        <w:t>offers robustness checks</w:t>
      </w:r>
      <w:r w:rsidR="00192406" w:rsidRPr="001E73A0">
        <w:rPr>
          <w:sz w:val="24"/>
          <w:szCs w:val="24"/>
        </w:rPr>
        <w:t xml:space="preserve"> relat</w:t>
      </w:r>
      <w:r w:rsidR="002A07BA" w:rsidRPr="001E73A0">
        <w:rPr>
          <w:sz w:val="24"/>
          <w:szCs w:val="24"/>
        </w:rPr>
        <w:t>ed</w:t>
      </w:r>
      <w:r w:rsidR="00192406" w:rsidRPr="001E73A0">
        <w:rPr>
          <w:sz w:val="24"/>
          <w:szCs w:val="24"/>
        </w:rPr>
        <w:t xml:space="preserve"> to our main findings,</w:t>
      </w:r>
      <w:r w:rsidR="00163915" w:rsidRPr="001E73A0">
        <w:rPr>
          <w:sz w:val="24"/>
          <w:szCs w:val="24"/>
        </w:rPr>
        <w:t xml:space="preserve"> </w:t>
      </w:r>
      <w:r w:rsidR="00192406" w:rsidRPr="001E73A0">
        <w:rPr>
          <w:sz w:val="24"/>
          <w:szCs w:val="24"/>
        </w:rPr>
        <w:t>whil</w:t>
      </w:r>
      <w:r w:rsidR="002A07BA" w:rsidRPr="001E73A0">
        <w:rPr>
          <w:sz w:val="24"/>
          <w:szCs w:val="24"/>
        </w:rPr>
        <w:t>e</w:t>
      </w:r>
      <w:r w:rsidR="00DF7150" w:rsidRPr="001E73A0">
        <w:rPr>
          <w:sz w:val="24"/>
          <w:szCs w:val="24"/>
        </w:rPr>
        <w:t xml:space="preserve"> Section </w:t>
      </w:r>
      <w:r w:rsidR="009D443D" w:rsidRPr="001E73A0">
        <w:rPr>
          <w:sz w:val="24"/>
          <w:szCs w:val="24"/>
        </w:rPr>
        <w:t>6</w:t>
      </w:r>
      <w:r w:rsidR="00C1740C" w:rsidRPr="001E73A0">
        <w:rPr>
          <w:sz w:val="24"/>
          <w:szCs w:val="24"/>
        </w:rPr>
        <w:t xml:space="preserve"> concl</w:t>
      </w:r>
      <w:r w:rsidR="00163915" w:rsidRPr="001E73A0">
        <w:rPr>
          <w:sz w:val="24"/>
          <w:szCs w:val="24"/>
        </w:rPr>
        <w:t>udes</w:t>
      </w:r>
      <w:r w:rsidR="00DF7150" w:rsidRPr="001E73A0">
        <w:rPr>
          <w:sz w:val="24"/>
          <w:szCs w:val="24"/>
        </w:rPr>
        <w:t xml:space="preserve">. </w:t>
      </w:r>
    </w:p>
    <w:p w14:paraId="192F9DCF" w14:textId="77777777" w:rsidR="006042B6" w:rsidRPr="001E73A0" w:rsidRDefault="006042B6" w:rsidP="00611802">
      <w:pPr>
        <w:adjustRightInd w:val="0"/>
        <w:snapToGrid w:val="0"/>
        <w:spacing w:after="0" w:line="360" w:lineRule="auto"/>
        <w:rPr>
          <w:sz w:val="24"/>
          <w:szCs w:val="24"/>
        </w:rPr>
      </w:pPr>
    </w:p>
    <w:p w14:paraId="47DEF0D5" w14:textId="1186260A" w:rsidR="004576F6" w:rsidRPr="001E73A0" w:rsidRDefault="004576F6" w:rsidP="00611802">
      <w:pPr>
        <w:pStyle w:val="1"/>
        <w:spacing w:line="360" w:lineRule="auto"/>
      </w:pPr>
      <w:r w:rsidRPr="001E73A0">
        <w:t>2. Literature Review and Hypothes</w:t>
      </w:r>
      <w:r w:rsidR="00043DFF" w:rsidRPr="001E73A0">
        <w:t>i</w:t>
      </w:r>
      <w:r w:rsidRPr="001E73A0">
        <w:t>s Development</w:t>
      </w:r>
    </w:p>
    <w:p w14:paraId="63DE7B7C" w14:textId="4FFF67A9" w:rsidR="00720FE1" w:rsidRPr="001E73A0" w:rsidRDefault="00A90BD0" w:rsidP="00611802">
      <w:pPr>
        <w:pStyle w:val="2"/>
        <w:adjustRightInd w:val="0"/>
        <w:snapToGrid w:val="0"/>
        <w:spacing w:line="360" w:lineRule="auto"/>
      </w:pPr>
      <w:r w:rsidRPr="001E73A0">
        <w:t>2.</w:t>
      </w:r>
      <w:r w:rsidR="00611282" w:rsidRPr="001E73A0">
        <w:t>1</w:t>
      </w:r>
      <w:r w:rsidR="002274C2" w:rsidRPr="001E73A0">
        <w:t xml:space="preserve"> </w:t>
      </w:r>
      <w:r w:rsidR="00B324EC" w:rsidRPr="001E73A0">
        <w:t xml:space="preserve">The inefficiency </w:t>
      </w:r>
      <w:r w:rsidR="00D44368" w:rsidRPr="001E73A0">
        <w:t>in</w:t>
      </w:r>
      <w:r w:rsidR="00B324EC" w:rsidRPr="001E73A0">
        <w:t xml:space="preserve"> </w:t>
      </w:r>
      <w:r w:rsidR="00A27FD2" w:rsidRPr="001E73A0">
        <w:t>employment decision-making</w:t>
      </w:r>
    </w:p>
    <w:p w14:paraId="185BD49F" w14:textId="31592DB6" w:rsidR="00B6660F" w:rsidRPr="001E73A0" w:rsidRDefault="009665FB">
      <w:pPr>
        <w:adjustRightInd w:val="0"/>
        <w:snapToGrid w:val="0"/>
        <w:spacing w:after="0" w:line="360" w:lineRule="auto"/>
        <w:ind w:firstLine="720"/>
        <w:jc w:val="both"/>
        <w:rPr>
          <w:sz w:val="24"/>
          <w:szCs w:val="24"/>
        </w:rPr>
      </w:pPr>
      <w:r w:rsidRPr="001E73A0">
        <w:rPr>
          <w:sz w:val="24"/>
          <w:szCs w:val="24"/>
        </w:rPr>
        <w:t>The importance of l</w:t>
      </w:r>
      <w:r w:rsidR="000403C1" w:rsidRPr="001E73A0">
        <w:rPr>
          <w:sz w:val="24"/>
          <w:szCs w:val="24"/>
        </w:rPr>
        <w:t xml:space="preserve">abour investment </w:t>
      </w:r>
      <w:r w:rsidRPr="001E73A0">
        <w:rPr>
          <w:sz w:val="24"/>
          <w:szCs w:val="24"/>
        </w:rPr>
        <w:t>has been underscored by previous research</w:t>
      </w:r>
      <w:r w:rsidR="009F71AE">
        <w:rPr>
          <w:sz w:val="24"/>
          <w:szCs w:val="24"/>
        </w:rPr>
        <w:t>.</w:t>
      </w:r>
      <w:r w:rsidR="00082AC5" w:rsidRPr="001E73A0">
        <w:rPr>
          <w:sz w:val="24"/>
          <w:szCs w:val="24"/>
        </w:rPr>
        <w:t xml:space="preserve"> </w:t>
      </w:r>
      <w:r w:rsidR="009F71AE">
        <w:rPr>
          <w:sz w:val="24"/>
          <w:szCs w:val="24"/>
        </w:rPr>
        <w:t>M</w:t>
      </w:r>
      <w:r w:rsidR="00C055D6" w:rsidRPr="001E73A0">
        <w:rPr>
          <w:sz w:val="24"/>
          <w:szCs w:val="24"/>
        </w:rPr>
        <w:t>aintaining</w:t>
      </w:r>
      <w:r w:rsidR="00082AC5" w:rsidRPr="001E73A0">
        <w:rPr>
          <w:sz w:val="24"/>
          <w:szCs w:val="24"/>
        </w:rPr>
        <w:t xml:space="preserve"> optimal level</w:t>
      </w:r>
      <w:r w:rsidR="000129F9" w:rsidRPr="001E73A0">
        <w:rPr>
          <w:sz w:val="24"/>
          <w:szCs w:val="24"/>
        </w:rPr>
        <w:t>s</w:t>
      </w:r>
      <w:r w:rsidR="00082AC5" w:rsidRPr="001E73A0">
        <w:rPr>
          <w:sz w:val="24"/>
          <w:szCs w:val="24"/>
        </w:rPr>
        <w:t xml:space="preserve"> of employment is </w:t>
      </w:r>
      <w:r w:rsidR="00C055D6" w:rsidRPr="001E73A0">
        <w:rPr>
          <w:sz w:val="24"/>
          <w:szCs w:val="24"/>
        </w:rPr>
        <w:t>economic</w:t>
      </w:r>
      <w:r w:rsidR="00507092" w:rsidRPr="001E73A0">
        <w:rPr>
          <w:sz w:val="24"/>
          <w:szCs w:val="24"/>
        </w:rPr>
        <w:t>ally</w:t>
      </w:r>
      <w:r w:rsidR="00C055D6" w:rsidRPr="001E73A0">
        <w:rPr>
          <w:sz w:val="24"/>
          <w:szCs w:val="24"/>
        </w:rPr>
        <w:t xml:space="preserve"> significant to firm</w:t>
      </w:r>
      <w:r w:rsidR="000129F9" w:rsidRPr="001E73A0">
        <w:rPr>
          <w:sz w:val="24"/>
          <w:szCs w:val="24"/>
        </w:rPr>
        <w:t>s</w:t>
      </w:r>
      <w:r w:rsidR="00C055D6" w:rsidRPr="001E73A0">
        <w:rPr>
          <w:sz w:val="24"/>
          <w:szCs w:val="24"/>
        </w:rPr>
        <w:t>.</w:t>
      </w:r>
      <w:r w:rsidR="000403C1" w:rsidRPr="001E73A0">
        <w:rPr>
          <w:sz w:val="24"/>
          <w:szCs w:val="24"/>
        </w:rPr>
        <w:t xml:space="preserve"> Hamermesh </w:t>
      </w:r>
      <w:r w:rsidR="000403C1" w:rsidRPr="001E73A0">
        <w:rPr>
          <w:sz w:val="24"/>
          <w:szCs w:val="24"/>
        </w:rPr>
        <w:fldChar w:fldCharType="begin" w:fldLock="1"/>
      </w:r>
      <w:r w:rsidR="000403C1" w:rsidRPr="001E73A0">
        <w:rPr>
          <w:sz w:val="24"/>
          <w:szCs w:val="24"/>
        </w:rPr>
        <w:instrText>ADDIN CSL_CITATION {"citationItems":[{"id":"ITEM-1","itemData":{"ISSN":"00130133","author":[{"dropping-particle":"","family":"Hamermesh","given":"Daniel S.","non-dropping-particle":"","parse-names":false,"suffix":""}],"container-title":"The Economic Journal","id":"ITEM-1","issue":"430","issued":{"date-parts":[["1995","5"]]},"page":"620-634","title":"Labour demand and the source of adjustment costs","type":"article-journal","volume":"105"},"suppress-author":1,"uris":["http://www.mendeley.com/documents/?uuid=de4cc295-d2c5-3c3b-acfc-5e758f6fc4d8"]}],"mendeley":{"formattedCitation":"(1995)","plainTextFormattedCitation":"(1995)","previouslyFormattedCitation":"(1995)"},"properties":{"noteIndex":0},"schema":"https://github.com/citation-style-language/schema/raw/master/csl-citation.json"}</w:instrText>
      </w:r>
      <w:r w:rsidR="000403C1" w:rsidRPr="001E73A0">
        <w:rPr>
          <w:sz w:val="24"/>
          <w:szCs w:val="24"/>
        </w:rPr>
        <w:fldChar w:fldCharType="separate"/>
      </w:r>
      <w:r w:rsidR="000403C1" w:rsidRPr="001E73A0">
        <w:rPr>
          <w:noProof/>
          <w:sz w:val="24"/>
          <w:szCs w:val="24"/>
        </w:rPr>
        <w:t>(1995)</w:t>
      </w:r>
      <w:r w:rsidR="000403C1" w:rsidRPr="001E73A0">
        <w:rPr>
          <w:sz w:val="24"/>
          <w:szCs w:val="24"/>
        </w:rPr>
        <w:fldChar w:fldCharType="end"/>
      </w:r>
      <w:r w:rsidR="000403C1" w:rsidRPr="001E73A0">
        <w:rPr>
          <w:sz w:val="24"/>
          <w:szCs w:val="24"/>
        </w:rPr>
        <w:t xml:space="preserve"> </w:t>
      </w:r>
      <w:r w:rsidR="000129F9" w:rsidRPr="001E73A0">
        <w:rPr>
          <w:sz w:val="24"/>
          <w:szCs w:val="24"/>
        </w:rPr>
        <w:t>note</w:t>
      </w:r>
      <w:r w:rsidR="000403C1" w:rsidRPr="001E73A0">
        <w:rPr>
          <w:sz w:val="24"/>
          <w:szCs w:val="24"/>
        </w:rPr>
        <w:t xml:space="preserve">s </w:t>
      </w:r>
      <w:r w:rsidR="000129F9" w:rsidRPr="001E73A0">
        <w:rPr>
          <w:sz w:val="24"/>
          <w:szCs w:val="24"/>
        </w:rPr>
        <w:t xml:space="preserve">that </w:t>
      </w:r>
      <w:r w:rsidR="00C055D6" w:rsidRPr="001E73A0">
        <w:rPr>
          <w:sz w:val="24"/>
          <w:szCs w:val="24"/>
        </w:rPr>
        <w:t>labour capital</w:t>
      </w:r>
      <w:r w:rsidR="000403C1" w:rsidRPr="001E73A0">
        <w:rPr>
          <w:sz w:val="24"/>
          <w:szCs w:val="24"/>
        </w:rPr>
        <w:t xml:space="preserve"> represent</w:t>
      </w:r>
      <w:r w:rsidR="00507092" w:rsidRPr="001E73A0">
        <w:rPr>
          <w:sz w:val="24"/>
          <w:szCs w:val="24"/>
        </w:rPr>
        <w:t>s</w:t>
      </w:r>
      <w:r w:rsidR="000403C1" w:rsidRPr="001E73A0">
        <w:rPr>
          <w:sz w:val="24"/>
          <w:szCs w:val="24"/>
        </w:rPr>
        <w:t xml:space="preserve"> around two-thirds of the cost of producing goods and services. According to the US Census Bureau’s Annual Survey of Manufacturers reports, US payroll and employee benefits in 2016 cost USD839 billion compared to USD168 billion in capital expenditure. </w:t>
      </w:r>
      <w:r w:rsidR="00D44368" w:rsidRPr="001E73A0">
        <w:rPr>
          <w:sz w:val="24"/>
          <w:szCs w:val="24"/>
        </w:rPr>
        <w:t>Deviation</w:t>
      </w:r>
      <w:r w:rsidR="004C486C" w:rsidRPr="001E73A0">
        <w:rPr>
          <w:sz w:val="24"/>
          <w:szCs w:val="24"/>
        </w:rPr>
        <w:t>s</w:t>
      </w:r>
      <w:r w:rsidR="00D44368" w:rsidRPr="001E73A0">
        <w:rPr>
          <w:sz w:val="24"/>
          <w:szCs w:val="24"/>
        </w:rPr>
        <w:t xml:space="preserve"> from optimal labour investment</w:t>
      </w:r>
      <w:r w:rsidR="00605200" w:rsidRPr="001E73A0">
        <w:rPr>
          <w:sz w:val="24"/>
          <w:szCs w:val="24"/>
        </w:rPr>
        <w:t xml:space="preserve"> </w:t>
      </w:r>
      <w:r w:rsidRPr="001E73A0">
        <w:rPr>
          <w:sz w:val="24"/>
          <w:szCs w:val="24"/>
        </w:rPr>
        <w:t xml:space="preserve">can be costly and detrimental to </w:t>
      </w:r>
      <w:r w:rsidR="00C055D6" w:rsidRPr="001E73A0">
        <w:rPr>
          <w:sz w:val="24"/>
          <w:szCs w:val="24"/>
        </w:rPr>
        <w:t xml:space="preserve">firms’ competitive advantage </w:t>
      </w:r>
      <w:r w:rsidR="00FD4FF6" w:rsidRPr="001E73A0">
        <w:rPr>
          <w:sz w:val="24"/>
          <w:szCs w:val="24"/>
        </w:rPr>
        <w:fldChar w:fldCharType="begin" w:fldLock="1"/>
      </w:r>
      <w:r w:rsidR="00CD1FDD">
        <w:rPr>
          <w:sz w:val="24"/>
          <w:szCs w:val="24"/>
        </w:rPr>
        <w:instrText>ADDIN CSL_CITATION {"citationItems":[{"id":"ITEM-1","itemData":{"ISSN":"0022-3808","abstract":"15:41 UTC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support@jstor.org.","author":[{"dropping-particle":"","family":"Becker","given":"G. S.","non-dropping-particle":"","parse-names":false,"suffix":""}],"container-title":"Journal of Political Economy","id":"ITEM-1","issue":"5, Part 2","issued":{"date-parts":[["1962","10","22"]]},"page":"9-49","publisher":"University of Chicago Press","title":"Investment in human capital: A theoretical analysis","type":"article-journal","volume":"70"},"uris":["http://www.mendeley.com/documents/?uuid=e5e26310-1af0-3e16-af54-84524401b641"]}],"mendeley":{"formattedCitation":"(G. S. Becker, 1962)","manualFormatting":"(Becker, 1962)","plainTextFormattedCitation":"(G. S. Becker, 1962)","previouslyFormattedCitation":"(G. S. Becker, 1962)"},"properties":{"noteIndex":0},"schema":"https://github.com/citation-style-language/schema/raw/master/csl-citation.json"}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(Becker, 1962)</w:t>
      </w:r>
      <w:r w:rsidR="00FD4FF6" w:rsidRPr="001E73A0">
        <w:rPr>
          <w:sz w:val="24"/>
          <w:szCs w:val="24"/>
        </w:rPr>
        <w:fldChar w:fldCharType="end"/>
      </w:r>
      <w:r w:rsidR="00C055D6" w:rsidRPr="001E73A0">
        <w:rPr>
          <w:sz w:val="24"/>
          <w:szCs w:val="24"/>
        </w:rPr>
        <w:t xml:space="preserve">, productivity </w:t>
      </w:r>
      <w:r w:rsidR="00FD4FF6" w:rsidRPr="001E73A0">
        <w:rPr>
          <w:sz w:val="24"/>
          <w:szCs w:val="24"/>
        </w:rPr>
        <w:fldChar w:fldCharType="begin" w:fldLock="1"/>
      </w:r>
      <w:r w:rsidR="00FD4FF6" w:rsidRPr="001E73A0">
        <w:rPr>
          <w:sz w:val="24"/>
          <w:szCs w:val="24"/>
        </w:rPr>
        <w:instrText>ADDIN CSL_CITATION {"citationItems":[{"id":"ITEM-1","itemData":{"author":[{"dropping-particle":"","family":"Hansson","given":"B","non-dropping-particle":"","parse-names":false,"suffix":""},{"dropping-particle":"","family":"Johanson","given":"U","non-dropping-particle":"","parse-names":false,"suffix":""},{"dropping-particle":"","family":"Leitner","given":"K. H","non-dropping-particle":"","parse-names":false,"suffix":""}],"container-title":"Evaluation and Impact of Education and Training: The Value of Learning. Third report on Vocational Training Research in Europe: Background Report.","editor":[{"dropping-particle":"","family":"Descy","given":"P.","non-dropping-particle":"","parse-names":false,"suffix":""},{"dropping-particle":"","family":"Tessaring","given":"M.","non-dropping-particle":"","parse-names":false,"suffix":""}],"id":"ITEM-1","issued":{"date-parts":[["2004"]]},"publisher":"vol. 2004 Office for Official Publications of the European Communities","publisher-place":"Luxembourg (Cedefop Reference Series, 54)","title":"The impact of human capital and human capital investments on company performance: Evidence from literature and European survey results","type":"chapter"},"uris":["http://www.mendeley.com/documents/?uuid=94fc722d-2645-3143-9aad-46a47a7f9fba"]}],"mendeley":{"formattedCitation":"(Hansson et al., 2004)","plainTextFormattedCitation":"(Hansson et al., 2004)","previouslyFormattedCitation":"(Hansson et al., 2004)"},"properties":{"noteIndex":0},"schema":"https://github.com/citation-style-language/schema/raw/master/csl-citation.json"}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(Hansson et al., 2004)</w:t>
      </w:r>
      <w:r w:rsidR="00FD4FF6" w:rsidRPr="001E73A0">
        <w:rPr>
          <w:sz w:val="24"/>
          <w:szCs w:val="24"/>
        </w:rPr>
        <w:fldChar w:fldCharType="end"/>
      </w:r>
      <w:r w:rsidR="00C055D6" w:rsidRPr="001E73A0">
        <w:rPr>
          <w:sz w:val="24"/>
          <w:szCs w:val="24"/>
        </w:rPr>
        <w:t xml:space="preserve"> and ultimately </w:t>
      </w:r>
      <w:r w:rsidR="0008725C" w:rsidRPr="001E73A0">
        <w:rPr>
          <w:sz w:val="24"/>
          <w:szCs w:val="24"/>
        </w:rPr>
        <w:t xml:space="preserve">their </w:t>
      </w:r>
      <w:r w:rsidR="00C055D6" w:rsidRPr="001E73A0">
        <w:rPr>
          <w:sz w:val="24"/>
          <w:szCs w:val="24"/>
        </w:rPr>
        <w:t xml:space="preserve">future performance </w:t>
      </w:r>
      <w:r w:rsidR="00C055D6" w:rsidRPr="001E73A0">
        <w:rPr>
          <w:sz w:val="24"/>
          <w:szCs w:val="24"/>
        </w:rPr>
        <w:fldChar w:fldCharType="begin" w:fldLock="1"/>
      </w:r>
      <w:r w:rsidR="00C055D6"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employees?","type":"article-journal","volume":"82"},"uris":["http://www.mendeley.com/documents/?uuid=f9b15269-da93-4155-ace1-4ce8ea5f860b"]},{"id":"ITEM-2","itemData":{"ISBN":"0823-9150","ISSN":"19113846","abstract":"We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Research","id":"ITEM-2","issue":"4","issued":{"date-parts":[["2014"]]},"page":"1047-1076","title":"Financial reporting quality and labor investment efficiency","type":"article-journal","volume":"31"},"uris":["http://www.mendeley.com/documents/?uuid=c0be0420-4a3b-407c-be29-d99c32f42d71"]},{"id":"ITEM-3","itemData":{"ISSN":"0929-1199","abstract":"We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Finance","id":"ITEM-3","issued":{"date-parts":[["2019","8","10"]]},"page":"forthcoming","publisher":"North-Holland","title":"CEO-director ties and labor investment efficiency","type":"article-journal"},"uris":["http://www.mendeley.com/documents/?uuid=d748f965-c96a-37ab-af3c-4af2c2e2ee2b"]}],"mendeley":{"formattedCitation":"(Jung et al., 2014; Khedmati et al., 2019; Pinnuck &amp; Lillis, 2007)","plainTextFormattedCitation":"(Jung et al., 2014; Khedmati et al., 2019; Pinnuck &amp; Lillis, 2007)","previouslyFormattedCitation":"(Jung et al., 2014; Khedmati et al., 2019; Pinnuck &amp; Lillis, 2007)"},"properties":{"noteIndex":0},"schema":"https://github.com/citation-style-language/schema/raw/master/csl-citation.json"}</w:instrText>
      </w:r>
      <w:r w:rsidR="00C055D6" w:rsidRPr="001E73A0">
        <w:rPr>
          <w:sz w:val="24"/>
          <w:szCs w:val="24"/>
        </w:rPr>
        <w:fldChar w:fldCharType="separate"/>
      </w:r>
      <w:r w:rsidR="00C055D6" w:rsidRPr="001E73A0">
        <w:rPr>
          <w:noProof/>
          <w:sz w:val="24"/>
          <w:szCs w:val="24"/>
        </w:rPr>
        <w:t>(Jung et al., 2014; Khedmati et al., 2019; Pinnuck &amp; Lillis, 2007)</w:t>
      </w:r>
      <w:r w:rsidR="00C055D6" w:rsidRPr="001E73A0">
        <w:rPr>
          <w:sz w:val="24"/>
          <w:szCs w:val="24"/>
        </w:rPr>
        <w:fldChar w:fldCharType="end"/>
      </w:r>
      <w:r w:rsidRPr="001E73A0">
        <w:rPr>
          <w:sz w:val="24"/>
          <w:szCs w:val="24"/>
        </w:rPr>
        <w:t xml:space="preserve">. </w:t>
      </w:r>
    </w:p>
    <w:p w14:paraId="404BF834" w14:textId="1EB68CD3" w:rsidR="00292240" w:rsidRPr="001E73A0" w:rsidRDefault="0008725C" w:rsidP="00292240">
      <w:pPr>
        <w:adjustRightInd w:val="0"/>
        <w:snapToGrid w:val="0"/>
        <w:spacing w:after="0" w:line="360" w:lineRule="auto"/>
        <w:ind w:firstLine="720"/>
        <w:jc w:val="both"/>
        <w:rPr>
          <w:sz w:val="24"/>
          <w:szCs w:val="24"/>
        </w:rPr>
      </w:pPr>
      <w:r w:rsidRPr="001E73A0">
        <w:rPr>
          <w:sz w:val="24"/>
          <w:szCs w:val="24"/>
        </w:rPr>
        <w:t xml:space="preserve">A salient feature </w:t>
      </w:r>
      <w:r w:rsidR="00292240" w:rsidRPr="001E73A0">
        <w:rPr>
          <w:sz w:val="24"/>
          <w:szCs w:val="24"/>
        </w:rPr>
        <w:t xml:space="preserve">of labour investment is </w:t>
      </w:r>
      <w:r w:rsidR="005C5662" w:rsidRPr="001E73A0">
        <w:rPr>
          <w:sz w:val="24"/>
          <w:szCs w:val="24"/>
        </w:rPr>
        <w:t xml:space="preserve">that </w:t>
      </w:r>
      <w:r w:rsidR="00C055D6" w:rsidRPr="001E73A0">
        <w:rPr>
          <w:sz w:val="24"/>
          <w:szCs w:val="24"/>
        </w:rPr>
        <w:t>employment decisions are largely driven by private information available to managers internally, such as employee skills</w:t>
      </w:r>
      <w:r w:rsidRPr="001E73A0">
        <w:rPr>
          <w:sz w:val="24"/>
          <w:szCs w:val="24"/>
        </w:rPr>
        <w:t xml:space="preserve"> profiles</w:t>
      </w:r>
      <w:r w:rsidR="00C055D6" w:rsidRPr="001E73A0">
        <w:rPr>
          <w:sz w:val="24"/>
          <w:szCs w:val="24"/>
        </w:rPr>
        <w:t xml:space="preserve"> and productivity.</w:t>
      </w:r>
      <w:r w:rsidR="00292240" w:rsidRPr="001E73A0">
        <w:rPr>
          <w:sz w:val="24"/>
          <w:szCs w:val="24"/>
        </w:rPr>
        <w:t xml:space="preserve"> </w:t>
      </w:r>
      <w:r w:rsidRPr="001E73A0">
        <w:rPr>
          <w:sz w:val="24"/>
          <w:szCs w:val="24"/>
        </w:rPr>
        <w:t>P</w:t>
      </w:r>
      <w:r w:rsidR="00292240" w:rsidRPr="001E73A0">
        <w:rPr>
          <w:sz w:val="24"/>
          <w:szCs w:val="24"/>
        </w:rPr>
        <w:t>rivilege</w:t>
      </w:r>
      <w:r w:rsidRPr="001E73A0">
        <w:rPr>
          <w:sz w:val="24"/>
          <w:szCs w:val="24"/>
        </w:rPr>
        <w:t>d</w:t>
      </w:r>
      <w:r w:rsidR="00292240" w:rsidRPr="001E73A0">
        <w:rPr>
          <w:sz w:val="24"/>
          <w:szCs w:val="24"/>
        </w:rPr>
        <w:t xml:space="preserve"> access to such information </w:t>
      </w:r>
      <w:r w:rsidRPr="001E73A0">
        <w:rPr>
          <w:sz w:val="24"/>
          <w:szCs w:val="24"/>
        </w:rPr>
        <w:t xml:space="preserve">allows </w:t>
      </w:r>
      <w:r w:rsidR="00292240" w:rsidRPr="001E73A0">
        <w:rPr>
          <w:sz w:val="24"/>
          <w:szCs w:val="24"/>
        </w:rPr>
        <w:t xml:space="preserve">self-interested managers to participate in empire-building activities, such as over-hiring or under-firing employees </w:t>
      </w:r>
      <w:r w:rsidR="00292240" w:rsidRPr="001E73A0">
        <w:rPr>
          <w:sz w:val="24"/>
          <w:szCs w:val="24"/>
        </w:rPr>
        <w:fldChar w:fldCharType="begin" w:fldLock="1"/>
      </w:r>
      <w:r w:rsidR="004B59FB" w:rsidRPr="001E73A0">
        <w:rPr>
          <w:sz w:val="24"/>
          <w:szCs w:val="24"/>
        </w:rPr>
        <w:instrText>ADDIN CSL_CITATION {"citationItems":[{"id":"ITEM-1","itemData":{"author":[{"dropping-particle":"","family":"Jensen","given":"M","non-dropping-particle":"","parse-names":false,"suffix":""}],"container-title":"American Economic Review","id":"ITEM-1","issued":{"date-parts":[["1986"]]},"page":"323-329","title":"Agency costs of free cash flow, corporate finance, and takeovers","type":"article-journal","volume":"76"},"uris":["http://www.mendeley.com/documents/?uuid=675086ff-70e4-3883-a4be-b4ae5aa5af73"]},{"id":"ITEM-2","itemData":{"ISSN":"1380-6653","author":[{"dropping-particle":"","family":"Richardson","given":"Scott","non-dropping-particle":"","parse-names":false,"suffix":""}],"container-title":"Review of Accounting Studies","id":"ITEM-2","issue":"2-3","issued":{"date-parts":[["2006","7","18"]]},"page":"159-189","publisher":"Kluwer Academic Publishers-Plenum Publishers","title":"Over-investment of free cash flow","type":"article-journal","volume":"11"},"uris":["http://www.mendeley.com/documents/?uuid=f5ddc463-f895-38f8-ad8f-d97a5a008cb9"]}],"mendeley":{"formattedCitation":"(Jensen, 1986; Richardson, 2006)","plainTextFormattedCitation":"(Jensen, 1986; Richardson, 2006)","previouslyFormattedCitation":"(Jensen, 1986; Richardson, 2006)"},"properties":{"noteIndex":0},"schema":"https://github.com/citation-style-language/schema/raw/master/csl-citation.json"}</w:instrText>
      </w:r>
      <w:r w:rsidR="00292240" w:rsidRPr="001E73A0">
        <w:rPr>
          <w:sz w:val="24"/>
          <w:szCs w:val="24"/>
        </w:rPr>
        <w:fldChar w:fldCharType="separate"/>
      </w:r>
      <w:r w:rsidR="00292240" w:rsidRPr="001E73A0">
        <w:rPr>
          <w:noProof/>
          <w:sz w:val="24"/>
          <w:szCs w:val="24"/>
        </w:rPr>
        <w:t>(Jensen, 1986; Richardson, 2006)</w:t>
      </w:r>
      <w:r w:rsidR="00292240" w:rsidRPr="001E73A0">
        <w:rPr>
          <w:sz w:val="24"/>
          <w:szCs w:val="24"/>
        </w:rPr>
        <w:fldChar w:fldCharType="end"/>
      </w:r>
      <w:r w:rsidR="00292240" w:rsidRPr="001E73A0">
        <w:rPr>
          <w:sz w:val="24"/>
          <w:szCs w:val="24"/>
        </w:rPr>
        <w:t xml:space="preserve"> </w:t>
      </w:r>
      <w:r w:rsidRPr="001E73A0">
        <w:rPr>
          <w:sz w:val="24"/>
          <w:szCs w:val="24"/>
        </w:rPr>
        <w:t>which</w:t>
      </w:r>
      <w:r w:rsidR="00292240" w:rsidRPr="001E73A0">
        <w:rPr>
          <w:sz w:val="24"/>
          <w:szCs w:val="24"/>
        </w:rPr>
        <w:t xml:space="preserve"> may lead to over-investment in labour. Williamson </w:t>
      </w:r>
      <w:r w:rsidR="00292240" w:rsidRPr="001E73A0">
        <w:rPr>
          <w:sz w:val="24"/>
          <w:szCs w:val="24"/>
        </w:rPr>
        <w:fldChar w:fldCharType="begin" w:fldLock="1"/>
      </w:r>
      <w:r w:rsidR="00292240" w:rsidRPr="001E73A0">
        <w:rPr>
          <w:sz w:val="24"/>
          <w:szCs w:val="24"/>
        </w:rPr>
        <w:instrText>ADDIN CSL_CITATION {"citationItems":[{"id":"ITEM-1","itemData":{"author":[{"dropping-particle":"","family":"Williamson","given":"Oliver E.","non-dropping-particle":"","parse-names":false,"suffix":""}],"container-title":"The American Economic Review","id":"ITEM-1","issue":"5","issued":{"date-parts":[["1963"]]},"page":"1032-1057","title":"Managerial discretion and business behavior","type":"article-journal","volume":"53"},"suppress-author":1,"uris":["http://www.mendeley.com/documents/?uuid=c7e1e4b3-a1c7-370b-a68f-18244074a954"]}],"mendeley":{"formattedCitation":"(1963)","plainTextFormattedCitation":"(1963)","previouslyFormattedCitation":"(1963)"},"properties":{"noteIndex":0},"schema":"https://github.com/citation-style-language/schema/raw/master/csl-citation.json"}</w:instrText>
      </w:r>
      <w:r w:rsidR="00292240" w:rsidRPr="001E73A0">
        <w:rPr>
          <w:sz w:val="24"/>
          <w:szCs w:val="24"/>
        </w:rPr>
        <w:fldChar w:fldCharType="separate"/>
      </w:r>
      <w:r w:rsidR="00292240" w:rsidRPr="001E73A0">
        <w:rPr>
          <w:noProof/>
          <w:sz w:val="24"/>
          <w:szCs w:val="24"/>
        </w:rPr>
        <w:t>(1963)</w:t>
      </w:r>
      <w:r w:rsidR="00292240" w:rsidRPr="001E73A0">
        <w:rPr>
          <w:sz w:val="24"/>
          <w:szCs w:val="24"/>
        </w:rPr>
        <w:fldChar w:fldCharType="end"/>
      </w:r>
      <w:r w:rsidR="00292240" w:rsidRPr="001E73A0">
        <w:rPr>
          <w:sz w:val="24"/>
          <w:szCs w:val="24"/>
        </w:rPr>
        <w:t xml:space="preserve"> speculates that managers’ personal desires for promotion, power and prestige may incentivise them to expand staffing beyond optimal levels. Labour over-investment could also occur if managers resist firing unproductive employees </w:t>
      </w:r>
      <w:r w:rsidRPr="001E73A0">
        <w:rPr>
          <w:sz w:val="24"/>
          <w:szCs w:val="24"/>
        </w:rPr>
        <w:t xml:space="preserve">in </w:t>
      </w:r>
      <w:r w:rsidR="00292240" w:rsidRPr="001E73A0">
        <w:rPr>
          <w:sz w:val="24"/>
          <w:szCs w:val="24"/>
        </w:rPr>
        <w:t xml:space="preserve">a mutually beneficial arrangement </w:t>
      </w:r>
      <w:r w:rsidR="00292240" w:rsidRPr="001E73A0">
        <w:rPr>
          <w:sz w:val="24"/>
          <w:szCs w:val="24"/>
        </w:rPr>
        <w:fldChar w:fldCharType="begin" w:fldLock="1"/>
      </w:r>
      <w:r w:rsidR="00B42CFA"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00292240" w:rsidRPr="001E73A0">
        <w:rPr>
          <w:sz w:val="24"/>
          <w:szCs w:val="24"/>
        </w:rPr>
        <w:fldChar w:fldCharType="separate"/>
      </w:r>
      <w:r w:rsidR="00B42CFA" w:rsidRPr="001E73A0">
        <w:rPr>
          <w:noProof/>
          <w:sz w:val="24"/>
          <w:szCs w:val="24"/>
        </w:rPr>
        <w:t>(Ghaly et al., 2020)</w:t>
      </w:r>
      <w:r w:rsidR="00292240" w:rsidRPr="001E73A0">
        <w:rPr>
          <w:sz w:val="24"/>
          <w:szCs w:val="24"/>
        </w:rPr>
        <w:fldChar w:fldCharType="end"/>
      </w:r>
      <w:r w:rsidR="00292240" w:rsidRPr="001E73A0">
        <w:rPr>
          <w:sz w:val="24"/>
          <w:szCs w:val="24"/>
        </w:rPr>
        <w:t xml:space="preserve">. It is argued that managers tend to retain poorly performing employees in order to avoid cost and effort associated with company layoffs </w:t>
      </w:r>
      <w:r w:rsidR="00292240" w:rsidRPr="001E73A0">
        <w:rPr>
          <w:sz w:val="24"/>
          <w:szCs w:val="24"/>
        </w:rPr>
        <w:fldChar w:fldCharType="begin" w:fldLock="1"/>
      </w:r>
      <w:r w:rsidR="00292240" w:rsidRPr="001E73A0">
        <w:rPr>
          <w:sz w:val="24"/>
          <w:szCs w:val="24"/>
        </w:rPr>
        <w:instrText>ADDIN CSL_CITATION {"citationItems":[{"id":"ITEM-1","itemData":{"ISSN":"0022-3808","abstract":"Much of our understanding of corporations builds on the idea that managers, when they are not closely monitored, will pursue goals that are not in shareholders’</w:instrText>
      </w:r>
      <w:r w:rsidR="00292240" w:rsidRPr="001E73A0">
        <w:rPr>
          <w:rFonts w:hint="eastAsia"/>
          <w:sz w:val="24"/>
          <w:szCs w:val="24"/>
        </w:rPr>
        <w:instrText xml:space="preserve"> interests. But what goals would managers pursue? This paper uses variation in corporate governance generated by state adoption of antitakeover laws to empirically map out managerial preferences. We use plant</w:instrText>
      </w:r>
      <w:r w:rsidR="00292240" w:rsidRPr="001E73A0">
        <w:rPr>
          <w:rFonts w:hint="eastAsia"/>
          <w:sz w:val="24"/>
          <w:szCs w:val="24"/>
        </w:rPr>
        <w:instrText>‐</w:instrText>
      </w:r>
      <w:r w:rsidR="00292240" w:rsidRPr="001E73A0">
        <w:rPr>
          <w:rFonts w:hint="eastAsia"/>
          <w:sz w:val="24"/>
          <w:szCs w:val="24"/>
        </w:rPr>
        <w:instrText>level data and exploit a unique feature of corporate law that allows us to deal with possible biases associated with the timing of the laws. We find that when managers are insulated from takeovers, worker wages (especially those of white</w:instrText>
      </w:r>
      <w:r w:rsidR="00292240" w:rsidRPr="001E73A0">
        <w:rPr>
          <w:rFonts w:hint="eastAsia"/>
          <w:sz w:val="24"/>
          <w:szCs w:val="24"/>
        </w:rPr>
        <w:instrText>‐</w:instrText>
      </w:r>
      <w:r w:rsidR="00292240" w:rsidRPr="001E73A0">
        <w:rPr>
          <w:rFonts w:hint="eastAsia"/>
          <w:sz w:val="24"/>
          <w:szCs w:val="24"/>
        </w:rPr>
        <w:instrText xml:space="preserve">collar workers) rise. The destruction of old plants falls, but </w:instrText>
      </w:r>
      <w:r w:rsidR="00292240" w:rsidRPr="001E73A0">
        <w:rPr>
          <w:sz w:val="24"/>
          <w:szCs w:val="24"/>
        </w:rPr>
        <w:instrText>the creation of new plants also falls. Finally, overall productivity and profitability decline in response to these laws. Our results suggest that active empire building may not be the norm and that managers may instead prefer to enjoy the quiet life.","author":[{"dropping-particle":"","family":"Bertrand","given":"Marianne","non-dropping-particle":"","parse-names":false,"suffix":""},{"dropping-particle":"","family":"Mullainathan","given":"Sendhil","non-dropping-particle":"","parse-names":false,"suffix":""}],"container-title":"Journal of Political Economy","id":"ITEM-1","issue":"5","issued":{"date-parts":[["2003","10"]]},"page":"1043-1075","publisher":"The University of Chicago Press","title":"Enjoying the quiet life? Corporate governance and managerial preferences","type":"article-journal","volume":"111"},"uris":["http://www.mendeley.com/documents/?uuid=bc65d09a-0ef4-3209-ad2a-36c83a037b26"]}],"mendeley":{"formattedCitation":"(Bertrand &amp; Mullainathan, 2003)","plainTextFormattedCitation":"(Bertrand &amp; Mullainathan, 2003)","previouslyFormattedCitation":"(Bertrand &amp; Mullainathan, 2003)"},"properties":{"noteIndex":0},"schema":"https://github.com/citation-style-language/schema/raw/master/csl-citation.json"}</w:instrText>
      </w:r>
      <w:r w:rsidR="00292240" w:rsidRPr="001E73A0">
        <w:rPr>
          <w:sz w:val="24"/>
          <w:szCs w:val="24"/>
        </w:rPr>
        <w:fldChar w:fldCharType="separate"/>
      </w:r>
      <w:r w:rsidR="00292240" w:rsidRPr="001E73A0">
        <w:rPr>
          <w:noProof/>
          <w:sz w:val="24"/>
          <w:szCs w:val="24"/>
        </w:rPr>
        <w:t xml:space="preserve">(Bertrand &amp; Mullainathan, </w:t>
      </w:r>
      <w:r w:rsidR="00292240" w:rsidRPr="001E73A0">
        <w:rPr>
          <w:noProof/>
          <w:sz w:val="24"/>
          <w:szCs w:val="24"/>
        </w:rPr>
        <w:lastRenderedPageBreak/>
        <w:t>2003)</w:t>
      </w:r>
      <w:r w:rsidR="00292240" w:rsidRPr="001E73A0">
        <w:rPr>
          <w:sz w:val="24"/>
          <w:szCs w:val="24"/>
        </w:rPr>
        <w:fldChar w:fldCharType="end"/>
      </w:r>
      <w:r w:rsidR="00292240" w:rsidRPr="001E73A0">
        <w:rPr>
          <w:sz w:val="24"/>
          <w:szCs w:val="24"/>
        </w:rPr>
        <w:t xml:space="preserve">. Similarly, Atanassov and Kim </w:t>
      </w:r>
      <w:r w:rsidR="00292240" w:rsidRPr="001E73A0">
        <w:rPr>
          <w:sz w:val="24"/>
          <w:szCs w:val="24"/>
        </w:rPr>
        <w:fldChar w:fldCharType="begin" w:fldLock="1"/>
      </w:r>
      <w:r w:rsidR="00292240" w:rsidRPr="001E73A0">
        <w:rPr>
          <w:sz w:val="24"/>
          <w:szCs w:val="24"/>
        </w:rPr>
        <w:instrText>ADDIN CSL_CITATION {"citationItems":[{"id":"ITEM-1","itemData":{"ISSN":"00221082","author":[{"dropping-particle":"","family":"Atanassov","given":"Julian","non-dropping-particle":"","parse-names":false,"suffix":""},{"dropping-particle":"","family":"Kim","given":"E. Han","non-dropping-particle":"","parse-names":false,"suffix":""}],"container-title":"The Journal of Finance","id":"ITEM-1","issue":"1","issued":{"date-parts":[["2009","2","1"]]},"page":"341-374","publisher":"Wiley/Blackwell (10.1111)","title":"Labor and corporate governance: International evidence from restructuring decisions","type":"article-journal","volume":"64"},"suppress-author":1,"uris":["http://www.mendeley.com/documents/?uuid=008cb15d-98a5-3606-b47e-bc27e0a0fe05"]}],"mendeley":{"formattedCitation":"(2009)","plainTextFormattedCitation":"(2009)","previouslyFormattedCitation":"(2009)"},"properties":{"noteIndex":0},"schema":"https://github.com/citation-style-language/schema/raw/master/csl-citation.json"}</w:instrText>
      </w:r>
      <w:r w:rsidR="00292240" w:rsidRPr="001E73A0">
        <w:rPr>
          <w:sz w:val="24"/>
          <w:szCs w:val="24"/>
        </w:rPr>
        <w:fldChar w:fldCharType="separate"/>
      </w:r>
      <w:r w:rsidR="00292240" w:rsidRPr="001E73A0">
        <w:rPr>
          <w:noProof/>
          <w:sz w:val="24"/>
          <w:szCs w:val="24"/>
        </w:rPr>
        <w:t>(2009)</w:t>
      </w:r>
      <w:r w:rsidR="00292240" w:rsidRPr="001E73A0">
        <w:rPr>
          <w:sz w:val="24"/>
          <w:szCs w:val="24"/>
        </w:rPr>
        <w:fldChar w:fldCharType="end"/>
      </w:r>
      <w:r w:rsidR="00292240" w:rsidRPr="001E73A0">
        <w:rPr>
          <w:sz w:val="24"/>
          <w:szCs w:val="24"/>
        </w:rPr>
        <w:t xml:space="preserve"> document the incidence of underperforming managers increasing value-reducing asset sales to prevent large-scale layoffs, thereby garnering reciprocal employee support for managerial retention.</w:t>
      </w:r>
    </w:p>
    <w:p w14:paraId="2E24E32B" w14:textId="48620E72" w:rsidR="00C055D6" w:rsidRPr="001E73A0" w:rsidRDefault="00292240" w:rsidP="00292240">
      <w:pPr>
        <w:adjustRightInd w:val="0"/>
        <w:snapToGrid w:val="0"/>
        <w:spacing w:after="0" w:line="360" w:lineRule="auto"/>
        <w:ind w:firstLine="720"/>
        <w:jc w:val="both"/>
        <w:rPr>
          <w:sz w:val="24"/>
          <w:szCs w:val="24"/>
        </w:rPr>
      </w:pPr>
      <w:r w:rsidRPr="001E73A0">
        <w:rPr>
          <w:sz w:val="24"/>
          <w:szCs w:val="24"/>
        </w:rPr>
        <w:t>Meanwhile</w:t>
      </w:r>
      <w:r w:rsidR="0008725C" w:rsidRPr="001E73A0">
        <w:rPr>
          <w:sz w:val="24"/>
          <w:szCs w:val="24"/>
        </w:rPr>
        <w:t>,</w:t>
      </w:r>
      <w:r w:rsidRPr="001E73A0">
        <w:rPr>
          <w:sz w:val="24"/>
          <w:szCs w:val="24"/>
        </w:rPr>
        <w:t xml:space="preserve"> self-interested managers may also under-hire or over-fire employees in order to meet short-term earnings targets </w:t>
      </w:r>
      <w:r w:rsidR="00FD4FF6" w:rsidRPr="001E73A0">
        <w:rPr>
          <w:sz w:val="24"/>
          <w:szCs w:val="24"/>
        </w:rPr>
        <w:fldChar w:fldCharType="begin" w:fldLock="1"/>
      </w:r>
      <w:r w:rsidR="00FD4FF6"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(Ghaly et al., 2020)</w:t>
      </w:r>
      <w:r w:rsidR="00FD4FF6" w:rsidRPr="001E73A0">
        <w:rPr>
          <w:sz w:val="24"/>
          <w:szCs w:val="24"/>
        </w:rPr>
        <w:fldChar w:fldCharType="end"/>
      </w:r>
      <w:r w:rsidRPr="001E73A0">
        <w:rPr>
          <w:sz w:val="24"/>
          <w:szCs w:val="24"/>
        </w:rPr>
        <w:t xml:space="preserve">. Prior studies </w:t>
      </w:r>
      <w:r w:rsidR="00FD4FF6" w:rsidRPr="001E73A0">
        <w:rPr>
          <w:sz w:val="24"/>
          <w:szCs w:val="24"/>
        </w:rPr>
        <w:fldChar w:fldCharType="begin" w:fldLock="1"/>
      </w:r>
      <w:r w:rsidR="00C476FB" w:rsidRPr="001E73A0">
        <w:rPr>
          <w:sz w:val="24"/>
          <w:szCs w:val="24"/>
        </w:rPr>
        <w:instrText>ADDIN CSL_CITATION {"citationItems":[{"id":"ITEM-1","itemData":{"author":[{"dropping-particle":"","family":"Froot","given":"Kenneth","non-dropping-particle":"","parse-names":false,"suffix":""},{"dropping-particle":"","family":"Perold","given":"Andre","non-dropping-particle":"","parse-names":false,"suffix":""},{"dropping-particle":"","family":"Stein","given":"Jeremy","non-dropping-particle":"","parse-names":false,"suffix":""}],"container-title":"Journal of Applied Corporate Finance","id":"ITEM-1","issue":"2","issued":{"date-parts":[["1992"]]},"page":"42-58","title":"Shareholder trading practices and corporate investment horizons","type":"article-journal","volume":"5"},"uris":["http://www.mendeley.com/documents/?uuid=bad75a71-4e79-3754-bf06-34e86a7733ea"]},{"id":"ITEM-2","itemData":{"ISSN":"0034-6527","author":[{"dropping-particle":"","family":"Thadden","given":"E.-L.","non-dropping-particle":"von","parse-names":false,"suffix":""}],"container-title":"The Review of Economic Studies","id":"ITEM-2","issue":"4","issued":{"date-parts":[["1995","10","1"]]},"page":"557-575","title":"Long-term contracts, short-term investment and monitoring","type":"article-journal","volume":"62"},"uris":["http://www.mendeley.com/documents/?uuid=4ac12330-c90e-3f14-a322-c2b573d18c78"]}],"mendeley":{"formattedCitation":"(Froot, Perold, &amp; Stein, 1992; von Thadden, 1995)","plainTextFormattedCitation":"(Froot, Perold, &amp; Stein, 1992; von Thadden, 1995)","previouslyFormattedCitation":"(Froot, Perold, &amp; Stein, 1992; von Thadden, 1995)"},"properties":{"noteIndex":0},"schema":"https://github.com/citation-style-language/schema/raw/master/csl-citation.json"}</w:instrText>
      </w:r>
      <w:r w:rsidR="00FD4FF6" w:rsidRPr="001E73A0">
        <w:rPr>
          <w:sz w:val="24"/>
          <w:szCs w:val="24"/>
        </w:rPr>
        <w:fldChar w:fldCharType="separate"/>
      </w:r>
      <w:r w:rsidR="00FD4FF6" w:rsidRPr="001E73A0">
        <w:rPr>
          <w:noProof/>
          <w:sz w:val="24"/>
          <w:szCs w:val="24"/>
        </w:rPr>
        <w:t>(Froot, Perold, &amp; Stein, 1992; von Thadden, 1995)</w:t>
      </w:r>
      <w:r w:rsidR="00FD4FF6" w:rsidRPr="001E73A0">
        <w:rPr>
          <w:sz w:val="24"/>
          <w:szCs w:val="24"/>
        </w:rPr>
        <w:fldChar w:fldCharType="end"/>
      </w:r>
      <w:r w:rsidRPr="001E73A0">
        <w:rPr>
          <w:sz w:val="24"/>
          <w:szCs w:val="24"/>
        </w:rPr>
        <w:t xml:space="preserve"> suggest that managers concerned with short-term stock price may turn down profitable projects in the face of pressure from myopic outsiders. Even without </w:t>
      </w:r>
      <w:r w:rsidR="00112888" w:rsidRPr="001E73A0">
        <w:rPr>
          <w:sz w:val="24"/>
          <w:szCs w:val="24"/>
        </w:rPr>
        <w:t xml:space="preserve">external </w:t>
      </w:r>
      <w:r w:rsidRPr="001E73A0">
        <w:rPr>
          <w:sz w:val="24"/>
          <w:szCs w:val="24"/>
        </w:rPr>
        <w:t>pressure, managers may not proceed with potentially valuable investment opportunities</w:t>
      </w:r>
      <w:r w:rsidR="00112888" w:rsidRPr="001E73A0">
        <w:rPr>
          <w:sz w:val="24"/>
          <w:szCs w:val="24"/>
        </w:rPr>
        <w:t xml:space="preserve"> in the interests of their work-life balance, </w:t>
      </w:r>
      <w:r w:rsidRPr="001E73A0">
        <w:rPr>
          <w:sz w:val="24"/>
          <w:szCs w:val="24"/>
        </w:rPr>
        <w:t xml:space="preserve">preferring </w:t>
      </w:r>
      <w:r w:rsidR="00112888" w:rsidRPr="001E73A0">
        <w:rPr>
          <w:sz w:val="24"/>
          <w:szCs w:val="24"/>
        </w:rPr>
        <w:t>‘</w:t>
      </w:r>
      <w:r w:rsidRPr="001E73A0">
        <w:rPr>
          <w:sz w:val="24"/>
          <w:szCs w:val="24"/>
        </w:rPr>
        <w:t>the quiet life</w:t>
      </w:r>
      <w:r w:rsidR="00112888" w:rsidRPr="001E73A0">
        <w:rPr>
          <w:sz w:val="24"/>
          <w:szCs w:val="24"/>
        </w:rPr>
        <w:t>’</w:t>
      </w:r>
      <w:r w:rsidRPr="001E73A0">
        <w:rPr>
          <w:sz w:val="24"/>
          <w:szCs w:val="24"/>
        </w:rPr>
        <w:t xml:space="preserve"> </w:t>
      </w:r>
      <w:r w:rsidR="00C476FB" w:rsidRPr="001E73A0">
        <w:rPr>
          <w:sz w:val="24"/>
          <w:szCs w:val="24"/>
        </w:rPr>
        <w:fldChar w:fldCharType="begin" w:fldLock="1"/>
      </w:r>
      <w:r w:rsidR="00C476FB" w:rsidRPr="001E73A0">
        <w:rPr>
          <w:sz w:val="24"/>
          <w:szCs w:val="24"/>
        </w:rPr>
        <w:instrText>ADDIN CSL_CITATION {"citationItems":[{"id":"ITEM-1","itemData":{"ISSN":"0022-3808","abstract":"Much of our understanding of corporations builds on the idea that managers, when they are not closely monitored, will pursue goals that are not in shareholders’</w:instrText>
      </w:r>
      <w:r w:rsidR="00C476FB" w:rsidRPr="001E73A0">
        <w:rPr>
          <w:rFonts w:hint="eastAsia"/>
          <w:sz w:val="24"/>
          <w:szCs w:val="24"/>
        </w:rPr>
        <w:instrText xml:space="preserve"> interests. But what goals would managers pursue? This paper uses variation in corporate governance generated by state adoption of antitakeover laws to empirically map out managerial preferences. We use plant</w:instrText>
      </w:r>
      <w:r w:rsidR="00C476FB" w:rsidRPr="001E73A0">
        <w:rPr>
          <w:rFonts w:hint="eastAsia"/>
          <w:sz w:val="24"/>
          <w:szCs w:val="24"/>
        </w:rPr>
        <w:instrText>‐</w:instrText>
      </w:r>
      <w:r w:rsidR="00C476FB" w:rsidRPr="001E73A0">
        <w:rPr>
          <w:rFonts w:hint="eastAsia"/>
          <w:sz w:val="24"/>
          <w:szCs w:val="24"/>
        </w:rPr>
        <w:instrText>level data and exploit a unique feature of corporate law that allows us to deal with possible biases associated with the timing of the laws. We find that when managers are insulated from takeovers, worker wages (especially those of white</w:instrText>
      </w:r>
      <w:r w:rsidR="00C476FB" w:rsidRPr="001E73A0">
        <w:rPr>
          <w:rFonts w:hint="eastAsia"/>
          <w:sz w:val="24"/>
          <w:szCs w:val="24"/>
        </w:rPr>
        <w:instrText>‐</w:instrText>
      </w:r>
      <w:r w:rsidR="00C476FB" w:rsidRPr="001E73A0">
        <w:rPr>
          <w:rFonts w:hint="eastAsia"/>
          <w:sz w:val="24"/>
          <w:szCs w:val="24"/>
        </w:rPr>
        <w:instrText xml:space="preserve">collar workers) rise. The destruction of old plants falls, but </w:instrText>
      </w:r>
      <w:r w:rsidR="00C476FB" w:rsidRPr="001E73A0">
        <w:rPr>
          <w:sz w:val="24"/>
          <w:szCs w:val="24"/>
        </w:rPr>
        <w:instrText>the creation of new plants also falls. Finally, overall productivity and profitability decline in response to these laws. Our results suggest that active empire building may not be the norm and that managers may instead prefer to enjoy the quiet life.","author":[{"dropping-particle":"","family":"Bertrand","given":"Marianne","non-dropping-particle":"","parse-names":false,"suffix":""},{"dropping-particle":"","family":"Mullainathan","given":"Sendhil","non-dropping-particle":"","parse-names":false,"suffix":""}],"container-title":"Journal of Political Economy","id":"ITEM-1","issue":"5","issued":{"date-parts":[["2003","10"]]},"page":"1043-1075","publisher":"The University of Chicago Press","title":"Enjoying the quiet life? Corporate governance and managerial preferences","type":"article-journal","volume":"111"},"uris":["http://www.mendeley.com/documents/?uuid=bc65d09a-0ef4-3209-ad2a-36c83a037b26"]}],"mendeley":{"formattedCitation":"(Bertrand &amp; Mullainathan, 2003)","plainTextFormattedCitation":"(Bertrand &amp; Mullainathan, 2003)","previouslyFormattedCitation":"(Bertrand &amp; Mullainathan, 2003)"},"properties":{"noteIndex":0},"schema":"https://github.com/citation-style-language/schema/raw/master/csl-citation.json"}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(Bertrand &amp; Mullainathan, 2003)</w:t>
      </w:r>
      <w:r w:rsidR="00C476FB" w:rsidRPr="001E73A0">
        <w:rPr>
          <w:sz w:val="24"/>
          <w:szCs w:val="24"/>
        </w:rPr>
        <w:fldChar w:fldCharType="end"/>
      </w:r>
      <w:r w:rsidRPr="001E73A0">
        <w:rPr>
          <w:sz w:val="24"/>
          <w:szCs w:val="24"/>
        </w:rPr>
        <w:t>. Supporting this view, Graham</w:t>
      </w:r>
      <w:r w:rsidR="00C476FB" w:rsidRPr="001E73A0">
        <w:rPr>
          <w:sz w:val="24"/>
          <w:szCs w:val="24"/>
        </w:rPr>
        <w:t>, Harvey, and Rajgopal</w:t>
      </w:r>
      <w:r w:rsidRPr="001E73A0">
        <w:rPr>
          <w:sz w:val="24"/>
          <w:szCs w:val="24"/>
        </w:rPr>
        <w:t xml:space="preserve"> </w:t>
      </w:r>
      <w:r w:rsidR="00C476FB" w:rsidRPr="001E73A0">
        <w:rPr>
          <w:sz w:val="24"/>
          <w:szCs w:val="24"/>
        </w:rPr>
        <w:fldChar w:fldCharType="begin" w:fldLock="1"/>
      </w:r>
      <w:r w:rsidR="00C476FB" w:rsidRPr="001E73A0">
        <w:rPr>
          <w:sz w:val="24"/>
          <w:szCs w:val="24"/>
        </w:rPr>
        <w:instrText>ADDIN CSL_CITATION {"citationItems":[{"id":"ITEM-1","itemData":{"ISSN":"0165-4101","abstract":"We survey and interview more than 400 executives to determine the factors that drive reported earnings and disclosure decisions. We find that managers would rather take economic actions that could have negative long-term consequences than make within-GAAP accounting choices to manage earnings. A surprising 78% of our sample admits to sacrificing long-term value to smooth earnings. Managers also work to maintain predictability in earnings and financial disclosures. We also find that managers make voluntary disclosures to reduce information risk and boost stock price but at the same time, try to avoid setting disclosure precedents that will be difficult to maintain.","author":[{"dropping-particle":"","family":"Graham","given":"John R.","non-dropping-particle":"","parse-names":false,"suffix":""},{"dropping-particle":"","family":"Harvey","given":"Campbell R.","non-dropping-particle":"","parse-names":false,"suffix":""},{"dropping-particle":"","family":"Rajgopal","given":"Shiva","non-dropping-particle":"","parse-names":false,"suffix":""}],"container-title":"Journal of Accounting and Economics","id":"ITEM-1","issue":"1-3","issued":{"date-parts":[["2005","12","1"]]},"page":"3-73","publisher":"North-Holland","title":"The economic implications of corporate financial reporting","type":"article-journal","volume":"40"},"suppress-author":1,"uris":["http://www.mendeley.com/documents/?uuid=6c62812a-016e-38ab-bd59-970d8440788b"]}],"mendeley":{"formattedCitation":"(2005)","plainTextFormattedCitation":"(2005)","previouslyFormattedCitation":"(2005)"},"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(2005)</w:t>
      </w:r>
      <w:r w:rsidR="00C476FB" w:rsidRPr="001E73A0">
        <w:rPr>
          <w:sz w:val="24"/>
          <w:szCs w:val="24"/>
        </w:rPr>
        <w:fldChar w:fldCharType="end"/>
      </w:r>
      <w:r w:rsidRPr="001E73A0">
        <w:rPr>
          <w:sz w:val="24"/>
          <w:szCs w:val="24"/>
        </w:rPr>
        <w:t xml:space="preserve"> argue that managers may eliminate or postpone hiring in order to avoid missing earnings targets. As a result, concerns over short-term earnings targets may indeed result in under-investment in labour.</w:t>
      </w:r>
    </w:p>
    <w:p w14:paraId="7BA3613A" w14:textId="77777777" w:rsidR="00D44368" w:rsidRPr="001E73A0" w:rsidRDefault="00D44368" w:rsidP="00292240">
      <w:pPr>
        <w:adjustRightInd w:val="0"/>
        <w:snapToGrid w:val="0"/>
        <w:spacing w:after="0" w:line="360" w:lineRule="auto"/>
        <w:ind w:firstLine="720"/>
        <w:jc w:val="both"/>
        <w:rPr>
          <w:sz w:val="24"/>
          <w:szCs w:val="24"/>
        </w:rPr>
      </w:pPr>
    </w:p>
    <w:p w14:paraId="125B8BC4" w14:textId="0013D895" w:rsidR="00FF1554" w:rsidRPr="001E73A0" w:rsidRDefault="00FF1554" w:rsidP="00611802">
      <w:pPr>
        <w:pStyle w:val="2"/>
        <w:adjustRightInd w:val="0"/>
        <w:snapToGrid w:val="0"/>
        <w:spacing w:line="360" w:lineRule="auto"/>
      </w:pPr>
      <w:r w:rsidRPr="001E73A0">
        <w:t>2.2 The monitor</w:t>
      </w:r>
      <w:r w:rsidR="00A27FD2" w:rsidRPr="001E73A0">
        <w:t>ing</w:t>
      </w:r>
      <w:r w:rsidRPr="001E73A0">
        <w:t xml:space="preserve"> role of accounting comparability</w:t>
      </w:r>
    </w:p>
    <w:p w14:paraId="1B4C07BC" w14:textId="084F5E3E" w:rsidR="00D66DB8" w:rsidRPr="001E73A0" w:rsidRDefault="00D05143" w:rsidP="00112888">
      <w:pPr>
        <w:adjustRightInd w:val="0"/>
        <w:snapToGrid w:val="0"/>
        <w:spacing w:after="0" w:line="360" w:lineRule="auto"/>
        <w:ind w:firstLine="720"/>
        <w:jc w:val="both"/>
        <w:rPr>
          <w:sz w:val="24"/>
          <w:szCs w:val="24"/>
        </w:rPr>
      </w:pPr>
      <w:r w:rsidRPr="001E73A0">
        <w:rPr>
          <w:sz w:val="24"/>
          <w:szCs w:val="24"/>
        </w:rPr>
        <w:t>High</w:t>
      </w:r>
      <w:r w:rsidR="00112888" w:rsidRPr="001E73A0">
        <w:rPr>
          <w:sz w:val="24"/>
          <w:szCs w:val="24"/>
        </w:rPr>
        <w:t xml:space="preserve"> </w:t>
      </w:r>
      <w:r w:rsidRPr="001E73A0">
        <w:rPr>
          <w:sz w:val="24"/>
          <w:szCs w:val="24"/>
        </w:rPr>
        <w:t>quality accounting information can enhanc</w:t>
      </w:r>
      <w:r w:rsidR="00D27AEA" w:rsidRPr="001E73A0">
        <w:rPr>
          <w:sz w:val="24"/>
          <w:szCs w:val="24"/>
        </w:rPr>
        <w:t>e</w:t>
      </w:r>
      <w:r w:rsidRPr="001E73A0">
        <w:rPr>
          <w:sz w:val="24"/>
          <w:szCs w:val="24"/>
        </w:rPr>
        <w:t xml:space="preserve"> the monitoring abilities of investors and other stakeholder</w:t>
      </w:r>
      <w:r w:rsidR="00D27AEA" w:rsidRPr="001E73A0">
        <w:rPr>
          <w:sz w:val="24"/>
          <w:szCs w:val="24"/>
        </w:rPr>
        <w:t>s</w:t>
      </w:r>
      <w:r w:rsidR="00D66DB8" w:rsidRPr="001E73A0">
        <w:rPr>
          <w:sz w:val="24"/>
          <w:szCs w:val="24"/>
        </w:rPr>
        <w:t xml:space="preserve"> (Bushman and Smith, 2001; Healy and Palepu, 2001)</w:t>
      </w:r>
      <w:r w:rsidRPr="001E73A0">
        <w:rPr>
          <w:sz w:val="24"/>
          <w:szCs w:val="24"/>
        </w:rPr>
        <w:t>.</w:t>
      </w:r>
      <w:r w:rsidR="008D2106" w:rsidRPr="001E73A0">
        <w:rPr>
          <w:sz w:val="24"/>
          <w:szCs w:val="24"/>
        </w:rPr>
        <w:t xml:space="preserve"> When corporate managers are less accountable to shareholders and stakeholders, they are </w:t>
      </w:r>
      <w:r w:rsidR="005C70A8" w:rsidRPr="001E73A0">
        <w:rPr>
          <w:sz w:val="24"/>
          <w:szCs w:val="24"/>
        </w:rPr>
        <w:t>more prone</w:t>
      </w:r>
      <w:r w:rsidR="008D2106" w:rsidRPr="001E73A0">
        <w:rPr>
          <w:sz w:val="24"/>
          <w:szCs w:val="24"/>
        </w:rPr>
        <w:t xml:space="preserve"> to pursu</w:t>
      </w:r>
      <w:r w:rsidR="005C70A8" w:rsidRPr="001E73A0">
        <w:rPr>
          <w:sz w:val="24"/>
          <w:szCs w:val="24"/>
        </w:rPr>
        <w:t>ing</w:t>
      </w:r>
      <w:r w:rsidR="008D2106" w:rsidRPr="001E73A0">
        <w:rPr>
          <w:sz w:val="24"/>
          <w:szCs w:val="24"/>
        </w:rPr>
        <w:t xml:space="preserve"> </w:t>
      </w:r>
      <w:r w:rsidR="005C70A8" w:rsidRPr="001E73A0">
        <w:rPr>
          <w:sz w:val="24"/>
          <w:szCs w:val="24"/>
        </w:rPr>
        <w:t>private interest</w:t>
      </w:r>
      <w:r w:rsidR="00112888" w:rsidRPr="001E73A0">
        <w:rPr>
          <w:sz w:val="24"/>
          <w:szCs w:val="24"/>
        </w:rPr>
        <w:t>s</w:t>
      </w:r>
      <w:r w:rsidR="005C70A8" w:rsidRPr="001E73A0">
        <w:rPr>
          <w:sz w:val="24"/>
          <w:szCs w:val="24"/>
        </w:rPr>
        <w:t xml:space="preserve">, </w:t>
      </w:r>
      <w:r w:rsidR="00112888" w:rsidRPr="001E73A0">
        <w:rPr>
          <w:sz w:val="24"/>
          <w:szCs w:val="24"/>
        </w:rPr>
        <w:t xml:space="preserve">potentially </w:t>
      </w:r>
      <w:r w:rsidR="005C70A8" w:rsidRPr="001E73A0">
        <w:rPr>
          <w:sz w:val="24"/>
          <w:szCs w:val="24"/>
        </w:rPr>
        <w:t>resulting in misallocation of corporate resources and destruction of firm value. High</w:t>
      </w:r>
      <w:r w:rsidR="00112888" w:rsidRPr="001E73A0">
        <w:rPr>
          <w:sz w:val="24"/>
          <w:szCs w:val="24"/>
        </w:rPr>
        <w:t xml:space="preserve"> </w:t>
      </w:r>
      <w:r w:rsidR="005C70A8" w:rsidRPr="001E73A0">
        <w:rPr>
          <w:sz w:val="24"/>
          <w:szCs w:val="24"/>
        </w:rPr>
        <w:t>quality accounting</w:t>
      </w:r>
      <w:r w:rsidR="008D2106" w:rsidRPr="001E73A0">
        <w:rPr>
          <w:sz w:val="24"/>
          <w:szCs w:val="24"/>
        </w:rPr>
        <w:t xml:space="preserve"> information </w:t>
      </w:r>
      <w:r w:rsidR="000F15C8" w:rsidRPr="001E73A0">
        <w:rPr>
          <w:sz w:val="24"/>
          <w:szCs w:val="24"/>
        </w:rPr>
        <w:t xml:space="preserve">reduces information asymmetry and </w:t>
      </w:r>
      <w:r w:rsidR="00112888" w:rsidRPr="001E73A0">
        <w:rPr>
          <w:sz w:val="24"/>
          <w:szCs w:val="24"/>
        </w:rPr>
        <w:t xml:space="preserve">the risk of </w:t>
      </w:r>
      <w:r w:rsidR="000F15C8" w:rsidRPr="001E73A0">
        <w:rPr>
          <w:sz w:val="24"/>
          <w:szCs w:val="24"/>
        </w:rPr>
        <w:t xml:space="preserve">agency conflict between managers and outsiders, which </w:t>
      </w:r>
      <w:r w:rsidR="005C70A8" w:rsidRPr="001E73A0">
        <w:rPr>
          <w:sz w:val="24"/>
          <w:szCs w:val="24"/>
        </w:rPr>
        <w:t xml:space="preserve">enhances the ability of shareholders and other stakeholders </w:t>
      </w:r>
      <w:r w:rsidR="00112888" w:rsidRPr="001E73A0">
        <w:rPr>
          <w:sz w:val="24"/>
          <w:szCs w:val="24"/>
        </w:rPr>
        <w:t>to</w:t>
      </w:r>
      <w:r w:rsidR="005C70A8" w:rsidRPr="001E73A0">
        <w:rPr>
          <w:sz w:val="24"/>
          <w:szCs w:val="24"/>
        </w:rPr>
        <w:t xml:space="preserve"> monitor managerial decision-making</w:t>
      </w:r>
      <w:r w:rsidR="000F15C8" w:rsidRPr="001E73A0">
        <w:rPr>
          <w:sz w:val="24"/>
          <w:szCs w:val="24"/>
        </w:rPr>
        <w:t xml:space="preserve"> </w:t>
      </w:r>
      <w:r w:rsidR="00C476FB" w:rsidRPr="001E73A0">
        <w:rPr>
          <w:sz w:val="24"/>
          <w:szCs w:val="24"/>
        </w:rPr>
        <w:fldChar w:fldCharType="begin" w:fldLock="1"/>
      </w:r>
      <w:r w:rsidR="00C476FB" w:rsidRPr="001E73A0">
        <w:rPr>
          <w:sz w:val="24"/>
          <w:szCs w:val="24"/>
        </w:rPr>
        <w:instrText>ADDIN CSL_CITATION {"citationItems":[{"id":"ITEM-1","itemData":{"ISSN":"01654101","abstract":"This paper reviews and proposes additional research concerning the role of publicly reported financial accounting information in the governance processes of corporations. We first discuss research on the use of financial accounting in managerial incentive plans and explore future research directions. We then propose that governance research be extended to explore more comprehensively the use of financial accounting information in additional corporate control mechanisms, and suggest opportunities for expanding such research. We also propose cross-country research to investigate more directly the effects of financial accounting information on economic performance through its role in governance and more generally. © 2001 Elsevier Science Ltd. All rights reserved.","author":[{"dropping-particle":"","family":"Bushman","given":"Robert M.","non-dropping-particle":"","parse-names":false,"suffix":""},{"dropping-particle":"","family":"Smith","given":"Abbie J.","non-dropping-particle":"","parse-names":false,"suffix":""}],"container-title":"Journal of Accounting and Economics","id":"ITEM-1","issue":"1-3","issued":{"date-parts":[["2001","12","1"]]},"page":"237-333","publisher":"North-Holland","title":"Financial accounting information and corporate governance","type":"article-journal","volume":"32"},"uris":["http://www.mendeley.com/documents/?uuid=060c2e24-9327-3727-96d6-85636ade35bd"]},{"id":"ITEM-2","itemData":{"ISSN":"01654101","abstract":"Financial reporting and disclosure are potentially important means for management to communicate firm performance and governance to outside investors. We provide a framework for analyzing managers' reporting and disclosure decisions in a capital markets setting, and identify key research questions. We then review current empirical research on disclosure regulation, information intermediaries, and the determinants and economic consequences of corporate disclosure. Our survey concludes that current research has generated a number of useful insights. We identify many fundamental questions that remain unanswered, and changes in the economic environment that raise new questions for research. © 2001 Published by Elsevier Science B.V.","author":[{"dropping-particle":"","family":"Healy","given":"Paul M.","non-dropping-particle":"","parse-names":false,"suffix":""},{"dropping-particle":"","family":"Palepu","given":"Krishna G.","non-dropping-particle":"","parse-names":false,"suffix":""}],"container-title":"Journal of Accounting and Economics","id":"ITEM-2","issue":"1-3","issued":{"date-parts":[["2001","9","1"]]},"page":"405-440","publisher":"Elsevier","title":"Information asymmetry, corporate disclosure, and the capital markets: A review of the empirical disclosure literature","type":"article-journal","volume":"31"},"uris":["http://www.mendeley.com/documents/?uuid=11f33370-68f6-3203-817d-9c4dd2ac0041"]}],"mendeley":{"formattedCitation":"(Bushman &amp; Smith, 2001; Healy &amp; Palepu, 2001)","plainTextFormattedCitation":"(Bushman &amp; Smith, 2001; Healy &amp; Palepu, 2001)","previouslyFormattedCitation":"(Bushman &amp; Smith, 2001; Healy &amp; Palepu, 2001)"},"properties":{"noteIndex":0},"schema":"https://github.com/citation-style-language/schema/raw/master/csl-citation.json"}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(Bushman &amp; Smith, 2001; Healy &amp; Palepu, 2001)</w:t>
      </w:r>
      <w:r w:rsidR="00C476FB" w:rsidRPr="001E73A0">
        <w:rPr>
          <w:sz w:val="24"/>
          <w:szCs w:val="24"/>
        </w:rPr>
        <w:fldChar w:fldCharType="end"/>
      </w:r>
      <w:r w:rsidR="000F15C8" w:rsidRPr="001E73A0">
        <w:rPr>
          <w:sz w:val="24"/>
          <w:szCs w:val="24"/>
        </w:rPr>
        <w:t>. This</w:t>
      </w:r>
      <w:r w:rsidR="005C70A8" w:rsidRPr="001E73A0">
        <w:rPr>
          <w:sz w:val="24"/>
          <w:szCs w:val="24"/>
        </w:rPr>
        <w:t xml:space="preserve"> </w:t>
      </w:r>
      <w:r w:rsidR="00D15A28" w:rsidRPr="001E73A0">
        <w:rPr>
          <w:sz w:val="24"/>
          <w:szCs w:val="24"/>
        </w:rPr>
        <w:t xml:space="preserve">can </w:t>
      </w:r>
      <w:r w:rsidR="008D2106" w:rsidRPr="001E73A0">
        <w:rPr>
          <w:sz w:val="24"/>
          <w:szCs w:val="24"/>
        </w:rPr>
        <w:t>prevent managers from taking projects that expropriate shareholder interest</w:t>
      </w:r>
      <w:r w:rsidR="00112888" w:rsidRPr="001E73A0">
        <w:rPr>
          <w:sz w:val="24"/>
          <w:szCs w:val="24"/>
        </w:rPr>
        <w:t>s</w:t>
      </w:r>
      <w:r w:rsidR="008D2106" w:rsidRPr="001E73A0">
        <w:rPr>
          <w:sz w:val="24"/>
          <w:szCs w:val="24"/>
        </w:rPr>
        <w:t xml:space="preserve"> </w:t>
      </w:r>
      <w:r w:rsidR="00C476FB" w:rsidRPr="001E73A0">
        <w:rPr>
          <w:sz w:val="24"/>
          <w:szCs w:val="24"/>
        </w:rPr>
        <w:fldChar w:fldCharType="begin" w:fldLock="1"/>
      </w:r>
      <w:r w:rsidR="00C476FB" w:rsidRPr="001E73A0">
        <w:rPr>
          <w:sz w:val="24"/>
          <w:szCs w:val="24"/>
        </w:rPr>
        <w:instrText>ADDIN CSL_CITATION {"citationItems":[{"id":"ITEM-1","itemData":{"ISSN":"0306686X","author":[{"dropping-particle":"","family":"Cheng","given":"Jia-Chi","non-dropping-particle":"","parse-names":false,"suffix":""},{"dropping-particle":"","family":"Wu","given":"Ruei-Shian","non-dropping-particle":"","parse-names":false,"suffix":""}],"container-title":"Journal of Business Finance &amp; Accounting","id":"ITEM-1","issue":"5-6","issued":{"date-parts":[["2018","5","1"]]},"page":"572-603","publisher":"Wiley/Blackwell (10.1111)","title":"Internal capital market efficiency and the diversification discount: The role of financial statement comparability","type":"article-journal","volume":"45"},"uris":["http://www.mendeley.com/documents/?uuid=0200631e-8dec-31a8-9866-21a601346941"]}],"mendeley":{"formattedCitation":"(Cheng &amp; Wu, 2018)","plainTextFormattedCitation":"(Cheng &amp; Wu, 2018)","previouslyFormattedCitation":"(Cheng &amp; Wu, 2018)"},"properties":{"noteIndex":0},"schema":"https://github.com/citation-style-language/schema/raw/master/csl-citation.json"}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(Cheng &amp; Wu, 2018)</w:t>
      </w:r>
      <w:r w:rsidR="00C476FB" w:rsidRPr="001E73A0">
        <w:rPr>
          <w:sz w:val="24"/>
          <w:szCs w:val="24"/>
        </w:rPr>
        <w:fldChar w:fldCharType="end"/>
      </w:r>
      <w:r w:rsidR="008D2106" w:rsidRPr="001E73A0">
        <w:rPr>
          <w:sz w:val="24"/>
          <w:szCs w:val="24"/>
        </w:rPr>
        <w:t xml:space="preserve"> and</w:t>
      </w:r>
      <w:r w:rsidR="00112888" w:rsidRPr="001E73A0">
        <w:rPr>
          <w:sz w:val="24"/>
          <w:szCs w:val="24"/>
        </w:rPr>
        <w:t xml:space="preserve"> it can</w:t>
      </w:r>
      <w:r w:rsidR="008D2106" w:rsidRPr="001E73A0">
        <w:rPr>
          <w:sz w:val="24"/>
          <w:szCs w:val="24"/>
        </w:rPr>
        <w:t xml:space="preserve"> discourage earnings manipulation </w:t>
      </w:r>
      <w:r w:rsidR="00C476FB" w:rsidRPr="001E73A0">
        <w:rPr>
          <w:sz w:val="24"/>
          <w:szCs w:val="24"/>
        </w:rPr>
        <w:fldChar w:fldCharType="begin" w:fldLock="1"/>
      </w:r>
      <w:r w:rsidR="00C476FB" w:rsidRPr="001E73A0">
        <w:rPr>
          <w:sz w:val="24"/>
          <w:szCs w:val="24"/>
        </w:rPr>
        <w:instrText>ADDIN CSL_CITATION {"citationItems":[{"id":"ITEM-1","itemData":{"ISSN":"00218456","abstract":"This paper investigates the association between corporate voluntary diclosure and management´s discretion over accounting choices","author":[{"dropping-particle":"","family":"Kasznik","given":"Ron","non-dropping-particle":"","parse-names":false,"suffix":""}],"container-title":"Journal of Accounting Research","id":"ITEM-1","issue":"1","issued":{"date-parts":[["1999"]]},"page":"57-81","publisher":"JSTOR","title":"On the association between voluntary disclosure and earnings management","type":"article-journal","volume":"37"},"uris":["http://www.mendeley.com/documents/?uuid=68b1475c-cee2-30e6-b14d-9e8351318c2c"]}],"mendeley":{"formattedCitation":"(Kasznik, 1999)","plainTextFormattedCitation":"(Kasznik, 1999)","previouslyFormattedCitation":"(Kasznik, 1999)"},"properties":{"noteIndex":0},"schema":"https://github.com/citation-style-language/schema/raw/master/csl-citation.json"}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(Kasznik, 1999)</w:t>
      </w:r>
      <w:r w:rsidR="00C476FB" w:rsidRPr="001E73A0">
        <w:rPr>
          <w:sz w:val="24"/>
          <w:szCs w:val="24"/>
        </w:rPr>
        <w:fldChar w:fldCharType="end"/>
      </w:r>
      <w:r w:rsidR="008D2106" w:rsidRPr="001E73A0">
        <w:rPr>
          <w:sz w:val="24"/>
          <w:szCs w:val="24"/>
        </w:rPr>
        <w:t>.</w:t>
      </w:r>
    </w:p>
    <w:p w14:paraId="1BDAB6DD" w14:textId="5FCB9F03" w:rsidR="00D27AEA" w:rsidRPr="001E73A0" w:rsidRDefault="000F15C8">
      <w:pPr>
        <w:adjustRightInd w:val="0"/>
        <w:snapToGrid w:val="0"/>
        <w:spacing w:after="0" w:line="360" w:lineRule="auto"/>
        <w:ind w:firstLine="720"/>
        <w:jc w:val="both"/>
        <w:rPr>
          <w:sz w:val="24"/>
          <w:szCs w:val="24"/>
        </w:rPr>
      </w:pPr>
      <w:r w:rsidRPr="001E73A0">
        <w:rPr>
          <w:sz w:val="24"/>
          <w:szCs w:val="24"/>
        </w:rPr>
        <w:t>C</w:t>
      </w:r>
      <w:r w:rsidR="00D05143" w:rsidRPr="001E73A0">
        <w:rPr>
          <w:sz w:val="24"/>
          <w:szCs w:val="24"/>
        </w:rPr>
        <w:t>omparability</w:t>
      </w:r>
      <w:r w:rsidR="00D27AEA" w:rsidRPr="001E73A0">
        <w:rPr>
          <w:sz w:val="24"/>
          <w:szCs w:val="24"/>
        </w:rPr>
        <w:t xml:space="preserve">, </w:t>
      </w:r>
      <w:r w:rsidRPr="001E73A0">
        <w:rPr>
          <w:sz w:val="24"/>
          <w:szCs w:val="24"/>
        </w:rPr>
        <w:t xml:space="preserve">as </w:t>
      </w:r>
      <w:r w:rsidR="00D27AEA" w:rsidRPr="001E73A0">
        <w:rPr>
          <w:sz w:val="24"/>
          <w:szCs w:val="24"/>
        </w:rPr>
        <w:t>an important qualitative characteristic of accounting information,</w:t>
      </w:r>
      <w:r w:rsidR="00527590" w:rsidRPr="001E73A0">
        <w:rPr>
          <w:sz w:val="24"/>
          <w:szCs w:val="24"/>
        </w:rPr>
        <w:t xml:space="preserve"> </w:t>
      </w:r>
      <w:r w:rsidR="00D15A28" w:rsidRPr="001E73A0">
        <w:rPr>
          <w:sz w:val="24"/>
          <w:szCs w:val="24"/>
        </w:rPr>
        <w:t>is</w:t>
      </w:r>
      <w:r w:rsidR="00D66DB8" w:rsidRPr="001E73A0">
        <w:rPr>
          <w:sz w:val="24"/>
          <w:szCs w:val="24"/>
        </w:rPr>
        <w:t xml:space="preserve"> expected to</w:t>
      </w:r>
      <w:r w:rsidR="00527590" w:rsidRPr="001E73A0">
        <w:rPr>
          <w:sz w:val="24"/>
          <w:szCs w:val="24"/>
        </w:rPr>
        <w:t xml:space="preserve"> play a significant role in monitoring</w:t>
      </w:r>
      <w:r w:rsidR="00D15A28" w:rsidRPr="001E73A0">
        <w:rPr>
          <w:sz w:val="24"/>
          <w:szCs w:val="24"/>
        </w:rPr>
        <w:t xml:space="preserve"> </w:t>
      </w:r>
      <w:r w:rsidR="00112888" w:rsidRPr="001E73A0">
        <w:rPr>
          <w:sz w:val="24"/>
          <w:szCs w:val="24"/>
        </w:rPr>
        <w:t xml:space="preserve">and thereby </w:t>
      </w:r>
      <w:r w:rsidR="00D15A28" w:rsidRPr="001E73A0">
        <w:rPr>
          <w:sz w:val="24"/>
          <w:szCs w:val="24"/>
        </w:rPr>
        <w:t>governing</w:t>
      </w:r>
      <w:r w:rsidR="00527590" w:rsidRPr="001E73A0">
        <w:rPr>
          <w:sz w:val="24"/>
          <w:szCs w:val="24"/>
        </w:rPr>
        <w:t xml:space="preserve"> management </w:t>
      </w:r>
      <w:r w:rsidR="00A27FD2" w:rsidRPr="001E73A0">
        <w:rPr>
          <w:sz w:val="24"/>
          <w:szCs w:val="24"/>
        </w:rPr>
        <w:t>behaviour</w:t>
      </w:r>
      <w:r w:rsidR="00527590" w:rsidRPr="001E73A0">
        <w:rPr>
          <w:sz w:val="24"/>
          <w:szCs w:val="24"/>
        </w:rPr>
        <w:t xml:space="preserve">. </w:t>
      </w:r>
      <w:r w:rsidR="00197D71" w:rsidRPr="001E73A0">
        <w:rPr>
          <w:sz w:val="24"/>
          <w:szCs w:val="24"/>
        </w:rPr>
        <w:t>D</w:t>
      </w:r>
      <w:r w:rsidR="005C70A8" w:rsidRPr="001E73A0">
        <w:rPr>
          <w:sz w:val="24"/>
          <w:szCs w:val="24"/>
        </w:rPr>
        <w:t xml:space="preserve">iversity in accounting methods </w:t>
      </w:r>
      <w:r w:rsidR="00197D71" w:rsidRPr="001E73A0">
        <w:rPr>
          <w:sz w:val="24"/>
          <w:szCs w:val="24"/>
        </w:rPr>
        <w:t>utilised across</w:t>
      </w:r>
      <w:r w:rsidR="005C70A8" w:rsidRPr="001E73A0">
        <w:rPr>
          <w:sz w:val="24"/>
          <w:szCs w:val="24"/>
        </w:rPr>
        <w:t xml:space="preserve"> different firms increases costs for outside</w:t>
      </w:r>
      <w:r w:rsidR="00197D71" w:rsidRPr="001E73A0">
        <w:rPr>
          <w:sz w:val="24"/>
          <w:szCs w:val="24"/>
        </w:rPr>
        <w:t>rs and</w:t>
      </w:r>
      <w:r w:rsidR="005C70A8" w:rsidRPr="001E73A0">
        <w:rPr>
          <w:sz w:val="24"/>
          <w:szCs w:val="24"/>
        </w:rPr>
        <w:t xml:space="preserve"> market participants needing to interpret their accounting information and assess performance </w:t>
      </w:r>
      <w:r w:rsidR="00C476FB" w:rsidRPr="001E73A0">
        <w:rPr>
          <w:sz w:val="24"/>
          <w:szCs w:val="24"/>
        </w:rPr>
        <w:fldChar w:fldCharType="begin" w:fldLock="1"/>
      </w:r>
      <w:r w:rsidR="00C476FB" w:rsidRPr="001E73A0">
        <w:rPr>
          <w:sz w:val="24"/>
          <w:szCs w:val="24"/>
        </w:rPr>
        <w:instrText>ADDIN CSL_CITATION {"citationItems":[{"id":"ITEM-1","itemData":{"ISSN":"08239150","author":[{"dropping-particle":"","family":"Choi","given":"Jong-Hag","non-dropping-particle":"","parse-names":false,"suffix":""},{"dropping-particle":"","family":"Choi","given":"Sunhwa","non-dropping-particle":"","parse-names":false,"suffix":""},{"dropping-particle":"","family":"Myers","given":"Linda A.","non-dropping-particle":"","parse-names":false,"suffix":""},{"dropping-particle":"","family":"Ziebart","given":"David","non-dropping-particle":"","parse-names":false,"suffix":""}],"container-title":"Contemporary Accounting Research","id":"ITEM-1","issue":"1","issued":{"date-parts":[["2019","7","17"]]},"page":"389-417","publisher":"Wiley/Blackwell (10.1111)","title":"Financial statement comparability and the informativeness of stock prices about future earnings","type":"article-journal","volume":"36"},"uris":["http://www.mendeley.com/documents/?uuid=7b01c9dc-5e81-31e5-82fb-88dfb1f4d005"]},{"id":"ITEM-2","itemData":{"ISBN":"1911-3846","ISSN":"08239150","abstract":"Earnings non-synchronicity reflects the extent to which firm-specific factors determine a firm's earnings. Prior research suggests that high earnings non-synchronicity impedes corporate outsiders' ability to process information. This study examines the impact of earnings non-synchronicity on managers' decisions to provide earnings forecasts. We propose that high earnings non-synchronicity motivates managers to issue earnings forecasts to reduce information asymmetry between managers and investors and to preempt costly information acquisition by outsiders. Consistently, we find a positive relation between earnings non-synchronicity and managers' propensity to issue earnings forecasts, particularly long-horizon forecasts. This positive relation is weaker when earnings are easier to predict based on the firm's earnings history and is stronger when the firm has higher institutional ownership and greater analyst following. We also find that the market's reaction to management forecasts increases with earnings non-synchronicity. Overall, the evidence suggests that managers voluntarily provide earnings forecasts to alleviate the adverse consequences of earnings non-synchronicity. These findings provide a more complete picture about the impact of earnings non-synchronicity on a firm's information environment, and highlight the effect of the nature of information asymmetry on voluntary disclosures.","author":[{"dropping-particle":"","family":"Gong","given":"Guojin","non-dropping-particle":"","parse-names":false,"suffix":""},{"dropping-particle":"","family":"Li","given":"Laura Yue","non-dropping-particle":"","parse-names":false,"suffix":""},{"dropping-particle":"","family":"Zhou","given":"Ling","non-dropping-particle":"","parse-names":false,"suffix":""}],"container-title":"Contemporary Accounting Research","id":"ITEM-2","issue":"4","issued":{"date-parts":[["2013"]]},"page":"1560-1589","title":"Earnings non-synchronicity and voluntary disclosure","type":"article-journal","volume":"30"},"uris":["http://www.mendeley.com/documents/?uuid=fbec67c6-b7dc-4801-9674-fb8d3a1476d1"]}],"mendeley":{"formattedCitation":"(Choi et al., 2019; Gong, Li, &amp; Zhou, 2013)","plainTextFormattedCitation":"(Choi et al., 2019; Gong, Li, &amp; Zhou, 2013)","previouslyFormattedCitation":"(Choi et al., 2019; Gong, Li, &amp; Zhou, 2013)"},"properties":{"noteIndex":0},"schema":"https://github.com/citation-style-language/schema/raw/master/csl-citation.json"}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(Choi et al., 2019; Gong, Li, &amp; Zhou, 2013)</w:t>
      </w:r>
      <w:r w:rsidR="00C476FB" w:rsidRPr="001E73A0">
        <w:rPr>
          <w:sz w:val="24"/>
          <w:szCs w:val="24"/>
        </w:rPr>
        <w:fldChar w:fldCharType="end"/>
      </w:r>
      <w:r w:rsidR="005C70A8" w:rsidRPr="001E73A0">
        <w:rPr>
          <w:sz w:val="24"/>
          <w:szCs w:val="24"/>
        </w:rPr>
        <w:t xml:space="preserve">. Conversely, comparable financial reporting </w:t>
      </w:r>
      <w:r w:rsidR="00095880" w:rsidRPr="001E73A0">
        <w:rPr>
          <w:sz w:val="24"/>
          <w:szCs w:val="24"/>
        </w:rPr>
        <w:t xml:space="preserve">can </w:t>
      </w:r>
      <w:r w:rsidR="005C70A8" w:rsidRPr="001E73A0">
        <w:rPr>
          <w:sz w:val="24"/>
          <w:szCs w:val="24"/>
        </w:rPr>
        <w:t xml:space="preserve">reduce effort in judgement calculations, according to the literature on </w:t>
      </w:r>
      <w:r w:rsidR="005C70A8" w:rsidRPr="001E73A0">
        <w:rPr>
          <w:sz w:val="24"/>
          <w:szCs w:val="24"/>
        </w:rPr>
        <w:lastRenderedPageBreak/>
        <w:t xml:space="preserve">mandatory </w:t>
      </w:r>
      <w:r w:rsidR="00095880" w:rsidRPr="001E73A0">
        <w:rPr>
          <w:sz w:val="24"/>
          <w:szCs w:val="24"/>
        </w:rPr>
        <w:t xml:space="preserve">IFRS </w:t>
      </w:r>
      <w:r w:rsidR="005C70A8" w:rsidRPr="001E73A0">
        <w:rPr>
          <w:sz w:val="24"/>
          <w:szCs w:val="24"/>
        </w:rPr>
        <w:t xml:space="preserve">adoption that promotes standardised financial reporting information </w:t>
      </w:r>
      <w:r w:rsidR="00C476FB" w:rsidRPr="001E73A0">
        <w:rPr>
          <w:sz w:val="24"/>
          <w:szCs w:val="24"/>
        </w:rPr>
        <w:fldChar w:fldCharType="begin" w:fldLock="1"/>
      </w:r>
      <w:r w:rsidR="00CD1FDD">
        <w:rPr>
          <w:sz w:val="24"/>
          <w:szCs w:val="24"/>
        </w:rPr>
        <w:instrText>ADDIN CSL_CITATION {"citationItems":[{"id":"ITEM-1","itemData":{"ISSN":"0001-4826","abstract":"ABSTRACT: We examine whether the mandatory introduction of International Financial Reporting Standards leads to an increase in institutional investor demand for equities. Using a large ownership database covering all types of institutional investors from around the world, we find that institutional holdings increase for mandatory IFRS adopters. Changes in holdings are concentrated around first-time annual reporting events. Second, we document that the positive IFRS effects on institutional holdings are concentrated among investors whose orientation and styles suggest they are most likely to benefit from higher quality financial statements, including active, value, and growth investors. These results are consistent with holdings changes being associated with the financial reporting regime change. Finally, we show that increased institutional holdings are concentrated in countries in which enforcement and reporting incentives are strongest, and where the differences between local GAAP and IFRS are relativel...","author":[{"dropping-particle":"","family":"Florou","given":"Annita","non-dropping-particle":"","parse-names":false,"suffix":""},{"dropping-particle":"","family":"Pope","given":"Peter F.","non-dropping-particle":"","parse-names":false,"suffix":""}],"container-title":"The Accounting Review","id":"ITEM-1","issue":"6","issued":{"date-parts":[["2012","11","1"]]},"page":"1993-2025","publisher":"American Accounting Association","title":"Mandatory IFRS adoption and institutional investment decisions","type":"article-journal","volume":"87"},"uris":["http://www.mendeley.com/documents/?uuid=a67e1dfc-576f-3e19-8327-9ae705955105"]},{"id":"ITEM-2","itemData":{"ISSN":"0001-4826","abstract":"ABSTRACT: This study examines whether the mandatory adoption of International Financial Reporting Standards (IFRS) in the European Union significantly improves information comparability in 17 European countries. We employ three proxies—the similarity of accounting functions that translate economic events into accounting data, the degree of information transfer, and the similarity of the information content of earnings and of the book value of equity—to measure information comparability. Our results suggest that mandatory IFRS adoption improves cross-country information comparability by making similar things look more alike without making different things look less different. Our results also suggest that both accounting convergence and higher quality information under IFRS are the likely drivers of the comparability improvement. In addition, we find some evidence that cross-country comparability improvement is affected by firms' institutional environment. Data Availability: Data are available from commerc...","author":[{"dropping-particle":"","family":"Yip","given":"Rita W. Y.","non-dropping-particle":"","parse-names":false,"suffix":""},{"dropping-particle":"","family":"Young","given":"Danqing","non-dropping-particle":"","parse-names":false,"suffix":""}],"container-title":"The Accounting Review","id":"ITEM-2","issue":"5","issued":{"date-parts":[["2012","9","1"]]},"page":"1767-1789","publisher":"American Accounting Association","title":"Does mandatory IFRS adoption improve information comparability?","type":"article-journal","volume":"87"},"uris":["http://www.mendeley.com/documents/?uuid=15950a0a-b91c-3b67-8009-f67b844f17fa"]},{"id":"ITEM-3","itemData":{"ISSN":"0001-4826","abstract":"ABSTRACT: Do differences in countries' accounting standards affect global investment decisions? We explore this question by examining how accounting distance, the difference in the accounting standards used in the investor's and the investee's countries, affects the asset allocation decisions of global mutual funds. We find that investors tend to underweight investees with greater accounting distance. Using the mandatory adoption of International Financial Reporting Standards (IFRS) as an event that changed the accounting standards of various country-pairs, we examine how two sources of changes in accounting distance—(1) changes due to IFRS adoption of the investee, and (2) changes due to IFRS adoption in the investor's country—affect global portfolio allocation decisions. We find that the tendency to underinvest in investees with greater accounting distance significantly weakens when accounting distance is reduced, either from an investee's IFRS adoption or from IFRS adoption in the investor's country. T...","author":[{"dropping-particle":"","family":"Yu","given":"Gwen","non-dropping-particle":"","parse-names":false,"suffix":""},{"dropping-particle":"","family":"Wahid","given":"Aida Sijamic","non-dropping-particle":"","parse-names":false,"suffix":""}],"container-title":"The Accounting Review","id":"ITEM-3","issue":"5","issued":{"date-parts":[["2014","9","1"]]},"page":"1895-1930","publisher":"American Accounting Association","title":"Accounting standards and international portfolio holdings","type":"article-journal","volume":"89"},"uris":["http://www.mendeley.com/documents/?uuid=e3b9f643-a782-342f-81bc-fbf0a7aa97a0"]}],"mendeley":{"formattedCitation":"(Florou &amp; Pope, 2012; Yip &amp; Young, 2012; G. Yu &amp; Wahid, 2014)","manualFormatting":"(Florou &amp; Pope, 2012; Yip &amp; Young, 2012; Yu &amp; Wahid, 2014)","plainTextFormattedCitation":"(Florou &amp; Pope, 2012; Yip &amp; Young, 2012; G. Yu &amp; Wahid, 2014)","previouslyFormattedCitation":"(Florou &amp; Pope, 2012; Yip &amp; Young, 2012; G. Yu &amp; Wahid, 2014)"},"properties":{"noteIndex":0},"schema":"https://github.com/citation-style-language/schema/raw/master/csl-citation.json"}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(Florou &amp; Pope, 2012; Yip &amp; Young, 2012; Yu &amp; Wahid, 2014)</w:t>
      </w:r>
      <w:r w:rsidR="00C476FB" w:rsidRPr="001E73A0">
        <w:rPr>
          <w:sz w:val="24"/>
          <w:szCs w:val="24"/>
        </w:rPr>
        <w:fldChar w:fldCharType="end"/>
      </w:r>
      <w:r w:rsidR="005C70A8" w:rsidRPr="001E73A0">
        <w:rPr>
          <w:sz w:val="24"/>
          <w:szCs w:val="24"/>
        </w:rPr>
        <w:t xml:space="preserve">. Likewise, Kim et al. </w:t>
      </w:r>
      <w:r w:rsidR="00C476FB" w:rsidRPr="001E73A0">
        <w:rPr>
          <w:sz w:val="24"/>
          <w:szCs w:val="24"/>
        </w:rPr>
        <w:fldChar w:fldCharType="begin" w:fldLock="1"/>
      </w:r>
      <w:r w:rsidR="00C476FB" w:rsidRPr="001E73A0">
        <w:rPr>
          <w:sz w:val="24"/>
          <w:szCs w:val="24"/>
        </w:rP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suppress-author":1,"uris":["http://www.mendeley.com/documents/?uuid=e972df64-99d1-3933-8dc6-d33829ee5701"]}],"mendeley":{"formattedCitation":"(2013)","plainTextFormattedCitation":"(2013)","previouslyFormattedCitation":"(2013)"},"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(2013)</w:t>
      </w:r>
      <w:r w:rsidR="00C476FB" w:rsidRPr="001E73A0">
        <w:rPr>
          <w:sz w:val="24"/>
          <w:szCs w:val="24"/>
        </w:rPr>
        <w:fldChar w:fldCharType="end"/>
      </w:r>
      <w:r w:rsidR="005C70A8" w:rsidRPr="001E73A0">
        <w:rPr>
          <w:sz w:val="24"/>
          <w:szCs w:val="24"/>
        </w:rPr>
        <w:t xml:space="preserve"> maintain, inter alia, that accounting information comparability could relieve the efforts expended by creditors in analysing and evaluating </w:t>
      </w:r>
      <w:r w:rsidR="00095880" w:rsidRPr="001E73A0">
        <w:rPr>
          <w:sz w:val="24"/>
          <w:szCs w:val="24"/>
        </w:rPr>
        <w:t xml:space="preserve">various </w:t>
      </w:r>
      <w:r w:rsidR="005C70A8" w:rsidRPr="001E73A0">
        <w:rPr>
          <w:sz w:val="24"/>
          <w:szCs w:val="24"/>
        </w:rPr>
        <w:t>ﬁrms against their peers.</w:t>
      </w:r>
    </w:p>
    <w:p w14:paraId="603D259E" w14:textId="38B8569B" w:rsidR="00D27AEA" w:rsidRPr="001E73A0" w:rsidRDefault="005C70A8">
      <w:pPr>
        <w:adjustRightInd w:val="0"/>
        <w:snapToGrid w:val="0"/>
        <w:spacing w:after="0" w:line="360" w:lineRule="auto"/>
        <w:ind w:firstLine="720"/>
        <w:jc w:val="both"/>
        <w:rPr>
          <w:sz w:val="24"/>
          <w:szCs w:val="24"/>
        </w:rPr>
      </w:pPr>
      <w:r w:rsidRPr="001E73A0">
        <w:rPr>
          <w:sz w:val="24"/>
          <w:szCs w:val="24"/>
        </w:rPr>
        <w:t>Furthermore, d</w:t>
      </w:r>
      <w:r w:rsidR="00527590" w:rsidRPr="001E73A0">
        <w:rPr>
          <w:sz w:val="24"/>
          <w:szCs w:val="24"/>
        </w:rPr>
        <w:t>istinct from other qualitative characteristics focus</w:t>
      </w:r>
      <w:r w:rsidR="00095880" w:rsidRPr="001E73A0">
        <w:rPr>
          <w:sz w:val="24"/>
          <w:szCs w:val="24"/>
        </w:rPr>
        <w:t>ing</w:t>
      </w:r>
      <w:r w:rsidR="00527590" w:rsidRPr="001E73A0">
        <w:rPr>
          <w:sz w:val="24"/>
          <w:szCs w:val="24"/>
        </w:rPr>
        <w:t xml:space="preserve"> on firm-specific financial items and often computed independently, comparability </w:t>
      </w:r>
      <w:r w:rsidR="00095880" w:rsidRPr="001E73A0">
        <w:rPr>
          <w:sz w:val="24"/>
          <w:szCs w:val="24"/>
        </w:rPr>
        <w:t xml:space="preserve">empowers </w:t>
      </w:r>
      <w:r w:rsidR="00527590" w:rsidRPr="001E73A0">
        <w:rPr>
          <w:sz w:val="24"/>
          <w:szCs w:val="24"/>
        </w:rPr>
        <w:t xml:space="preserve">stakeholders to </w:t>
      </w:r>
      <w:r w:rsidR="000D2377" w:rsidRPr="001E73A0">
        <w:rPr>
          <w:sz w:val="24"/>
          <w:szCs w:val="24"/>
        </w:rPr>
        <w:t>draw sharper inferences about economic similarities and differences across comparable firms.</w:t>
      </w:r>
      <w:r w:rsidR="00720FE1" w:rsidRPr="001E73A0">
        <w:rPr>
          <w:sz w:val="24"/>
          <w:szCs w:val="24"/>
        </w:rPr>
        <w:t xml:space="preserve"> </w:t>
      </w:r>
      <w:r w:rsidRPr="001E73A0">
        <w:rPr>
          <w:sz w:val="24"/>
          <w:szCs w:val="24"/>
        </w:rPr>
        <w:t xml:space="preserve">Specifically, the usefulness of accounting information “depends to a great extent on the user’s ability to relate it to some benchmark” </w:t>
      </w:r>
      <w:r w:rsidR="00C476FB" w:rsidRPr="001E73A0">
        <w:rPr>
          <w:sz w:val="24"/>
          <w:szCs w:val="24"/>
        </w:rPr>
        <w:fldChar w:fldCharType="begin" w:fldLock="1"/>
      </w:r>
      <w:r w:rsidR="00C476FB" w:rsidRPr="001E73A0">
        <w:rPr>
          <w:sz w:val="24"/>
          <w:szCs w:val="24"/>
        </w:rPr>
        <w:instrText>ADDIN CSL_CITATION {"citationItems":[{"id":"ITEM-1","itemData":{"author":[{"dropping-particle":"","family":"Financial Accounting Standards Board (FASB)","given":"","non-dropping-particle":"","parse-names":false,"suffix":""}],"id":"ITEM-1","issued":{"date-parts":[["1980"]]},"title":"Statement of Financial Accounting Concepts No. 2: Qualitative Characteristics of Accounting Information","type":"book"},"locator":"CON2-3","uris":["http://www.mendeley.com/documents/?uuid=754b49cc-b2d1-417d-8b93-e12437ab9398"]}],"mendeley":{"formattedCitation":"(Financial Accounting Standards Board (FASB), 1980, pp. CON2-3)","plainTextFormattedCitation":"(Financial Accounting Standards Board (FASB), 1980, pp. CON2-3)","previouslyFormattedCitation":"(Financial Accounting Standards Board (FASB), 1980, pp. CON2-3)"},"properties":{"noteIndex":0},"schema":"https://github.com/citation-style-language/schema/raw/master/csl-citation.json"}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(Financial Accounting Standards Board (FASB), 1980, pp. CON2-3)</w:t>
      </w:r>
      <w:r w:rsidR="00C476FB" w:rsidRPr="001E73A0">
        <w:rPr>
          <w:sz w:val="24"/>
          <w:szCs w:val="24"/>
        </w:rPr>
        <w:fldChar w:fldCharType="end"/>
      </w:r>
      <w:r w:rsidRPr="001E73A0">
        <w:rPr>
          <w:sz w:val="24"/>
          <w:szCs w:val="24"/>
        </w:rPr>
        <w:t xml:space="preserve">. De Franco et al. </w:t>
      </w:r>
      <w:r w:rsidR="00C476FB" w:rsidRPr="001E73A0">
        <w:rPr>
          <w:sz w:val="24"/>
          <w:szCs w:val="24"/>
        </w:rPr>
        <w:fldChar w:fldCharType="begin" w:fldLock="1"/>
      </w:r>
      <w:r w:rsidR="00C476FB"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00C476FB" w:rsidRPr="001E73A0">
        <w:rPr>
          <w:sz w:val="24"/>
          <w:szCs w:val="24"/>
        </w:rPr>
        <w:fldChar w:fldCharType="separate"/>
      </w:r>
      <w:r w:rsidR="00C476FB" w:rsidRPr="001E73A0">
        <w:rPr>
          <w:noProof/>
          <w:sz w:val="24"/>
          <w:szCs w:val="24"/>
        </w:rPr>
        <w:t>(2011)</w:t>
      </w:r>
      <w:r w:rsidR="00C476FB" w:rsidRPr="001E73A0">
        <w:rPr>
          <w:sz w:val="24"/>
          <w:szCs w:val="24"/>
        </w:rPr>
        <w:fldChar w:fldCharType="end"/>
      </w:r>
      <w:r w:rsidRPr="001E73A0">
        <w:rPr>
          <w:sz w:val="24"/>
          <w:szCs w:val="24"/>
        </w:rPr>
        <w:t xml:space="preserve"> posit that accounting information comparability enhances analysts’ understanding of how economic events translate into accounting performance, which allows for more accurate and less dispersed analyst forecasting.</w:t>
      </w:r>
    </w:p>
    <w:p w14:paraId="535CA1EB" w14:textId="7BDF9D38" w:rsidR="008F096F" w:rsidRPr="001E73A0" w:rsidRDefault="00720FE1">
      <w:pPr>
        <w:adjustRightInd w:val="0"/>
        <w:snapToGrid w:val="0"/>
        <w:spacing w:after="0" w:line="360" w:lineRule="auto"/>
        <w:ind w:firstLine="720"/>
        <w:jc w:val="both"/>
        <w:rPr>
          <w:sz w:val="24"/>
          <w:szCs w:val="24"/>
        </w:rPr>
      </w:pPr>
      <w:r w:rsidRPr="001E73A0">
        <w:rPr>
          <w:sz w:val="24"/>
          <w:szCs w:val="24"/>
        </w:rPr>
        <w:t xml:space="preserve">With </w:t>
      </w:r>
      <w:r w:rsidR="00C65067" w:rsidRPr="001E73A0">
        <w:rPr>
          <w:sz w:val="24"/>
          <w:szCs w:val="24"/>
        </w:rPr>
        <w:t xml:space="preserve">the </w:t>
      </w:r>
      <w:r w:rsidRPr="001E73A0">
        <w:rPr>
          <w:sz w:val="24"/>
          <w:szCs w:val="24"/>
        </w:rPr>
        <w:t>lower cost</w:t>
      </w:r>
      <w:r w:rsidR="00C65067" w:rsidRPr="001E73A0">
        <w:rPr>
          <w:sz w:val="24"/>
          <w:szCs w:val="24"/>
        </w:rPr>
        <w:t>s</w:t>
      </w:r>
      <w:r w:rsidRPr="001E73A0">
        <w:rPr>
          <w:sz w:val="24"/>
          <w:szCs w:val="24"/>
        </w:rPr>
        <w:t xml:space="preserve"> of acquiring and processing information and </w:t>
      </w:r>
      <w:r w:rsidR="00C65067" w:rsidRPr="001E73A0">
        <w:rPr>
          <w:sz w:val="24"/>
          <w:szCs w:val="24"/>
        </w:rPr>
        <w:t xml:space="preserve">the </w:t>
      </w:r>
      <w:r w:rsidRPr="001E73A0">
        <w:rPr>
          <w:sz w:val="24"/>
          <w:szCs w:val="24"/>
        </w:rPr>
        <w:t xml:space="preserve">higher </w:t>
      </w:r>
      <w:r w:rsidR="00C65067" w:rsidRPr="001E73A0">
        <w:rPr>
          <w:sz w:val="24"/>
          <w:szCs w:val="24"/>
        </w:rPr>
        <w:t xml:space="preserve">information </w:t>
      </w:r>
      <w:r w:rsidRPr="001E73A0">
        <w:rPr>
          <w:sz w:val="24"/>
          <w:szCs w:val="24"/>
        </w:rPr>
        <w:t xml:space="preserve">quality </w:t>
      </w:r>
      <w:r w:rsidR="00311298" w:rsidRPr="001E73A0">
        <w:rPr>
          <w:sz w:val="24"/>
          <w:szCs w:val="24"/>
        </w:rPr>
        <w:t>available to users</w:t>
      </w:r>
      <w:r w:rsidRPr="001E73A0">
        <w:rPr>
          <w:sz w:val="24"/>
          <w:szCs w:val="24"/>
        </w:rPr>
        <w:t>, i</w:t>
      </w:r>
      <w:r w:rsidR="00AE5774" w:rsidRPr="001E73A0">
        <w:rPr>
          <w:sz w:val="24"/>
          <w:szCs w:val="24"/>
        </w:rPr>
        <w:t xml:space="preserve">nformation </w:t>
      </w:r>
      <w:r w:rsidR="00095880" w:rsidRPr="001E73A0">
        <w:rPr>
          <w:sz w:val="24"/>
          <w:szCs w:val="24"/>
        </w:rPr>
        <w:t xml:space="preserve">becomes </w:t>
      </w:r>
      <w:r w:rsidR="00C65067" w:rsidRPr="001E73A0">
        <w:rPr>
          <w:sz w:val="24"/>
          <w:szCs w:val="24"/>
        </w:rPr>
        <w:t xml:space="preserve">more </w:t>
      </w:r>
      <w:r w:rsidR="00AE5774" w:rsidRPr="001E73A0">
        <w:rPr>
          <w:sz w:val="24"/>
          <w:szCs w:val="24"/>
        </w:rPr>
        <w:t>transfer</w:t>
      </w:r>
      <w:r w:rsidR="00EE6DBA" w:rsidRPr="001E73A0">
        <w:rPr>
          <w:sz w:val="24"/>
          <w:szCs w:val="24"/>
        </w:rPr>
        <w:t>rable</w:t>
      </w:r>
      <w:r w:rsidR="00AE5774" w:rsidRPr="001E73A0">
        <w:rPr>
          <w:sz w:val="24"/>
          <w:szCs w:val="24"/>
        </w:rPr>
        <w:t xml:space="preserve"> </w:t>
      </w:r>
      <w:r w:rsidR="00C65067" w:rsidRPr="001E73A0">
        <w:rPr>
          <w:sz w:val="24"/>
          <w:szCs w:val="24"/>
        </w:rPr>
        <w:t xml:space="preserve">within and </w:t>
      </w:r>
      <w:r w:rsidR="00AE5774" w:rsidRPr="001E73A0">
        <w:rPr>
          <w:sz w:val="24"/>
          <w:szCs w:val="24"/>
        </w:rPr>
        <w:t>among comparable firms</w:t>
      </w:r>
      <w:r w:rsidR="00C65067" w:rsidRPr="001E73A0">
        <w:rPr>
          <w:sz w:val="24"/>
          <w:szCs w:val="24"/>
        </w:rPr>
        <w:t>. This</w:t>
      </w:r>
      <w:r w:rsidR="00B561D3" w:rsidRPr="001E73A0">
        <w:rPr>
          <w:sz w:val="24"/>
          <w:szCs w:val="24"/>
        </w:rPr>
        <w:t xml:space="preserve"> can</w:t>
      </w:r>
      <w:r w:rsidR="00AE5774" w:rsidRPr="001E73A0">
        <w:rPr>
          <w:sz w:val="24"/>
          <w:szCs w:val="24"/>
        </w:rPr>
        <w:t xml:space="preserve"> </w:t>
      </w:r>
      <w:r w:rsidR="00C3139C" w:rsidRPr="001E73A0">
        <w:rPr>
          <w:sz w:val="24"/>
          <w:szCs w:val="24"/>
        </w:rPr>
        <w:t xml:space="preserve">significantly reduce </w:t>
      </w:r>
      <w:r w:rsidR="00D27AEA" w:rsidRPr="001E73A0">
        <w:rPr>
          <w:sz w:val="24"/>
          <w:szCs w:val="24"/>
        </w:rPr>
        <w:t>the monitoring</w:t>
      </w:r>
      <w:r w:rsidR="00D15A28" w:rsidRPr="001E73A0">
        <w:rPr>
          <w:sz w:val="24"/>
          <w:szCs w:val="24"/>
        </w:rPr>
        <w:t xml:space="preserve"> </w:t>
      </w:r>
      <w:r w:rsidR="00D27AEA" w:rsidRPr="001E73A0">
        <w:rPr>
          <w:sz w:val="24"/>
          <w:szCs w:val="24"/>
        </w:rPr>
        <w:t>cost</w:t>
      </w:r>
      <w:r w:rsidR="00095880" w:rsidRPr="001E73A0">
        <w:rPr>
          <w:sz w:val="24"/>
          <w:szCs w:val="24"/>
        </w:rPr>
        <w:t>s</w:t>
      </w:r>
      <w:r w:rsidR="00D27AEA" w:rsidRPr="001E73A0">
        <w:rPr>
          <w:sz w:val="24"/>
          <w:szCs w:val="24"/>
        </w:rPr>
        <w:t xml:space="preserve"> of </w:t>
      </w:r>
      <w:r w:rsidR="00152188" w:rsidRPr="001E73A0">
        <w:rPr>
          <w:sz w:val="24"/>
          <w:szCs w:val="24"/>
        </w:rPr>
        <w:t>internal and external</w:t>
      </w:r>
      <w:r w:rsidR="00C3139C" w:rsidRPr="001E73A0">
        <w:rPr>
          <w:sz w:val="24"/>
          <w:szCs w:val="24"/>
        </w:rPr>
        <w:t xml:space="preserve"> stakeholders</w:t>
      </w:r>
      <w:r w:rsidR="00375B52" w:rsidRPr="001E73A0">
        <w:rPr>
          <w:sz w:val="24"/>
          <w:szCs w:val="24"/>
        </w:rPr>
        <w:t>, such as</w:t>
      </w:r>
      <w:r w:rsidR="00C65067" w:rsidRPr="001E73A0">
        <w:rPr>
          <w:sz w:val="24"/>
          <w:szCs w:val="24"/>
        </w:rPr>
        <w:t xml:space="preserve"> </w:t>
      </w:r>
      <w:r w:rsidR="00152188" w:rsidRPr="001E73A0">
        <w:rPr>
          <w:sz w:val="24"/>
          <w:szCs w:val="24"/>
        </w:rPr>
        <w:t>analysts, institutional investors, auditors</w:t>
      </w:r>
      <w:r w:rsidR="00B47407" w:rsidRPr="001E73A0">
        <w:rPr>
          <w:sz w:val="24"/>
          <w:szCs w:val="24"/>
        </w:rPr>
        <w:t xml:space="preserve">, </w:t>
      </w:r>
      <w:r w:rsidR="00A90BD0" w:rsidRPr="001E73A0">
        <w:rPr>
          <w:sz w:val="24"/>
          <w:szCs w:val="24"/>
        </w:rPr>
        <w:t xml:space="preserve">labour </w:t>
      </w:r>
      <w:r w:rsidR="00B47407" w:rsidRPr="001E73A0">
        <w:rPr>
          <w:sz w:val="24"/>
          <w:szCs w:val="24"/>
        </w:rPr>
        <w:t>unions</w:t>
      </w:r>
      <w:r w:rsidR="00C65067" w:rsidRPr="001E73A0">
        <w:rPr>
          <w:sz w:val="24"/>
          <w:szCs w:val="24"/>
        </w:rPr>
        <w:t>,</w:t>
      </w:r>
      <w:r w:rsidR="00152188" w:rsidRPr="001E73A0">
        <w:rPr>
          <w:sz w:val="24"/>
          <w:szCs w:val="24"/>
        </w:rPr>
        <w:t xml:space="preserve"> and</w:t>
      </w:r>
      <w:r w:rsidR="00A90BD0" w:rsidRPr="001E73A0">
        <w:rPr>
          <w:sz w:val="24"/>
          <w:szCs w:val="24"/>
        </w:rPr>
        <w:t xml:space="preserve"> corporate</w:t>
      </w:r>
      <w:r w:rsidR="00152188" w:rsidRPr="001E73A0">
        <w:rPr>
          <w:sz w:val="24"/>
          <w:szCs w:val="24"/>
        </w:rPr>
        <w:t xml:space="preserve"> board</w:t>
      </w:r>
      <w:r w:rsidR="00A90BD0" w:rsidRPr="001E73A0">
        <w:rPr>
          <w:sz w:val="24"/>
          <w:szCs w:val="24"/>
        </w:rPr>
        <w:t>s</w:t>
      </w:r>
      <w:r w:rsidR="00D27AEA" w:rsidRPr="001E73A0">
        <w:rPr>
          <w:sz w:val="24"/>
          <w:szCs w:val="24"/>
        </w:rPr>
        <w:t xml:space="preserve"> </w:t>
      </w:r>
      <w:r w:rsidR="00435A21" w:rsidRPr="001E73A0">
        <w:rPr>
          <w:sz w:val="24"/>
          <w:szCs w:val="24"/>
        </w:rPr>
        <w:fldChar w:fldCharType="begin" w:fldLock="1"/>
      </w:r>
      <w:r w:rsidR="008D61D2"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00435A21" w:rsidRPr="001E73A0">
        <w:rPr>
          <w:sz w:val="24"/>
          <w:szCs w:val="24"/>
        </w:rPr>
        <w:fldChar w:fldCharType="separate"/>
      </w:r>
      <w:r w:rsidR="00C54AE8" w:rsidRPr="001E73A0">
        <w:rPr>
          <w:noProof/>
          <w:sz w:val="24"/>
          <w:szCs w:val="24"/>
        </w:rPr>
        <w:t>(De Franco et al., 2011)</w:t>
      </w:r>
      <w:r w:rsidR="00435A21" w:rsidRPr="001E73A0">
        <w:rPr>
          <w:sz w:val="24"/>
          <w:szCs w:val="24"/>
        </w:rPr>
        <w:fldChar w:fldCharType="end"/>
      </w:r>
      <w:r w:rsidR="00C3139C" w:rsidRPr="001E73A0">
        <w:rPr>
          <w:sz w:val="24"/>
          <w:szCs w:val="24"/>
        </w:rPr>
        <w:t>.</w:t>
      </w:r>
      <w:r w:rsidR="0015587F" w:rsidRPr="001E73A0">
        <w:rPr>
          <w:sz w:val="24"/>
          <w:szCs w:val="24"/>
        </w:rPr>
        <w:t xml:space="preserve"> </w:t>
      </w:r>
      <w:r w:rsidR="00C3139C" w:rsidRPr="001E73A0">
        <w:rPr>
          <w:sz w:val="24"/>
          <w:szCs w:val="24"/>
        </w:rPr>
        <w:t>Therefore</w:t>
      </w:r>
      <w:r w:rsidR="00D15A28" w:rsidRPr="001E73A0">
        <w:rPr>
          <w:sz w:val="24"/>
          <w:szCs w:val="24"/>
        </w:rPr>
        <w:t>, we argue that</w:t>
      </w:r>
      <w:r w:rsidR="00C3139C" w:rsidRPr="001E73A0">
        <w:rPr>
          <w:sz w:val="24"/>
          <w:szCs w:val="24"/>
        </w:rPr>
        <w:t xml:space="preserve"> accounting comparability could serve as an effective governance tool in </w:t>
      </w:r>
      <w:r w:rsidR="001946B3" w:rsidRPr="001E73A0">
        <w:rPr>
          <w:sz w:val="24"/>
          <w:szCs w:val="24"/>
        </w:rPr>
        <w:t>mitigating</w:t>
      </w:r>
      <w:r w:rsidR="00C3139C" w:rsidRPr="001E73A0">
        <w:rPr>
          <w:sz w:val="24"/>
          <w:szCs w:val="24"/>
        </w:rPr>
        <w:t xml:space="preserve"> agency problems. </w:t>
      </w:r>
      <w:r w:rsidR="0015587F" w:rsidRPr="001E73A0">
        <w:rPr>
          <w:sz w:val="24"/>
          <w:szCs w:val="24"/>
        </w:rPr>
        <w:t xml:space="preserve">In particular, </w:t>
      </w:r>
      <w:r w:rsidR="00D67084" w:rsidRPr="001E73A0">
        <w:rPr>
          <w:sz w:val="24"/>
          <w:szCs w:val="24"/>
        </w:rPr>
        <w:t xml:space="preserve">through inferences based on the disclosures of comparable industry peers, investors can detect </w:t>
      </w:r>
      <w:r w:rsidR="009E1BC7" w:rsidRPr="001E73A0">
        <w:rPr>
          <w:sz w:val="24"/>
          <w:szCs w:val="24"/>
        </w:rPr>
        <w:t>opportunistic</w:t>
      </w:r>
      <w:r w:rsidR="00807D48" w:rsidRPr="001E73A0">
        <w:rPr>
          <w:sz w:val="24"/>
          <w:szCs w:val="24"/>
        </w:rPr>
        <w:t xml:space="preserve"> </w:t>
      </w:r>
      <w:r w:rsidR="00031399" w:rsidRPr="001E73A0">
        <w:rPr>
          <w:sz w:val="24"/>
          <w:szCs w:val="24"/>
        </w:rPr>
        <w:t>behaviours</w:t>
      </w:r>
      <w:r w:rsidR="00C65067" w:rsidRPr="001E73A0">
        <w:rPr>
          <w:sz w:val="24"/>
          <w:szCs w:val="24"/>
        </w:rPr>
        <w:t xml:space="preserve"> of managers</w:t>
      </w:r>
      <w:r w:rsidR="00D67084" w:rsidRPr="001E73A0">
        <w:rPr>
          <w:sz w:val="24"/>
          <w:szCs w:val="24"/>
        </w:rPr>
        <w:t xml:space="preserve">, even </w:t>
      </w:r>
      <w:r w:rsidR="00C65067" w:rsidRPr="001E73A0">
        <w:rPr>
          <w:sz w:val="24"/>
          <w:szCs w:val="24"/>
        </w:rPr>
        <w:t>when undisclosed</w:t>
      </w:r>
      <w:r w:rsidR="00506CF6" w:rsidRPr="001E73A0">
        <w:rPr>
          <w:sz w:val="24"/>
          <w:szCs w:val="24"/>
        </w:rPr>
        <w:t>; therefore,</w:t>
      </w:r>
      <w:r w:rsidR="00885A7C" w:rsidRPr="001E73A0">
        <w:rPr>
          <w:sz w:val="24"/>
          <w:szCs w:val="24"/>
        </w:rPr>
        <w:t xml:space="preserve"> </w:t>
      </w:r>
      <w:r w:rsidR="00506CF6" w:rsidRPr="001E73A0">
        <w:rPr>
          <w:sz w:val="24"/>
          <w:szCs w:val="24"/>
        </w:rPr>
        <w:t>a</w:t>
      </w:r>
      <w:r w:rsidR="00885A7C" w:rsidRPr="001E73A0">
        <w:rPr>
          <w:sz w:val="24"/>
          <w:szCs w:val="24"/>
        </w:rPr>
        <w:t xml:space="preserve">nticipating this, managers of firms with </w:t>
      </w:r>
      <w:r w:rsidR="00CE656B" w:rsidRPr="001E73A0">
        <w:rPr>
          <w:sz w:val="24"/>
          <w:szCs w:val="24"/>
        </w:rPr>
        <w:t>more comparable financial report</w:t>
      </w:r>
      <w:r w:rsidR="00A569E5" w:rsidRPr="001E73A0">
        <w:rPr>
          <w:sz w:val="24"/>
          <w:szCs w:val="24"/>
        </w:rPr>
        <w:t>ing</w:t>
      </w:r>
      <w:r w:rsidR="00885A7C" w:rsidRPr="001E73A0">
        <w:rPr>
          <w:sz w:val="24"/>
          <w:szCs w:val="24"/>
        </w:rPr>
        <w:t xml:space="preserve"> </w:t>
      </w:r>
      <w:r w:rsidR="00A569E5" w:rsidRPr="001E73A0">
        <w:rPr>
          <w:sz w:val="24"/>
          <w:szCs w:val="24"/>
        </w:rPr>
        <w:t>may feel dis</w:t>
      </w:r>
      <w:r w:rsidR="00CE656B" w:rsidRPr="001E73A0">
        <w:rPr>
          <w:sz w:val="24"/>
          <w:szCs w:val="24"/>
        </w:rPr>
        <w:t>incentiv</w:t>
      </w:r>
      <w:r w:rsidR="00A569E5" w:rsidRPr="001E73A0">
        <w:rPr>
          <w:sz w:val="24"/>
          <w:szCs w:val="24"/>
        </w:rPr>
        <w:t>i</w:t>
      </w:r>
      <w:r w:rsidR="00CE656B" w:rsidRPr="001E73A0">
        <w:rPr>
          <w:sz w:val="24"/>
          <w:szCs w:val="24"/>
        </w:rPr>
        <w:t>s</w:t>
      </w:r>
      <w:r w:rsidR="00A569E5" w:rsidRPr="001E73A0">
        <w:rPr>
          <w:sz w:val="24"/>
          <w:szCs w:val="24"/>
        </w:rPr>
        <w:t>ed</w:t>
      </w:r>
      <w:r w:rsidR="00CE656B" w:rsidRPr="001E73A0">
        <w:rPr>
          <w:sz w:val="24"/>
          <w:szCs w:val="24"/>
        </w:rPr>
        <w:t xml:space="preserve"> </w:t>
      </w:r>
      <w:r w:rsidR="00885A7C" w:rsidRPr="001E73A0">
        <w:rPr>
          <w:sz w:val="24"/>
          <w:szCs w:val="24"/>
        </w:rPr>
        <w:t>to</w:t>
      </w:r>
      <w:r w:rsidR="00A569E5" w:rsidRPr="001E73A0">
        <w:rPr>
          <w:sz w:val="24"/>
          <w:szCs w:val="24"/>
        </w:rPr>
        <w:t xml:space="preserve">wards </w:t>
      </w:r>
      <w:r w:rsidR="009E1BC7" w:rsidRPr="001E73A0">
        <w:rPr>
          <w:sz w:val="24"/>
          <w:szCs w:val="24"/>
        </w:rPr>
        <w:t>opportunistic</w:t>
      </w:r>
      <w:r w:rsidR="00100834" w:rsidRPr="001E73A0">
        <w:rPr>
          <w:sz w:val="24"/>
          <w:szCs w:val="24"/>
        </w:rPr>
        <w:t xml:space="preserve"> practices</w:t>
      </w:r>
      <w:r w:rsidR="00035393" w:rsidRPr="001E73A0">
        <w:rPr>
          <w:sz w:val="24"/>
          <w:szCs w:val="24"/>
        </w:rPr>
        <w:t xml:space="preserve"> </w:t>
      </w:r>
      <w:r w:rsidR="00E31E55" w:rsidRPr="001E73A0">
        <w:rPr>
          <w:sz w:val="24"/>
          <w:szCs w:val="24"/>
        </w:rPr>
        <w:t>(Kim et al., 2016)</w:t>
      </w:r>
      <w:r w:rsidR="00885A7C" w:rsidRPr="001E73A0">
        <w:rPr>
          <w:sz w:val="24"/>
          <w:szCs w:val="24"/>
        </w:rPr>
        <w:t xml:space="preserve">. Supporting this view, </w:t>
      </w:r>
      <w:r w:rsidR="00C653CE" w:rsidRPr="001E73A0">
        <w:rPr>
          <w:sz w:val="24"/>
          <w:szCs w:val="24"/>
        </w:rPr>
        <w:t xml:space="preserve">Sohn </w:t>
      </w:r>
      <w:r w:rsidR="00BC0E48" w:rsidRPr="001E73A0">
        <w:rPr>
          <w:sz w:val="24"/>
          <w:szCs w:val="24"/>
        </w:rPr>
        <w:fldChar w:fldCharType="begin" w:fldLock="1"/>
      </w:r>
      <w:r w:rsidR="00BC0E48" w:rsidRPr="001E73A0">
        <w:rPr>
          <w:sz w:val="24"/>
          <w:szCs w:val="24"/>
        </w:rPr>
        <w:instrText>ADDIN CSL_CITATION {"citationItems":[{"id":"ITEM-1","itemData":{"ISSN":"0278-4254","abstract":"This study investigates whether and how managers’ opportunistic earnings management activities are affected by the degree of their firms’ accounting comparability with other firms. Using a large sample of U.S. firms, I find that managers’ real earnings management (REM) increases whereas their accrual-based earnings management (AEM) decreases with the degree of their firms’ accounting comparability with other firms. I also find that this opportunistic behavior to “escape” from AEM to REM facing higher accounting comparability is mitigated when firms’ information environment and/or audit quality are better. These findings are robust to various sensitivity tests including the one to address the possible endogeneity of accounting comparability.","author":[{"dropping-particle":"","family":"Sohn","given":"Byungcherl Charlie","non-dropping-particle":"","parse-names":false,"suffix":""}],"container-title":"Journal of Accounting and Public Policy","id":"ITEM-1","issue":"5","issued":{"date-parts":[["2016","9","1"]]},"page":"513-539","publisher":"Elsevier","title":"The effect of accounting comparability on the accrual-based and real earnings management","type":"article-journal","volume":"35"},"suppress-author":1,"uris":["http://www.mendeley.com/documents/?uuid=f06dbbac-85af-3628-9f8b-c22e2d3207d2"]}],"mendeley":{"formattedCitation":"(2016)","plainTextFormattedCitation":"(2016)","previouslyFormattedCitation":"(2016)"},"properties":{"noteIndex":0},"schema":"https://github.com/citation-style-language/schema/raw/master/csl-citation.json"}</w:instrText>
      </w:r>
      <w:r w:rsidR="00BC0E48" w:rsidRPr="001E73A0">
        <w:rPr>
          <w:sz w:val="24"/>
          <w:szCs w:val="24"/>
        </w:rPr>
        <w:fldChar w:fldCharType="separate"/>
      </w:r>
      <w:r w:rsidR="00BC0E48" w:rsidRPr="001E73A0">
        <w:rPr>
          <w:noProof/>
          <w:sz w:val="24"/>
          <w:szCs w:val="24"/>
        </w:rPr>
        <w:t>(2016)</w:t>
      </w:r>
      <w:r w:rsidR="00BC0E48" w:rsidRPr="001E73A0">
        <w:rPr>
          <w:sz w:val="24"/>
          <w:szCs w:val="24"/>
        </w:rPr>
        <w:fldChar w:fldCharType="end"/>
      </w:r>
      <w:r w:rsidR="00C653CE" w:rsidRPr="001E73A0">
        <w:rPr>
          <w:sz w:val="24"/>
          <w:szCs w:val="24"/>
        </w:rPr>
        <w:t xml:space="preserve"> </w:t>
      </w:r>
      <w:r w:rsidR="00B7763C" w:rsidRPr="001E73A0">
        <w:rPr>
          <w:sz w:val="24"/>
          <w:szCs w:val="24"/>
        </w:rPr>
        <w:t>document</w:t>
      </w:r>
      <w:r w:rsidR="001716F1" w:rsidRPr="001E73A0">
        <w:rPr>
          <w:sz w:val="24"/>
          <w:szCs w:val="24"/>
        </w:rPr>
        <w:t>s</w:t>
      </w:r>
      <w:r w:rsidR="00C653CE" w:rsidRPr="001E73A0">
        <w:rPr>
          <w:sz w:val="24"/>
          <w:szCs w:val="24"/>
        </w:rPr>
        <w:t xml:space="preserve"> </w:t>
      </w:r>
      <w:r w:rsidR="00081B49" w:rsidRPr="001E73A0">
        <w:rPr>
          <w:sz w:val="24"/>
          <w:szCs w:val="24"/>
        </w:rPr>
        <w:t xml:space="preserve">fewer </w:t>
      </w:r>
      <w:r w:rsidR="004C4E54" w:rsidRPr="001E73A0">
        <w:rPr>
          <w:sz w:val="24"/>
          <w:szCs w:val="24"/>
        </w:rPr>
        <w:t xml:space="preserve">managers’ accrual-based earnings management activities </w:t>
      </w:r>
      <w:r w:rsidR="00C65067" w:rsidRPr="001E73A0">
        <w:rPr>
          <w:sz w:val="24"/>
          <w:szCs w:val="24"/>
        </w:rPr>
        <w:t xml:space="preserve">that </w:t>
      </w:r>
      <w:r w:rsidR="004C4E54" w:rsidRPr="001E73A0">
        <w:rPr>
          <w:sz w:val="24"/>
          <w:szCs w:val="24"/>
        </w:rPr>
        <w:t xml:space="preserve">conceal private benefits </w:t>
      </w:r>
      <w:r w:rsidR="00C65067" w:rsidRPr="001E73A0">
        <w:rPr>
          <w:sz w:val="24"/>
          <w:szCs w:val="24"/>
        </w:rPr>
        <w:t>when located with</w:t>
      </w:r>
      <w:r w:rsidR="004C4E54" w:rsidRPr="001E73A0">
        <w:rPr>
          <w:sz w:val="24"/>
          <w:szCs w:val="24"/>
        </w:rPr>
        <w:t>in firm</w:t>
      </w:r>
      <w:r w:rsidR="001716F1" w:rsidRPr="001E73A0">
        <w:rPr>
          <w:sz w:val="24"/>
          <w:szCs w:val="24"/>
        </w:rPr>
        <w:t>s</w:t>
      </w:r>
      <w:r w:rsidR="004C4E54" w:rsidRPr="001E73A0">
        <w:rPr>
          <w:sz w:val="24"/>
          <w:szCs w:val="24"/>
        </w:rPr>
        <w:t xml:space="preserve"> </w:t>
      </w:r>
      <w:r w:rsidR="00A569E5" w:rsidRPr="001E73A0">
        <w:rPr>
          <w:sz w:val="24"/>
          <w:szCs w:val="24"/>
        </w:rPr>
        <w:t xml:space="preserve">using </w:t>
      </w:r>
      <w:r w:rsidR="004C4E54" w:rsidRPr="001E73A0">
        <w:rPr>
          <w:sz w:val="24"/>
          <w:szCs w:val="24"/>
        </w:rPr>
        <w:t xml:space="preserve">greater accounting comparability. </w:t>
      </w:r>
      <w:r w:rsidR="00CE462C" w:rsidRPr="001E73A0">
        <w:rPr>
          <w:sz w:val="24"/>
          <w:szCs w:val="24"/>
        </w:rPr>
        <w:t xml:space="preserve">In a similar vein, Suk and Zhao </w:t>
      </w:r>
      <w:r w:rsidR="00CE462C" w:rsidRPr="001E73A0">
        <w:rPr>
          <w:sz w:val="24"/>
          <w:szCs w:val="24"/>
        </w:rPr>
        <w:fldChar w:fldCharType="begin" w:fldLock="1"/>
      </w:r>
      <w:r w:rsidR="003F356A" w:rsidRPr="001E73A0">
        <w:rPr>
          <w:sz w:val="24"/>
          <w:szCs w:val="24"/>
        </w:rPr>
        <w:instrText>ADDIN CSL_CITATION {"citationItems":[{"id":"ITEM-1","itemData":{"ISSN":"1556-5068","author":[{"dropping-particle":"","family":"Suk","given":"Inho","non-dropping-particle":"","parse-names":false,"suffix":""},{"dropping-particle":"","family":"Zhao","given":"Yan","non-dropping-particle":"","parse-names":false,"suffix":""}],"container-title":"Available at: SSRN 3065250","id":"ITEM-1","issued":{"date-parts":[["2017","9","1"]]},"title":"Does financial statement comparability deter aggressive tax avoidance?","type":"article-journal"},"suppress-author":1,"uris":["http://www.mendeley.com/documents/?uuid=834e718e-5e03-3f94-be40-35d4db3605fe"]}],"mendeley":{"formattedCitation":"(2017)","plainTextFormattedCitation":"(2017)","previouslyFormattedCitation":"(2017)"},"properties":{"noteIndex":0},"schema":"https://github.com/citation-style-language/schema/raw/master/csl-citation.json"}</w:instrText>
      </w:r>
      <w:r w:rsidR="00CE462C" w:rsidRPr="001E73A0">
        <w:rPr>
          <w:sz w:val="24"/>
          <w:szCs w:val="24"/>
        </w:rPr>
        <w:fldChar w:fldCharType="separate"/>
      </w:r>
      <w:r w:rsidR="00CE462C" w:rsidRPr="001E73A0">
        <w:rPr>
          <w:noProof/>
          <w:sz w:val="24"/>
          <w:szCs w:val="24"/>
        </w:rPr>
        <w:t>(2017)</w:t>
      </w:r>
      <w:r w:rsidR="00CE462C" w:rsidRPr="001E73A0">
        <w:rPr>
          <w:sz w:val="24"/>
          <w:szCs w:val="24"/>
        </w:rPr>
        <w:fldChar w:fldCharType="end"/>
      </w:r>
      <w:r w:rsidR="00CE462C" w:rsidRPr="001E73A0">
        <w:rPr>
          <w:sz w:val="24"/>
          <w:szCs w:val="24"/>
        </w:rPr>
        <w:t xml:space="preserve"> argue that accounting information </w:t>
      </w:r>
      <w:r w:rsidR="008225C1" w:rsidRPr="001E73A0">
        <w:rPr>
          <w:sz w:val="24"/>
          <w:szCs w:val="24"/>
        </w:rPr>
        <w:t xml:space="preserve">comparability </w:t>
      </w:r>
      <w:r w:rsidR="00A569E5" w:rsidRPr="001E73A0">
        <w:rPr>
          <w:sz w:val="24"/>
          <w:szCs w:val="24"/>
        </w:rPr>
        <w:t xml:space="preserve">assists in </w:t>
      </w:r>
      <w:r w:rsidR="00CE462C" w:rsidRPr="001E73A0">
        <w:rPr>
          <w:sz w:val="24"/>
          <w:szCs w:val="24"/>
        </w:rPr>
        <w:t>the detection of tax evasion or fraud</w:t>
      </w:r>
      <w:r w:rsidR="003D745C" w:rsidRPr="001E73A0">
        <w:rPr>
          <w:sz w:val="24"/>
          <w:szCs w:val="24"/>
        </w:rPr>
        <w:t>ulent activities</w:t>
      </w:r>
      <w:r w:rsidR="00506CF6" w:rsidRPr="001E73A0">
        <w:rPr>
          <w:sz w:val="24"/>
          <w:szCs w:val="24"/>
        </w:rPr>
        <w:t>; as a result,</w:t>
      </w:r>
      <w:r w:rsidR="00CE462C" w:rsidRPr="001E73A0">
        <w:rPr>
          <w:sz w:val="24"/>
          <w:szCs w:val="24"/>
        </w:rPr>
        <w:t xml:space="preserve"> managers </w:t>
      </w:r>
      <w:r w:rsidR="00506CF6" w:rsidRPr="001E73A0">
        <w:rPr>
          <w:sz w:val="24"/>
          <w:szCs w:val="24"/>
        </w:rPr>
        <w:t xml:space="preserve">are less inclined to </w:t>
      </w:r>
      <w:r w:rsidR="00CE462C" w:rsidRPr="001E73A0">
        <w:rPr>
          <w:sz w:val="24"/>
          <w:szCs w:val="24"/>
        </w:rPr>
        <w:t>engag</w:t>
      </w:r>
      <w:r w:rsidR="00506CF6" w:rsidRPr="001E73A0">
        <w:rPr>
          <w:sz w:val="24"/>
          <w:szCs w:val="24"/>
        </w:rPr>
        <w:t>e</w:t>
      </w:r>
      <w:r w:rsidR="00CE462C" w:rsidRPr="001E73A0">
        <w:rPr>
          <w:sz w:val="24"/>
          <w:szCs w:val="24"/>
        </w:rPr>
        <w:t xml:space="preserve"> in aggressive tax avoidance. </w:t>
      </w:r>
    </w:p>
    <w:p w14:paraId="7C2AB8CF" w14:textId="1BD37CAC" w:rsidR="00833E2B" w:rsidRPr="001E73A0" w:rsidRDefault="00833E2B" w:rsidP="00031399">
      <w:pPr>
        <w:adjustRightInd w:val="0"/>
        <w:snapToGrid w:val="0"/>
        <w:spacing w:after="0" w:line="360" w:lineRule="auto"/>
        <w:ind w:firstLine="720"/>
        <w:jc w:val="both"/>
        <w:rPr>
          <w:sz w:val="24"/>
          <w:szCs w:val="24"/>
        </w:rPr>
      </w:pPr>
    </w:p>
    <w:p w14:paraId="5C72802B" w14:textId="6A607268" w:rsidR="00660ED5" w:rsidRPr="001E73A0" w:rsidRDefault="00660ED5" w:rsidP="00611802">
      <w:pPr>
        <w:pStyle w:val="2"/>
        <w:adjustRightInd w:val="0"/>
        <w:snapToGrid w:val="0"/>
        <w:spacing w:line="360" w:lineRule="auto"/>
        <w:rPr>
          <w:szCs w:val="24"/>
        </w:rPr>
      </w:pPr>
      <w:r w:rsidRPr="001E73A0">
        <w:t xml:space="preserve">2.3 </w:t>
      </w:r>
      <w:r w:rsidR="00AD21E4" w:rsidRPr="001E73A0">
        <w:t xml:space="preserve">Accounting </w:t>
      </w:r>
      <w:r w:rsidR="00AD21E4" w:rsidRPr="001E73A0">
        <w:rPr>
          <w:szCs w:val="24"/>
        </w:rPr>
        <w:t>c</w:t>
      </w:r>
      <w:r w:rsidRPr="001E73A0">
        <w:rPr>
          <w:szCs w:val="24"/>
        </w:rPr>
        <w:t>omparability and employment decision-making</w:t>
      </w:r>
    </w:p>
    <w:p w14:paraId="21C91F61" w14:textId="19885910" w:rsidR="00660ED5" w:rsidRPr="001E73A0" w:rsidRDefault="00660ED5">
      <w:pPr>
        <w:adjustRightInd w:val="0"/>
        <w:snapToGrid w:val="0"/>
        <w:spacing w:after="0" w:line="360" w:lineRule="auto"/>
        <w:ind w:firstLine="720"/>
        <w:jc w:val="both"/>
        <w:rPr>
          <w:sz w:val="24"/>
          <w:szCs w:val="24"/>
        </w:rPr>
      </w:pPr>
      <w:r w:rsidRPr="001E73A0">
        <w:rPr>
          <w:sz w:val="24"/>
          <w:szCs w:val="24"/>
        </w:rPr>
        <w:t>We argue that comparable accounting information</w:t>
      </w:r>
      <w:r w:rsidR="00AD21E4" w:rsidRPr="001E73A0">
        <w:rPr>
          <w:sz w:val="24"/>
          <w:szCs w:val="24"/>
        </w:rPr>
        <w:t xml:space="preserve"> can serve</w:t>
      </w:r>
      <w:r w:rsidRPr="001E73A0">
        <w:rPr>
          <w:sz w:val="24"/>
          <w:szCs w:val="24"/>
        </w:rPr>
        <w:t xml:space="preserve"> as an effective monitoring </w:t>
      </w:r>
      <w:r w:rsidR="001F5BF9" w:rsidRPr="001E73A0">
        <w:rPr>
          <w:sz w:val="24"/>
          <w:szCs w:val="24"/>
        </w:rPr>
        <w:t xml:space="preserve">and </w:t>
      </w:r>
      <w:r w:rsidR="00AD21E4" w:rsidRPr="001E73A0">
        <w:rPr>
          <w:sz w:val="24"/>
          <w:szCs w:val="24"/>
        </w:rPr>
        <w:t xml:space="preserve">governance </w:t>
      </w:r>
      <w:r w:rsidRPr="001E73A0">
        <w:rPr>
          <w:sz w:val="24"/>
          <w:szCs w:val="24"/>
        </w:rPr>
        <w:t>tool and</w:t>
      </w:r>
      <w:r w:rsidR="00A569E5" w:rsidRPr="001E73A0">
        <w:rPr>
          <w:sz w:val="24"/>
          <w:szCs w:val="24"/>
        </w:rPr>
        <w:t>,</w:t>
      </w:r>
      <w:r w:rsidRPr="001E73A0">
        <w:rPr>
          <w:sz w:val="24"/>
          <w:szCs w:val="24"/>
        </w:rPr>
        <w:t xml:space="preserve"> consequently, inhibit </w:t>
      </w:r>
      <w:r w:rsidR="001946B3" w:rsidRPr="001E73A0">
        <w:rPr>
          <w:sz w:val="24"/>
          <w:szCs w:val="24"/>
        </w:rPr>
        <w:t>managers</w:t>
      </w:r>
      <w:r w:rsidRPr="001E73A0">
        <w:rPr>
          <w:sz w:val="24"/>
          <w:szCs w:val="24"/>
        </w:rPr>
        <w:t xml:space="preserve"> from engaging in </w:t>
      </w:r>
      <w:r w:rsidRPr="001E73A0">
        <w:rPr>
          <w:sz w:val="24"/>
          <w:szCs w:val="24"/>
        </w:rPr>
        <w:lastRenderedPageBreak/>
        <w:t>opportunistic employment decision-making practices.</w:t>
      </w:r>
      <w:r w:rsidRPr="001E73A0">
        <w:rPr>
          <w:rStyle w:val="a8"/>
          <w:sz w:val="24"/>
          <w:szCs w:val="24"/>
        </w:rPr>
        <w:footnoteReference w:id="3"/>
      </w:r>
      <w:r w:rsidRPr="001E73A0">
        <w:rPr>
          <w:sz w:val="24"/>
          <w:szCs w:val="24"/>
        </w:rPr>
        <w:t xml:space="preserve"> It can influence the efficiency of labour investment through the following two mechanisms: (i) external monitoring and (ii) internal governance. </w:t>
      </w:r>
    </w:p>
    <w:p w14:paraId="3BC594D8" w14:textId="3A832D82" w:rsidR="00660ED5" w:rsidRPr="001E73A0" w:rsidRDefault="00660ED5">
      <w:pPr>
        <w:adjustRightInd w:val="0"/>
        <w:snapToGrid w:val="0"/>
        <w:spacing w:after="0" w:line="360" w:lineRule="auto"/>
        <w:ind w:firstLine="720"/>
        <w:jc w:val="both"/>
        <w:rPr>
          <w:sz w:val="24"/>
          <w:szCs w:val="24"/>
        </w:rPr>
      </w:pPr>
      <w:r w:rsidRPr="001E73A0">
        <w:rPr>
          <w:sz w:val="24"/>
          <w:szCs w:val="24"/>
        </w:rPr>
        <w:t xml:space="preserve">First, accounting comparability </w:t>
      </w:r>
      <w:r w:rsidR="003540BF" w:rsidRPr="001E73A0">
        <w:rPr>
          <w:sz w:val="24"/>
          <w:szCs w:val="24"/>
        </w:rPr>
        <w:t>enriches the quality</w:t>
      </w:r>
      <w:r w:rsidR="001F5BF9" w:rsidRPr="001E73A0">
        <w:rPr>
          <w:sz w:val="24"/>
          <w:szCs w:val="24"/>
        </w:rPr>
        <w:t xml:space="preserve"> of</w:t>
      </w:r>
      <w:r w:rsidR="003540BF" w:rsidRPr="001E73A0">
        <w:rPr>
          <w:sz w:val="24"/>
          <w:szCs w:val="24"/>
        </w:rPr>
        <w:t xml:space="preserve"> information available to external monitoring agents</w:t>
      </w:r>
      <w:r w:rsidR="00AD21E4" w:rsidRPr="001E73A0">
        <w:rPr>
          <w:sz w:val="24"/>
          <w:szCs w:val="24"/>
        </w:rPr>
        <w:t>,</w:t>
      </w:r>
      <w:r w:rsidR="003540BF" w:rsidRPr="001E73A0">
        <w:rPr>
          <w:sz w:val="24"/>
          <w:szCs w:val="24"/>
        </w:rPr>
        <w:t xml:space="preserve"> and </w:t>
      </w:r>
      <w:r w:rsidR="00AD21E4" w:rsidRPr="001E73A0">
        <w:rPr>
          <w:sz w:val="24"/>
          <w:szCs w:val="24"/>
        </w:rPr>
        <w:t xml:space="preserve">thereby </w:t>
      </w:r>
      <w:r w:rsidR="003540BF" w:rsidRPr="001E73A0">
        <w:rPr>
          <w:sz w:val="24"/>
          <w:szCs w:val="24"/>
        </w:rPr>
        <w:t>enhances their monitoring ability, which</w:t>
      </w:r>
      <w:r w:rsidR="00AD21E4" w:rsidRPr="001E73A0">
        <w:rPr>
          <w:sz w:val="24"/>
          <w:szCs w:val="24"/>
        </w:rPr>
        <w:t xml:space="preserve"> can</w:t>
      </w:r>
      <w:r w:rsidR="003540BF" w:rsidRPr="001E73A0">
        <w:rPr>
          <w:sz w:val="24"/>
          <w:szCs w:val="24"/>
        </w:rPr>
        <w:t xml:space="preserve"> ultimately lead to </w:t>
      </w:r>
      <w:r w:rsidR="00D27AEA" w:rsidRPr="001E73A0">
        <w:rPr>
          <w:sz w:val="24"/>
          <w:szCs w:val="24"/>
        </w:rPr>
        <w:t>more</w:t>
      </w:r>
      <w:r w:rsidR="003540BF" w:rsidRPr="001E73A0">
        <w:rPr>
          <w:sz w:val="24"/>
          <w:szCs w:val="24"/>
        </w:rPr>
        <w:t xml:space="preserve"> efficient labour investment</w:t>
      </w:r>
      <w:r w:rsidRPr="001E73A0">
        <w:rPr>
          <w:sz w:val="24"/>
          <w:szCs w:val="24"/>
        </w:rPr>
        <w:t xml:space="preserve">. Specifically, managerial opportunism in investment decisions can be curbed by </w:t>
      </w:r>
      <w:r w:rsidR="00A16B27" w:rsidRPr="001E73A0">
        <w:rPr>
          <w:sz w:val="24"/>
          <w:szCs w:val="24"/>
        </w:rPr>
        <w:t xml:space="preserve">intense </w:t>
      </w:r>
      <w:r w:rsidRPr="001E73A0">
        <w:rPr>
          <w:sz w:val="24"/>
          <w:szCs w:val="24"/>
        </w:rPr>
        <w:t xml:space="preserve">monitoring from </w:t>
      </w:r>
      <w:r w:rsidR="001F5BF9" w:rsidRPr="001E73A0">
        <w:rPr>
          <w:sz w:val="24"/>
          <w:szCs w:val="24"/>
        </w:rPr>
        <w:t xml:space="preserve">external </w:t>
      </w:r>
      <w:r w:rsidRPr="001E73A0">
        <w:rPr>
          <w:sz w:val="24"/>
          <w:szCs w:val="24"/>
        </w:rPr>
        <w:t>stakeholders, such as analysts, institutional investors, and auditors.</w:t>
      </w:r>
      <w:r w:rsidRPr="001E73A0">
        <w:rPr>
          <w:noProof/>
          <w:sz w:val="24"/>
          <w:szCs w:val="24"/>
        </w:rPr>
        <w:t xml:space="preserve"> </w:t>
      </w:r>
      <w:r w:rsidRPr="001E73A0">
        <w:rPr>
          <w:sz w:val="24"/>
          <w:szCs w:val="24"/>
        </w:rPr>
        <w:t xml:space="preserve">De Franco et al.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Pr="001E73A0">
        <w:rPr>
          <w:sz w:val="24"/>
          <w:szCs w:val="24"/>
        </w:rPr>
        <w:fldChar w:fldCharType="separate"/>
      </w:r>
      <w:r w:rsidRPr="001E73A0">
        <w:rPr>
          <w:noProof/>
          <w:sz w:val="24"/>
          <w:szCs w:val="24"/>
        </w:rPr>
        <w:t>(2011)</w:t>
      </w:r>
      <w:r w:rsidRPr="001E73A0">
        <w:rPr>
          <w:sz w:val="24"/>
          <w:szCs w:val="24"/>
        </w:rPr>
        <w:fldChar w:fldCharType="end"/>
      </w:r>
      <w:r w:rsidRPr="001E73A0">
        <w:rPr>
          <w:sz w:val="24"/>
          <w:szCs w:val="24"/>
        </w:rPr>
        <w:t xml:space="preserve"> contend that financial analysts play an important monitoring</w:t>
      </w:r>
      <w:r w:rsidR="00205849" w:rsidRPr="001E73A0">
        <w:rPr>
          <w:sz w:val="24"/>
          <w:szCs w:val="24"/>
        </w:rPr>
        <w:t xml:space="preserve"> </w:t>
      </w:r>
      <w:r w:rsidRPr="001E73A0">
        <w:rPr>
          <w:sz w:val="24"/>
          <w:szCs w:val="24"/>
        </w:rPr>
        <w:t>role by serving as information intermediaries between outsiders and insiders, and by disclosing information to the public via their forecasts</w:t>
      </w:r>
      <w:r w:rsidRPr="001E73A0">
        <w:rPr>
          <w:noProof/>
          <w:sz w:val="24"/>
          <w:szCs w:val="24"/>
        </w:rPr>
        <w:t xml:space="preserve">. Similarly, auditors are </w:t>
      </w:r>
      <w:r w:rsidR="001F5BF9" w:rsidRPr="001E73A0">
        <w:rPr>
          <w:noProof/>
          <w:sz w:val="24"/>
          <w:szCs w:val="24"/>
        </w:rPr>
        <w:t xml:space="preserve">said </w:t>
      </w:r>
      <w:r w:rsidRPr="001E73A0">
        <w:rPr>
          <w:noProof/>
          <w:sz w:val="24"/>
          <w:szCs w:val="24"/>
        </w:rPr>
        <w:t xml:space="preserve">to have a monitoring effect that can reduce the likelihood of poor client investment choices </w:t>
      </w:r>
      <w:r w:rsidR="00C476FB" w:rsidRPr="001E73A0">
        <w:rPr>
          <w:noProof/>
          <w:sz w:val="24"/>
          <w:szCs w:val="24"/>
        </w:rPr>
        <w:fldChar w:fldCharType="begin" w:fldLock="1"/>
      </w:r>
      <w:r w:rsidR="00CD1FDD">
        <w:rPr>
          <w:noProof/>
          <w:sz w:val="24"/>
          <w:szCs w:val="24"/>
        </w:rPr>
        <w:instrText>ADDIN CSL_CITATION {"citationItems":[{"id":"ITEM-1","itemData":{"ISSN":"0001-4826","abstract":"ABSTRACT: This study examines the relation between auditors and their clients' investment efficiency. We hypothesize and find that auditor characteristics that proxy for an auditor's knowledge and ...","author":[{"dropping-particle":"","family":"Bae","given":"Gil Soo","non-dropping-particle":"","parse-names":false,"suffix":""},{"dropping-particle":"","family":"Choi","given":"Seung Uk","non-dropping-particle":"","parse-names":false,"suffix":""},{"dropping-particle":"","family":"Dhaliwal","given":"Dan S.","non-dropping-particle":"","parse-names":false,"suffix":""},{"dropping-particle":"","family":"Lamoreaux","given":"Phillip T.","non-dropping-particle":"","parse-names":false,"suffix":""}],"container-title":"The Accounting Review","id":"ITEM-1","issue":"2","issued":{"date-parts":[["2017","3","1"]]},"page":"19-40","publisher":"American Accounting Association","title":"Auditors and client investment efficiency","type":"article-journal","volume":"92"},"uris":["http://www.mendeley.com/documents/?uuid=2c82437f-b9af-33e1-b831-6bc3708870ff"]},{"id":"ITEM-2","itemData":{"ISSN":"08239150","author":[{"dropping-particle":"","family":"Kim","given":"Jeong-Bon","non-dropping-particle":"","parse-names":false,"suffix":""},{"dropping-particle":"","family":"Chung","given":"Richard","non-dropping-particle":"","parse-names":false,"suffix":""},{"dropping-particle":"","family":"Firth","given":"MIichael","non-dropping-particle":"","parse-names":false,"suffix":""}],"container-title":"Contemporary Accounting Research","id":"ITEM-2","issue":"2","issued":{"date-parts":[["2003","5","1"]]},"page":"323-359","publisher":"John Wiley &amp; Sons, Ltd (10.1111)","title":"Auditor conservatism, asymmetric monitoring, and earnings management","type":"article-journal","volume":"20"},"uris":["http://www.mendeley.com/documents/?uuid=4ed8c684-19c4-3222-a720-25e26548a833"]}],"mendeley":{"formattedCitation":"(Bae, Choi, Dhaliwal, &amp; Lamoreaux, 2017; J.-B. Kim, Chung, &amp; Firth, 2003)","manualFormatting":"(Bae, Choi, Dhaliwal, &amp; Lamoreaux, 2017; Kim, Chung, &amp; Firth, 2003)","plainTextFormattedCitation":"(Bae, Choi, Dhaliwal, &amp; Lamoreaux, 2017; J.-B. Kim, Chung, &amp; Firth, 2003)","previouslyFormattedCitation":"(Bae, Choi, Dhaliwal, &amp; Lamoreaux, 2017; J.-B. Kim, Chung, &amp; Firth, 2003)"},"properties":{"noteIndex":0},"schema":"https://github.com/citation-style-language/schema/raw/master/csl-citation.json"}</w:instrText>
      </w:r>
      <w:r w:rsidR="00C476FB" w:rsidRPr="001E73A0">
        <w:rPr>
          <w:noProof/>
          <w:sz w:val="24"/>
          <w:szCs w:val="24"/>
        </w:rPr>
        <w:fldChar w:fldCharType="separate"/>
      </w:r>
      <w:r w:rsidR="00C476FB" w:rsidRPr="001E73A0">
        <w:rPr>
          <w:noProof/>
          <w:sz w:val="24"/>
          <w:szCs w:val="24"/>
        </w:rPr>
        <w:t>(Bae, Choi, Dhaliwal, &amp; Lamoreaux, 2017; Kim, Chung, &amp; Firth, 2003)</w:t>
      </w:r>
      <w:r w:rsidR="00C476FB" w:rsidRPr="001E73A0">
        <w:rPr>
          <w:noProof/>
          <w:sz w:val="24"/>
          <w:szCs w:val="24"/>
        </w:rPr>
        <w:fldChar w:fldCharType="end"/>
      </w:r>
      <w:r w:rsidRPr="001E73A0">
        <w:rPr>
          <w:noProof/>
          <w:sz w:val="24"/>
          <w:szCs w:val="24"/>
        </w:rPr>
        <w:t xml:space="preserve">. Recent literature suggests that external monitoring by institutional investors helps mitigate agency conflict and reduces inefficiency in capital and labour investments </w:t>
      </w:r>
      <w:r w:rsidR="00C476FB" w:rsidRPr="001E73A0">
        <w:rPr>
          <w:noProof/>
          <w:sz w:val="24"/>
          <w:szCs w:val="24"/>
        </w:rPr>
        <w:fldChar w:fldCharType="begin" w:fldLock="1"/>
      </w:r>
      <w:r w:rsidR="00C476FB" w:rsidRPr="001E73A0">
        <w:rPr>
          <w:noProof/>
          <w:sz w:val="24"/>
          <w:szCs w:val="24"/>
        </w:rPr>
        <w:instrText>ADDIN CSL_CITATION {"citationItems":[{"id":"ITEM-1","itemData":{"ISSN":"1544-6123","abstract":"Using investors’ trading horizons to capture their incentives to collect information and monitor management's decisions, this paper shows that an increase in the ownership stake held by long-term institutional investors is associated with a subsequent decrease in real investment precisely in firms that invest too much. In support of the monitoring hypothesis, we show that results are driven by the purchases of long-term investors, while quasi-indexers and short-term investors have no influence on investment. We address the potential problem of endogeneity using the inclusion of a firm to the S&amp;P 500 Index as an exogenous shock to institutional holdings.","author":[{"dropping-particle":"","family":"Cella","given":"Cristina","non-dropping-particle":"","parse-names":false,"suffix":""}],"container-title":"Finance Research Letters","id":"ITEM-1","issued":{"date-parts":[["2019","4","18"]]},"page":"forthcoming","publisher":"Elsevier","title":"Institutional investors and corporate investment","type":"article-journal"},"uris":["http://www.mendeley.com/documents/?uuid=85a666d2-aff5-3abb-83a1-fe6f94ca3ee5"]},{"id":"ITEM-2","itemData":{"ISSN":"0893-9454","author":[{"dropping-particle":"","family":"Chen","given":"Qi","non-dropping-particle":"","parse-names":false,"suffix":""},{"dropping-particle":"","family":"Goldstein","given":"Itay","non-dropping-particle":"","parse-names":false,"suffix":""},{"dropping-particle":"","family":"Jiang","given":"Wei","non-dropping-particle":"","parse-names":false,"suffix":""}],"container-title":"Review of Financial Studies","id":"ITEM-2","issue":"3","issued":{"date-parts":[["2007","5","1"]]},"page":"619-650","publisher":"Oxford University Press","title":"Price informativeness and investment sensitivity to stock price","type":"article-journal","volume":"20"},"uris":["http://www.mendeley.com/documents/?uuid=bf115c0e-47a4-35ac-aa2e-873355cc4567"]},{"id":"ITEM-3","itemData":{"abstract":"Monitoring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Finance","id":"ITEM-3","issued":{"date-parts":[["2020"]]},"page":"In Press","title":"Institutional investors' horizons and corporate employment decisions","type":"article-journal"},"uris":["http://www.mendeley.com/documents/?uuid=9fb1e272-c104-4553-a10d-2894ab94491d"]}],"mendeley":{"formattedCitation":"(Cella, 2019; Q. Chen, Goldstein, &amp; Jiang, 2007; Ghaly et al., 2020)","plainTextFormattedCitation":"(Cella, 2019; Q. Chen, Goldstein, &amp; Jiang, 2007; Ghaly et al., 2020)","previouslyFormattedCitation":"(Cella, 2019; Q. Chen, Goldstein, &amp; Jiang, 2007; Ghaly et al., 2020)"},"properties":{"noteIndex":0},"schema":"https://github.com/citation-style-language/schema/raw/master/csl-citation.json"}</w:instrText>
      </w:r>
      <w:r w:rsidR="00C476FB" w:rsidRPr="001E73A0">
        <w:rPr>
          <w:noProof/>
          <w:sz w:val="24"/>
          <w:szCs w:val="24"/>
        </w:rPr>
        <w:fldChar w:fldCharType="separate"/>
      </w:r>
      <w:r w:rsidR="00C476FB" w:rsidRPr="001E73A0">
        <w:rPr>
          <w:noProof/>
          <w:sz w:val="24"/>
          <w:szCs w:val="24"/>
        </w:rPr>
        <w:t>(Cella, 2019; Q. Chen, Goldstein, &amp; Jiang, 2007; Ghaly et al., 2020)</w:t>
      </w:r>
      <w:r w:rsidR="00C476FB" w:rsidRPr="001E73A0">
        <w:rPr>
          <w:noProof/>
          <w:sz w:val="24"/>
          <w:szCs w:val="24"/>
        </w:rPr>
        <w:fldChar w:fldCharType="end"/>
      </w:r>
      <w:r w:rsidRPr="001E73A0">
        <w:rPr>
          <w:noProof/>
          <w:sz w:val="24"/>
          <w:szCs w:val="24"/>
        </w:rPr>
        <w:t>.</w:t>
      </w:r>
    </w:p>
    <w:p w14:paraId="25EBFCAF" w14:textId="3650ECC0" w:rsidR="00660ED5" w:rsidRPr="001E73A0" w:rsidRDefault="00660ED5" w:rsidP="00660ED5">
      <w:pPr>
        <w:adjustRightInd w:val="0"/>
        <w:snapToGrid w:val="0"/>
        <w:spacing w:after="0" w:line="360" w:lineRule="auto"/>
        <w:ind w:firstLine="720"/>
        <w:jc w:val="both"/>
        <w:rPr>
          <w:sz w:val="24"/>
          <w:szCs w:val="24"/>
        </w:rPr>
      </w:pPr>
      <w:r w:rsidRPr="001E73A0">
        <w:rPr>
          <w:noProof/>
          <w:sz w:val="24"/>
          <w:szCs w:val="24"/>
        </w:rPr>
        <w:t xml:space="preserve">The monitoring role of these outside stakeholders is argued to be influenced by the level of information available to them </w:t>
      </w:r>
      <w:r w:rsidR="00C476FB" w:rsidRPr="001E73A0">
        <w:rPr>
          <w:noProof/>
          <w:sz w:val="24"/>
          <w:szCs w:val="24"/>
        </w:rPr>
        <w:fldChar w:fldCharType="begin" w:fldLock="1"/>
      </w:r>
      <w:r w:rsidR="00CD1FDD">
        <w:rPr>
          <w:noProof/>
          <w:sz w:val="24"/>
          <w:szCs w:val="24"/>
        </w:rPr>
        <w:instrText>ADDIN CSL_CITATION {"citationItems":[{"id":"ITEM-1","itemData":{"ISSN":"0929-1199","abstract":"We examine the impact of financial analysts on the efficiency of firms' investment decisions. We use the accuracy and dispersion of financial analysts' earnings forecasts as proxies of analyst expertise and quality in making forecasts. We find that high quality forecast is associated with higher investment if the firm is more likely to under-invest and lower investment if the firm is more likely to over-invest, suggesting that forecast quality increases firm-level investment efficiency. We further show that such effects are stronger for the firms with higher information asymmetry and lower institutional stock ownership. The results are consistent with the notion that higher quality of analyst forecasts increases the information environment and external monitoring, which in turn increases investment efficiency.","author":[{"dropping-particle":"","family":"Chen","given":"Tao","non-dropping-particle":"","parse-names":false,"suffix":""},{"dropping-particle":"","family":"Xie","given":"Lingmin","non-dropping-particle":"","parse-names":false,"suffix":""},{"dropping-particle":"","family":"Zhang","given":"Yuanyuan","non-dropping-particle":"","parse-names":false,"suffix":""}],"container-title":"Journal of Corporate Finance","id":"ITEM-1","issued":{"date-parts":[["2017","4","1"]]},"page":"217-240","publisher":"North-Holland","title":"How does analysts' forecast quality relate to corporate investment efficiency?","type":"article-journal","volume":"43"},"uris":["http://www.mendeley.com/documents/?uuid=17fe3177-65b5-39ae-8fd5-e25f77a037c1"]},{"id":"ITEM-2","itemData":{"ISSN":"08239150","author":[{"dropping-particle":"","family":"Zhang","given":"Joseph H.","non-dropping-particle":"","parse-names":false,"suffix":""}],"container-title":"Contemporary Accounting Research","id":"ITEM-2","issue":"1","issued":{"date-parts":[["2018","3","1"]]},"page":"245-276","publisher":"Wiley/Blackwell (10.1111)","title":"Accounting comparability, audit effort, and audit outcomes","type":"article-journal","volume":"35"},"uris":["http://www.mendeley.com/documents/?uuid=f446f684-96f3-3b20-b904-edd4724f1aa0"]}],"mendeley":{"formattedCitation":"(T. Chen, Xie, &amp; Zhang, 2017; Zhang, 2018)","manualFormatting":"(Chen, Xie, &amp; Zhang, 2017; Zhang, 2018)","plainTextFormattedCitation":"(T. Chen, Xie, &amp; Zhang, 2017; Zhang, 2018)","previouslyFormattedCitation":"(T. Chen, Xie, &amp; Zhang, 2017; Zhang, 2018)"},"properties":{"noteIndex":0},"schema":"https://github.com/citation-style-language/schema/raw/master/csl-citation.json"}</w:instrText>
      </w:r>
      <w:r w:rsidR="00C476FB" w:rsidRPr="001E73A0">
        <w:rPr>
          <w:noProof/>
          <w:sz w:val="24"/>
          <w:szCs w:val="24"/>
        </w:rPr>
        <w:fldChar w:fldCharType="separate"/>
      </w:r>
      <w:r w:rsidR="00C476FB" w:rsidRPr="001E73A0">
        <w:rPr>
          <w:noProof/>
          <w:sz w:val="24"/>
          <w:szCs w:val="24"/>
        </w:rPr>
        <w:t>(Chen, Xie, &amp; Zhang, 2017; Zhang, 2018)</w:t>
      </w:r>
      <w:r w:rsidR="00C476FB" w:rsidRPr="001E73A0">
        <w:rPr>
          <w:noProof/>
          <w:sz w:val="24"/>
          <w:szCs w:val="24"/>
        </w:rPr>
        <w:fldChar w:fldCharType="end"/>
      </w:r>
      <w:r w:rsidRPr="001E73A0">
        <w:rPr>
          <w:sz w:val="24"/>
          <w:szCs w:val="24"/>
        </w:rPr>
        <w:t xml:space="preserve">. It is suggested that comparability of financial accounts can improve analysts’ information environment by </w:t>
      </w:r>
      <w:r w:rsidR="009C4B65" w:rsidRPr="001E73A0">
        <w:rPr>
          <w:sz w:val="24"/>
          <w:szCs w:val="24"/>
        </w:rPr>
        <w:t>making it</w:t>
      </w:r>
      <w:r w:rsidRPr="001E73A0">
        <w:rPr>
          <w:sz w:val="24"/>
          <w:szCs w:val="24"/>
        </w:rPr>
        <w:t xml:space="preserve"> easier</w:t>
      </w:r>
      <w:r w:rsidR="009C4B65" w:rsidRPr="001E73A0">
        <w:rPr>
          <w:sz w:val="24"/>
          <w:szCs w:val="24"/>
        </w:rPr>
        <w:t xml:space="preserve"> to</w:t>
      </w:r>
      <w:r w:rsidRPr="001E73A0">
        <w:rPr>
          <w:sz w:val="24"/>
          <w:szCs w:val="24"/>
        </w:rPr>
        <w:t xml:space="preserve"> </w:t>
      </w:r>
      <w:r w:rsidR="000B015C" w:rsidRPr="001E73A0">
        <w:rPr>
          <w:sz w:val="24"/>
          <w:szCs w:val="24"/>
        </w:rPr>
        <w:t xml:space="preserve">draw </w:t>
      </w:r>
      <w:r w:rsidRPr="001E73A0">
        <w:rPr>
          <w:sz w:val="24"/>
          <w:szCs w:val="24"/>
        </w:rPr>
        <w:t xml:space="preserve">comparisons among industry peers. Analysts may </w:t>
      </w:r>
      <w:r w:rsidR="000B015C" w:rsidRPr="001E73A0">
        <w:rPr>
          <w:sz w:val="24"/>
          <w:szCs w:val="24"/>
        </w:rPr>
        <w:t xml:space="preserve">inadvertently </w:t>
      </w:r>
      <w:r w:rsidRPr="001E73A0">
        <w:rPr>
          <w:sz w:val="24"/>
          <w:szCs w:val="24"/>
        </w:rPr>
        <w:t>pressure managers to</w:t>
      </w:r>
      <w:r w:rsidR="000B015C" w:rsidRPr="001E73A0">
        <w:rPr>
          <w:sz w:val="24"/>
          <w:szCs w:val="24"/>
        </w:rPr>
        <w:t xml:space="preserve">wards </w:t>
      </w:r>
      <w:r w:rsidRPr="001E73A0">
        <w:rPr>
          <w:sz w:val="24"/>
          <w:szCs w:val="24"/>
        </w:rPr>
        <w:t>mak</w:t>
      </w:r>
      <w:r w:rsidR="000B015C" w:rsidRPr="001E73A0">
        <w:rPr>
          <w:sz w:val="24"/>
          <w:szCs w:val="24"/>
        </w:rPr>
        <w:t>ing</w:t>
      </w:r>
      <w:r w:rsidRPr="001E73A0">
        <w:rPr>
          <w:sz w:val="24"/>
          <w:szCs w:val="24"/>
        </w:rPr>
        <w:t xml:space="preserve"> optimal labour investment decisions </w:t>
      </w:r>
      <w:r w:rsidR="00A44871" w:rsidRPr="001E73A0">
        <w:rPr>
          <w:sz w:val="24"/>
          <w:szCs w:val="24"/>
        </w:rPr>
        <w:t>by</w:t>
      </w:r>
      <w:r w:rsidRPr="001E73A0">
        <w:rPr>
          <w:sz w:val="24"/>
          <w:szCs w:val="24"/>
        </w:rPr>
        <w:t xml:space="preserve"> improving the accuracy of their forecasts </w:t>
      </w:r>
      <w:r w:rsidRPr="001E73A0">
        <w:rPr>
          <w:sz w:val="24"/>
          <w:szCs w:val="24"/>
        </w:rPr>
        <w:fldChar w:fldCharType="begin" w:fldLock="1"/>
      </w:r>
      <w:r w:rsidRPr="001E73A0">
        <w:rPr>
          <w:sz w:val="24"/>
          <w:szCs w:val="24"/>
        </w:rPr>
        <w:instrText>ADDIN CSL_CITATION {"citationItems":[{"id":"ITEM-1","itemData":{"ISSN":"00218456","author":[{"dropping-particle":"","family":"Byard","given":"Donal","non-dropping-particle":"","parse-names":false,"suffix":""},{"dropping-particle":"","family":"Li","given":"Ying","non-dropping-particle":"","parse-names":false,"suffix":""},{"dropping-particle":"","family":"Yu","given":"Yong","non-dropping-particle":"","parse-names":false,"suffix":""}],"container-title":"Journal of Accounting Research","id":"ITEM-1","issue":"1","issued":{"date-parts":[["2011","3","1"]]},"page":"69-96","publisher":"John Wiley &amp; Sons, Ltd (10.1111)","title":"The effect of mandatory IFRS adoption on financial analysts’ information environment","type":"article-journal","volume":"49"},"uris":["http://www.mendeley.com/documents/?uuid=5816dc81-f4a2-3b66-b583-42a05dcf7ebd"]}],"mendeley":{"formattedCitation":"(Byard et al., 2011)","plainTextFormattedCitation":"(Byard et al., 2011)","previouslyFormattedCitation":"(Byard et al., 2011)"},"properties":{"noteIndex":0},"schema":"https://github.com/citation-style-language/schema/raw/master/csl-citation.json"}</w:instrText>
      </w:r>
      <w:r w:rsidRPr="001E73A0">
        <w:rPr>
          <w:sz w:val="24"/>
          <w:szCs w:val="24"/>
        </w:rPr>
        <w:fldChar w:fldCharType="separate"/>
      </w:r>
      <w:r w:rsidRPr="001E73A0">
        <w:rPr>
          <w:noProof/>
          <w:sz w:val="24"/>
          <w:szCs w:val="24"/>
        </w:rPr>
        <w:t>(Byard et al., 2011)</w:t>
      </w:r>
      <w:r w:rsidRPr="001E73A0">
        <w:rPr>
          <w:sz w:val="24"/>
          <w:szCs w:val="24"/>
        </w:rPr>
        <w:fldChar w:fldCharType="end"/>
      </w:r>
      <w:r w:rsidRPr="001E73A0">
        <w:rPr>
          <w:sz w:val="24"/>
          <w:szCs w:val="24"/>
        </w:rPr>
        <w:t>. Specifically, with comparable employee-related information, such as staff turnover costs, financial analysts can produce more precise and less dispersed forecasts</w:t>
      </w:r>
      <w:r w:rsidR="00824705" w:rsidRPr="001E73A0">
        <w:rPr>
          <w:sz w:val="24"/>
          <w:szCs w:val="24"/>
        </w:rPr>
        <w:t>,</w:t>
      </w:r>
      <w:r w:rsidRPr="001E73A0">
        <w:rPr>
          <w:sz w:val="24"/>
          <w:szCs w:val="24"/>
        </w:rPr>
        <w:t xml:space="preserve"> which </w:t>
      </w:r>
      <w:r w:rsidR="00824705" w:rsidRPr="001E73A0">
        <w:rPr>
          <w:sz w:val="24"/>
          <w:szCs w:val="24"/>
        </w:rPr>
        <w:t xml:space="preserve">can </w:t>
      </w:r>
      <w:r w:rsidRPr="001E73A0">
        <w:rPr>
          <w:sz w:val="24"/>
          <w:szCs w:val="24"/>
        </w:rPr>
        <w:t xml:space="preserve">assist investors </w:t>
      </w:r>
      <w:r w:rsidR="00A60B3C" w:rsidRPr="001E73A0">
        <w:rPr>
          <w:sz w:val="24"/>
          <w:szCs w:val="24"/>
        </w:rPr>
        <w:t xml:space="preserve">with greater </w:t>
      </w:r>
      <w:r w:rsidRPr="001E73A0">
        <w:rPr>
          <w:sz w:val="24"/>
          <w:szCs w:val="24"/>
        </w:rPr>
        <w:t xml:space="preserve">insights into firms’ labour investment decisions. This process may inhibit managers from undertaking opportunistic </w:t>
      </w:r>
      <w:r w:rsidRPr="001E73A0">
        <w:rPr>
          <w:sz w:val="24"/>
          <w:szCs w:val="24"/>
        </w:rPr>
        <w:lastRenderedPageBreak/>
        <w:t>employment decisions, such as over-firing. Direct inter</w:t>
      </w:r>
      <w:r w:rsidR="00824705" w:rsidRPr="001E73A0">
        <w:rPr>
          <w:sz w:val="24"/>
          <w:szCs w:val="24"/>
        </w:rPr>
        <w:t>actions</w:t>
      </w:r>
      <w:r w:rsidRPr="001E73A0">
        <w:rPr>
          <w:sz w:val="24"/>
          <w:szCs w:val="24"/>
        </w:rPr>
        <w:t xml:space="preserve"> with management</w:t>
      </w:r>
      <w:r w:rsidR="00A60B3C" w:rsidRPr="001E73A0">
        <w:rPr>
          <w:sz w:val="24"/>
          <w:szCs w:val="24"/>
        </w:rPr>
        <w:t xml:space="preserve"> </w:t>
      </w:r>
      <w:r w:rsidRPr="001E73A0">
        <w:rPr>
          <w:sz w:val="24"/>
          <w:szCs w:val="24"/>
        </w:rPr>
        <w:t xml:space="preserve">in the process of </w:t>
      </w:r>
      <w:r w:rsidR="00A60B3C" w:rsidRPr="001E73A0">
        <w:rPr>
          <w:sz w:val="24"/>
          <w:szCs w:val="24"/>
        </w:rPr>
        <w:t xml:space="preserve">calculating </w:t>
      </w:r>
      <w:r w:rsidRPr="001E73A0">
        <w:rPr>
          <w:sz w:val="24"/>
          <w:szCs w:val="24"/>
        </w:rPr>
        <w:t xml:space="preserve">earnings forecasts </w:t>
      </w:r>
      <w:r w:rsidR="00824705" w:rsidRPr="001E73A0">
        <w:rPr>
          <w:sz w:val="24"/>
          <w:szCs w:val="24"/>
        </w:rPr>
        <w:t>can help</w:t>
      </w:r>
      <w:r w:rsidRPr="001E73A0">
        <w:rPr>
          <w:sz w:val="24"/>
          <w:szCs w:val="24"/>
        </w:rPr>
        <w:t xml:space="preserve"> financial analysts to directly monitor and </w:t>
      </w:r>
      <w:r w:rsidR="00A60B3C" w:rsidRPr="001E73A0">
        <w:rPr>
          <w:sz w:val="24"/>
          <w:szCs w:val="24"/>
        </w:rPr>
        <w:t xml:space="preserve">thereby </w:t>
      </w:r>
      <w:r w:rsidRPr="001E73A0">
        <w:rPr>
          <w:sz w:val="24"/>
          <w:szCs w:val="24"/>
        </w:rPr>
        <w:t xml:space="preserve">influence corporate hiring and firing decisions </w:t>
      </w:r>
      <w:r w:rsidRPr="001E73A0">
        <w:rPr>
          <w:sz w:val="24"/>
          <w:szCs w:val="24"/>
        </w:rPr>
        <w:fldChar w:fldCharType="begin" w:fldLock="1"/>
      </w:r>
      <w:r w:rsidRPr="001E73A0">
        <w:rPr>
          <w:sz w:val="24"/>
          <w:szCs w:val="24"/>
        </w:rPr>
        <w:instrText>ADDIN CSL_CITATION {"citationItems":[{"id":"ITEM-1","itemData":{"ISSN":"0929-1199","abstract":"We examine the impact of financial analysts on the efficiency of firms' investment decisions. We use the accuracy and dispersion of financial analysts' earnings forecasts as proxies of analyst expertise and quality in making forecasts. We find that high quality forecast is associated with higher investment if the firm is more likely to under-invest and lower investment if the firm is more likely to over-invest, suggesting that forecast quality increases firm-level investment efficiency. We further show that such effects are stronger for the firms with higher information asymmetry and lower institutional stock ownership. The results are consistent with the notion that higher quality of analyst forecasts increases the information environment and external monitoring, which in turn increases investment efficiency.","author":[{"dropping-particle":"","family":"Chen","given":"Tao","non-dropping-particle":"","parse-names":false,"suffix":""},{"dropping-particle":"","family":"Xie","given":"Lingmin","non-dropping-particle":"","parse-names":false,"suffix":""},{"dropping-particle":"","family":"Zhang","given":"Yuanyuan","non-dropping-particle":"","parse-names":false,"suffix":""}],"container-title":"Journal of Corporate Finance","id":"ITEM-1","issued":{"date-parts":[["2017","4","1"]]},"page":"217-240","publisher":"North-Holland","title":"How does analysts' forecast quality relate to corporate investment efficiency?","type":"article-journal","volume":"43"},"uris":["http://www.mendeley.com/documents/?uuid=17fe3177-65b5-39ae-8fd5-e25f77a037c1"]}],"mendeley":{"formattedCitation":"(T. Chen et al., 2017)","manualFormatting":"(Chen et al., 2017)","plainTextFormattedCitation":"(T. Chen et al., 2017)","previouslyFormattedCitation":"(T. Chen et al., 2017)"},"properties":{"noteIndex":0},"schema":"https://github.com/citation-style-language/schema/raw/master/csl-citation.json"}</w:instrText>
      </w:r>
      <w:r w:rsidRPr="001E73A0">
        <w:rPr>
          <w:sz w:val="24"/>
          <w:szCs w:val="24"/>
        </w:rPr>
        <w:fldChar w:fldCharType="separate"/>
      </w:r>
      <w:r w:rsidRPr="001E73A0">
        <w:rPr>
          <w:noProof/>
          <w:sz w:val="24"/>
          <w:szCs w:val="24"/>
        </w:rPr>
        <w:t>(Chen et al., 2017)</w:t>
      </w:r>
      <w:r w:rsidRPr="001E73A0">
        <w:rPr>
          <w:sz w:val="24"/>
          <w:szCs w:val="24"/>
        </w:rPr>
        <w:fldChar w:fldCharType="end"/>
      </w:r>
      <w:r w:rsidRPr="001E73A0">
        <w:rPr>
          <w:sz w:val="24"/>
          <w:szCs w:val="24"/>
        </w:rPr>
        <w:t xml:space="preserve">. </w:t>
      </w:r>
    </w:p>
    <w:p w14:paraId="694993B9" w14:textId="3DAEC932" w:rsidR="00660ED5" w:rsidRPr="001E73A0" w:rsidRDefault="00660ED5" w:rsidP="00660ED5">
      <w:pPr>
        <w:adjustRightInd w:val="0"/>
        <w:snapToGrid w:val="0"/>
        <w:spacing w:after="0" w:line="360" w:lineRule="auto"/>
        <w:ind w:firstLine="720"/>
        <w:jc w:val="both"/>
        <w:rPr>
          <w:sz w:val="24"/>
          <w:szCs w:val="24"/>
        </w:rPr>
      </w:pPr>
      <w:r w:rsidRPr="001E73A0">
        <w:rPr>
          <w:sz w:val="24"/>
          <w:szCs w:val="24"/>
        </w:rPr>
        <w:t>Similarly, comparable financial accounts can allow institutional investors to evaluate the efficiency of labour investment decisions through facilitating comparisons with industry peers, as well as by informing private meetings and vot</w:t>
      </w:r>
      <w:r w:rsidR="00A60B3C" w:rsidRPr="001E73A0">
        <w:rPr>
          <w:sz w:val="24"/>
          <w:szCs w:val="24"/>
        </w:rPr>
        <w:t>es</w:t>
      </w:r>
      <w:r w:rsidRPr="001E73A0">
        <w:rPr>
          <w:sz w:val="24"/>
          <w:szCs w:val="24"/>
        </w:rPr>
        <w:t xml:space="preserve"> on management proposals </w:t>
      </w:r>
      <w:r w:rsidRPr="001E73A0">
        <w:rPr>
          <w:sz w:val="24"/>
          <w:szCs w:val="24"/>
        </w:rPr>
        <w:fldChar w:fldCharType="begin" w:fldLock="1"/>
      </w:r>
      <w:r w:rsidRPr="001E73A0">
        <w:rPr>
          <w:sz w:val="24"/>
          <w:szCs w:val="24"/>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risk","type":"article-journal","volume":"61"},"uris":["http://www.mendeley.com/documents/?uuid=6a92aef2-be5d-31d0-aed3-10b52719d593"]}],"mendeley":{"formattedCitation":"(J.-B. Kim et al., 2016)","manualFormatting":"(Kim et al., 2016)","plainTextFormattedCitation":"(J.-B. Kim et al., 2016)","previouslyFormattedCitation":"(J.-B. Kim et al., 2016)"},"properties":{"noteIndex":0},"schema":"https://github.com/citation-style-language/schema/raw/master/csl-citation.json"}</w:instrText>
      </w:r>
      <w:r w:rsidRPr="001E73A0">
        <w:rPr>
          <w:sz w:val="24"/>
          <w:szCs w:val="24"/>
        </w:rPr>
        <w:fldChar w:fldCharType="separate"/>
      </w:r>
      <w:r w:rsidRPr="001E73A0">
        <w:rPr>
          <w:noProof/>
          <w:sz w:val="24"/>
          <w:szCs w:val="24"/>
        </w:rPr>
        <w:t>(Kim et al., 2016)</w:t>
      </w:r>
      <w:r w:rsidRPr="001E73A0">
        <w:rPr>
          <w:sz w:val="24"/>
          <w:szCs w:val="24"/>
        </w:rPr>
        <w:fldChar w:fldCharType="end"/>
      </w:r>
      <w:r w:rsidRPr="001E73A0">
        <w:rPr>
          <w:sz w:val="24"/>
          <w:szCs w:val="24"/>
        </w:rPr>
        <w:t xml:space="preserve">. Especially for long-term institutional investors, comparable information on human capital </w:t>
      </w:r>
      <w:r w:rsidR="00A60B3C" w:rsidRPr="001E73A0">
        <w:rPr>
          <w:sz w:val="24"/>
          <w:szCs w:val="24"/>
        </w:rPr>
        <w:t xml:space="preserve">usage </w:t>
      </w:r>
      <w:r w:rsidRPr="001E73A0">
        <w:rPr>
          <w:sz w:val="24"/>
          <w:szCs w:val="24"/>
        </w:rPr>
        <w:t xml:space="preserve">may allow them to apply greater pressure </w:t>
      </w:r>
      <w:r w:rsidR="00A60B3C" w:rsidRPr="001E73A0">
        <w:rPr>
          <w:sz w:val="24"/>
          <w:szCs w:val="24"/>
        </w:rPr>
        <w:t xml:space="preserve">on </w:t>
      </w:r>
      <w:r w:rsidRPr="001E73A0">
        <w:rPr>
          <w:sz w:val="24"/>
          <w:szCs w:val="24"/>
        </w:rPr>
        <w:t>corporate resource efficiently. For example, with comparable industry-peer information, these investors may push against over-hiring in order to maximise shareholder value.</w:t>
      </w:r>
      <w:r w:rsidR="0008725C" w:rsidRPr="001E73A0">
        <w:rPr>
          <w:sz w:val="24"/>
          <w:szCs w:val="24"/>
        </w:rPr>
        <w:t xml:space="preserve"> </w:t>
      </w:r>
      <w:r w:rsidRPr="001E73A0">
        <w:rPr>
          <w:sz w:val="24"/>
          <w:szCs w:val="24"/>
        </w:rPr>
        <w:t>Also, the availability of employee-related information, like staff recruitment and retention costs, across comparable clients may help improve audit efficiency and accuracy</w:t>
      </w:r>
      <w:r w:rsidR="00A60B3C" w:rsidRPr="001E73A0">
        <w:rPr>
          <w:sz w:val="24"/>
          <w:szCs w:val="24"/>
        </w:rPr>
        <w:t xml:space="preserve">, </w:t>
      </w:r>
      <w:r w:rsidRPr="001E73A0">
        <w:rPr>
          <w:sz w:val="24"/>
          <w:szCs w:val="24"/>
        </w:rPr>
        <w:t>enhanc</w:t>
      </w:r>
      <w:r w:rsidR="00A60B3C" w:rsidRPr="001E73A0">
        <w:rPr>
          <w:sz w:val="24"/>
          <w:szCs w:val="24"/>
        </w:rPr>
        <w:t>ing</w:t>
      </w:r>
      <w:r w:rsidRPr="001E73A0">
        <w:rPr>
          <w:sz w:val="24"/>
          <w:szCs w:val="24"/>
        </w:rPr>
        <w:t xml:space="preserve"> the ability of auditors to influence corporate employment decisions through their recommendations arising from risk assessments </w:t>
      </w:r>
      <w:r w:rsidRPr="001E73A0">
        <w:rPr>
          <w:sz w:val="24"/>
          <w:szCs w:val="24"/>
        </w:rPr>
        <w:fldChar w:fldCharType="begin" w:fldLock="1"/>
      </w:r>
      <w:r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Pr="001E73A0">
        <w:rPr>
          <w:sz w:val="24"/>
          <w:szCs w:val="24"/>
        </w:rPr>
        <w:fldChar w:fldCharType="separate"/>
      </w:r>
      <w:r w:rsidRPr="001E73A0">
        <w:rPr>
          <w:noProof/>
          <w:sz w:val="24"/>
          <w:szCs w:val="24"/>
        </w:rPr>
        <w:t>(Zhang, 2018)</w:t>
      </w:r>
      <w:r w:rsidRPr="001E73A0">
        <w:rPr>
          <w:sz w:val="24"/>
          <w:szCs w:val="24"/>
        </w:rPr>
        <w:fldChar w:fldCharType="end"/>
      </w:r>
      <w:r w:rsidRPr="001E73A0">
        <w:rPr>
          <w:sz w:val="24"/>
          <w:szCs w:val="24"/>
        </w:rPr>
        <w:t xml:space="preserve">. </w:t>
      </w:r>
    </w:p>
    <w:p w14:paraId="46B50B5B" w14:textId="41F74E7E" w:rsidR="00660ED5" w:rsidRPr="001E73A0" w:rsidRDefault="00660ED5" w:rsidP="00660ED5">
      <w:pPr>
        <w:adjustRightInd w:val="0"/>
        <w:snapToGrid w:val="0"/>
        <w:spacing w:after="0" w:line="360" w:lineRule="auto"/>
        <w:ind w:firstLine="720"/>
        <w:jc w:val="both"/>
        <w:rPr>
          <w:sz w:val="24"/>
          <w:szCs w:val="24"/>
        </w:rPr>
      </w:pPr>
      <w:r w:rsidRPr="001E73A0">
        <w:rPr>
          <w:sz w:val="24"/>
          <w:szCs w:val="24"/>
        </w:rPr>
        <w:t xml:space="preserve">Further, </w:t>
      </w:r>
      <w:r w:rsidR="00A96B67" w:rsidRPr="001E73A0">
        <w:rPr>
          <w:sz w:val="24"/>
          <w:szCs w:val="24"/>
        </w:rPr>
        <w:t xml:space="preserve">accounting </w:t>
      </w:r>
      <w:r w:rsidRPr="001E73A0">
        <w:rPr>
          <w:sz w:val="24"/>
          <w:szCs w:val="24"/>
        </w:rPr>
        <w:t>comparability can enhance external monitoring by labour unions, which are directly linked to corporate employment decision-making</w:t>
      </w:r>
      <w:r w:rsidR="00A60B3C" w:rsidRPr="001E73A0">
        <w:rPr>
          <w:sz w:val="24"/>
          <w:szCs w:val="24"/>
        </w:rPr>
        <w:t xml:space="preserve">, being </w:t>
      </w:r>
      <w:r w:rsidRPr="001E73A0">
        <w:rPr>
          <w:sz w:val="24"/>
          <w:szCs w:val="24"/>
        </w:rPr>
        <w:t>often concerned with protecting and representing employee rights</w:t>
      </w:r>
      <w:r w:rsidR="00BD23AB" w:rsidRPr="001E73A0">
        <w:rPr>
          <w:sz w:val="24"/>
          <w:szCs w:val="24"/>
        </w:rPr>
        <w:t>. T</w:t>
      </w:r>
      <w:r w:rsidRPr="001E73A0">
        <w:rPr>
          <w:sz w:val="24"/>
          <w:szCs w:val="24"/>
        </w:rPr>
        <w:t>hus</w:t>
      </w:r>
      <w:r w:rsidR="00BD23AB" w:rsidRPr="001E73A0">
        <w:rPr>
          <w:sz w:val="24"/>
          <w:szCs w:val="24"/>
        </w:rPr>
        <w:t>,</w:t>
      </w:r>
      <w:r w:rsidRPr="001E73A0">
        <w:rPr>
          <w:sz w:val="24"/>
          <w:szCs w:val="24"/>
        </w:rPr>
        <w:t xml:space="preserve"> they may </w:t>
      </w:r>
      <w:r w:rsidR="00BD23AB" w:rsidRPr="001E73A0">
        <w:rPr>
          <w:sz w:val="24"/>
          <w:szCs w:val="24"/>
        </w:rPr>
        <w:t xml:space="preserve">gain </w:t>
      </w:r>
      <w:r w:rsidRPr="001E73A0">
        <w:rPr>
          <w:sz w:val="24"/>
          <w:szCs w:val="24"/>
        </w:rPr>
        <w:t xml:space="preserve">powerful influence over firms’ labour investment decisions through </w:t>
      </w:r>
      <w:r w:rsidR="00BD23AB" w:rsidRPr="001E73A0">
        <w:rPr>
          <w:sz w:val="24"/>
          <w:szCs w:val="24"/>
        </w:rPr>
        <w:t xml:space="preserve">impacting </w:t>
      </w:r>
      <w:r w:rsidRPr="001E73A0">
        <w:rPr>
          <w:sz w:val="24"/>
          <w:szCs w:val="24"/>
        </w:rPr>
        <w:t xml:space="preserve">political and stakeholder interests </w:t>
      </w:r>
      <w:r w:rsidRPr="001E73A0">
        <w:rPr>
          <w:sz w:val="24"/>
          <w:szCs w:val="24"/>
        </w:rPr>
        <w:fldChar w:fldCharType="begin" w:fldLock="1"/>
      </w:r>
      <w:r w:rsidRPr="001E73A0">
        <w:rPr>
          <w:sz w:val="24"/>
          <w:szCs w:val="24"/>
        </w:rPr>
        <w:instrText>ADDIN CSL_CITATION {"citationItems":[{"id":"ITEM-1","itemData":{"ISSN":"0195-3613","author":[{"dropping-particle":"","family":"Banning","given":"Kevin","non-dropping-particle":"","parse-names":false,"suffix":""},{"dropping-particle":"","family":"Chiles","given":"Ted","non-dropping-particle":"","parse-names":false,"suffix":""}],"container-title":"Journal of Labor Research","id":"ITEM-1","issue":"2","issued":{"date-parts":[["2007","6","1"]]},"page":"347-357","publisher":"Springer US","title":"Trade-offs in the labor union-CEO compensation relationship","type":"article-journal","volume":"28"},"uris":["http://www.mendeley.com/documents/?uuid=b55bf578-6e74-30d5-b7b4-5b6182851c01"]}],"mendeley":{"formattedCitation":"(Banning &amp; Chiles, 2007)","plainTextFormattedCitation":"(Banning &amp; Chiles, 2007)","previouslyFormattedCitation":"(Banning &amp; Chiles, 2007)"},"properties":{"noteIndex":0},"schema":"https://github.com/citation-style-language/schema/raw/master/csl-citation.json"}</w:instrText>
      </w:r>
      <w:r w:rsidRPr="001E73A0">
        <w:rPr>
          <w:sz w:val="24"/>
          <w:szCs w:val="24"/>
        </w:rPr>
        <w:fldChar w:fldCharType="separate"/>
      </w:r>
      <w:r w:rsidRPr="001E73A0">
        <w:rPr>
          <w:noProof/>
          <w:sz w:val="24"/>
          <w:szCs w:val="24"/>
        </w:rPr>
        <w:t>(Banning &amp; Chiles, 2007)</w:t>
      </w:r>
      <w:r w:rsidRPr="001E73A0">
        <w:rPr>
          <w:sz w:val="24"/>
          <w:szCs w:val="24"/>
        </w:rPr>
        <w:fldChar w:fldCharType="end"/>
      </w:r>
      <w:r w:rsidRPr="001E73A0">
        <w:rPr>
          <w:sz w:val="24"/>
          <w:szCs w:val="24"/>
        </w:rPr>
        <w:t xml:space="preserve">. </w:t>
      </w:r>
      <w:r w:rsidR="00BD23AB" w:rsidRPr="001E73A0">
        <w:rPr>
          <w:sz w:val="24"/>
          <w:szCs w:val="24"/>
        </w:rPr>
        <w:t>U</w:t>
      </w:r>
      <w:r w:rsidRPr="001E73A0">
        <w:rPr>
          <w:sz w:val="24"/>
          <w:szCs w:val="24"/>
        </w:rPr>
        <w:t>nions often rely on published employment-related information</w:t>
      </w:r>
      <w:r w:rsidR="00D44368" w:rsidRPr="001E73A0">
        <w:rPr>
          <w:sz w:val="24"/>
          <w:szCs w:val="24"/>
        </w:rPr>
        <w:t xml:space="preserve"> </w:t>
      </w:r>
      <w:r w:rsidRPr="001E73A0">
        <w:rPr>
          <w:sz w:val="24"/>
          <w:szCs w:val="24"/>
        </w:rPr>
        <w:t>when negotiating labour investment decisions with management</w:t>
      </w:r>
      <w:r w:rsidR="00BD23AB" w:rsidRPr="001E73A0">
        <w:rPr>
          <w:sz w:val="24"/>
          <w:szCs w:val="24"/>
        </w:rPr>
        <w:t>. H</w:t>
      </w:r>
      <w:r w:rsidRPr="001E73A0">
        <w:rPr>
          <w:sz w:val="24"/>
          <w:szCs w:val="24"/>
        </w:rPr>
        <w:t>ence</w:t>
      </w:r>
      <w:r w:rsidR="00BD23AB" w:rsidRPr="001E73A0">
        <w:rPr>
          <w:sz w:val="24"/>
          <w:szCs w:val="24"/>
        </w:rPr>
        <w:t>,</w:t>
      </w:r>
      <w:r w:rsidRPr="001E73A0">
        <w:rPr>
          <w:sz w:val="24"/>
          <w:szCs w:val="24"/>
        </w:rPr>
        <w:t xml:space="preserve"> the</w:t>
      </w:r>
      <w:r w:rsidR="00BD23AB" w:rsidRPr="001E73A0">
        <w:rPr>
          <w:sz w:val="24"/>
          <w:szCs w:val="24"/>
        </w:rPr>
        <w:t>ir</w:t>
      </w:r>
      <w:r w:rsidRPr="001E73A0">
        <w:rPr>
          <w:sz w:val="24"/>
          <w:szCs w:val="24"/>
        </w:rPr>
        <w:t xml:space="preserve"> bargaining power will improve if disclosed information is comparable </w:t>
      </w:r>
      <w:r w:rsidRPr="001E73A0">
        <w:rPr>
          <w:sz w:val="24"/>
          <w:szCs w:val="24"/>
        </w:rPr>
        <w:fldChar w:fldCharType="begin" w:fldLock="1"/>
      </w:r>
      <w:r w:rsidRPr="001E73A0">
        <w:rPr>
          <w:sz w:val="24"/>
          <w:szCs w:val="24"/>
        </w:rPr>
        <w:instrText>ADDIN CSL_CITATION {"citationItems":[{"id":"ITEM-1","itemData":{"ISSN":"0361-3682","abstract":"The aim of this paper is to undertake a critical review of recently completed empirical work, carried out under the auspices of the SSRC, on the use of information in individual company and plant level bargaining. The authors also attempt to develop a strategy for further investigation of this important topic which highlights the importance of variations in the nature of the domestic organisation in relation to the potential importance and usefulness of financial information for union negotiators.","author":[{"dropping-particle":"","family":"Owen","given":"David L.","non-dropping-particle":"","parse-names":false,"suffix":""},{"dropping-particle":"","family":"Lloyd","given":"Anthony J.","non-dropping-particle":"","parse-names":false,"suffix":""}],"container-title":"Accounting, Organizations and Society","id":"ITEM-1","issue":"3","issued":{"date-parts":[["1985","1","1"]]},"page":"329-350","publisher":"Pergamon","title":"The use of financial information by trade union negotiators in plant level collective bargaining","type":"article-journal","volume":"10"},"uris":["http://www.mendeley.com/documents/?uuid=216180c8-5a9e-349d-bbe1-f4adcbbcb8ab"]}],"mendeley":{"formattedCitation":"(Owen &amp; Lloyd, 1985)","plainTextFormattedCitation":"(Owen &amp; Lloyd, 1985)","previouslyFormattedCitation":"(Owen &amp; Lloyd, 1985)"},"properties":{"noteIndex":0},"schema":"https://github.com/citation-style-language/schema/raw/master/csl-citation.json"}</w:instrText>
      </w:r>
      <w:r w:rsidRPr="001E73A0">
        <w:rPr>
          <w:sz w:val="24"/>
          <w:szCs w:val="24"/>
        </w:rPr>
        <w:fldChar w:fldCharType="separate"/>
      </w:r>
      <w:r w:rsidRPr="001E73A0">
        <w:rPr>
          <w:noProof/>
          <w:sz w:val="24"/>
          <w:szCs w:val="24"/>
        </w:rPr>
        <w:t>(Owen &amp; Lloyd, 1985)</w:t>
      </w:r>
      <w:r w:rsidRPr="001E73A0">
        <w:rPr>
          <w:sz w:val="24"/>
          <w:szCs w:val="24"/>
        </w:rPr>
        <w:fldChar w:fldCharType="end"/>
      </w:r>
      <w:r w:rsidRPr="001E73A0">
        <w:rPr>
          <w:sz w:val="24"/>
          <w:szCs w:val="24"/>
        </w:rPr>
        <w:t>. Therefore, comparable accounting information is expected to enhance the monitoring role of labour unions by reducing the reliance on information disclosed in</w:t>
      </w:r>
      <w:r w:rsidR="00BD23AB" w:rsidRPr="001E73A0">
        <w:rPr>
          <w:sz w:val="24"/>
          <w:szCs w:val="24"/>
        </w:rPr>
        <w:t xml:space="preserve"> singular</w:t>
      </w:r>
      <w:r w:rsidRPr="001E73A0">
        <w:rPr>
          <w:sz w:val="24"/>
          <w:szCs w:val="24"/>
        </w:rPr>
        <w:t xml:space="preserve"> management reports </w:t>
      </w:r>
      <w:r w:rsidRPr="001E73A0">
        <w:rPr>
          <w:sz w:val="24"/>
          <w:szCs w:val="24"/>
        </w:rPr>
        <w:fldChar w:fldCharType="begin" w:fldLock="1"/>
      </w:r>
      <w:r w:rsidRPr="001E73A0">
        <w:rPr>
          <w:sz w:val="24"/>
          <w:szCs w:val="24"/>
        </w:rPr>
        <w:instrText>ADDIN CSL_CITATION {"citationItems":[{"id":"ITEM-1","itemData":{"ISSN":"0195-3613","author":[{"dropping-particle":"","family":"Banning","given":"Kevin","non-dropping-particle":"","parse-names":false,"suffix":""},{"dropping-particle":"","family":"Chiles","given":"Ted","non-dropping-particle":"","parse-names":false,"suffix":""}],"container-title":"Journal of Labor Research","id":"ITEM-1","issue":"2","issued":{"date-parts":[["2007","6","1"]]},"page":"347-357","publisher":"Springer US","title":"Trade-offs in the labor union-CEO compensation relationship","type":"article-journal","volume":"28"},"uris":["http://www.mendeley.com/documents/?uuid=b55bf578-6e74-30d5-b7b4-5b6182851c01"]}],"mendeley":{"formattedCitation":"(Banning &amp; Chiles, 2007)","plainTextFormattedCitation":"(Banning &amp; Chiles, 2007)","previouslyFormattedCitation":"(Banning &amp; Chiles, 2007)"},"properties":{"noteIndex":0},"schema":"https://github.com/citation-style-language/schema/raw/master/csl-citation.json"}</w:instrText>
      </w:r>
      <w:r w:rsidRPr="001E73A0">
        <w:rPr>
          <w:sz w:val="24"/>
          <w:szCs w:val="24"/>
        </w:rPr>
        <w:fldChar w:fldCharType="separate"/>
      </w:r>
      <w:r w:rsidRPr="001E73A0">
        <w:rPr>
          <w:noProof/>
          <w:sz w:val="24"/>
          <w:szCs w:val="24"/>
        </w:rPr>
        <w:t>(Banning &amp; Chiles, 2007)</w:t>
      </w:r>
      <w:r w:rsidRPr="001E73A0">
        <w:rPr>
          <w:sz w:val="24"/>
          <w:szCs w:val="24"/>
        </w:rPr>
        <w:fldChar w:fldCharType="end"/>
      </w:r>
      <w:r w:rsidR="00BD23AB" w:rsidRPr="001E73A0">
        <w:rPr>
          <w:sz w:val="24"/>
          <w:szCs w:val="24"/>
        </w:rPr>
        <w:t>. This</w:t>
      </w:r>
      <w:r w:rsidRPr="001E73A0">
        <w:rPr>
          <w:sz w:val="24"/>
          <w:szCs w:val="24"/>
        </w:rPr>
        <w:t xml:space="preserve"> may in turn </w:t>
      </w:r>
      <w:r w:rsidR="00BD23AB" w:rsidRPr="001E73A0">
        <w:rPr>
          <w:sz w:val="24"/>
          <w:szCs w:val="24"/>
        </w:rPr>
        <w:t>bring about certain</w:t>
      </w:r>
      <w:r w:rsidRPr="001E73A0">
        <w:rPr>
          <w:sz w:val="24"/>
          <w:szCs w:val="24"/>
        </w:rPr>
        <w:t xml:space="preserve"> efficien</w:t>
      </w:r>
      <w:r w:rsidR="0088436F" w:rsidRPr="001E73A0">
        <w:rPr>
          <w:sz w:val="24"/>
          <w:szCs w:val="24"/>
        </w:rPr>
        <w:t>c</w:t>
      </w:r>
      <w:r w:rsidR="00BD23AB" w:rsidRPr="001E73A0">
        <w:rPr>
          <w:sz w:val="24"/>
          <w:szCs w:val="24"/>
        </w:rPr>
        <w:t>ies in</w:t>
      </w:r>
      <w:r w:rsidRPr="001E73A0">
        <w:rPr>
          <w:sz w:val="24"/>
          <w:szCs w:val="24"/>
        </w:rPr>
        <w:t xml:space="preserve"> labour investment. </w:t>
      </w:r>
    </w:p>
    <w:p w14:paraId="2A817229" w14:textId="7290C686" w:rsidR="00660ED5" w:rsidRPr="001E73A0" w:rsidRDefault="00660ED5" w:rsidP="00660ED5">
      <w:pPr>
        <w:adjustRightInd w:val="0"/>
        <w:snapToGrid w:val="0"/>
        <w:spacing w:after="0" w:line="360" w:lineRule="auto"/>
        <w:ind w:firstLine="720"/>
        <w:jc w:val="both"/>
        <w:rPr>
          <w:sz w:val="24"/>
          <w:szCs w:val="24"/>
        </w:rPr>
      </w:pPr>
      <w:r w:rsidRPr="001E73A0">
        <w:rPr>
          <w:sz w:val="24"/>
          <w:szCs w:val="24"/>
        </w:rPr>
        <w:t xml:space="preserve">Second, </w:t>
      </w:r>
      <w:r w:rsidR="00F67C05" w:rsidRPr="001E73A0">
        <w:rPr>
          <w:sz w:val="24"/>
          <w:szCs w:val="24"/>
        </w:rPr>
        <w:t xml:space="preserve">accounting </w:t>
      </w:r>
      <w:r w:rsidRPr="001E73A0">
        <w:rPr>
          <w:sz w:val="24"/>
          <w:szCs w:val="24"/>
        </w:rPr>
        <w:t>comparability can also improve internal control mechanisms and prevent managers from wasting corporate resources</w:t>
      </w:r>
      <w:r w:rsidR="00BD23AB" w:rsidRPr="001E73A0">
        <w:rPr>
          <w:sz w:val="24"/>
          <w:szCs w:val="24"/>
        </w:rPr>
        <w:t>,</w:t>
      </w:r>
      <w:r w:rsidRPr="001E73A0">
        <w:rPr>
          <w:sz w:val="24"/>
          <w:szCs w:val="24"/>
        </w:rPr>
        <w:t xml:space="preserve"> by allowing internal monitoring agents like boards of directors to make meaningful comparisons with industry peers, which may also improve corporate employment decisions. Given </w:t>
      </w:r>
      <w:r w:rsidR="00A96B67" w:rsidRPr="001E73A0">
        <w:rPr>
          <w:sz w:val="24"/>
          <w:szCs w:val="24"/>
        </w:rPr>
        <w:t xml:space="preserve">that </w:t>
      </w:r>
      <w:r w:rsidRPr="001E73A0">
        <w:rPr>
          <w:sz w:val="24"/>
          <w:szCs w:val="24"/>
        </w:rPr>
        <w:t xml:space="preserve">CEOs typically </w:t>
      </w:r>
      <w:r w:rsidR="00BD23AB" w:rsidRPr="001E73A0">
        <w:rPr>
          <w:sz w:val="24"/>
          <w:szCs w:val="24"/>
        </w:rPr>
        <w:t xml:space="preserve">focus on </w:t>
      </w:r>
      <w:r w:rsidRPr="001E73A0">
        <w:rPr>
          <w:sz w:val="24"/>
          <w:szCs w:val="24"/>
        </w:rPr>
        <w:t xml:space="preserve">strategic decisions, including those on corporate </w:t>
      </w:r>
      <w:r w:rsidR="00BD23AB" w:rsidRPr="001E73A0">
        <w:rPr>
          <w:sz w:val="24"/>
          <w:szCs w:val="24"/>
        </w:rPr>
        <w:t xml:space="preserve">human resourcing </w:t>
      </w:r>
      <w:r w:rsidRPr="001E73A0">
        <w:rPr>
          <w:sz w:val="24"/>
          <w:szCs w:val="24"/>
        </w:rPr>
        <w:fldChar w:fldCharType="begin" w:fldLock="1"/>
      </w:r>
      <w:r w:rsidRPr="001E73A0">
        <w:rPr>
          <w:sz w:val="24"/>
          <w:szCs w:val="24"/>
        </w:rPr>
        <w:instrText>ADDIN CSL_CITATION {"citationItems":[{"id":"ITEM-1","itemData":{"URL":"https://www.cio.com/article/3124755/5-reasons-ceos-should-be-involved-in-hiring-decisions.html","accessed":{"date-parts":[["2019","11","1"]]},"author":[{"dropping-particle":"","family":"Sharon","given":"F.","non-dropping-particle":"","parse-names":false,"suffix":""}],"id":"ITEM-1","issued":{"date-parts":[["2016"]]},"title":"5 Reasons CEOs should be Involved in Hiring Decisions","type":"webpage"},"uris":["http://www.mendeley.com/documents/?uuid=b2f0490d-de83-4e3a-8e7f-64320a146cf5"]}],"mendeley":{"formattedCitation":"(Sharon, 2016)","plainTextFormattedCitation":"(Sharon, 2016)","previouslyFormattedCitation":"(Sharon, 2016)"},"properties":{"noteIndex":0},"schema":"https://github.com/citation-style-language/schema/raw/master/csl-citation.json"}</w:instrText>
      </w:r>
      <w:r w:rsidRPr="001E73A0">
        <w:rPr>
          <w:sz w:val="24"/>
          <w:szCs w:val="24"/>
        </w:rPr>
        <w:fldChar w:fldCharType="separate"/>
      </w:r>
      <w:r w:rsidRPr="001E73A0">
        <w:rPr>
          <w:noProof/>
          <w:sz w:val="24"/>
          <w:szCs w:val="24"/>
        </w:rPr>
        <w:t>(Sharon, 2016)</w:t>
      </w:r>
      <w:r w:rsidRPr="001E73A0">
        <w:rPr>
          <w:sz w:val="24"/>
          <w:szCs w:val="24"/>
        </w:rPr>
        <w:fldChar w:fldCharType="end"/>
      </w:r>
      <w:r w:rsidRPr="001E73A0">
        <w:rPr>
          <w:sz w:val="24"/>
          <w:szCs w:val="24"/>
        </w:rPr>
        <w:t xml:space="preserve">, ineffective monitoring by the board may mean failing to guard against managerial opportunism and thus, distortions in corporate investment </w:t>
      </w:r>
      <w:r w:rsidRPr="001E73A0">
        <w:rPr>
          <w:sz w:val="24"/>
          <w:szCs w:val="24"/>
        </w:rPr>
        <w:fldChar w:fldCharType="begin" w:fldLock="1"/>
      </w:r>
      <w:r w:rsidRPr="001E73A0">
        <w:rPr>
          <w:sz w:val="24"/>
          <w:szCs w:val="24"/>
        </w:rPr>
        <w:instrText>ADDIN CSL_CITATION {"citationItems":[{"id":"ITEM-1","itemData":{"ISSN":"00221082","author":[{"dropping-particle":"","family":"Fracassi","given":"Cesare","non-dropping-particle":"","parse-names":false,"suffix":""},{"dropping-particle":"","family":"Tate","given":"Geoffrey","non-dropping-particle":"","parse-names":false,"suffix":""}],"container-title":"The Journal of Finance","id":"ITEM-1","issue":"1","issued":{"date-parts":[["2012","2"]]},"page":"153-194","title":"External Networking and Internal Firm Governance","type":"article-journal","volume":"67"},"uris":["http://www.mendeley.com/documents/?uuid=22f7866c-9934-3070-b293-65549369bdd2"]}],"mendeley":{"formattedCitation":"(Fracassi &amp; Tate, 2012)","plainTextFormattedCitation":"(Fracassi &amp; Tate, 2012)","previouslyFormattedCitation":"(Fracassi &amp; Tate, 2012)"},"properties":{"noteIndex":0},"schema":"https://github.com/citation-style-language/schema/raw/master/csl-citation.json"}</w:instrText>
      </w:r>
      <w:r w:rsidRPr="001E73A0">
        <w:rPr>
          <w:sz w:val="24"/>
          <w:szCs w:val="24"/>
        </w:rPr>
        <w:fldChar w:fldCharType="separate"/>
      </w:r>
      <w:r w:rsidRPr="001E73A0">
        <w:rPr>
          <w:noProof/>
          <w:sz w:val="24"/>
          <w:szCs w:val="24"/>
        </w:rPr>
        <w:t>(Fracassi &amp; Tate, 2012)</w:t>
      </w:r>
      <w:r w:rsidRPr="001E73A0">
        <w:rPr>
          <w:sz w:val="24"/>
          <w:szCs w:val="24"/>
        </w:rPr>
        <w:fldChar w:fldCharType="end"/>
      </w:r>
      <w:r w:rsidRPr="001E73A0">
        <w:rPr>
          <w:sz w:val="24"/>
          <w:szCs w:val="24"/>
        </w:rPr>
        <w:t xml:space="preserve">. By contrast, effective internal </w:t>
      </w:r>
      <w:r w:rsidRPr="001E73A0">
        <w:rPr>
          <w:sz w:val="24"/>
          <w:szCs w:val="24"/>
        </w:rPr>
        <w:lastRenderedPageBreak/>
        <w:t>monitoring can enhance the alignment of corporate employment decision-making with corporate strategy, leading to value creation in the short</w:t>
      </w:r>
      <w:r w:rsidR="00DF6951" w:rsidRPr="001E73A0">
        <w:rPr>
          <w:sz w:val="24"/>
          <w:szCs w:val="24"/>
        </w:rPr>
        <w:t>-</w:t>
      </w:r>
      <w:r w:rsidRPr="001E73A0">
        <w:rPr>
          <w:sz w:val="24"/>
          <w:szCs w:val="24"/>
        </w:rPr>
        <w:t>, medium</w:t>
      </w:r>
      <w:r w:rsidR="00DF6951" w:rsidRPr="001E73A0">
        <w:rPr>
          <w:sz w:val="24"/>
          <w:szCs w:val="24"/>
        </w:rPr>
        <w:t>-</w:t>
      </w:r>
      <w:r w:rsidR="00BD23AB" w:rsidRPr="001E73A0">
        <w:rPr>
          <w:sz w:val="24"/>
          <w:szCs w:val="24"/>
        </w:rPr>
        <w:t>,</w:t>
      </w:r>
      <w:r w:rsidRPr="001E73A0">
        <w:rPr>
          <w:sz w:val="24"/>
          <w:szCs w:val="24"/>
        </w:rPr>
        <w:t xml:space="preserve"> and long</w:t>
      </w:r>
      <w:r w:rsidR="00DF6951" w:rsidRPr="001E73A0">
        <w:rPr>
          <w:sz w:val="24"/>
          <w:szCs w:val="24"/>
        </w:rPr>
        <w:t>-</w:t>
      </w:r>
      <w:r w:rsidRPr="001E73A0">
        <w:rPr>
          <w:sz w:val="24"/>
          <w:szCs w:val="24"/>
        </w:rPr>
        <w:t>term.</w:t>
      </w:r>
      <w:r w:rsidR="0008725C" w:rsidRPr="001E73A0">
        <w:rPr>
          <w:sz w:val="24"/>
          <w:szCs w:val="24"/>
        </w:rPr>
        <w:t xml:space="preserve"> </w:t>
      </w:r>
      <w:r w:rsidRPr="001E73A0">
        <w:rPr>
          <w:sz w:val="24"/>
          <w:szCs w:val="24"/>
        </w:rPr>
        <w:t xml:space="preserve">Khedmati et al. </w:t>
      </w:r>
      <w:r w:rsidRPr="001E73A0">
        <w:rPr>
          <w:sz w:val="24"/>
          <w:szCs w:val="24"/>
        </w:rPr>
        <w:fldChar w:fldCharType="begin" w:fldLock="1"/>
      </w:r>
      <w:r w:rsidRPr="001E73A0">
        <w:rPr>
          <w:sz w:val="24"/>
          <w:szCs w:val="24"/>
        </w:rPr>
        <w:instrText>ADDIN CSL_CITATION {"citationItems":[{"id":"ITEM-1","itemData":{"ISSN":"0929-1199","abstract":"We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Finance","id":"ITEM-1","issued":{"date-parts":[["2019","8","10"]]},"page":"forthcoming","publisher":"North-Holland","title":"CEO-director ties and labor investment efficiency","type":"article-journal"},"suppress-author":1,"uris":["http://www.mendeley.com/documents/?uuid=d748f965-c96a-37ab-af3c-4af2c2e2ee2b"]}],"mendeley":{"formattedCitation":"(2019)","plainTextFormattedCitation":"(2019)","previouslyFormattedCitation":"(2019)"},"properties":{"noteIndex":0},"schema":"https://github.com/citation-style-language/schema/raw/master/csl-citation.json"}</w:instrText>
      </w:r>
      <w:r w:rsidRPr="001E73A0">
        <w:rPr>
          <w:sz w:val="24"/>
          <w:szCs w:val="24"/>
        </w:rPr>
        <w:fldChar w:fldCharType="separate"/>
      </w:r>
      <w:r w:rsidRPr="001E73A0">
        <w:rPr>
          <w:noProof/>
          <w:sz w:val="24"/>
          <w:szCs w:val="24"/>
        </w:rPr>
        <w:t>(2019)</w:t>
      </w:r>
      <w:r w:rsidRPr="001E73A0">
        <w:rPr>
          <w:sz w:val="24"/>
          <w:szCs w:val="24"/>
        </w:rPr>
        <w:fldChar w:fldCharType="end"/>
      </w:r>
      <w:r w:rsidRPr="001E73A0">
        <w:rPr>
          <w:sz w:val="24"/>
          <w:szCs w:val="24"/>
        </w:rPr>
        <w:t xml:space="preserve"> find that stronger CEO ties with board members can impair the effectiveness of internal governance and</w:t>
      </w:r>
      <w:r w:rsidR="00BD23AB" w:rsidRPr="001E73A0">
        <w:rPr>
          <w:sz w:val="24"/>
          <w:szCs w:val="24"/>
        </w:rPr>
        <w:t xml:space="preserve"> </w:t>
      </w:r>
      <w:r w:rsidRPr="001E73A0">
        <w:rPr>
          <w:sz w:val="24"/>
          <w:szCs w:val="24"/>
        </w:rPr>
        <w:t>result in suboptimal labour investment decisions. By drawing comparisons on employee-related matters, such as training and development expenses, with their peers through accounting comparability, internal monitoring agents like boards of directors could enjoy more meaningful insights in managing compan</w:t>
      </w:r>
      <w:r w:rsidR="00BD23AB" w:rsidRPr="001E73A0">
        <w:rPr>
          <w:sz w:val="24"/>
          <w:szCs w:val="24"/>
        </w:rPr>
        <w:t>ie</w:t>
      </w:r>
      <w:r w:rsidRPr="001E73A0">
        <w:rPr>
          <w:sz w:val="24"/>
          <w:szCs w:val="24"/>
        </w:rPr>
        <w:t>s</w:t>
      </w:r>
      <w:r w:rsidR="00BD23AB" w:rsidRPr="001E73A0">
        <w:rPr>
          <w:sz w:val="24"/>
          <w:szCs w:val="24"/>
        </w:rPr>
        <w:t>’</w:t>
      </w:r>
      <w:r w:rsidRPr="001E73A0">
        <w:rPr>
          <w:sz w:val="24"/>
          <w:szCs w:val="24"/>
        </w:rPr>
        <w:t xml:space="preserve"> workforce</w:t>
      </w:r>
      <w:r w:rsidR="00BD23AB" w:rsidRPr="001E73A0">
        <w:rPr>
          <w:sz w:val="24"/>
          <w:szCs w:val="24"/>
        </w:rPr>
        <w:t>s</w:t>
      </w:r>
      <w:r w:rsidRPr="001E73A0">
        <w:rPr>
          <w:sz w:val="24"/>
          <w:szCs w:val="24"/>
        </w:rPr>
        <w:t>. This may enable them to apply appropriate counter-balancing pressures</w:t>
      </w:r>
      <w:r w:rsidR="0092754F" w:rsidRPr="001E73A0">
        <w:rPr>
          <w:sz w:val="24"/>
          <w:szCs w:val="24"/>
        </w:rPr>
        <w:t>,</w:t>
      </w:r>
      <w:r w:rsidRPr="001E73A0">
        <w:rPr>
          <w:sz w:val="24"/>
          <w:szCs w:val="24"/>
        </w:rPr>
        <w:t xml:space="preserve"> like reducing under-firing</w:t>
      </w:r>
      <w:r w:rsidR="0092754F" w:rsidRPr="001E73A0">
        <w:rPr>
          <w:sz w:val="24"/>
          <w:szCs w:val="24"/>
        </w:rPr>
        <w:t>,</w:t>
      </w:r>
      <w:r w:rsidRPr="001E73A0">
        <w:rPr>
          <w:sz w:val="24"/>
          <w:szCs w:val="24"/>
        </w:rPr>
        <w:t xml:space="preserve"> </w:t>
      </w:r>
      <w:r w:rsidR="0092754F" w:rsidRPr="001E73A0">
        <w:rPr>
          <w:sz w:val="24"/>
          <w:szCs w:val="24"/>
        </w:rPr>
        <w:t xml:space="preserve">and </w:t>
      </w:r>
      <w:r w:rsidRPr="001E73A0">
        <w:rPr>
          <w:sz w:val="24"/>
          <w:szCs w:val="24"/>
        </w:rPr>
        <w:t>ultimately compel managers to undertake optimal employment decisions.</w:t>
      </w:r>
    </w:p>
    <w:p w14:paraId="4305490A" w14:textId="6B2A7621" w:rsidR="00660ED5" w:rsidRPr="001E73A0" w:rsidRDefault="00660ED5" w:rsidP="00660ED5">
      <w:pPr>
        <w:adjustRightInd w:val="0"/>
        <w:snapToGrid w:val="0"/>
        <w:spacing w:after="0" w:line="360" w:lineRule="auto"/>
        <w:ind w:firstLine="720"/>
        <w:jc w:val="both"/>
        <w:rPr>
          <w:sz w:val="24"/>
          <w:szCs w:val="24"/>
        </w:rPr>
      </w:pPr>
      <w:r w:rsidRPr="001E73A0">
        <w:rPr>
          <w:sz w:val="24"/>
          <w:szCs w:val="24"/>
        </w:rPr>
        <w:t xml:space="preserve">In sum, we propose that comparable accounts </w:t>
      </w:r>
      <w:r w:rsidR="00BD2994" w:rsidRPr="001E73A0">
        <w:rPr>
          <w:sz w:val="24"/>
          <w:szCs w:val="24"/>
        </w:rPr>
        <w:t xml:space="preserve">could mitigate agency conflict through </w:t>
      </w:r>
      <w:r w:rsidRPr="001E73A0">
        <w:rPr>
          <w:sz w:val="24"/>
          <w:szCs w:val="24"/>
        </w:rPr>
        <w:t xml:space="preserve">external monitoring and internal governance mechanisms, which </w:t>
      </w:r>
      <w:r w:rsidR="00DF6951" w:rsidRPr="001E73A0">
        <w:rPr>
          <w:sz w:val="24"/>
          <w:szCs w:val="24"/>
        </w:rPr>
        <w:t xml:space="preserve">can </w:t>
      </w:r>
      <w:r w:rsidR="00BD2994" w:rsidRPr="001E73A0">
        <w:rPr>
          <w:sz w:val="24"/>
          <w:szCs w:val="24"/>
        </w:rPr>
        <w:t xml:space="preserve">ultimately </w:t>
      </w:r>
      <w:r w:rsidR="002428DB" w:rsidRPr="001E73A0">
        <w:rPr>
          <w:sz w:val="24"/>
          <w:szCs w:val="24"/>
        </w:rPr>
        <w:t>facilitate efficient</w:t>
      </w:r>
      <w:r w:rsidRPr="001E73A0">
        <w:rPr>
          <w:sz w:val="24"/>
          <w:szCs w:val="24"/>
        </w:rPr>
        <w:t xml:space="preserve"> labour investment. </w:t>
      </w:r>
    </w:p>
    <w:p w14:paraId="20C2EC5B" w14:textId="77777777" w:rsidR="00660ED5" w:rsidRPr="001E73A0" w:rsidRDefault="00660ED5" w:rsidP="00612D21">
      <w:pPr>
        <w:adjustRightInd w:val="0"/>
        <w:snapToGrid w:val="0"/>
        <w:spacing w:after="0" w:line="360" w:lineRule="auto"/>
        <w:jc w:val="both"/>
        <w:rPr>
          <w:sz w:val="24"/>
          <w:szCs w:val="24"/>
        </w:rPr>
      </w:pPr>
    </w:p>
    <w:p w14:paraId="3CCFDCAD" w14:textId="5702C9D2" w:rsidR="00660ED5" w:rsidRPr="001E73A0" w:rsidRDefault="00660ED5" w:rsidP="00612D21">
      <w:pPr>
        <w:adjustRightInd w:val="0"/>
        <w:snapToGrid w:val="0"/>
        <w:spacing w:after="0" w:line="360" w:lineRule="auto"/>
        <w:jc w:val="both"/>
        <w:rPr>
          <w:sz w:val="24"/>
          <w:szCs w:val="24"/>
        </w:rPr>
      </w:pPr>
      <w:r w:rsidRPr="001E73A0">
        <w:rPr>
          <w:b/>
          <w:sz w:val="24"/>
          <w:szCs w:val="24"/>
        </w:rPr>
        <w:t xml:space="preserve">Hypothesis: </w:t>
      </w:r>
      <w:r w:rsidRPr="001E73A0">
        <w:rPr>
          <w:i/>
          <w:sz w:val="24"/>
          <w:szCs w:val="24"/>
        </w:rPr>
        <w:t>Accounting comparability has a negative impact on labour investment inefficiency.</w:t>
      </w:r>
    </w:p>
    <w:p w14:paraId="03D23B67" w14:textId="43CC9E48" w:rsidR="000563EE" w:rsidRPr="001E73A0" w:rsidRDefault="000563EE" w:rsidP="00576790">
      <w:pPr>
        <w:adjustRightInd w:val="0"/>
        <w:snapToGrid w:val="0"/>
        <w:spacing w:after="0" w:line="360" w:lineRule="auto"/>
        <w:ind w:firstLine="720"/>
        <w:jc w:val="both"/>
        <w:rPr>
          <w:i/>
          <w:sz w:val="24"/>
          <w:szCs w:val="24"/>
        </w:rPr>
      </w:pPr>
    </w:p>
    <w:p w14:paraId="34E20228" w14:textId="77777777" w:rsidR="00465179" w:rsidRPr="001E73A0" w:rsidRDefault="00465179" w:rsidP="00465179">
      <w:pPr>
        <w:pStyle w:val="1"/>
        <w:adjustRightInd w:val="0"/>
        <w:snapToGrid w:val="0"/>
        <w:spacing w:before="0" w:line="360" w:lineRule="auto"/>
      </w:pPr>
      <w:r w:rsidRPr="001E73A0">
        <w:t>3. Data and Research Design</w:t>
      </w:r>
    </w:p>
    <w:p w14:paraId="5D797F56" w14:textId="77777777" w:rsidR="00465179" w:rsidRPr="001E73A0" w:rsidRDefault="00465179" w:rsidP="00465179">
      <w:pPr>
        <w:pStyle w:val="2"/>
        <w:adjustRightInd w:val="0"/>
        <w:snapToGrid w:val="0"/>
        <w:spacing w:before="0" w:after="0" w:line="360" w:lineRule="auto"/>
        <w:rPr>
          <w:szCs w:val="24"/>
        </w:rPr>
      </w:pPr>
      <w:r w:rsidRPr="001E73A0">
        <w:rPr>
          <w:szCs w:val="24"/>
        </w:rPr>
        <w:t xml:space="preserve">3.1 Labour Investment Efficiency Measure </w:t>
      </w:r>
    </w:p>
    <w:p w14:paraId="00F74D10" w14:textId="03737BEB" w:rsidR="00CD1FDD" w:rsidRPr="001E73A0" w:rsidRDefault="00465179" w:rsidP="009919D0">
      <w:pPr>
        <w:adjustRightInd w:val="0"/>
        <w:snapToGrid w:val="0"/>
        <w:spacing w:after="0" w:line="360" w:lineRule="auto"/>
        <w:ind w:firstLine="720"/>
        <w:jc w:val="both"/>
        <w:rPr>
          <w:sz w:val="24"/>
          <w:szCs w:val="24"/>
        </w:rPr>
      </w:pPr>
      <w:r w:rsidRPr="001E73A0">
        <w:rPr>
          <w:sz w:val="24"/>
          <w:szCs w:val="24"/>
        </w:rPr>
        <w:t xml:space="preserve">Our primary measure of labour investment efficiency is constructed based on the method of Ben-Nasr and Alshwer </w:t>
      </w:r>
      <w:r w:rsidRPr="001E73A0">
        <w:rPr>
          <w:sz w:val="24"/>
          <w:szCs w:val="24"/>
        </w:rPr>
        <w:fldChar w:fldCharType="begin" w:fldLock="1"/>
      </w:r>
      <w:r w:rsidRPr="001E73A0">
        <w:rPr>
          <w:sz w:val="24"/>
          <w:szCs w:val="24"/>
        </w:rPr>
        <w:instrText>ADDIN CSL_CITATION {"citationItems":[{"id":"ITEM-1","itemData":{"ISSN":"09291199","abstract":"In this paper, we examine whether managers use information included in stock prices when making labor investment decisions. Specifically, we examine whether stock price informativeness affects labor investment efficiency. We find that a higher probability of informed trading (PIN) is associated with lower deviations of labor investment from the level justified by economic fundamentals, i.e., higher labor investment efficiency. This finding is robust to using alternative proxies for stock price informativeness and labor investment efficiency, when we control for earnings quality and mispricing, and when we address endogeneity issues. Furthermore, we report evidence suggesting that the positive impact of stock price on labor investment efficiency is more (less) pronounced in firms from highly unionized industries and firms facing higher financial constraints (firms from industries that rely more on skilled labor).","author":[{"dropping-particle":"","family":"Ben-Nasr","given":"Hamdi","non-dropping-particle":"","parse-names":false,"suffix":""},{"dropping-particle":"","family":"Alshwer","given":"Abdullah A.","non-dropping-particle":"","parse-names":false,"suffix":""}],"container-title":"Journal of Corporate Finance","id":"ITEM-1","issue":"C","issued":{"date-parts":[["2016"]]},"page":"249-271","publisher":"Elsevier B.V.","title":"Does stock price informativeness affect labor investment efficiency?","type":"article-journal","volume":"38"},"suppress-author":1,"uris":["http://www.mendeley.com/documents/?uuid=792d336f-df82-4c74-a20d-bf441787c56b"]}],"mendeley":{"formattedCitation":"(2016)","plainTextFormattedCitation":"(2016)","previouslyFormattedCitation":"(2016)"},"properties":{"noteIndex":0},"schema":"https://github.com/citation-style-language/schema/raw/master/csl-citation.json"}</w:instrText>
      </w:r>
      <w:r w:rsidRPr="001E73A0">
        <w:rPr>
          <w:sz w:val="24"/>
          <w:szCs w:val="24"/>
        </w:rPr>
        <w:fldChar w:fldCharType="separate"/>
      </w:r>
      <w:r w:rsidRPr="001E73A0">
        <w:rPr>
          <w:noProof/>
          <w:sz w:val="24"/>
          <w:szCs w:val="24"/>
        </w:rPr>
        <w:t>(2016)</w:t>
      </w:r>
      <w:r w:rsidRPr="001E73A0">
        <w:rPr>
          <w:sz w:val="24"/>
          <w:szCs w:val="24"/>
        </w:rPr>
        <w:fldChar w:fldCharType="end"/>
      </w:r>
      <w:r w:rsidRPr="001E73A0">
        <w:rPr>
          <w:sz w:val="24"/>
          <w:szCs w:val="24"/>
        </w:rPr>
        <w:t xml:space="preserve">, Li </w:t>
      </w:r>
      <w:r w:rsidRPr="001E73A0">
        <w:rPr>
          <w:sz w:val="24"/>
          <w:szCs w:val="24"/>
        </w:rPr>
        <w:fldChar w:fldCharType="begin" w:fldLock="1"/>
      </w:r>
      <w:r w:rsidRPr="001E73A0">
        <w:rPr>
          <w:sz w:val="24"/>
          <w:szCs w:val="24"/>
        </w:rPr>
        <w:instrText>ADDIN CSL_CITATION {"citationItems":[{"id":"ITEM-1","itemData":{"ISBN":"1475-679X","ISSN":"00218456","PMID":"60368637","abstract":"In this paper, I examine a new approach for measuring earnings quality, defined as the closeness of reported earnings to permanent earnings, based on firm decisions with regard to capital and labor investments. Specifically, I measure earnings quality as the contemporaneous association between changes in the levels of capital and labor investment and the change in reported earnings. This approach follows the reasoning that (1) firms make investment decisions based on the net present value (NPV) of investment projects and (2) reported earnings with higher quality should more closely associate with real investment decisions. I find that measures of earnings quality based on managerial labor and capital decisions correlate positively with earnings persistence and have incremental explanatory power relative to earnings-quality measures used in the accounting literature. Furthermore, investment-based earnings-quality measures are less informative when managers tend to overinvest.","author":[{"dropping-particle":"","family":"Li","given":"Feng","non-dropping-particle":"","parse-names":false,"suffix":""}],"container-title":"Journal of Accounting Research","id":"ITEM-1","issue":"3","issued":{"date-parts":[["2011"]]},"page":"721-752","title":"Earnings quality based on corporate investment decisions","type":"article-journal","volume":"49"},"suppress-author":1,"uris":["http://www.mendeley.com/documents/?uuid=6acf97ef-2dd6-43e8-81b3-2352fc294d9a"]}],"mendeley":{"formattedCitation":"(2011)","plainTextFormattedCitation":"(2011)","previouslyFormattedCitation":"(2011)"},"properties":{"noteIndex":0},"schema":"https://github.com/citation-style-language/schema/raw/master/csl-citation.json"}</w:instrText>
      </w:r>
      <w:r w:rsidRPr="001E73A0">
        <w:rPr>
          <w:sz w:val="24"/>
          <w:szCs w:val="24"/>
        </w:rPr>
        <w:fldChar w:fldCharType="separate"/>
      </w:r>
      <w:r w:rsidRPr="001E73A0">
        <w:rPr>
          <w:noProof/>
          <w:sz w:val="24"/>
          <w:szCs w:val="24"/>
        </w:rPr>
        <w:t>(2011)</w:t>
      </w:r>
      <w:r w:rsidRPr="001E73A0">
        <w:rPr>
          <w:sz w:val="24"/>
          <w:szCs w:val="24"/>
        </w:rPr>
        <w:fldChar w:fldCharType="end"/>
      </w:r>
      <w:r w:rsidRPr="001E73A0">
        <w:rPr>
          <w:sz w:val="24"/>
          <w:szCs w:val="24"/>
        </w:rPr>
        <w:t xml:space="preserve">, and Pinnuck and Lillis </w:t>
      </w:r>
      <w:r w:rsidRPr="001E73A0">
        <w:rPr>
          <w:sz w:val="24"/>
          <w:szCs w:val="24"/>
        </w:rPr>
        <w:fldChar w:fldCharType="begin" w:fldLock="1"/>
      </w:r>
      <w:r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rsidRPr="001E73A0">
        <w:rPr>
          <w:sz w:val="24"/>
          <w:szCs w:val="24"/>
        </w:rPr>
        <w:fldChar w:fldCharType="separate"/>
      </w:r>
      <w:r w:rsidRPr="001E73A0">
        <w:rPr>
          <w:noProof/>
          <w:sz w:val="24"/>
          <w:szCs w:val="24"/>
        </w:rPr>
        <w:t>(2007)</w:t>
      </w:r>
      <w:r w:rsidRPr="001E73A0">
        <w:rPr>
          <w:sz w:val="24"/>
          <w:szCs w:val="24"/>
        </w:rPr>
        <w:fldChar w:fldCharType="end"/>
      </w:r>
      <w:r w:rsidRPr="001E73A0">
        <w:rPr>
          <w:sz w:val="24"/>
          <w:szCs w:val="24"/>
        </w:rPr>
        <w:t>. We first ad</w:t>
      </w:r>
      <w:r w:rsidR="00CD1FDD">
        <w:rPr>
          <w:sz w:val="24"/>
          <w:szCs w:val="24"/>
        </w:rPr>
        <w:t>o</w:t>
      </w:r>
      <w:r w:rsidRPr="001E73A0">
        <w:rPr>
          <w:sz w:val="24"/>
          <w:szCs w:val="24"/>
        </w:rPr>
        <w:t xml:space="preserve">pt Pinnuck and Lillis’s </w:t>
      </w:r>
      <w:r w:rsidRPr="001E73A0">
        <w:rPr>
          <w:sz w:val="24"/>
          <w:szCs w:val="24"/>
        </w:rPr>
        <w:fldChar w:fldCharType="begin" w:fldLock="1"/>
      </w:r>
      <w:r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rsidRPr="001E73A0">
        <w:rPr>
          <w:sz w:val="24"/>
          <w:szCs w:val="24"/>
        </w:rPr>
        <w:fldChar w:fldCharType="separate"/>
      </w:r>
      <w:r w:rsidRPr="001E73A0">
        <w:rPr>
          <w:noProof/>
          <w:sz w:val="24"/>
          <w:szCs w:val="24"/>
        </w:rPr>
        <w:t>(2007)</w:t>
      </w:r>
      <w:r w:rsidRPr="001E73A0">
        <w:rPr>
          <w:sz w:val="24"/>
          <w:szCs w:val="24"/>
        </w:rPr>
        <w:fldChar w:fldCharType="end"/>
      </w:r>
      <w:r w:rsidRPr="001E73A0">
        <w:rPr>
          <w:sz w:val="24"/>
          <w:szCs w:val="24"/>
        </w:rPr>
        <w:t xml:space="preserve"> </w:t>
      </w:r>
      <w:r w:rsidR="00CD1FDD">
        <w:rPr>
          <w:sz w:val="24"/>
          <w:szCs w:val="24"/>
        </w:rPr>
        <w:t xml:space="preserve">labour demand </w:t>
      </w:r>
      <w:r w:rsidRPr="001E73A0">
        <w:rPr>
          <w:sz w:val="24"/>
          <w:szCs w:val="24"/>
        </w:rPr>
        <w:t>model to determine the expected level of net hiring</w:t>
      </w:r>
      <w:r w:rsidR="00CD1FDD">
        <w:rPr>
          <w:sz w:val="24"/>
          <w:szCs w:val="24"/>
        </w:rPr>
        <w:t xml:space="preserve">. This model </w:t>
      </w:r>
      <w:r w:rsidR="009919D0">
        <w:rPr>
          <w:sz w:val="24"/>
          <w:szCs w:val="24"/>
        </w:rPr>
        <w:t xml:space="preserve">is widely used in recent literature to examine the deviations from the optimal hiring practices </w:t>
      </w:r>
      <w:r w:rsidR="009919D0" w:rsidRPr="009919D0">
        <w:rPr>
          <w:sz w:val="24"/>
          <w:szCs w:val="24"/>
        </w:rPr>
        <w:t>(Ben-Nasr &amp; Alshwer, 2016; Ghaly et al., 2020; Jung et al., 2014; Khedmati et al., 2019)</w:t>
      </w:r>
      <w:r w:rsidR="009919D0">
        <w:rPr>
          <w:sz w:val="24"/>
          <w:szCs w:val="24"/>
        </w:rPr>
        <w:t xml:space="preserve">. </w:t>
      </w:r>
      <w:r w:rsidR="00CD1FDD">
        <w:rPr>
          <w:sz w:val="24"/>
          <w:szCs w:val="24"/>
        </w:rPr>
        <w:t>The model takes the following form:</w:t>
      </w:r>
    </w:p>
    <w:p w14:paraId="215C8C3D" w14:textId="77777777" w:rsidR="00465179" w:rsidRPr="001E73A0" w:rsidRDefault="00465179" w:rsidP="00465179">
      <w:pPr>
        <w:adjustRightInd w:val="0"/>
        <w:snapToGrid w:val="0"/>
        <w:spacing w:after="0" w:line="360" w:lineRule="auto"/>
        <w:ind w:firstLine="720"/>
        <w:jc w:val="both"/>
        <w:rPr>
          <w:sz w:val="24"/>
          <w:szCs w:val="24"/>
        </w:rPr>
      </w:pPr>
    </w:p>
    <w:p w14:paraId="767CBBF3" w14:textId="77777777" w:rsidR="00465179" w:rsidRPr="001E73A0" w:rsidRDefault="00465179" w:rsidP="00465179">
      <w:pPr>
        <w:jc w:val="right"/>
        <w:rPr>
          <w:sz w:val="24"/>
          <w:szCs w:val="24"/>
        </w:rPr>
      </w:pPr>
      <w:r w:rsidRPr="001E73A0">
        <w:rPr>
          <w:sz w:val="24"/>
          <w:szCs w:val="24"/>
        </w:rPr>
        <w:t xml:space="preserve"> </w:t>
      </w:r>
      <w:r w:rsidRPr="001E73A0">
        <w:rPr>
          <w:position w:val="-76"/>
          <w:sz w:val="24"/>
          <w:szCs w:val="24"/>
        </w:rPr>
        <w:object w:dxaOrig="7780" w:dyaOrig="1640" w14:anchorId="0EBBF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5pt;height:79.45pt" o:ole="">
            <v:imagedata r:id="rId8" o:title=""/>
          </v:shape>
          <o:OLEObject Type="Embed" ProgID="Equation.DSMT4" ShapeID="_x0000_i1025" DrawAspect="Content" ObjectID="_1655669381" r:id="rId9"/>
        </w:object>
      </w:r>
      <w:r w:rsidRPr="001E73A0">
        <w:rPr>
          <w:sz w:val="24"/>
          <w:szCs w:val="24"/>
        </w:rPr>
        <w:t xml:space="preserve">         </w:t>
      </w:r>
      <w:r w:rsidRPr="001E73A0">
        <w:t>(1)</w:t>
      </w:r>
    </w:p>
    <w:p w14:paraId="2A435788" w14:textId="77777777" w:rsidR="00465179" w:rsidRPr="001E73A0" w:rsidRDefault="00465179" w:rsidP="00465179">
      <w:pPr>
        <w:spacing w:after="0" w:line="360" w:lineRule="auto"/>
        <w:jc w:val="both"/>
        <w:rPr>
          <w:sz w:val="24"/>
          <w:szCs w:val="24"/>
        </w:rPr>
      </w:pPr>
      <w:r w:rsidRPr="001E73A0">
        <w:rPr>
          <w:sz w:val="24"/>
          <w:szCs w:val="24"/>
        </w:rPr>
        <w:t xml:space="preserve">where </w:t>
      </w:r>
      <w:r w:rsidRPr="001E73A0">
        <w:rPr>
          <w:i/>
          <w:sz w:val="24"/>
          <w:szCs w:val="24"/>
        </w:rPr>
        <w:t>Net_Hiring</w:t>
      </w:r>
      <w:r w:rsidRPr="001E73A0">
        <w:rPr>
          <w:sz w:val="24"/>
          <w:szCs w:val="24"/>
        </w:rPr>
        <w:t xml:space="preserve"> </w:t>
      </w:r>
      <w:r w:rsidRPr="001E73A0">
        <w:rPr>
          <w:rFonts w:cs="Calibri"/>
          <w:sz w:val="24"/>
          <w:szCs w:val="24"/>
        </w:rPr>
        <w:t>–</w:t>
      </w:r>
      <w:r w:rsidRPr="001E73A0">
        <w:rPr>
          <w:sz w:val="24"/>
          <w:szCs w:val="24"/>
        </w:rPr>
        <w:t xml:space="preserve"> denoting a firm’s net hiring </w:t>
      </w:r>
      <w:r w:rsidRPr="001E73A0">
        <w:rPr>
          <w:rFonts w:cs="Calibri"/>
          <w:sz w:val="24"/>
          <w:szCs w:val="24"/>
        </w:rPr>
        <w:t>–</w:t>
      </w:r>
      <w:r w:rsidRPr="001E73A0">
        <w:rPr>
          <w:sz w:val="24"/>
          <w:szCs w:val="24"/>
        </w:rPr>
        <w:t xml:space="preserve"> measures labour investments and is calculated as the percentage change in the number of employees. To estimate expected </w:t>
      </w:r>
      <w:r w:rsidRPr="001E73A0">
        <w:rPr>
          <w:sz w:val="24"/>
          <w:szCs w:val="24"/>
        </w:rPr>
        <w:lastRenderedPageBreak/>
        <w:t>labour investment, the model includes a series of firm-specific characteristics, including sales growth (</w:t>
      </w:r>
      <w:r w:rsidRPr="001E73A0">
        <w:rPr>
          <w:i/>
          <w:sz w:val="24"/>
          <w:szCs w:val="24"/>
        </w:rPr>
        <w:t>Sales_Growth</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Sales_Growth</m:t>
        </m:r>
      </m:oMath>
      <w:r w:rsidRPr="001E73A0">
        <w:rPr>
          <w:sz w:val="24"/>
          <w:szCs w:val="24"/>
        </w:rPr>
        <w:instrText xml:space="preserve"> </w:instrText>
      </w:r>
      <w:r w:rsidRPr="001E73A0">
        <w:rPr>
          <w:sz w:val="24"/>
          <w:szCs w:val="24"/>
        </w:rPr>
        <w:fldChar w:fldCharType="end"/>
      </w:r>
      <w:r w:rsidRPr="001E73A0">
        <w:rPr>
          <w:sz w:val="24"/>
          <w:szCs w:val="24"/>
        </w:rPr>
        <w:t>); return on assets (</w:t>
      </w:r>
      <w:r w:rsidRPr="001E73A0">
        <w:rPr>
          <w:i/>
          <w:sz w:val="24"/>
          <w:szCs w:val="24"/>
        </w:rPr>
        <w:t>ROA</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ROA</m:t>
        </m:r>
      </m:oMath>
      <w:r w:rsidRPr="001E73A0">
        <w:rPr>
          <w:sz w:val="24"/>
          <w:szCs w:val="24"/>
        </w:rPr>
        <w:instrText xml:space="preserve"> </w:instrText>
      </w:r>
      <w:r w:rsidRPr="001E73A0">
        <w:rPr>
          <w:sz w:val="24"/>
          <w:szCs w:val="24"/>
        </w:rPr>
        <w:fldChar w:fldCharType="end"/>
      </w:r>
      <w:r w:rsidRPr="001E73A0">
        <w:rPr>
          <w:sz w:val="24"/>
          <w:szCs w:val="24"/>
        </w:rPr>
        <w:t>); annual stock return (</w:t>
      </w:r>
      <w:r w:rsidRPr="001E73A0">
        <w:rPr>
          <w:i/>
          <w:sz w:val="24"/>
          <w:szCs w:val="24"/>
        </w:rPr>
        <w:t>Return</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Return</m:t>
        </m:r>
      </m:oMath>
      <w:r w:rsidRPr="001E73A0">
        <w:rPr>
          <w:sz w:val="24"/>
          <w:szCs w:val="24"/>
        </w:rPr>
        <w:instrText xml:space="preserve"> </w:instrText>
      </w:r>
      <w:r w:rsidRPr="001E73A0">
        <w:rPr>
          <w:sz w:val="24"/>
          <w:szCs w:val="24"/>
        </w:rPr>
        <w:fldChar w:fldCharType="end"/>
      </w:r>
      <w:r w:rsidRPr="001E73A0">
        <w:rPr>
          <w:sz w:val="24"/>
          <w:szCs w:val="24"/>
        </w:rPr>
        <w:t>); firm size (</w:t>
      </w:r>
      <w:r w:rsidRPr="001E73A0">
        <w:rPr>
          <w:i/>
          <w:sz w:val="24"/>
          <w:szCs w:val="24"/>
        </w:rPr>
        <w:t>Size</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Size</m:t>
        </m:r>
      </m:oMath>
      <w:r w:rsidRPr="001E73A0">
        <w:rPr>
          <w:sz w:val="24"/>
          <w:szCs w:val="24"/>
        </w:rPr>
        <w:instrText xml:space="preserve"> </w:instrText>
      </w:r>
      <w:r w:rsidRPr="001E73A0">
        <w:rPr>
          <w:sz w:val="24"/>
          <w:szCs w:val="24"/>
        </w:rPr>
        <w:fldChar w:fldCharType="end"/>
      </w:r>
      <w:r w:rsidRPr="001E73A0">
        <w:rPr>
          <w:sz w:val="24"/>
          <w:szCs w:val="24"/>
        </w:rPr>
        <w:t>); quick ratio (</w:t>
      </w:r>
      <w:r w:rsidRPr="001E73A0">
        <w:rPr>
          <w:i/>
          <w:sz w:val="24"/>
          <w:szCs w:val="24"/>
        </w:rPr>
        <w:t>Quick</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Quick</m:t>
        </m:r>
      </m:oMath>
      <w:r w:rsidRPr="001E73A0">
        <w:rPr>
          <w:sz w:val="24"/>
          <w:szCs w:val="24"/>
        </w:rPr>
        <w:instrText xml:space="preserve"> </w:instrText>
      </w:r>
      <w:r w:rsidRPr="001E73A0">
        <w:rPr>
          <w:sz w:val="24"/>
          <w:szCs w:val="24"/>
        </w:rPr>
        <w:fldChar w:fldCharType="end"/>
      </w:r>
      <w:r w:rsidRPr="001E73A0">
        <w:rPr>
          <w:sz w:val="24"/>
          <w:szCs w:val="24"/>
        </w:rPr>
        <w:t>); leverage ratio (</w:t>
      </w:r>
      <w:r w:rsidRPr="001E73A0">
        <w:rPr>
          <w:i/>
          <w:sz w:val="24"/>
          <w:szCs w:val="24"/>
        </w:rPr>
        <w:t>Lev</w:t>
      </w:r>
      <w:r w:rsidRPr="001E73A0">
        <w:rPr>
          <w:sz w:val="24"/>
          <w:szCs w:val="24"/>
        </w:rPr>
        <w:t>); loss interval indicators (</w:t>
      </w:r>
      <w:r w:rsidRPr="001E73A0">
        <w:rPr>
          <w:i/>
          <w:sz w:val="24"/>
          <w:szCs w:val="24"/>
        </w:rPr>
        <w:t>Loss_Bin</w:t>
      </w:r>
      <w:r w:rsidRPr="001E73A0">
        <w:rPr>
          <w:sz w:val="24"/>
          <w:szCs w:val="24"/>
        </w:rPr>
        <w:fldChar w:fldCharType="begin"/>
      </w:r>
      <w:r w:rsidRPr="001E73A0">
        <w:rPr>
          <w:sz w:val="24"/>
          <w:szCs w:val="24"/>
        </w:rPr>
        <w:instrText xml:space="preserve"> QUOTE </w:instrText>
      </w:r>
      <m:oMath>
        <m:r>
          <m:rPr>
            <m:sty m:val="p"/>
          </m:rPr>
          <w:rPr>
            <w:rFonts w:ascii="Cambria Math" w:hAnsi="Cambria Math"/>
            <w:sz w:val="24"/>
            <w:szCs w:val="24"/>
          </w:rPr>
          <m:t>Loss_Bin</m:t>
        </m:r>
      </m:oMath>
      <w:r w:rsidRPr="001E73A0">
        <w:rPr>
          <w:sz w:val="24"/>
          <w:szCs w:val="24"/>
        </w:rPr>
        <w:instrText xml:space="preserve"> </w:instrText>
      </w:r>
      <w:r w:rsidRPr="001E73A0">
        <w:rPr>
          <w:sz w:val="24"/>
          <w:szCs w:val="24"/>
        </w:rPr>
        <w:fldChar w:fldCharType="end"/>
      </w:r>
      <w:r w:rsidRPr="001E73A0">
        <w:rPr>
          <w:sz w:val="24"/>
          <w:szCs w:val="24"/>
        </w:rPr>
        <w:t>); and industry dummies based on the 2-digit SIC.</w:t>
      </w:r>
      <w:r w:rsidRPr="001E73A0">
        <w:rPr>
          <w:rStyle w:val="a8"/>
        </w:rPr>
        <w:footnoteReference w:id="4"/>
      </w:r>
      <w:r w:rsidRPr="001E73A0">
        <w:rPr>
          <w:sz w:val="24"/>
          <w:szCs w:val="24"/>
        </w:rPr>
        <w:t xml:space="preserve"> [See Appendix A for detailed information on the construction of these variables.] </w:t>
      </w:r>
    </w:p>
    <w:p w14:paraId="7481D8CA" w14:textId="56308051" w:rsidR="00465179" w:rsidRPr="001E73A0" w:rsidRDefault="00465179" w:rsidP="009919D0">
      <w:pPr>
        <w:spacing w:after="0" w:line="360" w:lineRule="auto"/>
        <w:ind w:firstLine="720"/>
        <w:jc w:val="both"/>
        <w:rPr>
          <w:sz w:val="24"/>
          <w:szCs w:val="24"/>
        </w:rPr>
      </w:pPr>
      <w:r w:rsidRPr="001E73A0">
        <w:rPr>
          <w:sz w:val="24"/>
          <w:szCs w:val="24"/>
        </w:rPr>
        <w:t xml:space="preserve">The fitted value from Eq. (1) represents expected net hiring, which measures the optimal level of labour investments justified by a set of a firm’s fundamentals. A deviation of actual net hiring away from the optimal level reduces efficiency in labour investments. Thus, following Jung et al. </w:t>
      </w:r>
      <w:r w:rsidRPr="001E73A0">
        <w:rPr>
          <w:sz w:val="24"/>
          <w:szCs w:val="24"/>
        </w:rPr>
        <w:fldChar w:fldCharType="begin" w:fldLock="1"/>
      </w:r>
      <w:r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suppress-author":1,"uris":["http://www.mendeley.com/documents/?uuid=c0be0420-4a3b-407c-be29-d99c32f42d71"]}],"mendeley":{"formattedCitation":"(2014)","plainTextFormattedCitation":"(2014)","previouslyFormattedCitation":"(2014)"},"properties":{"noteIndex":0},"schema":"https://github.com/citation-style-language/schema/raw/master/csl-citation.json"}</w:instrText>
      </w:r>
      <w:r w:rsidRPr="001E73A0">
        <w:rPr>
          <w:sz w:val="24"/>
          <w:szCs w:val="24"/>
        </w:rPr>
        <w:fldChar w:fldCharType="separate"/>
      </w:r>
      <w:r w:rsidRPr="001E73A0">
        <w:rPr>
          <w:noProof/>
          <w:sz w:val="24"/>
          <w:szCs w:val="24"/>
        </w:rPr>
        <w:t>(2014)</w:t>
      </w:r>
      <w:r w:rsidRPr="001E73A0">
        <w:rPr>
          <w:sz w:val="24"/>
          <w:szCs w:val="24"/>
        </w:rPr>
        <w:fldChar w:fldCharType="end"/>
      </w:r>
      <w:r w:rsidRPr="001E73A0">
        <w:rPr>
          <w:sz w:val="24"/>
          <w:szCs w:val="24"/>
        </w:rPr>
        <w:t>, we use abnormal net hiring (|</w:t>
      </w:r>
      <w:r w:rsidRPr="001E73A0">
        <w:rPr>
          <w:i/>
          <w:sz w:val="24"/>
          <w:szCs w:val="24"/>
        </w:rPr>
        <w:t>Ab_Net_Hiring</w:t>
      </w:r>
      <w:r w:rsidRPr="001E73A0">
        <w:rPr>
          <w:sz w:val="24"/>
          <w:szCs w:val="24"/>
        </w:rPr>
        <w:t>|</w:t>
      </w:r>
      <w:r w:rsidRPr="001E73A0">
        <w:rPr>
          <w:sz w:val="24"/>
          <w:szCs w:val="24"/>
        </w:rPr>
        <w:fldChar w:fldCharType="begin"/>
      </w:r>
      <w:r w:rsidRPr="001E73A0">
        <w:rPr>
          <w:sz w:val="24"/>
          <w:szCs w:val="24"/>
        </w:rPr>
        <w:instrText xml:space="preserve"> QUOTE </w:instrText>
      </w:r>
      <m:oMath>
        <m:sSub>
          <m:sSubPr>
            <m:ctrlPr>
              <w:rPr>
                <w:rFonts w:ascii="Cambria Math" w:hAnsi="Cambria Math"/>
                <w:sz w:val="24"/>
                <w:szCs w:val="24"/>
              </w:rPr>
            </m:ctrlPr>
          </m:sSubPr>
          <m:e>
            <m:d>
              <m:dPr>
                <m:begChr m:val="|"/>
                <m:endChr m:val="|"/>
                <m:ctrlPr>
                  <w:rPr>
                    <w:rFonts w:ascii="Cambria Math" w:hAnsi="Cambria Math"/>
                    <w:i/>
                    <w:sz w:val="24"/>
                    <w:szCs w:val="24"/>
                  </w:rPr>
                </m:ctrlPr>
              </m:dPr>
              <m:e>
                <m:r>
                  <m:rPr>
                    <m:sty m:val="p"/>
                  </m:rPr>
                  <w:rPr>
                    <w:rFonts w:ascii="Cambria Math" w:hAnsi="Cambria Math"/>
                    <w:sz w:val="24"/>
                    <w:szCs w:val="24"/>
                  </w:rPr>
                  <m:t>Ab_Net_Hiring</m:t>
                </m:r>
              </m:e>
            </m:d>
          </m:e>
          <m:sub>
            <m:r>
              <m:rPr>
                <m:sty m:val="p"/>
              </m:rPr>
              <w:rPr>
                <w:rFonts w:ascii="Cambria Math" w:hAnsi="Cambria Math"/>
                <w:sz w:val="24"/>
                <w:szCs w:val="24"/>
              </w:rPr>
              <m:t>i,t</m:t>
            </m:r>
          </m:sub>
        </m:sSub>
      </m:oMath>
      <w:r w:rsidRPr="001E73A0">
        <w:rPr>
          <w:sz w:val="24"/>
          <w:szCs w:val="24"/>
        </w:rPr>
        <w:instrText xml:space="preserve"> </w:instrText>
      </w:r>
      <w:r w:rsidRPr="001E73A0">
        <w:rPr>
          <w:sz w:val="24"/>
          <w:szCs w:val="24"/>
        </w:rPr>
        <w:fldChar w:fldCharType="end"/>
      </w:r>
      <w:r w:rsidRPr="001E73A0">
        <w:rPr>
          <w:sz w:val="24"/>
          <w:szCs w:val="24"/>
        </w:rPr>
        <w:t>), calculated as the absolute value of the deviation from expected net hiring, as our primary proxy for labour investment inefficiency.</w:t>
      </w:r>
      <w:r w:rsidRPr="001E73A0">
        <w:t xml:space="preserve"> </w:t>
      </w:r>
      <w:r w:rsidRPr="001E73A0">
        <w:rPr>
          <w:sz w:val="24"/>
          <w:szCs w:val="24"/>
        </w:rPr>
        <w:t xml:space="preserve">We adopt the labour investment inefficiency proxy based on expected net hiring estimated using Pinnuck and Lillis’s </w:t>
      </w:r>
      <w:r w:rsidRPr="001E73A0">
        <w:rPr>
          <w:sz w:val="24"/>
          <w:szCs w:val="24"/>
        </w:rPr>
        <w:fldChar w:fldCharType="begin" w:fldLock="1"/>
      </w:r>
      <w:r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rsidRPr="001E73A0">
        <w:rPr>
          <w:sz w:val="24"/>
          <w:szCs w:val="24"/>
        </w:rPr>
        <w:fldChar w:fldCharType="separate"/>
      </w:r>
      <w:r w:rsidRPr="001E73A0">
        <w:rPr>
          <w:noProof/>
          <w:sz w:val="24"/>
          <w:szCs w:val="24"/>
        </w:rPr>
        <w:t>(2007)</w:t>
      </w:r>
      <w:r w:rsidRPr="001E73A0">
        <w:rPr>
          <w:sz w:val="24"/>
          <w:szCs w:val="24"/>
        </w:rPr>
        <w:fldChar w:fldCharType="end"/>
      </w:r>
      <w:r w:rsidRPr="001E73A0">
        <w:rPr>
          <w:sz w:val="24"/>
          <w:szCs w:val="24"/>
        </w:rPr>
        <w:t xml:space="preserve"> model in the main analysis due to its conceptual appeal and wide use in the extant literature.</w:t>
      </w:r>
      <w:r w:rsidR="00CD1FDD">
        <w:rPr>
          <w:sz w:val="24"/>
          <w:szCs w:val="24"/>
        </w:rPr>
        <w:t xml:space="preserve"> Ho</w:t>
      </w:r>
      <w:r w:rsidR="009919D0">
        <w:rPr>
          <w:sz w:val="24"/>
          <w:szCs w:val="24"/>
        </w:rPr>
        <w:t xml:space="preserve">wever, in Section 5.3 we consider alternative proxies based on augmented labor demand models or </w:t>
      </w:r>
      <w:r w:rsidR="009919D0" w:rsidRPr="009919D0">
        <w:rPr>
          <w:sz w:val="24"/>
          <w:szCs w:val="24"/>
        </w:rPr>
        <w:t>other approaches</w:t>
      </w:r>
      <w:r w:rsidR="009919D0">
        <w:rPr>
          <w:sz w:val="24"/>
          <w:szCs w:val="24"/>
        </w:rPr>
        <w:t xml:space="preserve"> as a robustness check.</w:t>
      </w:r>
    </w:p>
    <w:p w14:paraId="3466BC2A" w14:textId="77777777" w:rsidR="00465179" w:rsidRPr="001E73A0" w:rsidRDefault="00465179" w:rsidP="00465179">
      <w:pPr>
        <w:spacing w:after="0" w:line="360" w:lineRule="auto"/>
        <w:ind w:firstLine="720"/>
        <w:jc w:val="both"/>
        <w:rPr>
          <w:sz w:val="24"/>
          <w:szCs w:val="24"/>
        </w:rPr>
      </w:pPr>
    </w:p>
    <w:p w14:paraId="644D579F" w14:textId="77777777" w:rsidR="00465179" w:rsidRPr="001E73A0" w:rsidRDefault="00465179" w:rsidP="00465179">
      <w:pPr>
        <w:pStyle w:val="2"/>
        <w:spacing w:line="360" w:lineRule="auto"/>
        <w:rPr>
          <w:szCs w:val="24"/>
        </w:rPr>
      </w:pPr>
      <w:r w:rsidRPr="001E73A0">
        <w:rPr>
          <w:szCs w:val="24"/>
        </w:rPr>
        <w:t>3.2 Accounting Comparability Measure</w:t>
      </w:r>
    </w:p>
    <w:p w14:paraId="062749BB" w14:textId="4F2DA36C" w:rsidR="00465179" w:rsidRPr="001E73A0" w:rsidRDefault="00465179" w:rsidP="00465179">
      <w:pPr>
        <w:spacing w:line="360" w:lineRule="auto"/>
        <w:ind w:firstLine="720"/>
        <w:jc w:val="both"/>
        <w:rPr>
          <w:sz w:val="24"/>
          <w:szCs w:val="24"/>
        </w:rPr>
      </w:pPr>
      <w:r w:rsidRPr="001E73A0">
        <w:rPr>
          <w:sz w:val="24"/>
          <w:szCs w:val="24"/>
        </w:rPr>
        <w:t xml:space="preserve">We construct our proxies for accounting comparability based on the underlying logic that two firms’ accounting systems are more comparable if they report similar accounting numbers given the same set of economic events </w:t>
      </w:r>
      <w:r w:rsidRPr="001E73A0">
        <w:rPr>
          <w:sz w:val="24"/>
          <w:szCs w:val="24"/>
        </w:rPr>
        <w:fldChar w:fldCharType="begin" w:fldLock="1"/>
      </w:r>
      <w:r w:rsidR="00FB2C4B" w:rsidRPr="001E73A0">
        <w:rPr>
          <w:sz w:val="24"/>
          <w:szCs w:val="24"/>
        </w:rPr>
        <w:instrText>ADDIN CSL_CITATION {"citationItems":[{"id":"ITEM-1","itemData":{"ISSN":"1380-6653","author":[{"dropping-particle":"","family":"Lobo","given":"Gerald J.","non-dropping-particle":"","parse-names":false,"suffix":""},{"dropping-particle":"","family":"Neel","given":"Michael","non-dropping-particle":"","parse-names":false,"suffix":""},{"dropping-particle":"","family":"Rhodes","given":"Adrienne","non-dropping-particle":"","parse-names":false,"suffix":""}],"container-title":"Review of Accounting Studies","id":"ITEM-1","issue":"3","issued":{"date-parts":[["2018","9","18"]]},"page":"1137-1176","publisher":"Springer US","title":"Accounting comparability and relative performance evaluation in CEO compensation","type":"article-journal","volume":"23"},"uris":["http://www.mendeley.com/documents/?uuid=53823848-c7a4-329c-a435-33da0e4e7348"]},{"id":"ITEM-2","itemData":{"ISBN":"00218456","ISSN":"00218456","PMID":"62963369","abstract":"Investors,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Research","id":"ITEM-2","issue":"4","issued":{"date-parts":[["2011"]]},"page":"895-931","title":"The benefits of financial statement comparability","type":"article-journal","volume":"49"},"uris":["http://www.mendeley.com/documents/?uuid=8d27b5be-25e6-48a6-a72a-283bb7ea747d"]}],"mendeley":{"formattedCitation":"(De Franco et al., 2011; Lobo et al., 2018)","plainTextFormattedCitation":"(De Franco et al., 2011; Lobo et al., 2018)","previouslyFormattedCitation":"(De Franco et al., 2011; Lobo et al., 2018)"},"properties":{"noteIndex":0},"schema":"https://github.com/citation-style-language/schema/raw/master/csl-citation.json"}</w:instrText>
      </w:r>
      <w:r w:rsidRPr="001E73A0">
        <w:rPr>
          <w:sz w:val="24"/>
          <w:szCs w:val="24"/>
        </w:rPr>
        <w:fldChar w:fldCharType="separate"/>
      </w:r>
      <w:r w:rsidR="00FB2C4B" w:rsidRPr="001E73A0">
        <w:rPr>
          <w:noProof/>
          <w:sz w:val="24"/>
          <w:szCs w:val="24"/>
          <w:lang w:val="fr-FR"/>
        </w:rPr>
        <w:t>(De Franco et al., 2011; Lobo et al., 2018)</w:t>
      </w:r>
      <w:r w:rsidRPr="001E73A0">
        <w:rPr>
          <w:sz w:val="24"/>
          <w:szCs w:val="24"/>
        </w:rPr>
        <w:fldChar w:fldCharType="end"/>
      </w:r>
      <w:r w:rsidRPr="001E73A0">
        <w:rPr>
          <w:sz w:val="24"/>
          <w:szCs w:val="24"/>
          <w:lang w:val="fr-FR"/>
        </w:rPr>
        <w:t xml:space="preserve">. Following De Franco et al. </w:t>
      </w:r>
      <w:r w:rsidRPr="001E73A0">
        <w:rPr>
          <w:sz w:val="24"/>
          <w:szCs w:val="24"/>
        </w:rPr>
        <w:t xml:space="preserve">(2011), we use earnings as a proxy for accounting numbers decided by individual firms, and choose returns as a summary measure of the underlying economic events. For each firm-year, we first estimate the firm </w:t>
      </w:r>
      <w:r w:rsidRPr="001E73A0">
        <w:rPr>
          <w:i/>
          <w:sz w:val="24"/>
          <w:szCs w:val="24"/>
        </w:rPr>
        <w:t>i</w:t>
      </w:r>
      <w:r w:rsidRPr="001E73A0">
        <w:rPr>
          <w:sz w:val="24"/>
          <w:szCs w:val="24"/>
        </w:rPr>
        <w:t xml:space="preserve">’s accounting system by running Eq. (2) using firm </w:t>
      </w:r>
      <w:r w:rsidRPr="001E73A0">
        <w:rPr>
          <w:i/>
          <w:sz w:val="24"/>
          <w:szCs w:val="24"/>
        </w:rPr>
        <w:t>i</w:t>
      </w:r>
      <w:r w:rsidRPr="001E73A0">
        <w:rPr>
          <w:sz w:val="24"/>
          <w:szCs w:val="24"/>
        </w:rPr>
        <w:t>’s 16 previous quarters of data,</w:t>
      </w:r>
    </w:p>
    <w:p w14:paraId="2C442BAE" w14:textId="77777777" w:rsidR="00465179" w:rsidRPr="001E73A0" w:rsidRDefault="00465179" w:rsidP="00465179">
      <w:pPr>
        <w:jc w:val="both"/>
        <w:rPr>
          <w:sz w:val="24"/>
          <w:szCs w:val="24"/>
        </w:rPr>
      </w:pPr>
    </w:p>
    <w:p w14:paraId="4E4C7426" w14:textId="77777777" w:rsidR="00465179" w:rsidRPr="001E73A0" w:rsidRDefault="00465179" w:rsidP="00465179">
      <w:pPr>
        <w:spacing w:after="0" w:line="360" w:lineRule="auto"/>
        <w:jc w:val="right"/>
      </w:pPr>
      <w:r w:rsidRPr="001E73A0">
        <w:rPr>
          <w:sz w:val="24"/>
          <w:szCs w:val="24"/>
        </w:rPr>
        <w:t xml:space="preserve">                                           </w:t>
      </w:r>
      <w:r w:rsidRPr="001E73A0">
        <w:rPr>
          <w:position w:val="-14"/>
          <w:sz w:val="24"/>
          <w:szCs w:val="24"/>
        </w:rPr>
        <w:object w:dxaOrig="3260" w:dyaOrig="380" w14:anchorId="5D2EBB82">
          <v:shape id="_x0000_i1026" type="#_x0000_t75" style="width:165.75pt;height:21.75pt" o:ole="">
            <v:imagedata r:id="rId10" o:title=""/>
          </v:shape>
          <o:OLEObject Type="Embed" ProgID="Equation.DSMT4" ShapeID="_x0000_i1026" DrawAspect="Content" ObjectID="_1655669382" r:id="rId11"/>
        </w:object>
      </w:r>
      <w:r w:rsidRPr="001E73A0">
        <w:rPr>
          <w:sz w:val="24"/>
          <w:szCs w:val="24"/>
        </w:rPr>
        <w:t xml:space="preserve">                                               </w:t>
      </w:r>
      <w:r w:rsidRPr="001E73A0">
        <w:t xml:space="preserve"> (2)</w:t>
      </w:r>
    </w:p>
    <w:p w14:paraId="6610A9A6" w14:textId="77777777" w:rsidR="00465179" w:rsidRPr="001E73A0" w:rsidRDefault="00465179" w:rsidP="00465179">
      <w:pPr>
        <w:jc w:val="center"/>
        <w:rPr>
          <w:sz w:val="24"/>
          <w:szCs w:val="24"/>
        </w:rPr>
      </w:pPr>
    </w:p>
    <w:p w14:paraId="284928F6" w14:textId="77777777" w:rsidR="00465179" w:rsidRPr="001E73A0" w:rsidRDefault="00465179" w:rsidP="00465179">
      <w:pPr>
        <w:spacing w:after="0" w:line="360" w:lineRule="auto"/>
        <w:jc w:val="both"/>
        <w:rPr>
          <w:sz w:val="24"/>
          <w:szCs w:val="24"/>
        </w:rPr>
      </w:pPr>
      <w:r w:rsidRPr="001E73A0">
        <w:rPr>
          <w:sz w:val="24"/>
          <w:szCs w:val="24"/>
        </w:rPr>
        <w:lastRenderedPageBreak/>
        <w:t xml:space="preserve">where </w:t>
      </w:r>
      <m:oMath>
        <m:sSub>
          <m:sSubPr>
            <m:ctrlPr>
              <w:rPr>
                <w:rFonts w:ascii="Cambria Math" w:hAnsi="Cambria Math"/>
                <w:sz w:val="24"/>
                <w:szCs w:val="24"/>
              </w:rPr>
            </m:ctrlPr>
          </m:sSubPr>
          <m:e>
            <m:r>
              <w:rPr>
                <w:rFonts w:ascii="Cambria Math" w:hAnsi="Cambria Math"/>
                <w:sz w:val="24"/>
                <w:szCs w:val="24"/>
              </w:rPr>
              <m:t>Earnings</m:t>
            </m:r>
          </m:e>
          <m:sub>
            <m:r>
              <w:rPr>
                <w:rFonts w:ascii="Cambria Math" w:hAnsi="Cambria Math"/>
                <w:sz w:val="24"/>
                <w:szCs w:val="24"/>
              </w:rPr>
              <m:t>i,t</m:t>
            </m:r>
          </m:sub>
        </m:sSub>
      </m:oMath>
      <w:r w:rsidRPr="001E73A0">
        <w:rPr>
          <w:sz w:val="24"/>
          <w:szCs w:val="24"/>
        </w:rPr>
        <w:t xml:space="preserve"> refers to the quarterly net income before extraordinary items deflated by the beginning-of-period market value of equity, and </w:t>
      </w:r>
      <m:oMath>
        <m:sSub>
          <m:sSubPr>
            <m:ctrlPr>
              <w:rPr>
                <w:rFonts w:ascii="Cambria Math" w:hAnsi="Cambria Math"/>
                <w:sz w:val="24"/>
                <w:szCs w:val="24"/>
              </w:rPr>
            </m:ctrlPr>
          </m:sSubPr>
          <m:e>
            <m:r>
              <w:rPr>
                <w:rFonts w:ascii="Cambria Math" w:hAnsi="Cambria Math"/>
                <w:sz w:val="24"/>
                <w:szCs w:val="24"/>
              </w:rPr>
              <m:t>Return</m:t>
            </m:r>
          </m:e>
          <m:sub>
            <m:r>
              <w:rPr>
                <w:rFonts w:ascii="Cambria Math" w:hAnsi="Cambria Math"/>
                <w:sz w:val="24"/>
                <w:szCs w:val="24"/>
              </w:rPr>
              <m:t>i,t</m:t>
            </m:r>
          </m:sub>
        </m:sSub>
        <m:r>
          <w:rPr>
            <w:rFonts w:ascii="Cambria Math" w:hAnsi="Cambria Math"/>
            <w:sz w:val="24"/>
            <w:szCs w:val="24"/>
          </w:rPr>
          <m:t xml:space="preserve"> </m:t>
        </m:r>
      </m:oMath>
      <w:r w:rsidRPr="001E73A0">
        <w:rPr>
          <w:sz w:val="24"/>
          <w:szCs w:val="24"/>
        </w:rPr>
        <w:fldChar w:fldCharType="begin"/>
      </w:r>
      <w:r w:rsidRPr="001E73A0">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Return</m:t>
            </m:r>
          </m:e>
          <m:sub>
            <m:r>
              <m:rPr>
                <m:sty m:val="p"/>
              </m:rPr>
              <w:rPr>
                <w:rFonts w:ascii="Cambria Math" w:hAnsi="Cambria Math"/>
                <w:sz w:val="24"/>
                <w:szCs w:val="24"/>
              </w:rPr>
              <m:t>i,t</m:t>
            </m:r>
          </m:sub>
        </m:sSub>
      </m:oMath>
      <w:r w:rsidRPr="001E73A0">
        <w:rPr>
          <w:sz w:val="24"/>
          <w:szCs w:val="24"/>
        </w:rPr>
        <w:instrText xml:space="preserve"> </w:instrText>
      </w:r>
      <w:r w:rsidRPr="001E73A0">
        <w:rPr>
          <w:sz w:val="24"/>
          <w:szCs w:val="24"/>
        </w:rPr>
        <w:fldChar w:fldCharType="end"/>
      </w:r>
      <w:r w:rsidRPr="001E73A0">
        <w:rPr>
          <w:sz w:val="24"/>
          <w:szCs w:val="24"/>
        </w:rPr>
        <w:t xml:space="preserve">denotes the stock price return during quarter </w:t>
      </w:r>
      <w:r w:rsidRPr="001E73A0">
        <w:rPr>
          <w:i/>
          <w:iCs/>
          <w:sz w:val="24"/>
          <w:szCs w:val="24"/>
        </w:rPr>
        <w:t>t</w:t>
      </w:r>
      <w:r w:rsidRPr="001E73A0">
        <w:rPr>
          <w:sz w:val="24"/>
          <w:szCs w:val="24"/>
        </w:rPr>
        <w:t xml:space="preserve">. The estimated coefficients, </w:t>
      </w:r>
      <m:oMath>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α</m:t>
                </m:r>
              </m:e>
            </m:acc>
          </m:e>
          <m:sub>
            <m:r>
              <w:rPr>
                <w:rFonts w:ascii="Cambria Math" w:hAnsi="Cambria Math"/>
                <w:sz w:val="24"/>
                <w:szCs w:val="24"/>
              </w:rPr>
              <m:t>i</m:t>
            </m:r>
          </m:sub>
        </m:sSub>
      </m:oMath>
      <w:r w:rsidRPr="001E73A0">
        <w:rPr>
          <w:sz w:val="24"/>
          <w:szCs w:val="24"/>
        </w:rPr>
        <w:t xml:space="preserve"> and </w:t>
      </w: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i</m:t>
            </m:r>
          </m:sub>
        </m:sSub>
      </m:oMath>
      <w:r w:rsidRPr="001E73A0">
        <w:rPr>
          <w:sz w:val="24"/>
          <w:szCs w:val="24"/>
        </w:rPr>
        <w:t xml:space="preserve">, represent the accounting system that maps firm </w:t>
      </w:r>
      <w:r w:rsidRPr="001E73A0">
        <w:rPr>
          <w:i/>
          <w:sz w:val="24"/>
          <w:szCs w:val="24"/>
        </w:rPr>
        <w:t>i</w:t>
      </w:r>
      <w:r w:rsidRPr="001E73A0">
        <w:rPr>
          <w:sz w:val="24"/>
          <w:szCs w:val="24"/>
        </w:rPr>
        <w:t xml:space="preserve">’s economic events (returns) into accounting numbers (reported earnings). Similarly, the accounting system of firm </w:t>
      </w:r>
      <w:r w:rsidRPr="001E73A0">
        <w:rPr>
          <w:i/>
          <w:sz w:val="24"/>
          <w:szCs w:val="24"/>
        </w:rPr>
        <w:t>j</w:t>
      </w:r>
      <w:r w:rsidRPr="001E73A0">
        <w:rPr>
          <w:sz w:val="24"/>
          <w:szCs w:val="24"/>
        </w:rPr>
        <w:t xml:space="preserve"> from the same 2-digit SIC industry as firm</w:t>
      </w:r>
      <w:r w:rsidRPr="001E73A0">
        <w:rPr>
          <w:i/>
          <w:sz w:val="24"/>
          <w:szCs w:val="24"/>
        </w:rPr>
        <w:t xml:space="preserve"> i</w:t>
      </w:r>
      <w:r w:rsidRPr="001E73A0">
        <w:rPr>
          <w:sz w:val="24"/>
          <w:szCs w:val="24"/>
        </w:rPr>
        <w:t xml:space="preserve"> is proxied by </w:t>
      </w:r>
      <m:oMath>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α</m:t>
                </m:r>
              </m:e>
            </m:acc>
          </m:e>
          <m:sub>
            <m:r>
              <w:rPr>
                <w:rFonts w:ascii="Cambria Math" w:hAnsi="Cambria Math"/>
                <w:sz w:val="24"/>
                <w:szCs w:val="24"/>
              </w:rPr>
              <m:t>j</m:t>
            </m:r>
          </m:sub>
        </m:sSub>
      </m:oMath>
      <w:r w:rsidRPr="001E73A0">
        <w:rPr>
          <w:sz w:val="24"/>
          <w:szCs w:val="24"/>
        </w:rPr>
        <w:t xml:space="preserve"> and </w:t>
      </w:r>
      <m:oMath>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β</m:t>
                </m:r>
              </m:e>
            </m:acc>
          </m:e>
          <m:sub>
            <m:r>
              <w:rPr>
                <w:rFonts w:ascii="Cambria Math" w:hAnsi="Cambria Math"/>
                <w:sz w:val="24"/>
                <w:szCs w:val="24"/>
              </w:rPr>
              <m:t>j</m:t>
            </m:r>
          </m:sub>
        </m:sSub>
      </m:oMath>
      <w:r w:rsidRPr="001E73A0">
        <w:rPr>
          <w:sz w:val="24"/>
          <w:szCs w:val="24"/>
        </w:rPr>
        <w:t xml:space="preserve">, estimated using the firm </w:t>
      </w:r>
      <w:r w:rsidRPr="001E73A0">
        <w:rPr>
          <w:i/>
          <w:sz w:val="24"/>
          <w:szCs w:val="24"/>
        </w:rPr>
        <w:t>j</w:t>
      </w:r>
      <w:r w:rsidRPr="001E73A0">
        <w:rPr>
          <w:sz w:val="24"/>
          <w:szCs w:val="24"/>
        </w:rPr>
        <w:t xml:space="preserve">’s earnings and returns. </w:t>
      </w:r>
    </w:p>
    <w:p w14:paraId="19B52F2D" w14:textId="77777777" w:rsidR="00465179" w:rsidRPr="001E73A0" w:rsidRDefault="00465179" w:rsidP="00465179">
      <w:pPr>
        <w:spacing w:after="0" w:line="360" w:lineRule="auto"/>
        <w:ind w:firstLine="720"/>
        <w:jc w:val="both"/>
        <w:rPr>
          <w:sz w:val="24"/>
          <w:szCs w:val="24"/>
        </w:rPr>
      </w:pPr>
      <w:r w:rsidRPr="001E73A0">
        <w:rPr>
          <w:sz w:val="24"/>
          <w:szCs w:val="24"/>
        </w:rPr>
        <w:t>Then, we measure the similarities in the accounting systems of firms</w:t>
      </w:r>
      <w:r w:rsidRPr="001E73A0">
        <w:rPr>
          <w:i/>
          <w:sz w:val="24"/>
          <w:szCs w:val="24"/>
        </w:rPr>
        <w:t xml:space="preserve"> i</w:t>
      </w:r>
      <w:r w:rsidRPr="001E73A0">
        <w:rPr>
          <w:sz w:val="24"/>
          <w:szCs w:val="24"/>
        </w:rPr>
        <w:t xml:space="preserve"> and</w:t>
      </w:r>
      <w:r w:rsidRPr="001E73A0">
        <w:rPr>
          <w:i/>
          <w:sz w:val="24"/>
          <w:szCs w:val="24"/>
        </w:rPr>
        <w:t xml:space="preserve"> j</w:t>
      </w:r>
      <w:r w:rsidRPr="001E73A0">
        <w:rPr>
          <w:sz w:val="24"/>
          <w:szCs w:val="24"/>
        </w:rPr>
        <w:t xml:space="preserve"> by comparing their respective accounting response to the same set of economic events. Specifically, we calculate the predicted earnings of firms </w:t>
      </w:r>
      <w:r w:rsidRPr="001E73A0">
        <w:rPr>
          <w:i/>
          <w:sz w:val="24"/>
          <w:szCs w:val="24"/>
        </w:rPr>
        <w:t xml:space="preserve">i </w:t>
      </w:r>
      <w:r w:rsidRPr="001E73A0">
        <w:rPr>
          <w:sz w:val="24"/>
          <w:szCs w:val="24"/>
        </w:rPr>
        <w:t>and</w:t>
      </w:r>
      <w:r w:rsidRPr="001E73A0">
        <w:rPr>
          <w:i/>
          <w:sz w:val="24"/>
          <w:szCs w:val="24"/>
        </w:rPr>
        <w:t xml:space="preserve"> j</w:t>
      </w:r>
      <w:r w:rsidRPr="001E73A0">
        <w:rPr>
          <w:sz w:val="24"/>
          <w:szCs w:val="24"/>
        </w:rPr>
        <w:t xml:space="preserve"> using their accounting functions with firm </w:t>
      </w:r>
      <w:r w:rsidRPr="001E73A0">
        <w:rPr>
          <w:i/>
          <w:sz w:val="24"/>
          <w:szCs w:val="24"/>
        </w:rPr>
        <w:t>i</w:t>
      </w:r>
      <w:r w:rsidRPr="001E73A0">
        <w:rPr>
          <w:sz w:val="24"/>
          <w:szCs w:val="24"/>
        </w:rPr>
        <w:t>’s economic events,</w:t>
      </w:r>
    </w:p>
    <w:p w14:paraId="56DF819A" w14:textId="77777777" w:rsidR="00465179" w:rsidRPr="001E73A0" w:rsidRDefault="00465179" w:rsidP="00465179">
      <w:pPr>
        <w:jc w:val="both"/>
        <w:rPr>
          <w:sz w:val="24"/>
          <w:szCs w:val="24"/>
        </w:rPr>
      </w:pPr>
    </w:p>
    <w:p w14:paraId="577BC9E2" w14:textId="77777777" w:rsidR="00465179" w:rsidRPr="001E73A0" w:rsidRDefault="00465179" w:rsidP="00465179">
      <w:pPr>
        <w:spacing w:after="0" w:line="360" w:lineRule="auto"/>
        <w:jc w:val="right"/>
        <w:rPr>
          <w:sz w:val="24"/>
          <w:szCs w:val="24"/>
        </w:rPr>
      </w:pPr>
      <w:r w:rsidRPr="001E73A0">
        <w:rPr>
          <w:sz w:val="24"/>
          <w:szCs w:val="24"/>
        </w:rPr>
        <w:t xml:space="preserve">                               </w:t>
      </w:r>
      <w:r w:rsidRPr="001E73A0">
        <w:rPr>
          <w:position w:val="-14"/>
          <w:sz w:val="24"/>
          <w:szCs w:val="24"/>
        </w:rPr>
        <w:object w:dxaOrig="3200" w:dyaOrig="420" w14:anchorId="64DC5107">
          <v:shape id="_x0000_i1027" type="#_x0000_t75" style="width:158.25pt;height:21.75pt" o:ole="">
            <v:imagedata r:id="rId12" o:title=""/>
          </v:shape>
          <o:OLEObject Type="Embed" ProgID="Equation.DSMT4" ShapeID="_x0000_i1027" DrawAspect="Content" ObjectID="_1655669383" r:id="rId13"/>
        </w:object>
      </w:r>
      <w:r w:rsidRPr="001E73A0">
        <w:rPr>
          <w:sz w:val="24"/>
          <w:szCs w:val="24"/>
        </w:rPr>
        <w:t xml:space="preserve">                                               </w:t>
      </w:r>
      <w:r w:rsidRPr="001E73A0">
        <w:t>(3)</w:t>
      </w:r>
    </w:p>
    <w:p w14:paraId="42FCD43E" w14:textId="77777777" w:rsidR="00465179" w:rsidRPr="001E73A0" w:rsidRDefault="00465179" w:rsidP="00465179">
      <w:pPr>
        <w:spacing w:after="0" w:line="360" w:lineRule="auto"/>
        <w:jc w:val="right"/>
      </w:pPr>
      <w:r w:rsidRPr="001E73A0">
        <w:rPr>
          <w:sz w:val="24"/>
          <w:szCs w:val="24"/>
        </w:rPr>
        <w:t xml:space="preserve">                    </w:t>
      </w:r>
      <w:r w:rsidRPr="001E73A0">
        <w:rPr>
          <w:position w:val="-14"/>
          <w:sz w:val="24"/>
          <w:szCs w:val="24"/>
        </w:rPr>
        <w:object w:dxaOrig="3300" w:dyaOrig="420" w14:anchorId="731D5B79">
          <v:shape id="_x0000_i1028" type="#_x0000_t75" style="width:165.75pt;height:21.75pt" o:ole="">
            <v:imagedata r:id="rId14" o:title=""/>
          </v:shape>
          <o:OLEObject Type="Embed" ProgID="Equation.DSMT4" ShapeID="_x0000_i1028" DrawAspect="Content" ObjectID="_1655669384" r:id="rId15"/>
        </w:object>
      </w:r>
      <w:r w:rsidRPr="001E73A0">
        <w:rPr>
          <w:sz w:val="24"/>
          <w:szCs w:val="24"/>
        </w:rPr>
        <w:t xml:space="preserve">                                          </w:t>
      </w:r>
      <w:r w:rsidRPr="001E73A0">
        <w:t xml:space="preserve">   (4)</w:t>
      </w:r>
    </w:p>
    <w:p w14:paraId="78673300" w14:textId="77777777" w:rsidR="00465179" w:rsidRPr="001E73A0" w:rsidRDefault="00465179" w:rsidP="00465179">
      <w:pPr>
        <w:jc w:val="center"/>
        <w:rPr>
          <w:sz w:val="24"/>
          <w:szCs w:val="24"/>
        </w:rPr>
      </w:pPr>
    </w:p>
    <w:p w14:paraId="2A1C7718" w14:textId="77777777" w:rsidR="00465179" w:rsidRPr="001E73A0" w:rsidRDefault="00465179" w:rsidP="00465179">
      <w:pPr>
        <w:adjustRightInd w:val="0"/>
        <w:snapToGrid w:val="0"/>
        <w:spacing w:after="0" w:line="360" w:lineRule="auto"/>
        <w:jc w:val="both"/>
        <w:rPr>
          <w:sz w:val="24"/>
          <w:szCs w:val="24"/>
        </w:rPr>
      </w:pPr>
      <w:r w:rsidRPr="001E73A0">
        <w:rPr>
          <w:sz w:val="24"/>
          <w:szCs w:val="24"/>
        </w:rPr>
        <w:t xml:space="preserve">where </w:t>
      </w:r>
      <m:oMath>
        <m:sSub>
          <m:sSubPr>
            <m:ctrlPr>
              <w:rPr>
                <w:rFonts w:ascii="Cambria Math" w:hAnsi="Cambria Math"/>
                <w:sz w:val="24"/>
                <w:szCs w:val="24"/>
              </w:rPr>
            </m:ctrlPr>
          </m:sSubPr>
          <m:e>
            <m:r>
              <w:rPr>
                <w:rFonts w:ascii="Cambria Math" w:hAnsi="Cambria Math"/>
                <w:sz w:val="24"/>
                <w:szCs w:val="24"/>
              </w:rPr>
              <m:t>E(Earnings)</m:t>
            </m:r>
          </m:e>
          <m:sub>
            <m:r>
              <w:rPr>
                <w:rFonts w:ascii="Cambria Math" w:hAnsi="Cambria Math"/>
                <w:sz w:val="24"/>
                <w:szCs w:val="24"/>
              </w:rPr>
              <m:t>i,i,t</m:t>
            </m:r>
          </m:sub>
        </m:sSub>
      </m:oMath>
      <w:r w:rsidRPr="001E73A0">
        <w:rPr>
          <w:sz w:val="24"/>
          <w:szCs w:val="24"/>
        </w:rPr>
        <w:t xml:space="preserve"> is firm </w:t>
      </w:r>
      <w:r w:rsidRPr="001E73A0">
        <w:rPr>
          <w:i/>
          <w:sz w:val="24"/>
          <w:szCs w:val="24"/>
        </w:rPr>
        <w:t>i</w:t>
      </w:r>
      <w:r w:rsidRPr="001E73A0">
        <w:rPr>
          <w:sz w:val="24"/>
          <w:szCs w:val="24"/>
        </w:rPr>
        <w:t xml:space="preserve">’s predicted earnings given firm </w:t>
      </w:r>
      <w:r w:rsidRPr="001E73A0">
        <w:rPr>
          <w:i/>
          <w:sz w:val="24"/>
          <w:szCs w:val="24"/>
        </w:rPr>
        <w:t>i</w:t>
      </w:r>
      <w:r w:rsidRPr="001E73A0">
        <w:rPr>
          <w:sz w:val="24"/>
          <w:szCs w:val="24"/>
        </w:rPr>
        <w:t xml:space="preserve">’s accounting function and firm </w:t>
      </w:r>
      <w:r w:rsidRPr="001E73A0">
        <w:rPr>
          <w:i/>
          <w:sz w:val="24"/>
          <w:szCs w:val="24"/>
        </w:rPr>
        <w:t>i</w:t>
      </w:r>
      <w:r w:rsidRPr="001E73A0">
        <w:rPr>
          <w:sz w:val="24"/>
          <w:szCs w:val="24"/>
        </w:rPr>
        <w:t xml:space="preserve">’s return in period </w:t>
      </w:r>
      <w:r w:rsidRPr="001E73A0">
        <w:rPr>
          <w:i/>
          <w:sz w:val="24"/>
          <w:szCs w:val="24"/>
        </w:rPr>
        <w:t>t</w:t>
      </w:r>
      <w:r w:rsidRPr="001E73A0">
        <w:rPr>
          <w:sz w:val="24"/>
          <w:szCs w:val="24"/>
        </w:rPr>
        <w:t xml:space="preserve">, and </w:t>
      </w:r>
      <m:oMath>
        <m:sSub>
          <m:sSubPr>
            <m:ctrlPr>
              <w:rPr>
                <w:rFonts w:ascii="Cambria Math" w:hAnsi="Cambria Math"/>
                <w:sz w:val="24"/>
                <w:szCs w:val="24"/>
              </w:rPr>
            </m:ctrlPr>
          </m:sSubPr>
          <m:e>
            <m:r>
              <w:rPr>
                <w:rFonts w:ascii="Cambria Math" w:hAnsi="Cambria Math"/>
                <w:sz w:val="24"/>
                <w:szCs w:val="24"/>
              </w:rPr>
              <m:t>E(Earnings)</m:t>
            </m:r>
          </m:e>
          <m:sub>
            <m:r>
              <w:rPr>
                <w:rFonts w:ascii="Cambria Math" w:hAnsi="Cambria Math"/>
                <w:sz w:val="24"/>
                <w:szCs w:val="24"/>
              </w:rPr>
              <m:t>i,j,t</m:t>
            </m:r>
          </m:sub>
        </m:sSub>
      </m:oMath>
      <w:r w:rsidRPr="001E73A0">
        <w:rPr>
          <w:sz w:val="24"/>
          <w:szCs w:val="24"/>
        </w:rPr>
        <w:t xml:space="preserve"> is firm </w:t>
      </w:r>
      <w:r w:rsidRPr="001E73A0">
        <w:rPr>
          <w:i/>
          <w:sz w:val="24"/>
          <w:szCs w:val="24"/>
        </w:rPr>
        <w:t>j</w:t>
      </w:r>
      <w:r w:rsidRPr="001E73A0">
        <w:rPr>
          <w:sz w:val="24"/>
          <w:szCs w:val="24"/>
        </w:rPr>
        <w:t xml:space="preserve">’s predicted earnings given firm </w:t>
      </w:r>
      <w:r w:rsidRPr="001E73A0">
        <w:rPr>
          <w:i/>
          <w:sz w:val="24"/>
          <w:szCs w:val="24"/>
        </w:rPr>
        <w:t>j’</w:t>
      </w:r>
      <w:r w:rsidRPr="001E73A0">
        <w:rPr>
          <w:sz w:val="24"/>
          <w:szCs w:val="24"/>
        </w:rPr>
        <w:t xml:space="preserve">s accounting function and firm </w:t>
      </w:r>
      <w:r w:rsidRPr="001E73A0">
        <w:rPr>
          <w:i/>
          <w:sz w:val="24"/>
          <w:szCs w:val="24"/>
        </w:rPr>
        <w:t>i</w:t>
      </w:r>
      <w:r w:rsidRPr="001E73A0">
        <w:rPr>
          <w:sz w:val="24"/>
          <w:szCs w:val="24"/>
        </w:rPr>
        <w:t xml:space="preserve">’s return in period </w:t>
      </w:r>
      <w:r w:rsidRPr="001E73A0">
        <w:rPr>
          <w:i/>
          <w:sz w:val="24"/>
          <w:szCs w:val="24"/>
        </w:rPr>
        <w:t>t</w:t>
      </w:r>
      <w:r w:rsidRPr="001E73A0">
        <w:rPr>
          <w:sz w:val="24"/>
          <w:szCs w:val="24"/>
        </w:rPr>
        <w:t xml:space="preserve">. The pair-wise comparability between firms </w:t>
      </w:r>
      <w:r w:rsidRPr="001E73A0">
        <w:rPr>
          <w:i/>
          <w:sz w:val="24"/>
          <w:szCs w:val="24"/>
        </w:rPr>
        <w:t>i</w:t>
      </w:r>
      <w:r w:rsidRPr="001E73A0">
        <w:rPr>
          <w:sz w:val="24"/>
          <w:szCs w:val="24"/>
        </w:rPr>
        <w:t xml:space="preserve"> and </w:t>
      </w:r>
      <w:r w:rsidRPr="001E73A0">
        <w:rPr>
          <w:i/>
          <w:sz w:val="24"/>
          <w:szCs w:val="24"/>
        </w:rPr>
        <w:t>j</w:t>
      </w:r>
      <w:r w:rsidRPr="001E73A0">
        <w:rPr>
          <w:sz w:val="24"/>
          <w:szCs w:val="24"/>
        </w:rPr>
        <w:t xml:space="preserve">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i,j,t</m:t>
            </m:r>
          </m:sub>
        </m:sSub>
      </m:oMath>
      <w:r w:rsidRPr="001E73A0">
        <w:rPr>
          <w:sz w:val="24"/>
          <w:szCs w:val="24"/>
        </w:rPr>
        <w:t xml:space="preserve">) is calculated as the negative value of the average absolute difference between the predicted earnings using firm </w:t>
      </w:r>
      <w:r w:rsidRPr="001E73A0">
        <w:rPr>
          <w:i/>
          <w:sz w:val="24"/>
          <w:szCs w:val="24"/>
        </w:rPr>
        <w:t>i</w:t>
      </w:r>
      <w:r w:rsidRPr="001E73A0">
        <w:rPr>
          <w:sz w:val="24"/>
          <w:szCs w:val="24"/>
        </w:rPr>
        <w:t xml:space="preserve">’s and firm </w:t>
      </w:r>
      <w:r w:rsidRPr="001E73A0">
        <w:rPr>
          <w:i/>
          <w:sz w:val="24"/>
          <w:szCs w:val="24"/>
        </w:rPr>
        <w:t>j</w:t>
      </w:r>
      <w:r w:rsidRPr="001E73A0">
        <w:rPr>
          <w:sz w:val="24"/>
          <w:szCs w:val="24"/>
        </w:rPr>
        <w:t>’s accounting functions:</w:t>
      </w:r>
    </w:p>
    <w:p w14:paraId="2111A35F" w14:textId="77777777" w:rsidR="00465179" w:rsidRPr="001E73A0" w:rsidRDefault="00465179" w:rsidP="00465179">
      <w:pPr>
        <w:adjustRightInd w:val="0"/>
        <w:snapToGrid w:val="0"/>
        <w:spacing w:after="0" w:line="360" w:lineRule="auto"/>
        <w:jc w:val="both"/>
        <w:rPr>
          <w:sz w:val="24"/>
          <w:szCs w:val="24"/>
        </w:rPr>
      </w:pPr>
    </w:p>
    <w:p w14:paraId="3CB52A36" w14:textId="77777777" w:rsidR="00465179" w:rsidRPr="001E73A0" w:rsidRDefault="00465179" w:rsidP="00465179">
      <w:pPr>
        <w:adjustRightInd w:val="0"/>
        <w:snapToGrid w:val="0"/>
        <w:spacing w:after="0" w:line="360" w:lineRule="auto"/>
        <w:jc w:val="right"/>
        <w:rPr>
          <w:sz w:val="24"/>
          <w:szCs w:val="24"/>
        </w:rPr>
      </w:pPr>
      <w:r w:rsidRPr="001E73A0">
        <w:rPr>
          <w:position w:val="-24"/>
          <w:sz w:val="24"/>
          <w:szCs w:val="24"/>
        </w:rPr>
        <w:object w:dxaOrig="5840" w:dyaOrig="620" w14:anchorId="484B1A4E">
          <v:shape id="_x0000_i1029" type="#_x0000_t75" style="width:295.45pt;height:28.55pt" o:ole="">
            <v:imagedata r:id="rId16" o:title=""/>
          </v:shape>
          <o:OLEObject Type="Embed" ProgID="Equation.DSMT4" ShapeID="_x0000_i1029" DrawAspect="Content" ObjectID="_1655669385" r:id="rId17"/>
        </w:object>
      </w:r>
      <w:r w:rsidRPr="001E73A0">
        <w:rPr>
          <w:sz w:val="24"/>
          <w:szCs w:val="24"/>
        </w:rPr>
        <w:t xml:space="preserve">                       (5)</w:t>
      </w:r>
    </w:p>
    <w:p w14:paraId="0D212406" w14:textId="77777777" w:rsidR="00465179" w:rsidRPr="001E73A0" w:rsidRDefault="00465179" w:rsidP="00465179">
      <w:pPr>
        <w:rPr>
          <w:sz w:val="24"/>
          <w:szCs w:val="24"/>
        </w:rPr>
      </w:pPr>
    </w:p>
    <w:p w14:paraId="4B6FBBD1" w14:textId="77777777" w:rsidR="00465179" w:rsidRPr="001E73A0" w:rsidRDefault="00465179" w:rsidP="00465179">
      <w:pPr>
        <w:spacing w:after="0" w:line="360" w:lineRule="auto"/>
        <w:ind w:firstLine="720"/>
        <w:jc w:val="both"/>
        <w:rPr>
          <w:sz w:val="24"/>
          <w:szCs w:val="24"/>
        </w:rPr>
      </w:pPr>
      <w:r w:rsidRPr="001E73A0">
        <w:rPr>
          <w:sz w:val="24"/>
          <w:szCs w:val="24"/>
        </w:rPr>
        <w:t xml:space="preserve">A smaller difference between </w:t>
      </w:r>
      <m:oMath>
        <m:sSub>
          <m:sSubPr>
            <m:ctrlPr>
              <w:rPr>
                <w:rFonts w:ascii="Cambria Math" w:hAnsi="Cambria Math"/>
                <w:sz w:val="24"/>
                <w:szCs w:val="24"/>
              </w:rPr>
            </m:ctrlPr>
          </m:sSubPr>
          <m:e>
            <m:r>
              <w:rPr>
                <w:rFonts w:ascii="Cambria Math" w:hAnsi="Cambria Math"/>
                <w:sz w:val="24"/>
                <w:szCs w:val="24"/>
              </w:rPr>
              <m:t>E</m:t>
            </m:r>
            <m:r>
              <m:rPr>
                <m:sty m:val="p"/>
              </m:rPr>
              <w:rPr>
                <w:rFonts w:ascii="Cambria Math" w:hAnsi="Cambria Math"/>
                <w:sz w:val="24"/>
                <w:szCs w:val="24"/>
              </w:rPr>
              <m:t>(</m:t>
            </m:r>
            <m:r>
              <w:rPr>
                <w:rFonts w:ascii="Cambria Math" w:hAnsi="Cambria Math"/>
                <w:sz w:val="24"/>
                <w:szCs w:val="24"/>
              </w:rPr>
              <m:t>Earnings</m:t>
            </m:r>
            <m:r>
              <m:rPr>
                <m:sty m:val="p"/>
              </m:rPr>
              <w:rPr>
                <w:rFonts w:ascii="Cambria Math" w:hAnsi="Cambria Math"/>
                <w:sz w:val="24"/>
                <w:szCs w:val="24"/>
              </w:rPr>
              <m: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and </w:t>
      </w:r>
      <m:oMath>
        <m:sSub>
          <m:sSubPr>
            <m:ctrlPr>
              <w:rPr>
                <w:rFonts w:ascii="Cambria Math" w:hAnsi="Cambria Math"/>
                <w:sz w:val="24"/>
                <w:szCs w:val="24"/>
              </w:rPr>
            </m:ctrlPr>
          </m:sSubPr>
          <m:e>
            <m:r>
              <w:rPr>
                <w:rFonts w:ascii="Cambria Math" w:hAnsi="Cambria Math"/>
                <w:sz w:val="24"/>
                <w:szCs w:val="24"/>
              </w:rPr>
              <m:t>E</m:t>
            </m:r>
            <m:r>
              <m:rPr>
                <m:sty m:val="p"/>
              </m:rPr>
              <w:rPr>
                <w:rFonts w:ascii="Cambria Math" w:hAnsi="Cambria Math"/>
                <w:sz w:val="24"/>
                <w:szCs w:val="24"/>
              </w:rPr>
              <m:t>(</m:t>
            </m:r>
            <m:r>
              <w:rPr>
                <w:rFonts w:ascii="Cambria Math" w:hAnsi="Cambria Math"/>
                <w:sz w:val="24"/>
                <w:szCs w:val="24"/>
              </w:rPr>
              <m:t>Earnings</m:t>
            </m:r>
            <m:r>
              <m:rPr>
                <m:sty m:val="p"/>
              </m:rPr>
              <w:rPr>
                <w:rFonts w:ascii="Cambria Math" w:hAnsi="Cambria Math"/>
                <w:sz w:val="24"/>
                <w:szCs w:val="24"/>
              </w:rPr>
              <m: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results in a higher value of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and indicates a greater degree of comparability between firm </w:t>
      </w:r>
      <w:r w:rsidRPr="001E73A0">
        <w:rPr>
          <w:i/>
          <w:sz w:val="24"/>
          <w:szCs w:val="24"/>
        </w:rPr>
        <w:t>i</w:t>
      </w:r>
      <w:r w:rsidRPr="001E73A0">
        <w:rPr>
          <w:sz w:val="24"/>
          <w:szCs w:val="24"/>
        </w:rPr>
        <w:t xml:space="preserve">’s and firm </w:t>
      </w:r>
      <w:r w:rsidRPr="001E73A0">
        <w:rPr>
          <w:i/>
          <w:sz w:val="24"/>
          <w:szCs w:val="24"/>
        </w:rPr>
        <w:t>j</w:t>
      </w:r>
      <w:r w:rsidRPr="001E73A0">
        <w:rPr>
          <w:sz w:val="24"/>
          <w:szCs w:val="24"/>
        </w:rPr>
        <w:t xml:space="preserve">’s accounting functions. We estimate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for each firm </w:t>
      </w:r>
      <w:r w:rsidRPr="001E73A0">
        <w:rPr>
          <w:i/>
          <w:sz w:val="24"/>
          <w:szCs w:val="24"/>
        </w:rPr>
        <w:t>I</w:t>
      </w:r>
      <w:r w:rsidRPr="001E73A0">
        <w:rPr>
          <w:sz w:val="24"/>
          <w:szCs w:val="24"/>
        </w:rPr>
        <w:t xml:space="preserve">/firm </w:t>
      </w:r>
      <w:r w:rsidRPr="001E73A0">
        <w:rPr>
          <w:i/>
          <w:iCs/>
          <w:sz w:val="24"/>
          <w:szCs w:val="24"/>
        </w:rPr>
        <w:t>j</w:t>
      </w:r>
      <w:r w:rsidRPr="001E73A0">
        <w:rPr>
          <w:sz w:val="24"/>
          <w:szCs w:val="24"/>
        </w:rPr>
        <w:t xml:space="preserve"> combination (i≠j, </w:t>
      </w:r>
      <w:r w:rsidRPr="001E73A0">
        <w:rPr>
          <w:i/>
          <w:sz w:val="24"/>
          <w:szCs w:val="24"/>
        </w:rPr>
        <w:t>j</w:t>
      </w:r>
      <w:r w:rsidRPr="001E73A0">
        <w:rPr>
          <w:sz w:val="24"/>
          <w:szCs w:val="24"/>
        </w:rPr>
        <w:t xml:space="preserve">=1, …, </w:t>
      </w:r>
      <w:r w:rsidRPr="001E73A0">
        <w:rPr>
          <w:i/>
          <w:sz w:val="24"/>
          <w:szCs w:val="24"/>
        </w:rPr>
        <w:t>J</w:t>
      </w:r>
      <w:r w:rsidRPr="001E73A0">
        <w:rPr>
          <w:sz w:val="24"/>
          <w:szCs w:val="24"/>
        </w:rPr>
        <w:t xml:space="preserve">), for </w:t>
      </w:r>
      <w:r w:rsidRPr="001E73A0">
        <w:rPr>
          <w:i/>
          <w:sz w:val="24"/>
          <w:szCs w:val="24"/>
        </w:rPr>
        <w:t>J</w:t>
      </w:r>
      <w:r w:rsidRPr="001E73A0">
        <w:rPr>
          <w:sz w:val="24"/>
          <w:szCs w:val="24"/>
        </w:rPr>
        <w:t xml:space="preserve"> firms within the same 2-digit SIC industry. This approach explicitly controls for similarities in the underlying economic events in an attempt to isolate financial statement comparability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Pr="001E73A0">
        <w:rPr>
          <w:sz w:val="24"/>
          <w:szCs w:val="24"/>
        </w:rPr>
        <w:fldChar w:fldCharType="separate"/>
      </w:r>
      <w:r w:rsidRPr="001E73A0">
        <w:rPr>
          <w:noProof/>
          <w:sz w:val="24"/>
          <w:szCs w:val="24"/>
        </w:rPr>
        <w:t>(De Franco et al., 2011)</w:t>
      </w:r>
      <w:r w:rsidRPr="001E73A0">
        <w:rPr>
          <w:sz w:val="24"/>
          <w:szCs w:val="24"/>
        </w:rPr>
        <w:fldChar w:fldCharType="end"/>
      </w:r>
      <w:r w:rsidRPr="001E73A0">
        <w:rPr>
          <w:sz w:val="24"/>
          <w:szCs w:val="24"/>
        </w:rPr>
        <w:t xml:space="preserve">. Finally, we measure firm </w:t>
      </w:r>
      <w:r w:rsidRPr="001E73A0">
        <w:rPr>
          <w:i/>
          <w:sz w:val="24"/>
          <w:szCs w:val="24"/>
        </w:rPr>
        <w:t>i</w:t>
      </w:r>
      <w:r w:rsidRPr="001E73A0">
        <w:rPr>
          <w:sz w:val="24"/>
          <w:szCs w:val="24"/>
        </w:rPr>
        <w:t xml:space="preserve">’s comparability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using (i) the median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for all firms </w:t>
      </w:r>
      <w:r w:rsidRPr="001E73A0">
        <w:rPr>
          <w:i/>
          <w:sz w:val="24"/>
          <w:szCs w:val="24"/>
        </w:rPr>
        <w:t>j</w:t>
      </w:r>
      <w:r w:rsidRPr="001E73A0">
        <w:rPr>
          <w:sz w:val="24"/>
          <w:szCs w:val="24"/>
        </w:rPr>
        <w:t xml:space="preserve"> in the same industry as firm </w:t>
      </w:r>
      <w:r w:rsidRPr="001E73A0">
        <w:rPr>
          <w:i/>
          <w:sz w:val="24"/>
          <w:szCs w:val="24"/>
        </w:rPr>
        <w:t>i</w:t>
      </w:r>
      <w:r w:rsidRPr="001E73A0">
        <w:rPr>
          <w:sz w:val="24"/>
          <w:szCs w:val="24"/>
        </w:rPr>
        <w:t xml:space="preserve"> during year </w:t>
      </w:r>
      <w:r w:rsidRPr="001E73A0">
        <w:rPr>
          <w:i/>
          <w:sz w:val="24"/>
          <w:szCs w:val="24"/>
        </w:rPr>
        <w:t>t</w:t>
      </w:r>
      <w:r w:rsidRPr="001E73A0">
        <w:rPr>
          <w:sz w:val="24"/>
          <w:szCs w:val="24"/>
        </w:rPr>
        <w:t xml:space="preserve"> (</w:t>
      </w:r>
      <m:oMath>
        <m:sSub>
          <m:sSubPr>
            <m:ctrlPr>
              <w:rPr>
                <w:rFonts w:ascii="Cambria Math" w:hAnsi="Cambria Math"/>
                <w:sz w:val="24"/>
                <w:szCs w:val="24"/>
              </w:rPr>
            </m:ctrlPr>
          </m:sSubPr>
          <m:e>
            <m:r>
              <w:rPr>
                <w:rFonts w:ascii="Cambria Math" w:hAnsi="Cambria Math"/>
                <w:sz w:val="24"/>
                <w:szCs w:val="24"/>
              </w:rPr>
              <m:t>CompacctInd</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(2) the average </w:t>
      </w:r>
      <m:oMath>
        <m:sSub>
          <m:sSubPr>
            <m:ctrlPr>
              <w:rPr>
                <w:rFonts w:ascii="Cambria Math" w:hAnsi="Cambria Math"/>
                <w:sz w:val="24"/>
                <w:szCs w:val="24"/>
              </w:rPr>
            </m:ctrlPr>
          </m:sSubPr>
          <m:e>
            <m:r>
              <w:rPr>
                <w:rFonts w:ascii="Cambria Math" w:hAnsi="Cambria Math"/>
                <w:sz w:val="24"/>
                <w:szCs w:val="24"/>
              </w:rPr>
              <m:t>Compacct</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of the 10 </w:t>
      </w:r>
      <w:r w:rsidRPr="001E73A0">
        <w:rPr>
          <w:sz w:val="24"/>
          <w:szCs w:val="24"/>
        </w:rPr>
        <w:lastRenderedPageBreak/>
        <w:t xml:space="preserve">firms </w:t>
      </w:r>
      <w:r w:rsidRPr="001E73A0">
        <w:rPr>
          <w:i/>
          <w:sz w:val="24"/>
          <w:szCs w:val="24"/>
        </w:rPr>
        <w:t>j</w:t>
      </w:r>
      <w:r w:rsidRPr="001E73A0">
        <w:rPr>
          <w:sz w:val="24"/>
          <w:szCs w:val="24"/>
        </w:rPr>
        <w:t xml:space="preserve"> with the highest comparability to firm </w:t>
      </w:r>
      <w:r w:rsidRPr="001E73A0">
        <w:rPr>
          <w:i/>
          <w:sz w:val="24"/>
          <w:szCs w:val="24"/>
        </w:rPr>
        <w:t>i</w:t>
      </w:r>
      <w:r w:rsidRPr="001E73A0">
        <w:rPr>
          <w:sz w:val="24"/>
          <w:szCs w:val="24"/>
        </w:rPr>
        <w:t xml:space="preserve"> during year </w:t>
      </w:r>
      <w:r w:rsidRPr="001E73A0">
        <w:rPr>
          <w:i/>
          <w:sz w:val="24"/>
          <w:szCs w:val="24"/>
        </w:rPr>
        <w:t>t</w:t>
      </w:r>
      <w:r w:rsidRPr="001E73A0">
        <w:rPr>
          <w:sz w:val="24"/>
          <w:szCs w:val="24"/>
        </w:rPr>
        <w:t xml:space="preserve"> (</w:t>
      </w:r>
      <m:oMath>
        <m:sSub>
          <m:sSubPr>
            <m:ctrlPr>
              <w:rPr>
                <w:rFonts w:ascii="Cambria Math" w:hAnsi="Cambria Math"/>
                <w:sz w:val="24"/>
                <w:szCs w:val="24"/>
              </w:rPr>
            </m:ctrlPr>
          </m:sSubPr>
          <m:e>
            <m:r>
              <w:rPr>
                <w:rFonts w:ascii="Cambria Math" w:hAnsi="Cambria Math"/>
                <w:sz w:val="24"/>
                <w:szCs w:val="24"/>
              </w:rPr>
              <m:t>Compacct</m:t>
            </m:r>
            <m:r>
              <m:rPr>
                <m:sty m:val="p"/>
              </m:rPr>
              <w:rPr>
                <w:rFonts w:ascii="Cambria Math" w:hAnsi="Cambria Math"/>
                <w:sz w:val="24"/>
                <w:szCs w:val="24"/>
              </w:rPr>
              <m:t>10</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w:t>
      </w:r>
      <w:r w:rsidRPr="001E73A0">
        <w:rPr>
          <w:rStyle w:val="a8"/>
        </w:rPr>
        <w:footnoteReference w:id="5"/>
      </w:r>
      <w:r w:rsidRPr="001E73A0">
        <w:rPr>
          <w:sz w:val="24"/>
          <w:szCs w:val="24"/>
        </w:rPr>
        <w:t xml:space="preserve"> Additionally, following De Franco et al. (2011), we consider two alternative measures of accounting comparability, labelled </w:t>
      </w:r>
      <m:oMath>
        <m:sSub>
          <m:sSubPr>
            <m:ctrlPr>
              <w:rPr>
                <w:rFonts w:ascii="Cambria Math" w:hAnsi="Cambria Math"/>
                <w:sz w:val="24"/>
                <w:szCs w:val="24"/>
              </w:rPr>
            </m:ctrlPr>
          </m:sSubPr>
          <m:e>
            <m:r>
              <w:rPr>
                <w:rFonts w:ascii="Cambria Math" w:hAnsi="Cambria Math"/>
                <w:sz w:val="24"/>
                <w:szCs w:val="24"/>
              </w:rPr>
              <m:t>CompacctBasu</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r>
          <w:rPr>
            <w:rFonts w:ascii="Cambria Math" w:hAnsi="Cambria Math"/>
            <w:sz w:val="24"/>
            <w:szCs w:val="24"/>
          </w:rPr>
          <m:t xml:space="preserve"> </m:t>
        </m:r>
      </m:oMath>
      <w:r w:rsidRPr="001E73A0">
        <w:rPr>
          <w:sz w:val="24"/>
          <w:szCs w:val="24"/>
        </w:rPr>
        <w:t xml:space="preserve">and </w:t>
      </w:r>
      <m:oMath>
        <m:sSub>
          <m:sSubPr>
            <m:ctrlPr>
              <w:rPr>
                <w:rFonts w:ascii="Cambria Math" w:hAnsi="Cambria Math"/>
                <w:sz w:val="24"/>
                <w:szCs w:val="24"/>
              </w:rPr>
            </m:ctrlPr>
          </m:sSubPr>
          <m:e>
            <m:r>
              <w:rPr>
                <w:rFonts w:ascii="Cambria Math" w:hAnsi="Cambria Math"/>
                <w:sz w:val="24"/>
                <w:szCs w:val="24"/>
              </w:rPr>
              <m:t>CompacctPle</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The variable </w:t>
      </w:r>
      <m:oMath>
        <m:sSub>
          <m:sSubPr>
            <m:ctrlPr>
              <w:rPr>
                <w:rFonts w:ascii="Cambria Math" w:hAnsi="Cambria Math"/>
                <w:sz w:val="24"/>
                <w:szCs w:val="24"/>
              </w:rPr>
            </m:ctrlPr>
          </m:sSubPr>
          <m:e>
            <m:r>
              <w:rPr>
                <w:rFonts w:ascii="Cambria Math" w:hAnsi="Cambria Math"/>
                <w:sz w:val="24"/>
                <w:szCs w:val="24"/>
              </w:rPr>
              <m:t>CompacctBasu</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is based on Basu’s </w:t>
      </w:r>
      <w:r w:rsidRPr="001E73A0">
        <w:rPr>
          <w:sz w:val="24"/>
          <w:szCs w:val="24"/>
        </w:rPr>
        <w:fldChar w:fldCharType="begin" w:fldLock="1"/>
      </w:r>
      <w:r w:rsidRPr="001E73A0">
        <w:rPr>
          <w:sz w:val="24"/>
          <w:szCs w:val="24"/>
        </w:rPr>
        <w:instrText>ADDIN CSL_CITATION {"citationItems":[{"id":"ITEM-1","itemData":{"ISSN":"0165-4101","abstract":"I interpret conservatism as resulting in earnings reflecting ‘bad news’ more quickly than ‘good news’. This interpretation implies systematic differences between bad news and good news periods in the timeliness and persistence of earnings. Using firms’ stock returns to measure news, the contemporaneous sensitivity of earnings to negative returns is two to six times that of earnings to positive returns. I also predict and find that negative earnings changes are less persistent than positive earnings changes. Earnings response coefficients (ERCs) are higher for positive earnings changes than for negative earnings changes, consistent with this asymmetric persistence. ¢ 1997 Elsevier Science B.V. All rights reserved.","author":[{"dropping-particle":"","family":"Basu","given":"Sudipta","non-dropping-particle":"","parse-names":false,"suffix":""}],"container-title":"Journal of Accounting and Economics","id":"ITEM-1","issue":"1","issued":{"date-parts":[["1997","12","1"]]},"page":"3-37","publisher":"North-Holland","title":"The conservatism principle and the asymmetric timeliness of earnings","type":"article-journal","volume":"24"},"suppress-author":1,"uris":["http://www.mendeley.com/documents/?uuid=7acae41a-df1d-31e4-be2b-65dd2b206f51"]}],"mendeley":{"formattedCitation":"(1997)","plainTextFormattedCitation":"(1997)","previouslyFormattedCitation":"(1997)"},"properties":{"noteIndex":0},"schema":"https://github.com/citation-style-language/schema/raw/master/csl-citation.json"}</w:instrText>
      </w:r>
      <w:r w:rsidRPr="001E73A0">
        <w:rPr>
          <w:sz w:val="24"/>
          <w:szCs w:val="24"/>
        </w:rPr>
        <w:fldChar w:fldCharType="separate"/>
      </w:r>
      <w:r w:rsidRPr="001E73A0">
        <w:rPr>
          <w:noProof/>
          <w:sz w:val="24"/>
          <w:szCs w:val="24"/>
        </w:rPr>
        <w:t>(1997)</w:t>
      </w:r>
      <w:r w:rsidRPr="001E73A0">
        <w:rPr>
          <w:sz w:val="24"/>
          <w:szCs w:val="24"/>
        </w:rPr>
        <w:fldChar w:fldCharType="end"/>
      </w:r>
      <w:r w:rsidRPr="001E73A0">
        <w:rPr>
          <w:sz w:val="24"/>
          <w:szCs w:val="24"/>
        </w:rPr>
        <w:t xml:space="preserve"> piece-wise linear model and captures the asymmetric timeliness of earnings, while </w:t>
      </w:r>
      <m:oMath>
        <m:sSub>
          <m:sSubPr>
            <m:ctrlPr>
              <w:rPr>
                <w:rFonts w:ascii="Cambria Math" w:hAnsi="Cambria Math"/>
                <w:sz w:val="24"/>
                <w:szCs w:val="24"/>
              </w:rPr>
            </m:ctrlPr>
          </m:sSubPr>
          <m:e>
            <m:r>
              <w:rPr>
                <w:rFonts w:ascii="Cambria Math" w:hAnsi="Cambria Math"/>
                <w:sz w:val="24"/>
                <w:szCs w:val="24"/>
              </w:rPr>
              <m:t>CompacctPle</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Pr="001E73A0">
        <w:rPr>
          <w:sz w:val="24"/>
          <w:szCs w:val="24"/>
        </w:rPr>
        <w:t xml:space="preserve"> is based on Collins et al.’s </w:t>
      </w:r>
      <w:r w:rsidRPr="001E73A0">
        <w:rPr>
          <w:sz w:val="24"/>
          <w:szCs w:val="24"/>
        </w:rPr>
        <w:fldChar w:fldCharType="begin" w:fldLock="1"/>
      </w:r>
      <w:r w:rsidRPr="001E73A0">
        <w:rPr>
          <w:sz w:val="24"/>
          <w:szCs w:val="24"/>
        </w:rPr>
        <w:instrText>ADDIN CSL_CITATION {"citationItems":[{"id":"ITEM-1","itemData":{"ISSN":"0165-4101","abstract":"We assess earning's lack of timeliness and value-irrelavant noise in earnings as explanations for the weak contemporaneous return-earnings assocation. Earnings lack timeliness because objectivity, verifiability, and conservatism conventions underlie the accounting measurement process. Noise in earnings is uncorrelated with returns in all periods. It likely gets introduced when estimates of future cash flows that differ from the market's estimates are included in earnings determined by accounting rules. Consistent with earning lacking timeliness, we find current and future earnings adjusted for expectational errors explain roughly 3–6 times as much of the annual return variation as current earnings alone.","author":[{"dropping-particle":"","family":"Collins","given":"Daniel W.","non-dropping-particle":"","parse-names":false,"suffix":""},{"dropping-particle":"","family":"Kothari","given":"S.P.","non-dropping-particle":"","parse-names":false,"suffix":""},{"dropping-particle":"","family":"Shanken","given":"Jay","non-dropping-particle":"","parse-names":false,"suffix":""},{"dropping-particle":"","family":"Sloan","given":"Richard G.","non-dropping-particle":"","parse-names":false,"suffix":""}],"container-title":"Journal of Accounting and Economics","id":"ITEM-1","issue":"3","issued":{"date-parts":[["1994","11","1"]]},"page":"289-324","publisher":"North-Holland","title":"Lack of timeliness and noise as explanations for the low contemporaneuos return-earnings association","type":"article-journal","volume":"18"},"suppress-author":1,"uris":["http://www.mendeley.com/documents/?uuid=16b4e5fd-2a6d-3dfe-8a57-6f8aea38d733"]}],"mendeley":{"formattedCitation":"(1994)","plainTextFormattedCitation":"(1994)","previouslyFormattedCitation":"(1994)"},"properties":{"noteIndex":0},"schema":"https://github.com/citation-style-language/schema/raw/master/csl-citation.json"}</w:instrText>
      </w:r>
      <w:r w:rsidRPr="001E73A0">
        <w:rPr>
          <w:sz w:val="24"/>
          <w:szCs w:val="24"/>
        </w:rPr>
        <w:fldChar w:fldCharType="separate"/>
      </w:r>
      <w:r w:rsidRPr="001E73A0">
        <w:rPr>
          <w:noProof/>
          <w:sz w:val="24"/>
          <w:szCs w:val="24"/>
        </w:rPr>
        <w:t>(1994)</w:t>
      </w:r>
      <w:r w:rsidRPr="001E73A0">
        <w:rPr>
          <w:sz w:val="24"/>
          <w:szCs w:val="24"/>
        </w:rPr>
        <w:fldChar w:fldCharType="end"/>
      </w:r>
      <w:r w:rsidRPr="001E73A0">
        <w:rPr>
          <w:sz w:val="24"/>
          <w:szCs w:val="24"/>
        </w:rPr>
        <w:t xml:space="preserve"> “prices lead earnings” model and captures the lead-lag relation between return and earnings. Appendix C provides detailed information on these two comparability measures.</w:t>
      </w:r>
    </w:p>
    <w:p w14:paraId="18851F43" w14:textId="77777777" w:rsidR="00465179" w:rsidRPr="001E73A0" w:rsidRDefault="00465179" w:rsidP="00465179">
      <w:pPr>
        <w:spacing w:after="0" w:line="360" w:lineRule="auto"/>
        <w:ind w:firstLine="720"/>
        <w:jc w:val="both"/>
        <w:rPr>
          <w:sz w:val="24"/>
          <w:szCs w:val="24"/>
        </w:rPr>
      </w:pPr>
    </w:p>
    <w:p w14:paraId="460D1B1E" w14:textId="77777777" w:rsidR="00465179" w:rsidRPr="001E73A0" w:rsidRDefault="00465179" w:rsidP="00465179">
      <w:pPr>
        <w:pStyle w:val="2"/>
      </w:pPr>
      <w:r w:rsidRPr="001E73A0">
        <w:t>3.3 Empirical Specification</w:t>
      </w:r>
    </w:p>
    <w:p w14:paraId="7FD61633" w14:textId="77777777" w:rsidR="00465179" w:rsidRPr="001E73A0" w:rsidRDefault="00465179" w:rsidP="00465179">
      <w:pPr>
        <w:spacing w:after="0" w:line="360" w:lineRule="auto"/>
        <w:ind w:firstLine="720"/>
        <w:jc w:val="both"/>
        <w:rPr>
          <w:sz w:val="24"/>
          <w:szCs w:val="24"/>
        </w:rPr>
      </w:pPr>
      <w:r w:rsidRPr="001E73A0">
        <w:rPr>
          <w:sz w:val="24"/>
          <w:szCs w:val="24"/>
        </w:rPr>
        <w:t xml:space="preserve">To investigate whether accounting comparability improves corporate employment decisions, we estimate the following regression: </w:t>
      </w:r>
    </w:p>
    <w:p w14:paraId="531EAD98" w14:textId="77777777" w:rsidR="00465179" w:rsidRPr="001E73A0" w:rsidRDefault="00465179" w:rsidP="00465179">
      <w:pPr>
        <w:spacing w:after="0" w:line="360" w:lineRule="auto"/>
        <w:jc w:val="center"/>
        <w:rPr>
          <w:sz w:val="24"/>
          <w:szCs w:val="24"/>
        </w:rPr>
      </w:pPr>
      <w:r w:rsidRPr="001E73A0">
        <w:rPr>
          <w:sz w:val="24"/>
          <w:szCs w:val="24"/>
        </w:rPr>
        <w:t xml:space="preserve">      </w:t>
      </w:r>
      <w:r w:rsidRPr="001E73A0">
        <w:rPr>
          <w:position w:val="-136"/>
          <w:sz w:val="24"/>
          <w:szCs w:val="24"/>
        </w:rPr>
        <w:object w:dxaOrig="8180" w:dyaOrig="2820" w14:anchorId="043D0B2A">
          <v:shape id="_x0000_i1030" type="#_x0000_t75" style="width:395.3pt;height:2in" o:ole="">
            <v:imagedata r:id="rId18" o:title=""/>
          </v:shape>
          <o:OLEObject Type="Embed" ProgID="Equation.DSMT4" ShapeID="_x0000_i1030" DrawAspect="Content" ObjectID="_1655669386" r:id="rId19"/>
        </w:object>
      </w:r>
      <w:r w:rsidRPr="001E73A0">
        <w:rPr>
          <w:sz w:val="24"/>
          <w:szCs w:val="24"/>
        </w:rPr>
        <w:t xml:space="preserve">   (6)</w:t>
      </w:r>
    </w:p>
    <w:p w14:paraId="5AF67EDA" w14:textId="77777777" w:rsidR="00465179" w:rsidRPr="001E73A0" w:rsidRDefault="00465179" w:rsidP="00465179">
      <w:pPr>
        <w:spacing w:after="0" w:line="360" w:lineRule="auto"/>
        <w:jc w:val="both"/>
        <w:rPr>
          <w:sz w:val="24"/>
          <w:szCs w:val="24"/>
        </w:rPr>
      </w:pPr>
    </w:p>
    <w:p w14:paraId="3D6D5AD8" w14:textId="77777777" w:rsidR="00465179" w:rsidRPr="001E73A0" w:rsidRDefault="00465179" w:rsidP="00465179">
      <w:pPr>
        <w:spacing w:after="0" w:line="360" w:lineRule="auto"/>
        <w:jc w:val="both"/>
        <w:rPr>
          <w:sz w:val="24"/>
          <w:szCs w:val="24"/>
        </w:rPr>
      </w:pPr>
      <w:r w:rsidRPr="001E73A0">
        <w:rPr>
          <w:sz w:val="24"/>
          <w:szCs w:val="24"/>
        </w:rPr>
        <w:t>where |</w:t>
      </w:r>
      <w:r w:rsidRPr="001E73A0">
        <w:rPr>
          <w:i/>
          <w:sz w:val="24"/>
          <w:szCs w:val="24"/>
        </w:rPr>
        <w:t>Ab_Net_Hiring</w:t>
      </w:r>
      <w:r w:rsidRPr="001E73A0">
        <w:rPr>
          <w:sz w:val="24"/>
          <w:szCs w:val="24"/>
        </w:rPr>
        <w:t xml:space="preserve">| and </w:t>
      </w:r>
      <w:r w:rsidRPr="001E73A0">
        <w:rPr>
          <w:i/>
          <w:sz w:val="24"/>
          <w:szCs w:val="24"/>
        </w:rPr>
        <w:t>Compacct</w:t>
      </w:r>
      <w:r w:rsidRPr="001E73A0">
        <w:rPr>
          <w:sz w:val="24"/>
          <w:szCs w:val="24"/>
        </w:rPr>
        <w:t xml:space="preserve"> are labour investment inefficiency and accounting comparability measures, as defined in Sections 3.1 and 3.2, respectively. Motivated by prior literature </w:t>
      </w:r>
      <w:r w:rsidRPr="001E73A0">
        <w:rPr>
          <w:sz w:val="24"/>
          <w:szCs w:val="24"/>
        </w:rPr>
        <w:fldChar w:fldCharType="begin" w:fldLock="1"/>
      </w:r>
      <w:r w:rsidRPr="001E73A0">
        <w:rPr>
          <w:rFonts w:hint="eastAsia"/>
          <w:sz w:val="24"/>
          <w:szCs w:val="24"/>
        </w:rPr>
        <w:instrText>ADDIN CSL_CITATION {"citationItems":[{"id":"ITEM-1","itemData":{"ISSN":"0001-4826","abstract":"This study examines how accounting quality relates to firm</w:instrText>
      </w:r>
      <w:r w:rsidRPr="001E73A0">
        <w:rPr>
          <w:rFonts w:hint="eastAsia"/>
          <w:sz w:val="24"/>
          <w:szCs w:val="24"/>
        </w:rPr>
        <w:instrText>‐</w:instrText>
      </w:r>
      <w:r w:rsidRPr="001E73A0">
        <w:rPr>
          <w:rFonts w:hint="eastAsia"/>
          <w:sz w:val="24"/>
          <w:szCs w:val="24"/>
        </w:rPr>
        <w:instrText>level capital investment efficiency. Our first hypothesis is that higher quality accounting enhances investment efficiency by reducing information asymmetry between managers and outside suppliers of capital. Our second hypothesis is that this effect should be stronger in economies where financing is largely provided through arm's</w:instrText>
      </w:r>
      <w:r w:rsidRPr="001E73A0">
        <w:rPr>
          <w:rFonts w:hint="eastAsia"/>
          <w:sz w:val="24"/>
          <w:szCs w:val="24"/>
        </w:rPr>
        <w:instrText>‐</w:instrText>
      </w:r>
      <w:r w:rsidRPr="001E73A0">
        <w:rPr>
          <w:rFonts w:hint="eastAsia"/>
          <w:sz w:val="24"/>
          <w:szCs w:val="24"/>
        </w:rPr>
        <w:instrText>length transactions compared with countries where creditors supply more capital. Our results are consistent with these hypotheses both across and within countries. They are robust to alternative econometric specifications, different measures of accounting quality and investment</w:instrText>
      </w:r>
      <w:r w:rsidRPr="001E73A0">
        <w:rPr>
          <w:rFonts w:hint="eastAsia"/>
          <w:sz w:val="24"/>
          <w:szCs w:val="24"/>
        </w:rPr>
        <w:instrText>‐</w:instrText>
      </w:r>
      <w:r w:rsidRPr="001E73A0">
        <w:rPr>
          <w:sz w:val="24"/>
          <w:szCs w:val="24"/>
        </w:rPr>
        <w:instrText>cash flow sensitivity, and numerous control variables.","author":[{"dropping-particle":"","family":"Biddle","given":"Gary C.","non-dropping-particle":"","parse-names":false,"suffix":""},{"dropping-particle":"","family":"Hilary","given":"Gilles","non-dropp</w:instrText>
      </w:r>
      <w:r w:rsidRPr="001E73A0">
        <w:rPr>
          <w:rFonts w:hint="eastAsia"/>
          <w:sz w:val="24"/>
          <w:szCs w:val="24"/>
        </w:rPr>
        <w:instrText>ing-particle":"","parse-names":false,"suffix":""}],"container-title":"The Accounting Review","id":"ITEM-1","issue":"5","issued":{"date-parts":[["2006","10","30"]]},"page":"963-982","title":"Accounting quality and firm</w:instrText>
      </w:r>
      <w:r w:rsidRPr="001E73A0">
        <w:rPr>
          <w:rFonts w:hint="eastAsia"/>
          <w:sz w:val="24"/>
          <w:szCs w:val="24"/>
        </w:rPr>
        <w:instrText>‐</w:instrText>
      </w:r>
      <w:r w:rsidRPr="001E73A0">
        <w:rPr>
          <w:rFonts w:hint="eastAsia"/>
          <w:sz w:val="24"/>
          <w:szCs w:val="24"/>
        </w:rPr>
        <w:instrText>level capital investment","type":"art</w:instrText>
      </w:r>
      <w:r w:rsidRPr="001E73A0">
        <w:rPr>
          <w:sz w:val="24"/>
          <w:szCs w:val="24"/>
        </w:rPr>
        <w:instrText>icle-journal","volume":"81"},"uris":["http://www.mendeley.com/documents/?uuid=cce5dd60-97b6-375f-a79b-490a28004aa9"]},{"id":"ITEM-2","itemData":{"ISSN":"0165-4101","abstract":"We argue that conservatism improves investment efficiency. In particular, we predict that it resolves debt-equity conflicts, facilitating a firm׳s access to debt financing and limiting underinvestment. This permits the financing of prudent investments that otherwise might not be pursued. Our empirical results confirm these predictions. We find that more conservative firms invest more and issue more debt in settings prone to underinvestment and that these effects are more pronounced in firms characterized by greater information asymmetries. We also find that conservatism is associated with reduced overinvestment, even for opaque investments such as research and development.","author":[{"dropping-particle":"","family":"Lara","given":"Juan Manuel García","non-dropping-particle":"","parse-names":false,"suffix":""},{"dropping-particle":"","family":"Osma","given":"Beatriz García","non-dropping-particle":"","parse-names":false,"suffix":""},{"dropping-particle":"","family":"Penalva","given":"Fernando","non-dropping-particle":"","parse-names":false,"suffix":""}],"container-title":"Journal of Accounting and Economics","id":"ITEM-2","issue":"1","issued":{"date-parts":[["2016","2","1"]]},"page":"221-238","publisher":"North-Holland","title":"Accounting conservatism and firm investment efficiency","type":"article-journal","volume":"61"},"uris":["http://www.mendeley.com/documents/?uuid=8bcc3cad-c34e-3f94-9b2e-0f399147ccf6"]},{"id":"ITEM-3","itemData":{"ISSN":"0306686X","author":[{"dropping-particle":"","family":"Jung","given":"Boochun","non-dropping-particle":"","parse-names":false,"suffix":""},{"dropping-particle":"","family":"Lee","given":"Woo-Jong","non-dropping-particle":"","parse-names":false,"suffix":""},{"dropping-particle":"","family":"Yang","given":"Yanhua Sunny","non-dropping-particle":"","parse-names":false,"suffix":""}],"container-title":"Journal of Business Finance &amp; Accounting","id":"ITEM-3","issue":"3-4","issued":{"date-parts":[["2016","3","1"]]},"page":"414-447","publisher":"Wiley/Blackwell (10.1111)","title":"The impact of dividend Covenants on investment and operating performance","type":"article-journal","volume":"43"},"uris":["http://www.mendeley.com/documents/?uuid=40798698-c105-3b0b-93c0-908b8963644c"]},{"id":"ITEM-4","itemData":{"ISSN":"0306686X","author":[{"dropping-particle":"","family":"Chen","given":"Yu","non-dropping-particle":"","parse-names":false,"suffix":""},{"dropping-particle":"","family":"Vann","given":"Carol E.","non-dropping-particle":"","parse-names":false,"suffix":""}],"container-title":"Journal of Business Finance &amp; Accounting","id":"ITEM-4","issue":"9-10","issued":{"date-parts":[["2017","6","1"]]},"page":"1370-1397","publisher":"Wiley/Blackwell (10.1111)","title":"Clawback provision adoption, corporate governance, and investment decisions","type":"article-journal","volume":"44"},"uris":["http://www.mendeley.com/documents/?uuid=8d91e2de-cd9d-3c67-a360-45ac812eeb1a"]}],"mendeley":{"formattedCitation":"(Biddle &amp; Hilary, 2006; Y. Chen &amp; Vann, 2017; Jung, Lee, &amp; Yang, 2016; Lara, Osma, &amp; Penalva, 2016)","manualFormatting":"(Biddle &amp; Hilary, 2006; Chen &amp; Vann, 2017; Jung, Lee, &amp; Yang, 2016; Lara, Osma, &amp; Penalva, 2016)","plainTextFormattedCitation":"(Biddle &amp; Hilary, 2006; Y. Chen &amp; Vann, 2017; Jung, Lee, &amp; Yang, 2016; Lara, Osma, &amp; Penalva, 2016)","previouslyFormattedCitation":"(Biddle &amp; Hilary, 2006; Y. Chen &amp; Vann, 2017; Jung, Lee, &amp; Yang, 2016; Lara, Osma, &amp; Penalva, 2016)"},"properties":{"noteIndex":0},"schema":"https://github.com/citation-style-language/schema/raw/master/csl-citation.json"}</w:instrText>
      </w:r>
      <w:r w:rsidRPr="001E73A0">
        <w:rPr>
          <w:sz w:val="24"/>
          <w:szCs w:val="24"/>
        </w:rPr>
        <w:fldChar w:fldCharType="separate"/>
      </w:r>
      <w:r w:rsidRPr="001E73A0">
        <w:rPr>
          <w:noProof/>
          <w:sz w:val="24"/>
          <w:szCs w:val="24"/>
        </w:rPr>
        <w:t>(Biddle &amp; Hilary, 2006; Chen &amp; Vann, 2017; Jung, Lee, &amp; Yang, 2016; Lara, Osma, &amp; Penalva, 2016)</w:t>
      </w:r>
      <w:r w:rsidRPr="001E73A0">
        <w:rPr>
          <w:sz w:val="24"/>
          <w:szCs w:val="24"/>
        </w:rPr>
        <w:fldChar w:fldCharType="end"/>
      </w:r>
      <w:r w:rsidRPr="001E73A0">
        <w:rPr>
          <w:sz w:val="24"/>
          <w:szCs w:val="24"/>
        </w:rPr>
        <w:t>, we include a number of firm- and industry-level controls in our model and define them in Appendix A. Primarily, we include factors that affect investment generally, including market-to-book ratio (</w:t>
      </w:r>
      <w:r w:rsidRPr="001E73A0">
        <w:rPr>
          <w:i/>
          <w:sz w:val="24"/>
          <w:szCs w:val="24"/>
        </w:rPr>
        <w:t>MTBV</w:t>
      </w:r>
      <w:r w:rsidRPr="001E73A0">
        <w:rPr>
          <w:sz w:val="24"/>
          <w:szCs w:val="24"/>
        </w:rPr>
        <w:t>), firm size (</w:t>
      </w:r>
      <w:r w:rsidRPr="001E73A0">
        <w:rPr>
          <w:i/>
          <w:sz w:val="24"/>
          <w:szCs w:val="24"/>
        </w:rPr>
        <w:t>Size</w:t>
      </w:r>
      <w:r w:rsidRPr="001E73A0">
        <w:rPr>
          <w:sz w:val="24"/>
          <w:szCs w:val="24"/>
        </w:rPr>
        <w:t>), quick ratio (</w:t>
      </w:r>
      <w:r w:rsidRPr="001E73A0">
        <w:rPr>
          <w:i/>
          <w:sz w:val="24"/>
          <w:szCs w:val="24"/>
        </w:rPr>
        <w:t>Quick</w:t>
      </w:r>
      <w:r w:rsidRPr="001E73A0">
        <w:rPr>
          <w:sz w:val="24"/>
          <w:szCs w:val="24"/>
        </w:rPr>
        <w:t>), leverage ratio (</w:t>
      </w:r>
      <w:r w:rsidRPr="001E73A0">
        <w:rPr>
          <w:i/>
          <w:sz w:val="24"/>
          <w:szCs w:val="24"/>
        </w:rPr>
        <w:t>Lev</w:t>
      </w:r>
      <w:r w:rsidRPr="001E73A0">
        <w:rPr>
          <w:sz w:val="24"/>
          <w:szCs w:val="24"/>
        </w:rPr>
        <w:t>), dividend payer dummy (</w:t>
      </w:r>
      <w:r w:rsidRPr="001E73A0">
        <w:rPr>
          <w:i/>
          <w:sz w:val="24"/>
          <w:szCs w:val="24"/>
        </w:rPr>
        <w:t>Div_Payer</w:t>
      </w:r>
      <w:r w:rsidRPr="001E73A0">
        <w:rPr>
          <w:sz w:val="24"/>
          <w:szCs w:val="24"/>
        </w:rPr>
        <w:t>), tangible assets (</w:t>
      </w:r>
      <w:r w:rsidRPr="001E73A0">
        <w:rPr>
          <w:i/>
          <w:sz w:val="24"/>
          <w:szCs w:val="24"/>
        </w:rPr>
        <w:t>Tangible</w:t>
      </w:r>
      <w:r w:rsidRPr="001E73A0">
        <w:rPr>
          <w:sz w:val="24"/>
          <w:szCs w:val="24"/>
        </w:rPr>
        <w:t>), loss dummy (</w:t>
      </w:r>
      <w:r w:rsidRPr="001E73A0">
        <w:rPr>
          <w:i/>
          <w:sz w:val="24"/>
          <w:szCs w:val="24"/>
        </w:rPr>
        <w:t>Loss</w:t>
      </w:r>
      <w:r w:rsidRPr="001E73A0">
        <w:rPr>
          <w:sz w:val="24"/>
          <w:szCs w:val="24"/>
        </w:rPr>
        <w:t>), operating cash flow volatility (</w:t>
      </w:r>
      <w:r w:rsidRPr="001E73A0">
        <w:rPr>
          <w:i/>
          <w:sz w:val="24"/>
          <w:szCs w:val="24"/>
        </w:rPr>
        <w:t>CFO_Vol</w:t>
      </w:r>
      <w:r w:rsidRPr="001E73A0">
        <w:rPr>
          <w:sz w:val="24"/>
          <w:szCs w:val="24"/>
        </w:rPr>
        <w:t>), sales revenue volatility (</w:t>
      </w:r>
      <w:r w:rsidRPr="001E73A0">
        <w:rPr>
          <w:i/>
          <w:sz w:val="24"/>
          <w:szCs w:val="24"/>
        </w:rPr>
        <w:t>Sales_Vol</w:t>
      </w:r>
      <w:r w:rsidRPr="001E73A0">
        <w:rPr>
          <w:sz w:val="24"/>
          <w:szCs w:val="24"/>
        </w:rPr>
        <w:t>), institutional ownership (</w:t>
      </w:r>
      <w:r w:rsidRPr="001E73A0">
        <w:rPr>
          <w:i/>
          <w:sz w:val="24"/>
          <w:szCs w:val="24"/>
        </w:rPr>
        <w:t>IO</w:t>
      </w:r>
      <w:r w:rsidRPr="001E73A0">
        <w:rPr>
          <w:sz w:val="24"/>
          <w:szCs w:val="24"/>
        </w:rPr>
        <w:t xml:space="preserve">) </w:t>
      </w:r>
      <w:r w:rsidRPr="001E73A0">
        <w:rPr>
          <w:sz w:val="24"/>
          <w:szCs w:val="24"/>
        </w:rPr>
        <w:lastRenderedPageBreak/>
        <w:t>and product market competition (</w:t>
      </w:r>
      <w:r w:rsidRPr="001E73A0">
        <w:rPr>
          <w:i/>
          <w:sz w:val="24"/>
          <w:szCs w:val="24"/>
        </w:rPr>
        <w:t>HHI</w:t>
      </w:r>
      <w:r w:rsidRPr="001E73A0">
        <w:rPr>
          <w:sz w:val="24"/>
          <w:szCs w:val="24"/>
        </w:rPr>
        <w:t xml:space="preserve">). Further, although our comparability measures from De Franco et al.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Pr="001E73A0">
        <w:rPr>
          <w:sz w:val="24"/>
          <w:szCs w:val="24"/>
        </w:rPr>
        <w:fldChar w:fldCharType="separate"/>
      </w:r>
      <w:r w:rsidRPr="001E73A0">
        <w:rPr>
          <w:noProof/>
          <w:sz w:val="24"/>
          <w:szCs w:val="24"/>
        </w:rPr>
        <w:t>(2011)</w:t>
      </w:r>
      <w:r w:rsidRPr="001E73A0">
        <w:rPr>
          <w:sz w:val="24"/>
          <w:szCs w:val="24"/>
        </w:rPr>
        <w:fldChar w:fldCharType="end"/>
      </w:r>
      <w:r w:rsidRPr="001E73A0">
        <w:rPr>
          <w:sz w:val="24"/>
          <w:szCs w:val="24"/>
        </w:rPr>
        <w:t xml:space="preserve"> are unlikely affected by underlying economic similarities, we also include a variable to ensure our comparability measures reflect accounting comparability with industry peers after controlling for similarities in underlying economic events. In particular, we use the stock return co-movement (</w:t>
      </w:r>
      <w:r w:rsidRPr="001E73A0">
        <w:rPr>
          <w:i/>
          <w:sz w:val="24"/>
          <w:szCs w:val="24"/>
        </w:rPr>
        <w:t>Stock_Cov</w:t>
      </w:r>
      <w:r w:rsidRPr="001E73A0">
        <w:rPr>
          <w:sz w:val="24"/>
          <w:szCs w:val="24"/>
        </w:rPr>
        <w:t>) to capture the similarity between a firm’s underlying economic fundamentals and that of its industry peers.</w:t>
      </w:r>
    </w:p>
    <w:p w14:paraId="2742EEA8" w14:textId="77777777" w:rsidR="00465179" w:rsidRPr="001E73A0" w:rsidRDefault="00465179" w:rsidP="00465179">
      <w:pPr>
        <w:spacing w:after="0" w:line="360" w:lineRule="auto"/>
        <w:ind w:firstLine="720"/>
        <w:jc w:val="both"/>
        <w:rPr>
          <w:sz w:val="24"/>
          <w:szCs w:val="24"/>
        </w:rPr>
      </w:pPr>
      <w:r w:rsidRPr="001E73A0">
        <w:rPr>
          <w:sz w:val="24"/>
          <w:szCs w:val="24"/>
        </w:rPr>
        <w:t xml:space="preserve">We view financial statement comparability as a distinct dimension of accounting information that facilitates superior comparisons among peer firms. However, our comparability proxies essentially measure the comparability of earnings and it is possible that accounting comparability is correlated with other earnings attributes, such as accruals quality. Furthermore, prior studies suggest that high-quality earnings encourage more efficient capital and labour investment </w:t>
      </w:r>
      <w:r w:rsidRPr="001E73A0">
        <w:rPr>
          <w:sz w:val="24"/>
          <w:szCs w:val="24"/>
        </w:rPr>
        <w:fldChar w:fldCharType="begin" w:fldLock="1"/>
      </w:r>
      <w:r w:rsidRPr="001E73A0">
        <w:rPr>
          <w:rFonts w:hint="eastAsia"/>
          <w:sz w:val="24"/>
          <w:szCs w:val="24"/>
        </w:rPr>
        <w:instrText>ADDIN CSL_CITATION {"citationItems":[{"id":"ITEM-1","itemData":{"ISSN":"0001-4826","abstract":"This study examines how accounting quality relates to firm</w:instrText>
      </w:r>
      <w:r w:rsidRPr="001E73A0">
        <w:rPr>
          <w:rFonts w:hint="eastAsia"/>
          <w:sz w:val="24"/>
          <w:szCs w:val="24"/>
        </w:rPr>
        <w:instrText>‐</w:instrText>
      </w:r>
      <w:r w:rsidRPr="001E73A0">
        <w:rPr>
          <w:rFonts w:hint="eastAsia"/>
          <w:sz w:val="24"/>
          <w:szCs w:val="24"/>
        </w:rPr>
        <w:instrText>level capital investment efficiency. Our first hypothesis is that higher quality accounting enhances investment efficiency by reducing information asymmetry between managers and outside suppliers of capital. Our second hypothesis is that this effect should be stronger in economies where financing is largely provided through arm's</w:instrText>
      </w:r>
      <w:r w:rsidRPr="001E73A0">
        <w:rPr>
          <w:rFonts w:hint="eastAsia"/>
          <w:sz w:val="24"/>
          <w:szCs w:val="24"/>
        </w:rPr>
        <w:instrText>‐</w:instrText>
      </w:r>
      <w:r w:rsidRPr="001E73A0">
        <w:rPr>
          <w:rFonts w:hint="eastAsia"/>
          <w:sz w:val="24"/>
          <w:szCs w:val="24"/>
        </w:rPr>
        <w:instrText>length transactions compared with countries where creditors supply more capital. Our results are consistent with these hypotheses both across and within countries. They are robust to alternative econometric specifications, different measures of accounting quality and investment</w:instrText>
      </w:r>
      <w:r w:rsidRPr="001E73A0">
        <w:rPr>
          <w:rFonts w:hint="eastAsia"/>
          <w:sz w:val="24"/>
          <w:szCs w:val="24"/>
        </w:rPr>
        <w:instrText>‐</w:instrText>
      </w:r>
      <w:r w:rsidRPr="001E73A0">
        <w:rPr>
          <w:sz w:val="24"/>
          <w:szCs w:val="24"/>
        </w:rPr>
        <w:instrText>cash flow sensitivity, and numerous control variables.","author":[{"dropping-particle":"","family":"Biddle","given":"Gary C.","non-dropping-particle":"","parse-names":false,"suffix":""},{"dropping-particle":"","family":"Hilary","given":"Gilles","non-dropp</w:instrText>
      </w:r>
      <w:r w:rsidRPr="001E73A0">
        <w:rPr>
          <w:rFonts w:hint="eastAsia"/>
          <w:sz w:val="24"/>
          <w:szCs w:val="24"/>
        </w:rPr>
        <w:instrText>ing-particle":"","parse-names":false,"suffix":""}],"container-title":"The Accounting Review","id":"ITEM-1","issue":"5","issued":{"date-parts":[["2006","10","30"]]},"page":"963-982","title":"Accounting quality and firm</w:instrText>
      </w:r>
      <w:r w:rsidRPr="001E73A0">
        <w:rPr>
          <w:rFonts w:hint="eastAsia"/>
          <w:sz w:val="24"/>
          <w:szCs w:val="24"/>
        </w:rPr>
        <w:instrText>‐</w:instrText>
      </w:r>
      <w:r w:rsidRPr="001E73A0">
        <w:rPr>
          <w:rFonts w:hint="eastAsia"/>
          <w:sz w:val="24"/>
          <w:szCs w:val="24"/>
        </w:rPr>
        <w:instrText>level capital investment","type":"art</w:instrText>
      </w:r>
      <w:r w:rsidRPr="001E73A0">
        <w:rPr>
          <w:sz w:val="24"/>
          <w:szCs w:val="24"/>
        </w:rPr>
        <w:instrText>icle-journal","volume":"81"},"uris":["http://www.mendeley.com/documents/?uuid=cce5dd60-97b6-375f-a79b-490a28004aa9"]},{"id":"ITEM-2","itemData":{"ISSN":"0165-4101","abstract":"Prior evidence that higher-quality financial reporting improves capital investment efficiency leaves unaddressed whether it reduces over- or under-investment. This study provides evidence of both in documenting a conditional negative (positive) association between financial reporting quality and investment for firms operating in settings more prone to over-investment (under-investment). Firms with higher financial reporting quality also are found to deviate less from predicted investment levels and show less sensitivity to macro-economic conditions. These results suggest that one mechanism linking reporting quality and investment efficiency is a reduction of frictions such as moral hazard and adverse selection that hamper efficient investment.","author":[{"dropping-particle":"","family":"Biddle","given":"Gary C.","non-dropping-particle":"","parse-names":false,"suffix":""},{"dropping-particle":"","family":"Hilary","given":"Gilles","non-dropping-particle":"","parse-names":false,"suffix":""},{"dropping-particle":"","family":"Verdi","given":"Rodrigo S.","non-dropping-particle":"","parse-names":false,"suffix":""}],"container-title":"Journal of Accounting and Economics","id":"ITEM-2","issue":"2-3","issued":{"date-parts":[["2009","12","1"]]},"page":"112-131","publisher":"North-Holland","title":"How does financial reporting quality relate to investment efficiency?","type":"article-journal","volume":"48"},"uris":["http://www.mendeley.com/documents/?uuid=698e10b4-a5bb-3819-bf87-bc3a5e2292c3"]},{"id":"ITEM-3","itemData":{"ISBN":"0823-9150","ISSN":"19113846","abstract":"We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Research","id":"ITEM-3","issue":"4","issued":{"date-parts":[["2014"]]},"page":"1047-1076","title":"Financial reporting quality and labor investment efficiency","type":"article-journal","volume":"31"},"uris":["http://www.mendeley.com/documents/?uuid=c0be0420-4a3b-407c-be29-d99c32f42d71"]}],"mendeley":{"formattedCitation":"(Biddle &amp; Hilary, 2006; Biddle, Hilary, &amp; Verdi, 2009; Jung et al., 2014)","plainTextFormattedCitation":"(Biddle &amp; Hilary, 2006; Biddle, Hilary, &amp; Verdi, 2009; Jung et al., 2014)","previouslyFormattedCitation":"(Biddle &amp; Hilary, 2006; Biddle, Hilary, &amp; Verdi, 2009; Jung et al., 2014)"},"properties":{"noteIndex":0},"schema":"https://github.com/citation-style-language/schema/raw/master/csl-citation.json"}</w:instrText>
      </w:r>
      <w:r w:rsidRPr="001E73A0">
        <w:rPr>
          <w:sz w:val="24"/>
          <w:szCs w:val="24"/>
        </w:rPr>
        <w:fldChar w:fldCharType="separate"/>
      </w:r>
      <w:r w:rsidRPr="001E73A0">
        <w:rPr>
          <w:noProof/>
          <w:sz w:val="24"/>
          <w:szCs w:val="24"/>
        </w:rPr>
        <w:t>(Biddle &amp; Hilary, 2006; Biddle, Hilary, &amp; Verdi, 2009; Jung et al., 2014)</w:t>
      </w:r>
      <w:r w:rsidRPr="001E73A0">
        <w:rPr>
          <w:sz w:val="24"/>
          <w:szCs w:val="24"/>
        </w:rPr>
        <w:fldChar w:fldCharType="end"/>
      </w:r>
      <w:r w:rsidRPr="001E73A0">
        <w:rPr>
          <w:sz w:val="24"/>
          <w:szCs w:val="24"/>
        </w:rPr>
        <w:t>. In order to rule out the possibility that our measures of comparability may simply reflect the earnings quality of a company, and thus, affect labour decisions, we include accounting quality (AQ), as a control variable in our regressions.</w:t>
      </w:r>
      <w:r w:rsidRPr="001E73A0">
        <w:rPr>
          <w:rStyle w:val="a8"/>
        </w:rPr>
        <w:t xml:space="preserve"> </w:t>
      </w:r>
      <w:r w:rsidRPr="001E73A0">
        <w:rPr>
          <w:rStyle w:val="a8"/>
        </w:rPr>
        <w:footnoteReference w:id="6"/>
      </w:r>
      <w:r w:rsidRPr="001E73A0">
        <w:rPr>
          <w:sz w:val="24"/>
          <w:szCs w:val="24"/>
        </w:rPr>
        <w:t xml:space="preserve"> </w:t>
      </w:r>
    </w:p>
    <w:p w14:paraId="4DCA62DF" w14:textId="5662FB9F" w:rsidR="00465179" w:rsidRPr="001E73A0" w:rsidRDefault="00465179" w:rsidP="00465179">
      <w:pPr>
        <w:spacing w:after="0" w:line="360" w:lineRule="auto"/>
        <w:ind w:firstLine="720"/>
        <w:jc w:val="both"/>
        <w:rPr>
          <w:sz w:val="24"/>
          <w:szCs w:val="24"/>
        </w:rPr>
      </w:pPr>
      <w:r w:rsidRPr="001E73A0">
        <w:rPr>
          <w:sz w:val="24"/>
          <w:szCs w:val="24"/>
        </w:rPr>
        <w:t xml:space="preserve">Following Jung et al. </w:t>
      </w:r>
      <w:r w:rsidRPr="001E73A0">
        <w:rPr>
          <w:sz w:val="24"/>
          <w:szCs w:val="24"/>
        </w:rPr>
        <w:fldChar w:fldCharType="begin" w:fldLock="1"/>
      </w:r>
      <w:r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suppress-author":1,"uris":["http://www.mendeley.com/documents/?uuid=c0be0420-4a3b-407c-be29-d99c32f42d71"]}],"mendeley":{"formattedCitation":"(2014)","plainTextFormattedCitation":"(2014)","previouslyFormattedCitation":"(2014)"},"properties":{"noteIndex":0},"schema":"https://github.com/citation-style-language/schema/raw/master/csl-citation.json"}</w:instrText>
      </w:r>
      <w:r w:rsidRPr="001E73A0">
        <w:rPr>
          <w:sz w:val="24"/>
          <w:szCs w:val="24"/>
        </w:rPr>
        <w:fldChar w:fldCharType="separate"/>
      </w:r>
      <w:r w:rsidRPr="001E73A0">
        <w:rPr>
          <w:noProof/>
          <w:sz w:val="24"/>
          <w:szCs w:val="24"/>
        </w:rPr>
        <w:t>(2014)</w:t>
      </w:r>
      <w:r w:rsidRPr="001E73A0">
        <w:rPr>
          <w:sz w:val="24"/>
          <w:szCs w:val="24"/>
        </w:rPr>
        <w:fldChar w:fldCharType="end"/>
      </w:r>
      <w:r w:rsidRPr="001E73A0">
        <w:rPr>
          <w:sz w:val="24"/>
          <w:szCs w:val="24"/>
        </w:rPr>
        <w:t xml:space="preserve"> and Ghaly et al. </w:t>
      </w:r>
      <w:r w:rsidRPr="001E73A0">
        <w:rPr>
          <w:sz w:val="24"/>
          <w:szCs w:val="24"/>
        </w:rPr>
        <w:fldChar w:fldCharType="begin" w:fldLock="1"/>
      </w:r>
      <w:r w:rsidR="00B42CFA"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suppress-author":1,"uris":["http://www.mendeley.com/documents/?uuid=9fb1e272-c104-4553-a10d-2894ab94491d"]}],"mendeley":{"formattedCitation":"(2020)","plainTextFormattedCitation":"(2020)","previouslyFormattedCitation":"(2020)"},"properties":{"noteIndex":0},"schema":"https://github.com/citation-style-language/schema/raw/master/csl-citation.json"}</w:instrText>
      </w:r>
      <w:r w:rsidRPr="001E73A0">
        <w:rPr>
          <w:sz w:val="24"/>
          <w:szCs w:val="24"/>
        </w:rPr>
        <w:fldChar w:fldCharType="separate"/>
      </w:r>
      <w:r w:rsidR="00B42CFA" w:rsidRPr="001E73A0">
        <w:rPr>
          <w:noProof/>
          <w:sz w:val="24"/>
          <w:szCs w:val="24"/>
        </w:rPr>
        <w:t>(2020)</w:t>
      </w:r>
      <w:r w:rsidRPr="001E73A0">
        <w:rPr>
          <w:sz w:val="24"/>
          <w:szCs w:val="24"/>
        </w:rPr>
        <w:fldChar w:fldCharType="end"/>
      </w:r>
      <w:r w:rsidRPr="001E73A0">
        <w:rPr>
          <w:sz w:val="24"/>
          <w:szCs w:val="24"/>
        </w:rPr>
        <w:t xml:space="preserve">, we also consider three other factors that may impact abnormal net hiring, namely the standard deviation of </w:t>
      </w:r>
      <w:r w:rsidRPr="001E73A0">
        <w:rPr>
          <w:i/>
          <w:sz w:val="24"/>
          <w:szCs w:val="24"/>
        </w:rPr>
        <w:t>Net_Hiring</w:t>
      </w:r>
      <w:r w:rsidRPr="001E73A0">
        <w:rPr>
          <w:sz w:val="24"/>
          <w:szCs w:val="24"/>
        </w:rPr>
        <w:t xml:space="preserve"> over the previous five years (</w:t>
      </w:r>
      <w:r w:rsidRPr="001E73A0">
        <w:rPr>
          <w:i/>
          <w:sz w:val="24"/>
          <w:szCs w:val="24"/>
        </w:rPr>
        <w:t>Net_Hiring_Vol</w:t>
      </w:r>
      <w:r w:rsidRPr="001E73A0">
        <w:rPr>
          <w:sz w:val="24"/>
          <w:szCs w:val="24"/>
        </w:rPr>
        <w:t>) to control for the volatility of net hiring; the ratio of the number of employees to total assets (</w:t>
      </w:r>
      <w:r w:rsidRPr="001E73A0">
        <w:rPr>
          <w:i/>
          <w:sz w:val="24"/>
          <w:szCs w:val="24"/>
        </w:rPr>
        <w:t>Labour_Intensity</w:t>
      </w:r>
      <w:r w:rsidRPr="001E73A0">
        <w:rPr>
          <w:sz w:val="24"/>
          <w:szCs w:val="24"/>
        </w:rPr>
        <w:t>) in order to control for labour intensity; and the industry-level unionization rate (</w:t>
      </w:r>
      <w:r w:rsidRPr="001E73A0">
        <w:rPr>
          <w:i/>
          <w:sz w:val="24"/>
          <w:szCs w:val="24"/>
        </w:rPr>
        <w:t>Union</w:t>
      </w:r>
      <w:r w:rsidRPr="001E73A0">
        <w:rPr>
          <w:sz w:val="24"/>
          <w:szCs w:val="24"/>
        </w:rPr>
        <w:t>) in order to control for labour protection. Further, to account for any indirect impact on labour investment practices from other capital investment decisions, we incorporate abnormal non-labour investments (|</w:t>
      </w:r>
      <w:r w:rsidRPr="001E73A0">
        <w:rPr>
          <w:i/>
          <w:sz w:val="24"/>
          <w:szCs w:val="24"/>
        </w:rPr>
        <w:t>Ab_Other_Invest</w:t>
      </w:r>
      <w:r w:rsidRPr="001E73A0">
        <w:rPr>
          <w:sz w:val="24"/>
          <w:szCs w:val="24"/>
        </w:rPr>
        <w:t xml:space="preserve">|) in our model. In addition, existing literature </w:t>
      </w:r>
      <w:r w:rsidRPr="001E73A0">
        <w:rPr>
          <w:sz w:val="24"/>
          <w:szCs w:val="24"/>
        </w:rPr>
        <w:fldChar w:fldCharType="begin" w:fldLock="1"/>
      </w:r>
      <w:r w:rsidRPr="001E73A0">
        <w:rPr>
          <w:sz w:val="24"/>
          <w:szCs w:val="24"/>
        </w:rPr>
        <w:instrText>ADDIN CSL_CITATION {"citationItems":[{"id":"ITEM-1","itemData":{"ISSN":"0304-405X","abstract":"We investigate the impact of geography on agency costs and firm dividend policies. We argue that remote firm location increases the cost of shareholder oversight of managerial investment decisions. We hypothesize that remotely located firms facing free cash flow problems precommit to higher dividends to mitigate agency conflicts. We find that remotely located firms pay higher dividends. As expected, the effect of geography on dividends is most pronounced for firms with severe free cash flow problems. Further, remotely located firms rely more on regular dividends instead of special dividends or share repurchases and decrease dividends less often.","author":[{"dropping-particle":"","family":"John","given":"Kose","non-dropping-particle":"","parse-names":false,"suffix":""},{"dropping-particle":"","family":"Knyazeva","given":"Anzhela","non-dropping-particle":"","parse-names":false,"suffix":""},{"dropping-particle":"","family":"Knyazeva","given":"Diana","non-dropping-particle":"","parse-names":false,"suffix":""}],"container-title":"Journal of Financial Economics","id":"ITEM-1","issue":"3","issued":{"date-parts":[["2011","9","1"]]},"page":"533-551","publisher":"North-Holland","title":"Does geography matter? Firm location and corporate payout policy","type":"article-journal","volume":"101"},"uris":["http://www.mendeley.com/documents/?uuid=5ccc7139-222c-3df2-9cc1-976555b9460a"]},{"id":"ITEM-2","itemData":{"ISSN":"0165-4101","abstract":"We examine the association between employee quality and financial reporting outcomes. Using the average workforce education level in MSA(s) where the firm operates as a proxy for employee quality, we find that firms with a high-quality workforce exhibit higher accruals quality, fewer internal control violations, and fewer restatements. These firms also issue superior management forecasts, in terms of frequency, timeliness, accuracy, precision, and bias. Employees located at the firm's headquarters primarily drive our findings. Our evidence suggests employee quality, particularly at a firm's headquarters, is associated with both mandatory and voluntary disclosure quality.","author":[{"dropping-particle":"","family":"Call","given":"Andrew C.","non-dropping-particle":"","parse-names":false,"suffix":""},{"dropping-particle":"","family":"Campbell","given":"John L.","non-dropping-particle":"","parse-names":false,"suffix":""},{"dropping-particle":"","family":"Dhaliwal","given":"Dan S.","non-dropping-particle":"","parse-names":false,"suffix":""},{"dropping-particle":"","family":"Moon","given":"James R.","non-dropping-particle":"","parse-names":false,"suffix":""}],"container-title":"Journal of Accounting and Economics","id":"ITEM-2","issue":"1","issued":{"date-parts":[["2017","8","1"]]},"page":"123-149","publisher":"North-Holland","title":"Employee quality and financial reporting outcomes","type":"article-journal","volume":"64"},"uris":["http://www.mendeley.com/documents/?uuid=b3b35a99-2d13-3410-b041-7f518fd6b0da"]},{"id":"ITEM-3","itemData":{"ISSN":"08239150","author":[{"dropping-particle":"","family":"Hamm","given":"Sophia J. W.","non-dropping-particle":"","parse-names":false,"suffix":""},{"dropping-particle":"","family":"Jung","given":"Boochun","non-dropping-particle":"","parse-names":false,"suffix":""},{"dropping-particle":"","family":"Lee","given":"Woo-Jong","non-dropping-particle":"","parse-names":false,"suffix":""}],"container-title":"Contemporary Accounting Research","id":"ITEM-3","issue":"3","issued":{"date-parts":[["2018","9","1"]]},"page":"1201-1228","publisher":"John Wiley &amp; Sons, Ltd (10.1111)","title":"Labor unions and income smoothing","type":"article-journal","volume":"35"},"uris":["http://www.mendeley.com/documents/?uuid=5ac0ed62-0f34-36da-b012-78366f90616a"]}],"mendeley":{"formattedCitation":"(Call, Campbell, Dhaliwal, &amp; Moon, 2017; Hamm, Jung, &amp; Lee, 2018; John, Knyazeva, &amp; Knyazeva, 2011)","plainTextFormattedCitation":"(Call, Campbell, Dhaliwal, &amp; Moon, 2017; Hamm, Jung, &amp; Lee, 2018; John, Knyazeva, &amp; Knyazeva, 2011)","previouslyFormattedCitation":"(Call, Campbell, Dhaliwal, &amp; Moon, 2017; Hamm, Jung, &amp; Lee, 2018; John, Knyazeva, &amp; Knyazeva, 2011)"},"properties":{"noteIndex":0},"schema":"https://github.com/citation-style-language/schema/raw/master/csl-citation.json"}</w:instrText>
      </w:r>
      <w:r w:rsidRPr="001E73A0">
        <w:rPr>
          <w:sz w:val="24"/>
          <w:szCs w:val="24"/>
        </w:rPr>
        <w:fldChar w:fldCharType="separate"/>
      </w:r>
      <w:r w:rsidRPr="001E73A0">
        <w:rPr>
          <w:noProof/>
          <w:sz w:val="24"/>
          <w:szCs w:val="24"/>
        </w:rPr>
        <w:t>(Call, Campbell, Dhaliwal, &amp; Moon, 2017; Hamm, Jung, &amp; Lee, 2018; John, Knyazeva, &amp; Knyazeva, 2011)</w:t>
      </w:r>
      <w:r w:rsidRPr="001E73A0">
        <w:rPr>
          <w:sz w:val="24"/>
          <w:szCs w:val="24"/>
        </w:rPr>
        <w:fldChar w:fldCharType="end"/>
      </w:r>
      <w:r w:rsidRPr="001E73A0">
        <w:rPr>
          <w:sz w:val="24"/>
          <w:szCs w:val="24"/>
        </w:rPr>
        <w:t xml:space="preserve"> contends that a firm’s geographic location is an important determinant of labour adjustment costs, employee quality, labour protection, and the firm’s access to labour and capital markets. Therefore, following Jiraporn et al. </w:t>
      </w:r>
      <w:r w:rsidRPr="001E73A0">
        <w:rPr>
          <w:sz w:val="24"/>
          <w:szCs w:val="24"/>
        </w:rPr>
        <w:fldChar w:fldCharType="begin" w:fldLock="1"/>
      </w:r>
      <w:r w:rsidRPr="001E73A0">
        <w:rPr>
          <w:sz w:val="24"/>
          <w:szCs w:val="24"/>
        </w:rPr>
        <w:instrText>ADDIN CSL_CITATION {"citationItems":[{"id":"ITEM-1","itemData":{"ISSN":"1755053X","abstract":"We show that a firm's CSR policy is significantly influenced by the CSR policies of firms in the same three-digit zip code, an effect possibly due to investor clienteles, local competition, and/or social interactions. We then exploit the variation in CSR across the zip codes to estimate the effect of CSR on credit ratings under the assumption that zip code assignments are exogenous. We find that more socially responsible firms enjoy more favorable credit ratings. In particular, an increase in CSR by one standard deviation improves the firm's credit rating by as much as 4.5%. [ABSTRACT FROM AUTHOR]","author":[{"dropping-particle":"","family":"Jiraporn","given":"Pornsit","non-dropping-particle":"","parse-names":false,"suffix":""},{"dropping-particle":"","family":"Jiraporn","given":"Napatsorn","non-dropping-particle":"","parse-names":false,"suffix":""},{"dropping-particle":"","family":"Boeprasert","given":"Adisak","non-dropping-particle":"","parse-names":false,"suffix":""},{"dropping-particle":"","family":"Chang","given":"Kiyoung","non-dropping-particle":"","parse-names":false,"suffix":""}],"container-title":"Financial Management","id":"ITEM-1","issue":"3","issued":{"date-parts":[["2014"]]},"page":"505-531","title":"Does corporate social responsibility (CSR) improve credit ratings? Evidence from geographic identification","type":"article-journal","volume":"43"},"suppress-author":1,"uris":["http://www.mendeley.com/documents/?uuid=e40abfa9-ebeb-457e-8a8b-ff29ef404a4d"]}],"mendeley":{"formattedCitation":"(2014)","plainTextFormattedCitation":"(2014)","previouslyFormattedCitation":"(2014)"},"properties":{"noteIndex":0},"schema":"https://github.com/citation-style-language/schema/raw/master/csl-citation.json"}</w:instrText>
      </w:r>
      <w:r w:rsidRPr="001E73A0">
        <w:rPr>
          <w:sz w:val="24"/>
          <w:szCs w:val="24"/>
        </w:rPr>
        <w:fldChar w:fldCharType="separate"/>
      </w:r>
      <w:r w:rsidRPr="001E73A0">
        <w:rPr>
          <w:noProof/>
          <w:sz w:val="24"/>
          <w:szCs w:val="24"/>
        </w:rPr>
        <w:t>(2014)</w:t>
      </w:r>
      <w:r w:rsidRPr="001E73A0">
        <w:rPr>
          <w:sz w:val="24"/>
          <w:szCs w:val="24"/>
        </w:rPr>
        <w:fldChar w:fldCharType="end"/>
      </w:r>
      <w:r w:rsidRPr="001E73A0">
        <w:rPr>
          <w:sz w:val="24"/>
          <w:szCs w:val="24"/>
        </w:rPr>
        <w:t xml:space="preserve"> and John et al. </w:t>
      </w:r>
      <w:r w:rsidRPr="001E73A0">
        <w:rPr>
          <w:sz w:val="24"/>
          <w:szCs w:val="24"/>
        </w:rPr>
        <w:fldChar w:fldCharType="begin" w:fldLock="1"/>
      </w:r>
      <w:r w:rsidRPr="001E73A0">
        <w:rPr>
          <w:sz w:val="24"/>
          <w:szCs w:val="24"/>
        </w:rPr>
        <w:instrText>ADDIN CSL_CITATION {"citationItems":[{"id":"ITEM-1","itemData":{"ISSN":"0304-405X","abstract":"We investigate the impact of geography on agency costs and firm dividend policies. We argue that remote firm location increases the cost of shareholder oversight of managerial investment decisions. We hypothesize that remotely located firms facing free cash flow problems precommit to higher dividends to mitigate agency conflicts. We find that remotely located firms pay higher dividends. As expected, the effect of geography on dividends is most pronounced for firms with severe free cash flow problems. Further, remotely located firms rely more on regular dividends instead of special dividends or share repurchases and decrease dividends less often.","author":[{"dropping-particle":"","family":"John","given":"Kose","non-dropping-particle":"","parse-names":false,"suffix":""},{"dropping-particle":"","family":"Knyazeva","given":"Anzhela","non-dropping-particle":"","parse-names":false,"suffix":""},{"dropping-particle":"","family":"Knyazeva","given":"Diana","non-dropping-particle":"","parse-names":false,"suffix":""}],"container-title":"Journal of Financial Economics","id":"ITEM-1","issue":"3","issued":{"date-parts":[["2011","9","1"]]},"page":"533-551","publisher":"North-Holland","title":"Does geography matter? Firm location and corporate payout policy","type":"article-journal","volume":"101"},"suppress-author":1,"uris":["http://www.mendeley.com/documents/?uuid=5ccc7139-222c-3df2-9cc1-976555b9460a"]}],"mendeley":{"formattedCitation":"(2011)","plainTextFormattedCitation":"(2011)","previouslyFormattedCitation":"(2011)"},"properties":{"noteIndex":0},"schema":"https://github.com/citation-style-language/schema/raw/master/csl-citation.json"}</w:instrText>
      </w:r>
      <w:r w:rsidRPr="001E73A0">
        <w:rPr>
          <w:sz w:val="24"/>
          <w:szCs w:val="24"/>
        </w:rPr>
        <w:fldChar w:fldCharType="separate"/>
      </w:r>
      <w:r w:rsidRPr="001E73A0">
        <w:rPr>
          <w:noProof/>
          <w:sz w:val="24"/>
          <w:szCs w:val="24"/>
        </w:rPr>
        <w:t>(2011)</w:t>
      </w:r>
      <w:r w:rsidRPr="001E73A0">
        <w:rPr>
          <w:sz w:val="24"/>
          <w:szCs w:val="24"/>
        </w:rPr>
        <w:fldChar w:fldCharType="end"/>
      </w:r>
      <w:r w:rsidRPr="001E73A0">
        <w:rPr>
          <w:sz w:val="24"/>
          <w:szCs w:val="24"/>
        </w:rPr>
        <w:t>, we include county-level population (</w:t>
      </w:r>
      <w:r w:rsidRPr="001E73A0">
        <w:rPr>
          <w:i/>
          <w:sz w:val="24"/>
          <w:szCs w:val="24"/>
        </w:rPr>
        <w:t>POP</w:t>
      </w:r>
      <w:r w:rsidRPr="001E73A0">
        <w:rPr>
          <w:sz w:val="24"/>
          <w:szCs w:val="24"/>
        </w:rPr>
        <w:t xml:space="preserve">) </w:t>
      </w:r>
      <w:r w:rsidRPr="001E73A0">
        <w:rPr>
          <w:sz w:val="24"/>
          <w:szCs w:val="24"/>
        </w:rPr>
        <w:lastRenderedPageBreak/>
        <w:t>and central location (</w:t>
      </w:r>
      <w:r w:rsidRPr="001E73A0">
        <w:rPr>
          <w:i/>
          <w:sz w:val="24"/>
          <w:szCs w:val="24"/>
        </w:rPr>
        <w:t>Central</w:t>
      </w:r>
      <w:r w:rsidRPr="001E73A0">
        <w:rPr>
          <w:sz w:val="24"/>
          <w:szCs w:val="24"/>
        </w:rPr>
        <w:t>) to control for the effects of location-specific variables on employment decisions.</w:t>
      </w:r>
      <w:r w:rsidRPr="001E73A0">
        <w:rPr>
          <w:rStyle w:val="a8"/>
        </w:rPr>
        <w:footnoteReference w:id="7"/>
      </w:r>
    </w:p>
    <w:p w14:paraId="683FD58F" w14:textId="77777777" w:rsidR="00465179" w:rsidRPr="001E73A0" w:rsidRDefault="00465179" w:rsidP="00465179">
      <w:pPr>
        <w:spacing w:after="0" w:line="360" w:lineRule="auto"/>
        <w:ind w:firstLine="720"/>
        <w:jc w:val="both"/>
        <w:rPr>
          <w:sz w:val="24"/>
          <w:szCs w:val="24"/>
        </w:rPr>
      </w:pPr>
      <w:r w:rsidRPr="001E73A0">
        <w:rPr>
          <w:sz w:val="24"/>
          <w:szCs w:val="24"/>
        </w:rPr>
        <w:t xml:space="preserve">Our comparability proxies and all the controls excluding non-labour investment efficiency are lagged by one period. In addition, we include industry and year fixed-effects by adding industry dummies based on the 2-digit SIC and year dummies, and cluster standard errors at the firm level in all estimations </w:t>
      </w:r>
      <w:r w:rsidRPr="001E73A0">
        <w:rPr>
          <w:sz w:val="24"/>
          <w:szCs w:val="24"/>
        </w:rPr>
        <w:fldChar w:fldCharType="begin" w:fldLock="1"/>
      </w:r>
      <w:r w:rsidRPr="001E73A0">
        <w:rPr>
          <w:sz w:val="24"/>
          <w:szCs w:val="24"/>
        </w:rPr>
        <w:instrText>ADDIN CSL_CITATION {"citationItems":[{"id":"ITEM-1","itemData":{"ISBN":"08939454","ISSN":"0893-9454","PMID":"36291550","abstract":"In both corporate finance and asset pricing empirical work, researchers are often confronted with panel data. In these data sets, the residuals may be correlated across firms and across time, and OLS standard errors can be biased. Historically, the two literatures have used different solutions to this problem. Corporate finance has relied on Rogers standard errors, while asset pricing has used the Fama-MacBeth procedure to estimate standard errors. This paper will examine the different methods used in the literature and explain when the different methods yield the same (and correct) standard errors and when they diverge. The intent is to provide intuition as to why the different approaches sometimes give different answers and give researchers guidance for their use.","author":[{"dropping-particle":"","family":"Petersen","given":"M. A.","non-dropping-particle":"","parse-names":false,"suffix":""}],"container-title":"Review of Financial Studies","id":"ITEM-1","issue":"1","issued":{"date-parts":[["2009"]]},"page":"435-480","title":"Estimating standard errors in finance panel data sets: Comparing approaches","type":"article-journal","volume":"22"},"uris":["http://www.mendeley.com/documents/?uuid=f5e4d727-8920-3992-9d76-72df36696bb6"]}],"mendeley":{"formattedCitation":"(Petersen, 2009)","plainTextFormattedCitation":"(Petersen, 2009)","previouslyFormattedCitation":"(Petersen, 2009)"},"properties":{"noteIndex":0},"schema":"https://github.com/citation-style-language/schema/raw/master/csl-citation.json"}</w:instrText>
      </w:r>
      <w:r w:rsidRPr="001E73A0">
        <w:rPr>
          <w:sz w:val="24"/>
          <w:szCs w:val="24"/>
        </w:rPr>
        <w:fldChar w:fldCharType="separate"/>
      </w:r>
      <w:r w:rsidRPr="001E73A0">
        <w:rPr>
          <w:noProof/>
          <w:sz w:val="24"/>
          <w:szCs w:val="24"/>
        </w:rPr>
        <w:t>(Petersen, 2009)</w:t>
      </w:r>
      <w:r w:rsidRPr="001E73A0">
        <w:rPr>
          <w:sz w:val="24"/>
          <w:szCs w:val="24"/>
        </w:rPr>
        <w:fldChar w:fldCharType="end"/>
      </w:r>
      <w:r w:rsidRPr="001E73A0">
        <w:rPr>
          <w:sz w:val="24"/>
          <w:szCs w:val="24"/>
        </w:rPr>
        <w:t>.</w:t>
      </w:r>
    </w:p>
    <w:p w14:paraId="73F0B2E7" w14:textId="77777777" w:rsidR="00465179" w:rsidRPr="001E73A0" w:rsidRDefault="00465179" w:rsidP="00465179">
      <w:pPr>
        <w:jc w:val="both"/>
        <w:rPr>
          <w:sz w:val="24"/>
          <w:szCs w:val="24"/>
        </w:rPr>
      </w:pPr>
    </w:p>
    <w:p w14:paraId="740C2D98" w14:textId="77777777" w:rsidR="00465179" w:rsidRPr="001E73A0" w:rsidRDefault="00465179" w:rsidP="00465179">
      <w:pPr>
        <w:pStyle w:val="2"/>
        <w:rPr>
          <w:szCs w:val="24"/>
        </w:rPr>
      </w:pPr>
      <w:r w:rsidRPr="001E73A0">
        <w:rPr>
          <w:szCs w:val="24"/>
        </w:rPr>
        <w:t>3.4 Sample and Descriptive Statistics</w:t>
      </w:r>
    </w:p>
    <w:p w14:paraId="123E0CCB" w14:textId="77777777" w:rsidR="00465179" w:rsidRPr="001E73A0" w:rsidRDefault="00465179" w:rsidP="00465179">
      <w:pPr>
        <w:spacing w:after="0" w:line="360" w:lineRule="auto"/>
        <w:ind w:firstLine="720"/>
        <w:jc w:val="both"/>
        <w:rPr>
          <w:sz w:val="24"/>
          <w:szCs w:val="24"/>
        </w:rPr>
      </w:pPr>
      <w:r w:rsidRPr="001E73A0">
        <w:rPr>
          <w:sz w:val="24"/>
          <w:szCs w:val="24"/>
        </w:rPr>
        <w:t>We obtain stock returns data from the Centre for Research in Security Prices (CRSP) database; firm- and industry-level financial data from the COMPUSTAT database; institutional shareholdings data from the Thomson Financial Institutional Holdings (13</w:t>
      </w:r>
      <w:r w:rsidRPr="001E73A0">
        <w:rPr>
          <w:i/>
          <w:iCs/>
          <w:sz w:val="24"/>
          <w:szCs w:val="24"/>
        </w:rPr>
        <w:t>f</w:t>
      </w:r>
      <w:r w:rsidRPr="001E73A0">
        <w:rPr>
          <w:sz w:val="24"/>
          <w:szCs w:val="24"/>
        </w:rPr>
        <w:t xml:space="preserve">) database; board of directors’ characteristics data from the BoardEx database; and industry unionisation data from the Hirsch and Macpherson’s </w:t>
      </w:r>
      <w:r w:rsidRPr="001E73A0">
        <w:rPr>
          <w:sz w:val="24"/>
          <w:szCs w:val="24"/>
        </w:rPr>
        <w:fldChar w:fldCharType="begin" w:fldLock="1"/>
      </w:r>
      <w:r w:rsidRPr="001E73A0">
        <w:rPr>
          <w:sz w:val="24"/>
          <w:szCs w:val="24"/>
        </w:rPr>
        <w:instrText>ADDIN CSL_CITATION {"citationItems":[{"id":"ITEM-1","itemData":{"ISSN":"00197939","abstract":"This note describes the construction and provision of an Internet database providing private and public sector union membership, coverage, and density estimates compiled from the Current Population Survey (CPS). Economy-wide estimates are provided beginning in 1973, estimates by state, detailed industry, and detailed occupation begin in 1983, and estimates by metropolitan area begin in 1986. The database will be updated annually and can be accessed at http://www.unionstats.com/.","author":[{"dropping-particle":"","family":"Hirsch","given":"Barry T.","non-dropping-particle":"","parse-names":false,"suffix":""},{"dropping-particle":"","family":"Macpherson","given":"David A.","non-dropping-particle":"","parse-names":false,"suffix":""}],"container-title":"Industrial and Labor Relations Review","id":"ITEM-1","issue":"2","issued":{"date-parts":[["2003","1"]]},"page":"349","publisher":"Sage Publications, Inc.","title":"Union membership and coverage database from the current population survey: Note","type":"article-journal","volume":"56"},"suppress-author":1,"uris":["http://www.mendeley.com/documents/?uuid=82096e05-9e87-3b1f-a3f2-5aed3e5bfa59"]}],"mendeley":{"formattedCitation":"(2003)","plainTextFormattedCitation":"(2003)","previouslyFormattedCitation":"(2003)"},"properties":{"noteIndex":0},"schema":"https://github.com/citation-style-language/schema/raw/master/csl-citation.json"}</w:instrText>
      </w:r>
      <w:r w:rsidRPr="001E73A0">
        <w:rPr>
          <w:sz w:val="24"/>
          <w:szCs w:val="24"/>
        </w:rPr>
        <w:fldChar w:fldCharType="separate"/>
      </w:r>
      <w:r w:rsidRPr="001E73A0">
        <w:rPr>
          <w:noProof/>
          <w:sz w:val="24"/>
          <w:szCs w:val="24"/>
        </w:rPr>
        <w:t>(2003)</w:t>
      </w:r>
      <w:r w:rsidRPr="001E73A0">
        <w:rPr>
          <w:sz w:val="24"/>
          <w:szCs w:val="24"/>
        </w:rPr>
        <w:fldChar w:fldCharType="end"/>
      </w:r>
      <w:r w:rsidRPr="001E73A0">
        <w:rPr>
          <w:sz w:val="24"/>
          <w:szCs w:val="24"/>
        </w:rPr>
        <w:t xml:space="preserve"> Union Membership and Coverage (UMC) database. </w:t>
      </w:r>
    </w:p>
    <w:p w14:paraId="717D82DD" w14:textId="77777777" w:rsidR="00465179" w:rsidRPr="001E73A0" w:rsidRDefault="00465179" w:rsidP="00465179">
      <w:pPr>
        <w:spacing w:after="0" w:line="360" w:lineRule="auto"/>
        <w:ind w:firstLine="720"/>
        <w:jc w:val="both"/>
        <w:rPr>
          <w:sz w:val="24"/>
          <w:szCs w:val="24"/>
        </w:rPr>
      </w:pPr>
      <w:r w:rsidRPr="001E73A0">
        <w:rPr>
          <w:sz w:val="24"/>
          <w:szCs w:val="24"/>
        </w:rPr>
        <w:t xml:space="preserve">Our initial sample includes 147,214 firm-year observations spanning 1984 </w:t>
      </w:r>
      <w:r w:rsidRPr="001E73A0">
        <w:rPr>
          <w:rFonts w:cs="Calibri"/>
          <w:sz w:val="24"/>
          <w:szCs w:val="24"/>
        </w:rPr>
        <w:t>to</w:t>
      </w:r>
      <w:r w:rsidRPr="001E73A0">
        <w:rPr>
          <w:sz w:val="24"/>
          <w:szCs w:val="24"/>
        </w:rPr>
        <w:t xml:space="preserve"> 2015, with sufficient data to estimate the expected value of net hiring using Eq. (1). The period begins in 1984 because 1983 is the first year covered by the UMC database and our analysis requires one year of historical industry unionisation rate data. We exclude a total of 85,225 observations lacking sufficient data for our comparability measures, and a further 7,388 observations that have missing values for the institutional ownership, labour union data and other control variables used in our analyses.</w:t>
      </w:r>
      <w:r w:rsidRPr="001E73A0" w:rsidDel="002778DB">
        <w:rPr>
          <w:sz w:val="24"/>
          <w:szCs w:val="24"/>
        </w:rPr>
        <w:t xml:space="preserve"> </w:t>
      </w:r>
      <w:r w:rsidRPr="001E73A0">
        <w:rPr>
          <w:sz w:val="24"/>
          <w:szCs w:val="24"/>
        </w:rPr>
        <w:t>This process yields a final sample of 54,601 firm-year observations, representing 6,295 firms, with information sufficient to estimate the baseline model.</w:t>
      </w:r>
      <w:r w:rsidRPr="001E73A0">
        <w:rPr>
          <w:rStyle w:val="a8"/>
        </w:rPr>
        <w:footnoteReference w:id="8"/>
      </w:r>
      <w:r w:rsidRPr="001E73A0">
        <w:rPr>
          <w:sz w:val="24"/>
          <w:szCs w:val="24"/>
        </w:rPr>
        <w:t xml:space="preserve"> Panel A of Table 1 outlines the sample selection process.</w:t>
      </w:r>
      <w:r w:rsidRPr="001E73A0">
        <w:t xml:space="preserve"> </w:t>
      </w:r>
      <w:r w:rsidRPr="001E73A0">
        <w:rPr>
          <w:sz w:val="24"/>
          <w:szCs w:val="24"/>
        </w:rPr>
        <w:t>To mitigate the influences of outliers, all the firm-level variables are winsorised at the top and bottom one-percentiles.</w:t>
      </w:r>
    </w:p>
    <w:p w14:paraId="77123E2F" w14:textId="77777777" w:rsidR="00465179" w:rsidRPr="001E73A0" w:rsidRDefault="00465179" w:rsidP="00465179">
      <w:pPr>
        <w:jc w:val="both"/>
        <w:rPr>
          <w:sz w:val="24"/>
          <w:szCs w:val="24"/>
        </w:rPr>
      </w:pPr>
    </w:p>
    <w:p w14:paraId="11E8927B" w14:textId="77777777" w:rsidR="00465179" w:rsidRPr="001E73A0" w:rsidRDefault="00465179" w:rsidP="00465179">
      <w:pPr>
        <w:jc w:val="center"/>
        <w:rPr>
          <w:sz w:val="24"/>
          <w:szCs w:val="24"/>
        </w:rPr>
      </w:pPr>
      <w:r w:rsidRPr="001E73A0">
        <w:rPr>
          <w:sz w:val="24"/>
          <w:szCs w:val="24"/>
        </w:rPr>
        <w:t>[Insert Table 1 around here]</w:t>
      </w:r>
    </w:p>
    <w:p w14:paraId="22482079" w14:textId="77777777" w:rsidR="00465179" w:rsidRPr="001E73A0" w:rsidRDefault="00465179" w:rsidP="00465179">
      <w:pPr>
        <w:jc w:val="both"/>
        <w:rPr>
          <w:sz w:val="24"/>
          <w:szCs w:val="24"/>
        </w:rPr>
      </w:pPr>
    </w:p>
    <w:p w14:paraId="441286BE" w14:textId="77777777" w:rsidR="00465179" w:rsidRPr="001E73A0" w:rsidRDefault="00465179" w:rsidP="00465179">
      <w:pPr>
        <w:spacing w:after="0" w:line="360" w:lineRule="auto"/>
        <w:ind w:firstLine="720"/>
        <w:jc w:val="both"/>
        <w:rPr>
          <w:sz w:val="24"/>
          <w:szCs w:val="24"/>
          <w:lang w:val="de-DE"/>
        </w:rPr>
      </w:pPr>
      <w:r w:rsidRPr="001E73A0">
        <w:rPr>
          <w:sz w:val="24"/>
          <w:szCs w:val="24"/>
        </w:rPr>
        <w:t xml:space="preserve">Panel B of Table 1 reports the descriptive statistics for all the variables included in Eq. (6). The mean (median) of |Ab_Net_Hiring| is 0.160 (0.092), and the means (medians) of </w:t>
      </w:r>
      <w:r w:rsidRPr="001E73A0">
        <w:rPr>
          <w:i/>
          <w:sz w:val="24"/>
          <w:szCs w:val="24"/>
        </w:rPr>
        <w:lastRenderedPageBreak/>
        <w:t>CompacctInd</w:t>
      </w:r>
      <w:r w:rsidRPr="001E73A0">
        <w:rPr>
          <w:sz w:val="24"/>
          <w:szCs w:val="24"/>
        </w:rPr>
        <w:t xml:space="preserve">, </w:t>
      </w:r>
      <w:r w:rsidRPr="001E73A0">
        <w:rPr>
          <w:i/>
          <w:sz w:val="24"/>
          <w:szCs w:val="24"/>
        </w:rPr>
        <w:t xml:space="preserve">Compacct10, CompacctBasu, </w:t>
      </w:r>
      <w:r w:rsidRPr="001E73A0">
        <w:rPr>
          <w:sz w:val="24"/>
          <w:szCs w:val="24"/>
        </w:rPr>
        <w:t>and</w:t>
      </w:r>
      <w:r w:rsidRPr="001E73A0">
        <w:rPr>
          <w:i/>
          <w:sz w:val="24"/>
          <w:szCs w:val="24"/>
        </w:rPr>
        <w:t xml:space="preserve"> CompacctPle </w:t>
      </w:r>
      <w:r w:rsidRPr="001E73A0">
        <w:rPr>
          <w:sz w:val="24"/>
          <w:szCs w:val="24"/>
        </w:rPr>
        <w:t xml:space="preserve">are -0.026 (-0.017), -0.010 (-0.004), -0.035 (-0.029) and -0.032 (-0.026), respectively. These distributions are similar to those reported in Pinnuck and Lillis </w:t>
      </w:r>
      <w:r w:rsidRPr="001E73A0">
        <w:rPr>
          <w:sz w:val="24"/>
          <w:szCs w:val="24"/>
        </w:rPr>
        <w:fldChar w:fldCharType="begin" w:fldLock="1"/>
      </w:r>
      <w:r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rsidRPr="001E73A0">
        <w:rPr>
          <w:sz w:val="24"/>
          <w:szCs w:val="24"/>
        </w:rPr>
        <w:fldChar w:fldCharType="separate"/>
      </w:r>
      <w:r w:rsidRPr="001E73A0">
        <w:rPr>
          <w:noProof/>
          <w:sz w:val="24"/>
          <w:szCs w:val="24"/>
        </w:rPr>
        <w:t>(2007)</w:t>
      </w:r>
      <w:r w:rsidRPr="001E73A0">
        <w:rPr>
          <w:sz w:val="24"/>
          <w:szCs w:val="24"/>
        </w:rPr>
        <w:fldChar w:fldCharType="end"/>
      </w:r>
      <w:r w:rsidRPr="001E73A0">
        <w:rPr>
          <w:sz w:val="24"/>
          <w:szCs w:val="24"/>
        </w:rPr>
        <w:t xml:space="preserve">, De Franco et al.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w:instrText>
      </w:r>
      <w:r w:rsidRPr="001E73A0">
        <w:rPr>
          <w:sz w:val="24"/>
          <w:szCs w:val="24"/>
          <w:lang w:val="fr-FR"/>
        </w:rPr>
        <w:instrText>nd researchers all emphasize the importance of financial statement comparability. However, an empirical construct of comparability is typically not speci</w:instrText>
      </w:r>
      <w:r w:rsidRPr="001E73A0">
        <w:rPr>
          <w:sz w:val="24"/>
          <w:szCs w:val="24"/>
          <w:lang w:val="de-DE"/>
        </w:rPr>
        <w:instrText>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suppress-author":1,"uris":["http://www.mendeley.com/documents/?uuid=8d27b5be-25e6-48a6-a72a-283bb7ea747d"]}],"mendeley":{"formattedCitation":"(2011)","plainTextFormattedCitation":"(2011)","previouslyFormattedCitation":"(2011)"},"properties":{"noteIndex":0},"schema":"https://github.com/citation-style-language/schema/raw/master/csl-citation.json"}</w:instrText>
      </w:r>
      <w:r w:rsidRPr="001E73A0">
        <w:rPr>
          <w:sz w:val="24"/>
          <w:szCs w:val="24"/>
        </w:rPr>
        <w:fldChar w:fldCharType="separate"/>
      </w:r>
      <w:r w:rsidRPr="001E73A0">
        <w:rPr>
          <w:noProof/>
          <w:sz w:val="24"/>
          <w:szCs w:val="24"/>
          <w:lang w:val="de-DE"/>
        </w:rPr>
        <w:t>(2011)</w:t>
      </w:r>
      <w:r w:rsidRPr="001E73A0">
        <w:rPr>
          <w:sz w:val="24"/>
          <w:szCs w:val="24"/>
        </w:rPr>
        <w:fldChar w:fldCharType="end"/>
      </w:r>
      <w:r w:rsidRPr="001E73A0">
        <w:rPr>
          <w:sz w:val="24"/>
          <w:szCs w:val="24"/>
          <w:lang w:val="de-DE"/>
        </w:rPr>
        <w:t xml:space="preserve">, Ben-Nasr and Alshwer </w:t>
      </w:r>
      <w:r w:rsidRPr="001E73A0">
        <w:rPr>
          <w:sz w:val="24"/>
          <w:szCs w:val="24"/>
        </w:rPr>
        <w:fldChar w:fldCharType="begin" w:fldLock="1"/>
      </w:r>
      <w:r w:rsidRPr="001E73A0">
        <w:rPr>
          <w:sz w:val="24"/>
          <w:szCs w:val="24"/>
          <w:lang w:val="de-DE"/>
        </w:rPr>
        <w:instrText>ADDIN CSL_CITATION {"citationItems":[{"id":"ITEM-1","itemData":{"ISSN":"09291199","abstract":"In this paper, we examine whether managers use information included in stock prices when making labor investment decisions. Specifically, we examine whether stock price informativeness affects labor investment efficiency. We find that a higher probability of informed trading (PIN) is associated with lower deviations of labor investment from the level justified by economic fundamentals, i.e., higher labor investment efficiency. This finding is robust to using alternative proxies for stock price informativeness and labor investment efficiency, when we control for earnings quality and mispricing, and when we address endogeneity issues. Furthermore, we report evidence suggesting that the positive impact of stock price on labor investment efficiency is more (less) pronounced in firms from highly unionized industries and firms facing higher financial constraints (firms from industries that rely more on skilled labor).","author":[{"dropping-particle":"","family":"Ben-Nasr","given":"Hamdi","non-dropping-particle":"","parse-names":false,"suffix":""},{"dropping-particle":"","family":"Alshwer","given":"Abdullah A.","non-dropping-particle":"","parse-names":false,"suffix":""}],"container-title":"Journal of Corporate Finance","id":"ITEM-1","issue":"C","issued":{"date-parts":[["2016"]]},"page":"249-271","publisher":"Elsevier B.V.","title":"Does stock price informativeness affect labor investment efficiency?","type":"article-journal","volume":"38"},"suppress-author":1,"uris":["http://www.mendeley.com/documents/?uuid=792d336f-df82-4c74-a20d-bf441787c56b"]}],"mendeley":{"formattedCitation":"(2016)","plainTextFormattedCitation":"(2016)","previouslyFormattedCitation":"(2016)"},"properties":{"noteIndex":0},"schema":"https://github.com/citation-style-language/schema/raw/master/csl-citation.json"}</w:instrText>
      </w:r>
      <w:r w:rsidRPr="001E73A0">
        <w:rPr>
          <w:sz w:val="24"/>
          <w:szCs w:val="24"/>
        </w:rPr>
        <w:fldChar w:fldCharType="separate"/>
      </w:r>
      <w:r w:rsidRPr="001E73A0">
        <w:rPr>
          <w:noProof/>
          <w:sz w:val="24"/>
          <w:szCs w:val="24"/>
          <w:lang w:val="de-DE"/>
        </w:rPr>
        <w:t>(2016)</w:t>
      </w:r>
      <w:r w:rsidRPr="001E73A0">
        <w:rPr>
          <w:sz w:val="24"/>
          <w:szCs w:val="24"/>
        </w:rPr>
        <w:fldChar w:fldCharType="end"/>
      </w:r>
      <w:r w:rsidRPr="001E73A0">
        <w:rPr>
          <w:sz w:val="24"/>
          <w:szCs w:val="24"/>
          <w:lang w:val="de-DE"/>
        </w:rPr>
        <w:t xml:space="preserve"> and Kim et al. </w:t>
      </w:r>
      <w:r w:rsidRPr="001E73A0">
        <w:rPr>
          <w:sz w:val="24"/>
          <w:szCs w:val="24"/>
        </w:rPr>
        <w:fldChar w:fldCharType="begin" w:fldLock="1"/>
      </w:r>
      <w:r w:rsidRPr="001E73A0">
        <w:rPr>
          <w:sz w:val="24"/>
          <w:szCs w:val="24"/>
          <w:lang w:val="de-DE"/>
        </w:rPr>
        <w:instrText>ADDIN CSL_CITATION {"citationItems":[{"id":"ITEM-1","itemData":{"ISSN":"01654101","author":[{"dropping-particle":"","family":"Kim","given":"Jeong-Bon","non-dropping-particle":"","parse-names":false,"suffix":""},{"dropping-particle":"","family":"Li","given":"Leye","non-dropping-particle":"","parse-names":false,"suffix":""},{"dropping-particle":"","family":"Lu","given":"Louise Yi","non-dropping-particle":"","parse-names":false,"suffix":""},{"dropping-particle":"","family":"Yu","given":"Yangxin","non-dropping-particle":"","parse-names":false,"suffix":""}],"container-title":"Journal of Accounting and Economics","id":"ITEM-1","issue":"2-3","issued":{"date-parts":[["2016","4"]]},"page":"294-312","title":"Financial statement comparability and expected crash risk","type":"article-journal","volume":"61"},"suppress-author":1,"uris":["http://www.mendeley.com/documents/?uuid=6a92aef2-be5d-31d0-aed3-10b52719d593"]}],"mendeley":{"formattedCitation":"(2016)","plainTextFormattedCitation":"(2016)","previouslyFormattedCitation":"(2016)"},"properties":{"noteIndex":0},"schema":"https://github.com/citation-style-language/schema/raw/master/csl-citation.json"}</w:instrText>
      </w:r>
      <w:r w:rsidRPr="001E73A0">
        <w:rPr>
          <w:sz w:val="24"/>
          <w:szCs w:val="24"/>
        </w:rPr>
        <w:fldChar w:fldCharType="separate"/>
      </w:r>
      <w:r w:rsidRPr="001E73A0">
        <w:rPr>
          <w:noProof/>
          <w:sz w:val="24"/>
          <w:szCs w:val="24"/>
          <w:lang w:val="de-DE"/>
        </w:rPr>
        <w:t>(2016)</w:t>
      </w:r>
      <w:r w:rsidRPr="001E73A0">
        <w:rPr>
          <w:sz w:val="24"/>
          <w:szCs w:val="24"/>
        </w:rPr>
        <w:fldChar w:fldCharType="end"/>
      </w:r>
      <w:r w:rsidRPr="001E73A0">
        <w:rPr>
          <w:sz w:val="24"/>
          <w:szCs w:val="24"/>
          <w:lang w:val="de-DE"/>
        </w:rPr>
        <w:t xml:space="preserve">. </w:t>
      </w:r>
    </w:p>
    <w:p w14:paraId="15C7F720" w14:textId="77777777" w:rsidR="00465179" w:rsidRPr="001E73A0" w:rsidRDefault="00465179" w:rsidP="00465179">
      <w:pPr>
        <w:jc w:val="both"/>
        <w:rPr>
          <w:sz w:val="24"/>
          <w:szCs w:val="24"/>
          <w:lang w:val="de-DE"/>
        </w:rPr>
      </w:pPr>
    </w:p>
    <w:p w14:paraId="336040C5" w14:textId="77777777" w:rsidR="00465179" w:rsidRPr="001E73A0" w:rsidRDefault="00465179" w:rsidP="00465179">
      <w:pPr>
        <w:pStyle w:val="1"/>
        <w:rPr>
          <w:lang w:val="de-DE"/>
        </w:rPr>
      </w:pPr>
      <w:r w:rsidRPr="001E73A0">
        <w:rPr>
          <w:lang w:val="de-DE"/>
        </w:rPr>
        <w:t>4. The Impact of Comparability on Employment Decisions</w:t>
      </w:r>
    </w:p>
    <w:p w14:paraId="0EA19D9C" w14:textId="77777777" w:rsidR="00465179" w:rsidRPr="001E73A0" w:rsidRDefault="00465179" w:rsidP="00465179">
      <w:pPr>
        <w:pStyle w:val="2"/>
        <w:adjustRightInd w:val="0"/>
        <w:snapToGrid w:val="0"/>
        <w:spacing w:before="0" w:after="0" w:line="360" w:lineRule="auto"/>
        <w:rPr>
          <w:szCs w:val="24"/>
        </w:rPr>
      </w:pPr>
      <w:r w:rsidRPr="001E73A0">
        <w:rPr>
          <w:szCs w:val="24"/>
        </w:rPr>
        <w:t>4.1 Baseline Results</w:t>
      </w:r>
    </w:p>
    <w:p w14:paraId="69282D8E" w14:textId="6ADF3D72"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We first explore the role of accounting comparability in corporate employment decisions by estimating Eq. (6) and report the results in Table 2. In Model (1), </w:t>
      </w:r>
      <w:r w:rsidRPr="001E73A0">
        <w:rPr>
          <w:i/>
          <w:sz w:val="24"/>
          <w:szCs w:val="24"/>
        </w:rPr>
        <w:t>CompacctInd</w:t>
      </w:r>
      <w:r w:rsidRPr="001E73A0">
        <w:rPr>
          <w:sz w:val="24"/>
          <w:szCs w:val="24"/>
        </w:rPr>
        <w:t xml:space="preserve"> is used as the proxy for the comparability of firms’ financial statements. The result shows that comparability is significantly and negatively associated with abnormal net hiring at the 1% level. This supports </w:t>
      </w:r>
      <w:r w:rsidR="00502D3D">
        <w:rPr>
          <w:sz w:val="24"/>
          <w:szCs w:val="24"/>
        </w:rPr>
        <w:t>our h</w:t>
      </w:r>
      <w:r w:rsidRPr="001E73A0">
        <w:rPr>
          <w:sz w:val="24"/>
          <w:szCs w:val="24"/>
        </w:rPr>
        <w:t xml:space="preserve">ypothesis that accounting comparability improves efficiencies in labour investments. The negative effect is also economically significant: one-standard-deviation increase in the level of comparability in year </w:t>
      </w:r>
      <w:r w:rsidRPr="001E73A0">
        <w:rPr>
          <w:i/>
          <w:iCs/>
          <w:sz w:val="24"/>
          <w:szCs w:val="24"/>
        </w:rPr>
        <w:t>t-1</w:t>
      </w:r>
      <w:r w:rsidRPr="001E73A0">
        <w:rPr>
          <w:sz w:val="24"/>
          <w:szCs w:val="24"/>
        </w:rPr>
        <w:t xml:space="preserve"> leads to a 6.16% reduction in labour investment inefficiency in year t.</w:t>
      </w:r>
      <w:r w:rsidRPr="001E73A0">
        <w:rPr>
          <w:rStyle w:val="a8"/>
        </w:rPr>
        <w:footnoteReference w:id="9"/>
      </w:r>
      <w:r w:rsidRPr="001E73A0">
        <w:rPr>
          <w:sz w:val="24"/>
          <w:szCs w:val="24"/>
        </w:rPr>
        <w:t xml:space="preserve">  Models (2) to (4) in Table 2 report the results of estimating Eq. (6) using alternative proxies for financial statement comparability (</w:t>
      </w:r>
      <w:r w:rsidRPr="001E73A0">
        <w:rPr>
          <w:i/>
          <w:sz w:val="24"/>
          <w:szCs w:val="24"/>
        </w:rPr>
        <w:t>Compacct10</w:t>
      </w:r>
      <w:r w:rsidRPr="001E73A0">
        <w:rPr>
          <w:sz w:val="24"/>
          <w:szCs w:val="24"/>
        </w:rPr>
        <w:t xml:space="preserve">, </w:t>
      </w:r>
      <w:r w:rsidRPr="001E73A0">
        <w:rPr>
          <w:i/>
          <w:sz w:val="24"/>
          <w:szCs w:val="24"/>
        </w:rPr>
        <w:t>CompacctBasu</w:t>
      </w:r>
      <w:r w:rsidRPr="001E73A0">
        <w:rPr>
          <w:sz w:val="24"/>
          <w:szCs w:val="24"/>
        </w:rPr>
        <w:t xml:space="preserve">, and </w:t>
      </w:r>
      <w:r w:rsidRPr="001E73A0">
        <w:rPr>
          <w:i/>
          <w:sz w:val="24"/>
          <w:szCs w:val="24"/>
        </w:rPr>
        <w:t>CompacctPle</w:t>
      </w:r>
      <w:r w:rsidRPr="001E73A0">
        <w:rPr>
          <w:sz w:val="24"/>
          <w:szCs w:val="24"/>
        </w:rPr>
        <w:t xml:space="preserve">). The estimated coefficients of these alternative comparability measures are all significantly negative at the 1% level, corroborating the finding in Model (1). </w:t>
      </w:r>
    </w:p>
    <w:p w14:paraId="45689027" w14:textId="77777777" w:rsidR="00465179" w:rsidRPr="001E73A0" w:rsidRDefault="00465179" w:rsidP="00465179">
      <w:pPr>
        <w:adjustRightInd w:val="0"/>
        <w:snapToGrid w:val="0"/>
        <w:spacing w:after="0" w:line="360" w:lineRule="auto"/>
        <w:ind w:firstLine="720"/>
        <w:jc w:val="both"/>
        <w:rPr>
          <w:sz w:val="24"/>
          <w:szCs w:val="24"/>
        </w:rPr>
      </w:pPr>
    </w:p>
    <w:p w14:paraId="576F13C4" w14:textId="77777777" w:rsidR="00465179" w:rsidRPr="001E73A0" w:rsidRDefault="00465179" w:rsidP="00465179">
      <w:pPr>
        <w:adjustRightInd w:val="0"/>
        <w:snapToGrid w:val="0"/>
        <w:spacing w:after="0" w:line="360" w:lineRule="auto"/>
        <w:jc w:val="center"/>
        <w:rPr>
          <w:sz w:val="24"/>
          <w:szCs w:val="24"/>
        </w:rPr>
      </w:pPr>
      <w:r w:rsidRPr="001E73A0">
        <w:rPr>
          <w:sz w:val="24"/>
          <w:szCs w:val="24"/>
        </w:rPr>
        <w:t>[Insert Table 2 around here]</w:t>
      </w:r>
    </w:p>
    <w:p w14:paraId="5B5619BF" w14:textId="77777777" w:rsidR="00465179" w:rsidRPr="001E73A0" w:rsidRDefault="00465179" w:rsidP="00465179">
      <w:pPr>
        <w:adjustRightInd w:val="0"/>
        <w:snapToGrid w:val="0"/>
        <w:spacing w:after="0" w:line="360" w:lineRule="auto"/>
        <w:jc w:val="center"/>
        <w:rPr>
          <w:sz w:val="24"/>
          <w:szCs w:val="24"/>
        </w:rPr>
      </w:pPr>
    </w:p>
    <w:p w14:paraId="1126A289" w14:textId="77777777"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With regards to the control variables, consistent with prior literature (e.g., Ben-Nasr and Alshwer, 2016; Jung et al., 2014), firms with more tangible assets (</w:t>
      </w:r>
      <w:r w:rsidRPr="001E73A0">
        <w:rPr>
          <w:i/>
          <w:sz w:val="24"/>
          <w:szCs w:val="24"/>
        </w:rPr>
        <w:t>Tangible</w:t>
      </w:r>
      <w:r w:rsidRPr="001E73A0">
        <w:rPr>
          <w:sz w:val="24"/>
          <w:szCs w:val="24"/>
        </w:rPr>
        <w:t>), dividend pay-out (</w:t>
      </w:r>
      <w:r w:rsidRPr="001E73A0">
        <w:rPr>
          <w:i/>
          <w:sz w:val="24"/>
          <w:szCs w:val="24"/>
        </w:rPr>
        <w:t>Div_Payer</w:t>
      </w:r>
      <w:r w:rsidRPr="001E73A0">
        <w:rPr>
          <w:sz w:val="24"/>
          <w:szCs w:val="24"/>
        </w:rPr>
        <w:t>), higher institutional ownership (</w:t>
      </w:r>
      <w:r w:rsidRPr="001E73A0">
        <w:rPr>
          <w:i/>
          <w:sz w:val="24"/>
          <w:szCs w:val="24"/>
        </w:rPr>
        <w:t>IO</w:t>
      </w:r>
      <w:r w:rsidRPr="001E73A0">
        <w:rPr>
          <w:sz w:val="24"/>
          <w:szCs w:val="24"/>
        </w:rPr>
        <w:t>), and greater labour intensity (</w:t>
      </w:r>
      <w:r w:rsidRPr="001E73A0">
        <w:rPr>
          <w:i/>
          <w:sz w:val="24"/>
          <w:szCs w:val="24"/>
        </w:rPr>
        <w:t>Labour_Intensity</w:t>
      </w:r>
      <w:r w:rsidRPr="001E73A0">
        <w:rPr>
          <w:sz w:val="24"/>
          <w:szCs w:val="24"/>
        </w:rPr>
        <w:t>) tend to exhibit higher levels of efficiency in net hiring practices. More liquid firms (</w:t>
      </w:r>
      <w:r w:rsidRPr="001E73A0">
        <w:rPr>
          <w:i/>
          <w:sz w:val="24"/>
          <w:szCs w:val="24"/>
        </w:rPr>
        <w:t>Quick</w:t>
      </w:r>
      <w:r w:rsidRPr="001E73A0">
        <w:rPr>
          <w:sz w:val="24"/>
          <w:szCs w:val="24"/>
        </w:rPr>
        <w:t>), and firms with higher operating and net hiring volatility (</w:t>
      </w:r>
      <w:r w:rsidRPr="001E73A0">
        <w:rPr>
          <w:i/>
          <w:sz w:val="24"/>
          <w:szCs w:val="24"/>
        </w:rPr>
        <w:t>CFO_Vol</w:t>
      </w:r>
      <w:r w:rsidRPr="001E73A0">
        <w:rPr>
          <w:sz w:val="24"/>
          <w:szCs w:val="24"/>
        </w:rPr>
        <w:t xml:space="preserve">, </w:t>
      </w:r>
      <w:r w:rsidRPr="001E73A0">
        <w:rPr>
          <w:i/>
          <w:sz w:val="24"/>
          <w:szCs w:val="24"/>
        </w:rPr>
        <w:t>Net_Hiring_Vol</w:t>
      </w:r>
      <w:r w:rsidRPr="001E73A0">
        <w:rPr>
          <w:sz w:val="24"/>
          <w:szCs w:val="24"/>
        </w:rPr>
        <w:t>) and loss (</w:t>
      </w:r>
      <w:r w:rsidRPr="001E73A0">
        <w:rPr>
          <w:i/>
          <w:sz w:val="24"/>
          <w:szCs w:val="24"/>
        </w:rPr>
        <w:t>Loss</w:t>
      </w:r>
      <w:r w:rsidRPr="001E73A0">
        <w:rPr>
          <w:sz w:val="24"/>
          <w:szCs w:val="24"/>
        </w:rPr>
        <w:t>) invest less efficiently in labour. Also, we find that centrally located firms (</w:t>
      </w:r>
      <w:r w:rsidRPr="001E73A0">
        <w:rPr>
          <w:i/>
          <w:sz w:val="24"/>
          <w:szCs w:val="24"/>
        </w:rPr>
        <w:t>Central</w:t>
      </w:r>
      <w:r w:rsidRPr="001E73A0">
        <w:rPr>
          <w:sz w:val="24"/>
          <w:szCs w:val="24"/>
        </w:rPr>
        <w:t>) and firms headquartered in counties with larger population size (</w:t>
      </w:r>
      <w:r w:rsidRPr="001E73A0">
        <w:rPr>
          <w:i/>
          <w:sz w:val="24"/>
          <w:szCs w:val="24"/>
        </w:rPr>
        <w:t>Pop</w:t>
      </w:r>
      <w:r w:rsidRPr="001E73A0">
        <w:rPr>
          <w:sz w:val="24"/>
          <w:szCs w:val="24"/>
        </w:rPr>
        <w:t xml:space="preserve">) </w:t>
      </w:r>
      <w:r w:rsidRPr="001E73A0">
        <w:rPr>
          <w:sz w:val="24"/>
          <w:szCs w:val="24"/>
        </w:rPr>
        <w:lastRenderedPageBreak/>
        <w:t>are less efficient in labour investment. Furthermore, the results show that high-quality earnings can reduce abnormal net hiring, consistent with Jung et al. (2014). The findings confirm our conjecture that accounting comparability, which allows users to perform cross-firm comparisons and captures a distinct attribute of accounting information, can affect firms’ decisions in labour investment. In addition, we find that the estimated coefficients, across all the specifications, on abnormal non-labour investments (|</w:t>
      </w:r>
      <w:r w:rsidRPr="001E73A0">
        <w:rPr>
          <w:i/>
          <w:sz w:val="24"/>
          <w:szCs w:val="24"/>
        </w:rPr>
        <w:t>Ab_Other_Invest</w:t>
      </w:r>
      <w:r w:rsidRPr="001E73A0">
        <w:rPr>
          <w:sz w:val="24"/>
          <w:szCs w:val="24"/>
        </w:rPr>
        <w:t xml:space="preserve">|) are statistically significant and positive, indicating that non-labour and labour investments are complementary. These findings imply that the relationship between comparability and abnormal net hiring is not entirely driven by the influence of comparability on other investments. </w:t>
      </w:r>
    </w:p>
    <w:p w14:paraId="123615B3" w14:textId="6F097A6F"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One potential concern for our results is that accounting comparability and corporate net hiring practices are jointly determined by some unobserved factors. To address this concern, we repeat the analysis of Models (1) to (4), but using firm fixed-effects with results reported in Models (5) to (8) of Table 2. The estimated coefficients on our comparability proxies remain significantly negative at the 1% level, consistent with our earlier findings. Overall, results in Table 2 imply that comparability manifests a robust and negative effect on labour investment inefficiency, which provides supportive evidence for </w:t>
      </w:r>
      <w:r w:rsidR="00502D3D">
        <w:rPr>
          <w:sz w:val="24"/>
          <w:szCs w:val="24"/>
        </w:rPr>
        <w:t>our h</w:t>
      </w:r>
      <w:r w:rsidRPr="001E73A0">
        <w:rPr>
          <w:sz w:val="24"/>
          <w:szCs w:val="24"/>
        </w:rPr>
        <w:t>ypothesis that higher comparability facilitates more efficient labour investment.</w:t>
      </w:r>
    </w:p>
    <w:p w14:paraId="3FEB22C8" w14:textId="77777777" w:rsidR="00465179" w:rsidRPr="001E73A0" w:rsidRDefault="00465179" w:rsidP="00465179">
      <w:pPr>
        <w:adjustRightInd w:val="0"/>
        <w:snapToGrid w:val="0"/>
        <w:spacing w:after="0" w:line="360" w:lineRule="auto"/>
        <w:jc w:val="both"/>
        <w:rPr>
          <w:sz w:val="24"/>
          <w:szCs w:val="24"/>
        </w:rPr>
      </w:pPr>
    </w:p>
    <w:p w14:paraId="3AA239AF" w14:textId="77777777" w:rsidR="00465179" w:rsidRPr="001E73A0" w:rsidRDefault="00465179" w:rsidP="00465179">
      <w:pPr>
        <w:pStyle w:val="2"/>
        <w:adjustRightInd w:val="0"/>
        <w:snapToGrid w:val="0"/>
        <w:spacing w:before="0" w:after="0" w:line="360" w:lineRule="auto"/>
        <w:rPr>
          <w:szCs w:val="24"/>
        </w:rPr>
      </w:pPr>
      <w:r w:rsidRPr="001E73A0">
        <w:rPr>
          <w:szCs w:val="24"/>
        </w:rPr>
        <w:t>4.2 Specific Forms of Labour Investment Inefficiency</w:t>
      </w:r>
    </w:p>
    <w:p w14:paraId="7C8BBF0B" w14:textId="19C2B2B3" w:rsidR="00465179" w:rsidRPr="001E73A0" w:rsidRDefault="00465179" w:rsidP="00465179">
      <w:pPr>
        <w:adjustRightInd w:val="0"/>
        <w:snapToGrid w:val="0"/>
        <w:spacing w:after="0" w:line="360" w:lineRule="auto"/>
        <w:ind w:firstLine="720"/>
        <w:jc w:val="both"/>
      </w:pPr>
      <w:r w:rsidRPr="001E73A0">
        <w:rPr>
          <w:sz w:val="24"/>
          <w:szCs w:val="24"/>
        </w:rPr>
        <w:t xml:space="preserve">We next explore the role of comparability in reducing any deviation of labour investment away from the optimal, namely over- or under-investment as suboptimal. Over-investment occurs when managers over-hire and/or under-fire employees working on unprofitable and non-strategic projects. Under-investment, on the other hand, occurs when managers under-hire and/or over-fire staff working on profitable and strategic projects. Deviation from the optimal level of labour investment can create distortions in a firm’s future operating performance and is likely counter to the interest of shareholders </w:t>
      </w:r>
      <w:r w:rsidRPr="001E73A0">
        <w:rPr>
          <w:sz w:val="24"/>
          <w:szCs w:val="24"/>
        </w:rPr>
        <w:fldChar w:fldCharType="begin" w:fldLock="1"/>
      </w:r>
      <w:r w:rsidR="00B42CFA"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Pr="001E73A0">
        <w:rPr>
          <w:sz w:val="24"/>
          <w:szCs w:val="24"/>
        </w:rPr>
        <w:fldChar w:fldCharType="separate"/>
      </w:r>
      <w:r w:rsidR="00B42CFA" w:rsidRPr="001E73A0">
        <w:rPr>
          <w:noProof/>
          <w:sz w:val="24"/>
          <w:szCs w:val="24"/>
        </w:rPr>
        <w:t>(Ghaly et al., 2020)</w:t>
      </w:r>
      <w:r w:rsidRPr="001E73A0">
        <w:rPr>
          <w:sz w:val="24"/>
          <w:szCs w:val="24"/>
        </w:rPr>
        <w:fldChar w:fldCharType="end"/>
      </w:r>
      <w:r w:rsidRPr="001E73A0">
        <w:rPr>
          <w:sz w:val="24"/>
          <w:szCs w:val="24"/>
        </w:rPr>
        <w:t>.  In particular, a firm over- or under-invests if its actual net hiring is greater or less than the expected value. We estimate Eq. (6) for over- and under-investment sub-samples and report the results in Table 3.</w:t>
      </w:r>
      <w:r w:rsidRPr="001E73A0">
        <w:rPr>
          <w:rStyle w:val="a8"/>
        </w:rPr>
        <w:footnoteReference w:id="10"/>
      </w:r>
      <w:r w:rsidRPr="001E73A0">
        <w:t xml:space="preserve"> </w:t>
      </w:r>
    </w:p>
    <w:p w14:paraId="182D0C59" w14:textId="77777777" w:rsidR="00465179" w:rsidRPr="001E73A0" w:rsidRDefault="00465179" w:rsidP="00465179">
      <w:pPr>
        <w:adjustRightInd w:val="0"/>
        <w:snapToGrid w:val="0"/>
        <w:spacing w:after="0" w:line="360" w:lineRule="auto"/>
        <w:ind w:firstLine="720"/>
        <w:jc w:val="both"/>
        <w:rPr>
          <w:sz w:val="24"/>
          <w:szCs w:val="24"/>
        </w:rPr>
      </w:pPr>
    </w:p>
    <w:p w14:paraId="133F75D8" w14:textId="77777777" w:rsidR="00465179" w:rsidRPr="001E73A0" w:rsidRDefault="00465179" w:rsidP="00465179">
      <w:pPr>
        <w:adjustRightInd w:val="0"/>
        <w:snapToGrid w:val="0"/>
        <w:spacing w:after="0" w:line="360" w:lineRule="auto"/>
        <w:jc w:val="center"/>
        <w:rPr>
          <w:sz w:val="24"/>
          <w:szCs w:val="24"/>
        </w:rPr>
      </w:pPr>
      <w:r w:rsidRPr="001E73A0">
        <w:rPr>
          <w:sz w:val="24"/>
          <w:szCs w:val="24"/>
        </w:rPr>
        <w:t>[Insert Table 3 around here]</w:t>
      </w:r>
    </w:p>
    <w:p w14:paraId="0498AC33" w14:textId="77777777" w:rsidR="00465179" w:rsidRPr="001E73A0" w:rsidRDefault="00465179" w:rsidP="00465179">
      <w:pPr>
        <w:adjustRightInd w:val="0"/>
        <w:snapToGrid w:val="0"/>
        <w:spacing w:after="0" w:line="360" w:lineRule="auto"/>
        <w:jc w:val="center"/>
        <w:rPr>
          <w:sz w:val="24"/>
          <w:szCs w:val="24"/>
        </w:rPr>
      </w:pPr>
    </w:p>
    <w:p w14:paraId="7012D400" w14:textId="77777777"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The results on the link between comparability and labour over-investment are reported in Models (1) to (4) of Panel A of Table 3. In Models (1) to (4), we use</w:t>
      </w:r>
      <w:r w:rsidRPr="001E73A0">
        <w:rPr>
          <w:i/>
          <w:sz w:val="24"/>
          <w:szCs w:val="24"/>
        </w:rPr>
        <w:t xml:space="preserve"> CompacctInd</w:t>
      </w:r>
      <w:r w:rsidRPr="001E73A0">
        <w:rPr>
          <w:sz w:val="24"/>
          <w:szCs w:val="24"/>
        </w:rPr>
        <w:t>,</w:t>
      </w:r>
      <w:r w:rsidRPr="001E73A0">
        <w:rPr>
          <w:i/>
          <w:sz w:val="24"/>
          <w:szCs w:val="24"/>
        </w:rPr>
        <w:t xml:space="preserve"> Compacct10</w:t>
      </w:r>
      <w:r w:rsidRPr="001E73A0">
        <w:rPr>
          <w:sz w:val="24"/>
          <w:szCs w:val="24"/>
        </w:rPr>
        <w:t xml:space="preserve">, </w:t>
      </w:r>
      <w:r w:rsidRPr="001E73A0">
        <w:rPr>
          <w:i/>
          <w:sz w:val="24"/>
          <w:szCs w:val="24"/>
        </w:rPr>
        <w:t>CompacctBasu</w:t>
      </w:r>
      <w:r w:rsidRPr="001E73A0">
        <w:rPr>
          <w:sz w:val="24"/>
          <w:szCs w:val="24"/>
        </w:rPr>
        <w:t xml:space="preserve">, and </w:t>
      </w:r>
      <w:r w:rsidRPr="001E73A0">
        <w:rPr>
          <w:i/>
          <w:sz w:val="24"/>
          <w:szCs w:val="24"/>
        </w:rPr>
        <w:t>CompacctPle</w:t>
      </w:r>
      <w:r w:rsidRPr="001E73A0">
        <w:rPr>
          <w:sz w:val="24"/>
          <w:szCs w:val="24"/>
        </w:rPr>
        <w:t xml:space="preserve"> as proxies for financial statement comparability, respectively. We observe that the estimated coefficients of all comparability measures are negative and significant at the 5% level, implying that higher levels of comparability help alleviate labour over-investment problems. </w:t>
      </w:r>
    </w:p>
    <w:p w14:paraId="1D5BFC0A" w14:textId="77777777"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We further deconstruct over-investment into over-hiring and under-firing by considering whether a firm’s labour force should grow or contract according to firm-specific fundamentals. In particular, over-hiring (or under-firing) is defined as over-investment when expected net hiring is positive (or negative) respectively. Models (5) to (8) of Panel A of Table 3 present the results for the over-hiring sub-sample. The significant negative coefficients of comparability measures indicate that comparable accounting information can reduce over-investment in the period of expansion. Models (9) to (12) of Panel A of Table 3 report the results for the under-firing sub-sample. All the estimated coefficients on comparability proxies are significant and negative, suggesting that financial reporting comparability can mitigate labour over-investment issues in the period of expected contraction. Therefore, our inferences regarding the effect of comparability on over-investment in labour hold in periods of both expected expansion and expected recession. </w:t>
      </w:r>
    </w:p>
    <w:p w14:paraId="6CE0BECE" w14:textId="77777777"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The results on the association between comparability and under-investment are reported in Models (1) to (4) of Panel B of Table 3. The negative and significant coefficients on all comparability measures suggest that accounting comparability can reduce labour under-investment. Comparing the coefficients of comparability for over-investment with those of the under-investment sub-sample, we observe that accounting comparability plays a relatively greater role in alleviating over-investment problems. </w:t>
      </w:r>
    </w:p>
    <w:p w14:paraId="0504E75D" w14:textId="77777777"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Likewise, we split under-investment into under-hiring and over-firing sub-samples. Under-hiring (or over-firing) is defined as under-investment when expected net hiring is positive (or negative). Models (5) to (8) and Models (9) to (12) of Panel B of Table 3 report the results for under-hiring and over-firing sub-samples, respectively. As we observe, the coefficients of all comparability measures are negative and significant at the 1% level. The </w:t>
      </w:r>
      <w:r w:rsidRPr="001E73A0">
        <w:rPr>
          <w:sz w:val="24"/>
          <w:szCs w:val="24"/>
        </w:rPr>
        <w:lastRenderedPageBreak/>
        <w:t xml:space="preserve">results indicate that comparable financial reports can mitigate the under-investment problem in both expected expansion and expected contraction periods. </w:t>
      </w:r>
    </w:p>
    <w:p w14:paraId="52C75614" w14:textId="00CAB76E" w:rsidR="00465179" w:rsidRPr="001E73A0" w:rsidRDefault="00465179" w:rsidP="00465179">
      <w:pPr>
        <w:adjustRightInd w:val="0"/>
        <w:snapToGrid w:val="0"/>
        <w:spacing w:after="0" w:line="360" w:lineRule="auto"/>
        <w:ind w:firstLine="720"/>
        <w:jc w:val="both"/>
        <w:rPr>
          <w:sz w:val="24"/>
          <w:szCs w:val="24"/>
        </w:rPr>
      </w:pPr>
      <w:r w:rsidRPr="001E73A0">
        <w:rPr>
          <w:sz w:val="24"/>
          <w:szCs w:val="24"/>
        </w:rPr>
        <w:t xml:space="preserve">Collectively, we find that comparability can alleviate all specific forms of inefficiency in labour investments, which is consistent with our supposition. The results indicate that accounting comparability does not simply increase or reduce labour investment </w:t>
      </w:r>
      <w:r w:rsidRPr="001E73A0">
        <w:rPr>
          <w:i/>
          <w:sz w:val="24"/>
          <w:szCs w:val="24"/>
        </w:rPr>
        <w:t>per se</w:t>
      </w:r>
      <w:r w:rsidRPr="001E73A0">
        <w:rPr>
          <w:sz w:val="24"/>
          <w:szCs w:val="24"/>
        </w:rPr>
        <w:t>, but rather ensures it is closer to the optimal, justified by the underlying fundamentals.</w:t>
      </w:r>
    </w:p>
    <w:p w14:paraId="443E0EDD" w14:textId="77777777" w:rsidR="00465179" w:rsidRPr="001E73A0" w:rsidRDefault="00465179" w:rsidP="00465179">
      <w:pPr>
        <w:spacing w:after="0" w:line="360" w:lineRule="auto"/>
        <w:jc w:val="center"/>
        <w:rPr>
          <w:sz w:val="24"/>
          <w:szCs w:val="24"/>
        </w:rPr>
      </w:pPr>
    </w:p>
    <w:p w14:paraId="1BCD06B5" w14:textId="77777777" w:rsidR="00465179" w:rsidRPr="001E73A0" w:rsidRDefault="00465179" w:rsidP="00465179">
      <w:pPr>
        <w:pStyle w:val="2"/>
      </w:pPr>
      <w:r w:rsidRPr="001E73A0">
        <w:t>4.3 Mechanisms through which Comparability Affects Employment Decision-Making</w:t>
      </w:r>
      <w:r w:rsidRPr="001E73A0" w:rsidDel="00861DA1">
        <w:t xml:space="preserve"> </w:t>
      </w:r>
    </w:p>
    <w:p w14:paraId="2387201A" w14:textId="77777777" w:rsidR="00465179" w:rsidRPr="001E73A0" w:rsidRDefault="00465179" w:rsidP="00465179">
      <w:pPr>
        <w:spacing w:after="0" w:line="360" w:lineRule="auto"/>
        <w:ind w:firstLine="720"/>
        <w:jc w:val="both"/>
        <w:rPr>
          <w:sz w:val="24"/>
          <w:szCs w:val="24"/>
        </w:rPr>
      </w:pPr>
      <w:r w:rsidRPr="001E73A0">
        <w:rPr>
          <w:sz w:val="24"/>
          <w:szCs w:val="24"/>
        </w:rPr>
        <w:t xml:space="preserve">Our results thus far show that accounting comparability fosters more efficient labour investment. In this section, we examine the underlying mechanisms through which comparability affects firms’ employment decisions. We contend that it lowers labour investment inefficiency via external monitoring and internal governance mechanisms. We expect comparability to be more useful in employment decision-making when external monitoring and/or internal governance is weaker. Because firms with these two shortcomings are more likely to benefit from comparable accounting information, we expect it to exert greater impact on them than others. </w:t>
      </w:r>
    </w:p>
    <w:p w14:paraId="11E750D4" w14:textId="77777777" w:rsidR="00465179" w:rsidRPr="001E73A0" w:rsidRDefault="00465179" w:rsidP="00465179">
      <w:pPr>
        <w:spacing w:after="0" w:line="360" w:lineRule="auto"/>
        <w:ind w:firstLine="720"/>
        <w:jc w:val="both"/>
        <w:rPr>
          <w:sz w:val="24"/>
          <w:szCs w:val="24"/>
        </w:rPr>
      </w:pPr>
      <w:r w:rsidRPr="001E73A0">
        <w:rPr>
          <w:sz w:val="24"/>
          <w:szCs w:val="24"/>
        </w:rPr>
        <w:t xml:space="preserve">Thus, we predict that the impact of accounting comparability on employment decision-making is more pronounced in firms under weak external monitoring or with weak internal governance environments. To test the prediction, we construct sub-samples based on firms’ external and internal monitoring environments. This provides us with a means to examine whether comparability increases the decision-making usefulness of accounting information under different monitoring conditions. </w:t>
      </w:r>
    </w:p>
    <w:p w14:paraId="72147E26" w14:textId="4F937819" w:rsidR="00465179" w:rsidRPr="001E73A0" w:rsidRDefault="00465179" w:rsidP="00465179">
      <w:pPr>
        <w:spacing w:after="0" w:line="360" w:lineRule="auto"/>
        <w:ind w:firstLine="720"/>
        <w:jc w:val="both"/>
        <w:rPr>
          <w:sz w:val="24"/>
          <w:szCs w:val="24"/>
        </w:rPr>
      </w:pPr>
      <w:r w:rsidRPr="001E73A0">
        <w:rPr>
          <w:sz w:val="24"/>
          <w:szCs w:val="24"/>
        </w:rPr>
        <w:t xml:space="preserve">For the external monitoring mechanism, we argue that comparability improves transparency for a number of powerful external corporate monitors (analysts, institutional investors, auditors, and labour unions) enhancing managerial labour investment decision-making by constraining managers from undertaking suboptimal employment decisions. Since institutional investors have more influence when they are larger shareholders </w:t>
      </w:r>
      <w:r w:rsidRPr="001E73A0">
        <w:rPr>
          <w:sz w:val="24"/>
          <w:szCs w:val="24"/>
        </w:rPr>
        <w:fldChar w:fldCharType="begin" w:fldLock="1"/>
      </w:r>
      <w:r w:rsidRPr="001E73A0">
        <w:rPr>
          <w:sz w:val="24"/>
          <w:szCs w:val="24"/>
        </w:rPr>
        <w:instrText>ADDIN CSL_CITATION {"citationItems":[{"id":"ITEM-1","itemData":{"author":[{"dropping-particle":"","family":"Shleifer","given":"Andrei","non-dropping-particle":"","parse-names":false,"suffix":""},{"dropping-particle":"","family":"Vishny","given":"Robert","non-dropping-particle":"","parse-names":false,"suffix":""}],"container-title":"Journal of Political Economy","id":"ITEM-1","issue":"3","issued":{"date-parts":[["1986"]]},"title":"Large shareholders and corporate control","type":"article-journal","volume":"94"},"uris":["http://www.mendeley.com/documents/?uuid=32fda91f-3619-32f7-9d88-29a23ef7bfcf"]}],"mendeley":{"formattedCitation":"(Shleifer &amp; Vishny, 1986)","plainTextFormattedCitation":"(Shleifer &amp; Vishny, 1986)","previouslyFormattedCitation":"(Shleifer &amp; Vishny, 1986)"},"properties":{"noteIndex":0},"schema":"https://github.com/citation-style-language/schema/raw/master/csl-citation.json"}</w:instrText>
      </w:r>
      <w:r w:rsidRPr="001E73A0">
        <w:rPr>
          <w:sz w:val="24"/>
          <w:szCs w:val="24"/>
        </w:rPr>
        <w:fldChar w:fldCharType="separate"/>
      </w:r>
      <w:r w:rsidRPr="001E73A0">
        <w:rPr>
          <w:noProof/>
          <w:sz w:val="24"/>
          <w:szCs w:val="24"/>
        </w:rPr>
        <w:t>(Shleifer &amp; Vishny, 1986)</w:t>
      </w:r>
      <w:r w:rsidRPr="001E73A0">
        <w:rPr>
          <w:sz w:val="24"/>
          <w:szCs w:val="24"/>
        </w:rPr>
        <w:fldChar w:fldCharType="end"/>
      </w:r>
      <w:r w:rsidRPr="001E73A0">
        <w:rPr>
          <w:sz w:val="24"/>
          <w:szCs w:val="24"/>
        </w:rPr>
        <w:t>, we adopt institutional ownership concentration (</w:t>
      </w:r>
      <w:r w:rsidRPr="001E73A0">
        <w:rPr>
          <w:i/>
          <w:sz w:val="24"/>
          <w:szCs w:val="24"/>
        </w:rPr>
        <w:t>IOC</w:t>
      </w:r>
      <w:r w:rsidRPr="001E73A0">
        <w:rPr>
          <w:sz w:val="24"/>
          <w:szCs w:val="24"/>
        </w:rPr>
        <w:t xml:space="preserve">), proposed by Hartzell and Starks </w:t>
      </w:r>
      <w:r w:rsidRPr="001E73A0">
        <w:rPr>
          <w:sz w:val="24"/>
          <w:szCs w:val="24"/>
        </w:rPr>
        <w:fldChar w:fldCharType="begin" w:fldLock="1"/>
      </w:r>
      <w:r w:rsidRPr="001E73A0">
        <w:rPr>
          <w:sz w:val="24"/>
          <w:szCs w:val="24"/>
        </w:rPr>
        <w:instrText>ADDIN CSL_CITATION {"citationItems":[{"id":"ITEM-1","itemData":{"ISSN":"00221082","author":[{"dropping-particle":"","family":"Hartzell","given":"Jay C.","non-dropping-particle":"","parse-names":false,"suffix":""},{"dropping-particle":"","family":"Starks","given":"Laura T.","non-dropping-particle":"","parse-names":false,"suffix":""}],"container-title":"The Journal of Finance","id":"ITEM-1","issue":"6","issued":{"date-parts":[["2003","12"]]},"page":"2351-2374","publisher":"Blackwell Publishing Inc","title":"Institutional investors and executive compensation","type":"article-journal","volume":"58"},"suppress-author":1,"uris":["http://www.mendeley.com/documents/?uuid=58ed94c6-2f4a-34f3-b401-fd09f592edad"]}],"mendeley":{"formattedCitation":"(2003)","plainTextFormattedCitation":"(2003)","previouslyFormattedCitation":"(2003)"},"properties":{"noteIndex":0},"schema":"https://github.com/citation-style-language/schema/raw/master/csl-citation.json"}</w:instrText>
      </w:r>
      <w:r w:rsidRPr="001E73A0">
        <w:rPr>
          <w:sz w:val="24"/>
          <w:szCs w:val="24"/>
        </w:rPr>
        <w:fldChar w:fldCharType="separate"/>
      </w:r>
      <w:r w:rsidRPr="001E73A0">
        <w:rPr>
          <w:noProof/>
          <w:sz w:val="24"/>
          <w:szCs w:val="24"/>
        </w:rPr>
        <w:t>(2003)</w:t>
      </w:r>
      <w:r w:rsidRPr="001E73A0">
        <w:rPr>
          <w:sz w:val="24"/>
          <w:szCs w:val="24"/>
        </w:rPr>
        <w:fldChar w:fldCharType="end"/>
      </w:r>
      <w:r w:rsidRPr="001E73A0">
        <w:rPr>
          <w:sz w:val="24"/>
          <w:szCs w:val="24"/>
        </w:rPr>
        <w:t>, to capture strength of institutional investor influence. Analyst coverage (</w:t>
      </w:r>
      <w:r w:rsidRPr="001E73A0">
        <w:rPr>
          <w:i/>
          <w:iCs/>
          <w:sz w:val="24"/>
          <w:szCs w:val="24"/>
        </w:rPr>
        <w:t>Analyst</w:t>
      </w:r>
      <w:r w:rsidRPr="001E73A0">
        <w:rPr>
          <w:sz w:val="24"/>
          <w:szCs w:val="24"/>
        </w:rPr>
        <w:t xml:space="preserve">) is used to proxy for the strength of financial analyst oversight, consistent with previous studies </w:t>
      </w:r>
      <w:r w:rsidRPr="001E73A0">
        <w:rPr>
          <w:sz w:val="24"/>
          <w:szCs w:val="24"/>
        </w:rPr>
        <w:fldChar w:fldCharType="begin" w:fldLock="1"/>
      </w:r>
      <w:r w:rsidR="00DE57A9" w:rsidRPr="001E73A0">
        <w:rPr>
          <w:sz w:val="24"/>
          <w:szCs w:val="24"/>
        </w:rPr>
        <w:instrText>ADDIN CSL_CITATION {"citationItems":[{"id":"ITEM-1","itemData":{"ISSN":"0929-1199","abstract":"We examine the impact of financial analysts on the efficiency of firms' investment decisions. We use the accuracy and dispersion of financial analysts' earnings forecasts as proxies of analyst expertise and quality in making forecasts. We find that high quality forecast is associated with higher investment if the firm is more likely to under-invest and lower investment if the firm is more likely to over-invest, suggesting that forecast quality increases firm-level investment efficiency. We further show that such effects are stronger for the firms with higher information asymmetry and lower institutional stock ownership. The results are consistent with the notion that higher quality of analyst forecasts increases the information environment and external monitoring, which in turn increases investment efficiency.","author":[{"dropping-particle":"","family":"Chen","given":"Tao","non-dropping-particle":"","parse-names":false,"suffix":""},{"dropping-particle":"","family":"Xie","given":"Lingmin","non-dropping-particle":"","parse-names":false,"suffix":""},{"dropping-particle":"","family":"Zhang","given":"Yuanyuan","non-dropping-particle":"","parse-names":false,"suffix":""}],"container-title":"Journal of Corporate Finance","id":"ITEM-1","issued":{"date-parts":[["2017","4","1"]]},"page":"217-240","publisher":"North-Holland","title":"How does analysts' forecast quality relate to corporate investment efficiency?","type":"article-journal","volume":"43"},"uris":["http://www.mendeley.com/documents/?uuid=17fe3177-65b5-39ae-8fd5-e25f77a037c1"]},{"id":"ITEM-2","itemData":{"ISSN":"0304-405X","abstract":"What is the role of information intermediaries in corporate governance? This paper examines equity analysts’ influence on managers’ earnings management decisions. Do analysts serve as external monitors to managers, or do they put excessive pressure on managers? Using multiple measures of earnings management, I find that firms followed by more analysts manage their earnings less. To address the potential endogeneity problem of analyst coverage, I use two instrumental variables based on change in broker size and on firm's inclusion in the Standard &amp; Poor's 500 index, and I find that the results are robust. Finally, given the number of covering analysts, analysts from top brokers and more experienced analysts have stronger effects against earnings management.","author":[{"dropping-particle":"","family":"Yu","given":"F.","non-dropping-particle":"","parse-names":false,"suffix":""}],"container-title":"Journal of Financial Economics","id":"ITEM-2","issue":"2","issued":{"date-parts":[["2008","5","1"]]},"page":"245-271","publisher":"North-Holland","title":"Analyst coverage and earnings management","type":"article-journal","volume":"88"},"uris":["http://www.mendeley.com/documents/?uuid=d3c35aa6-f491-3096-9f50-9d5385a980d0"]}],"mendeley":{"formattedCitation":"(T. Chen et al., 2017; F. Yu, 2008)","manualFormatting":"(Chen et al., 2017; Yu, 2008)","plainTextFormattedCitation":"(T. Chen et al., 2017; F. Yu, 2008)","previouslyFormattedCitation":"(T. Chen et al., 2017; F. Yu, 2008)"},"properties":{"noteIndex":0},"schema":"https://github.com/citation-style-language/schema/raw/master/csl-citation.json"}</w:instrText>
      </w:r>
      <w:r w:rsidRPr="001E73A0">
        <w:rPr>
          <w:sz w:val="24"/>
          <w:szCs w:val="24"/>
        </w:rPr>
        <w:fldChar w:fldCharType="separate"/>
      </w:r>
      <w:r w:rsidRPr="001E73A0">
        <w:rPr>
          <w:noProof/>
          <w:sz w:val="24"/>
          <w:szCs w:val="24"/>
        </w:rPr>
        <w:t>(Chen et al., 2017; Yu, 2008)</w:t>
      </w:r>
      <w:r w:rsidRPr="001E73A0">
        <w:rPr>
          <w:sz w:val="24"/>
          <w:szCs w:val="24"/>
        </w:rPr>
        <w:fldChar w:fldCharType="end"/>
      </w:r>
      <w:r w:rsidRPr="001E73A0">
        <w:rPr>
          <w:sz w:val="24"/>
          <w:szCs w:val="24"/>
        </w:rPr>
        <w:t xml:space="preserve"> that document less opportunistic activities in </w:t>
      </w:r>
      <w:r w:rsidRPr="001E73A0">
        <w:rPr>
          <w:sz w:val="24"/>
          <w:szCs w:val="24"/>
        </w:rPr>
        <w:lastRenderedPageBreak/>
        <w:t>firms with high analyst coverage. Higher levels of analyst coverage and institutional ownership concentration indicate stronger monitoring by financial analysts and institutional investors, respectively. We adopt Big4 indicator (</w:t>
      </w:r>
      <w:r w:rsidRPr="001E73A0">
        <w:rPr>
          <w:i/>
          <w:iCs/>
          <w:sz w:val="24"/>
          <w:szCs w:val="24"/>
        </w:rPr>
        <w:t>Big4</w:t>
      </w:r>
      <w:r w:rsidRPr="001E73A0">
        <w:rPr>
          <w:sz w:val="24"/>
          <w:szCs w:val="24"/>
        </w:rPr>
        <w:t xml:space="preserve">) to measure the strength of external monitoring by auditors since the Big Four accounting and professional services firms are more effective in monitoring and deterring self-interested managerial opportunistic behaviour </w:t>
      </w:r>
      <w:r w:rsidRPr="001E73A0">
        <w:rPr>
          <w:sz w:val="24"/>
          <w:szCs w:val="24"/>
        </w:rPr>
        <w:fldChar w:fldCharType="begin" w:fldLock="1"/>
      </w:r>
      <w:r w:rsidR="00B42CFA" w:rsidRPr="001E73A0">
        <w:rPr>
          <w:sz w:val="24"/>
          <w:szCs w:val="24"/>
        </w:rPr>
        <w:instrText>ADDIN CSL_CITATION {"citationItems":[{"id":"ITEM-1","itemData":{"ISSN":"08239150","author":[{"dropping-particle":"","family":"Becker","given":"Connie L.","non-dropping-particle":"","parse-names":false,"suffix":""},{"dropping-particle":"","family":"Defond","given":"Mark L.","non-dropping-particle":"","parse-names":false,"suffix":""},{"dropping-particle":"","family":"Jiambalvo","given":"James","non-dropping-particle":"","parse-names":false,"suffix":""},{"dropping-particle":"","family":"Subramanyam","given":"K.R.","non-dropping-particle":"","parse-names":false,"suffix":""}],"container-title":"Contemporary Accounting Research","id":"ITEM-1","issue":"1","issued":{"date-parts":[["1998","3"]]},"page":"1-24","title":"The effect of audit quality on earnings management","type":"article-journal","volume":"15"},"uris":["http://www.mendeley.com/documents/?uuid=8ba5445f-8228-3002-86ea-c1badfa069c2"]},{"id":"ITEM-2","itemData":{"ISSN":"02780380","abstract":"This study investigates if the use of a Big 6 auditor is increasing in the firm's endogenous propensity to generate accruals. High-accrual firms have greater scope for aggressive and/or opportunistic earnings management and therefore have an incentive to hire a Big 6 auditor to provide assurance that reported earnings are credible. For a large sample of NASDAQ firms over the period 1975-1994 we find that the likelihood of using a Big 6 auditor is increasing in firms' endogenous propensity for accruals. Even though Big-6-audited firms have higher levels of total accruals, we also find they have lower amounts of estimated discretionary accruals. This finding is consistent with Big 6 auditors constraining aggressive and potentially opportunistic reporting of accruals.","author":[{"dropping-particle":"","family":"Francis","given":"Jere R.","non-dropping-particle":"","parse-names":false,"suffix":""},{"dropping-particle":"","family":"Maydew","given":"Edward L.","non-dropping-particle":"","parse-names":false,"suffix":""},{"dropping-particle":"","family":"Sparks","given":"H. Charles","non-dropping-particle":"","parse-names":false,"suffix":""}],"container-title":"Auditing","id":"ITEM-2","issue":"2","issued":{"date-parts":[["1999"]]},"page":"17-34","publisher":"American Accounting Association","title":"The role of Big 6 auditors in the credible reporting of accruals","type":"article-journal","volume":"18"},"uris":["http://www.mendeley.com/documents/?uuid=49ab0bfc-8342-30b2-8e2b-31b68aac3168"]}],"mendeley":{"formattedCitation":"(C. L. Becker, Defond, Jiambalvo, &amp; Subramanyam, 1998; Francis, Maydew, &amp; Sparks, 1999)","plainTextFormattedCitation":"(C. L. Becker, Defond, Jiambalvo, &amp; Subramanyam, 1998; Francis, Maydew, &amp; Sparks, 1999)","previouslyFormattedCitation":"(C. L. Becker, Defond, Jiambalvo, &amp; Subramanyam, 1998; Francis, Maydew, &amp; Sparks, 1999)"},"properties":{"noteIndex":0},"schema":"https://github.com/citation-style-language/schema/raw/master/csl-citation.json"}</w:instrText>
      </w:r>
      <w:r w:rsidRPr="001E73A0">
        <w:rPr>
          <w:sz w:val="24"/>
          <w:szCs w:val="24"/>
        </w:rPr>
        <w:fldChar w:fldCharType="separate"/>
      </w:r>
      <w:r w:rsidR="00B42CFA" w:rsidRPr="001E73A0">
        <w:rPr>
          <w:noProof/>
          <w:sz w:val="24"/>
          <w:szCs w:val="24"/>
        </w:rPr>
        <w:t>(C. L. Becker, Defond, Jiambalvo, &amp; Subramanyam, 1998; Francis, Maydew, &amp; Sparks, 1999)</w:t>
      </w:r>
      <w:r w:rsidRPr="001E73A0">
        <w:rPr>
          <w:sz w:val="24"/>
          <w:szCs w:val="24"/>
        </w:rPr>
        <w:fldChar w:fldCharType="end"/>
      </w:r>
      <w:r w:rsidRPr="001E73A0">
        <w:rPr>
          <w:sz w:val="24"/>
          <w:szCs w:val="24"/>
        </w:rPr>
        <w:t>. Thus, Big Four clients tend to face stronger auditor monitoring than non-Big Four clients. Further, industry-level unionisation rate (</w:t>
      </w:r>
      <w:r w:rsidRPr="001E73A0">
        <w:rPr>
          <w:i/>
          <w:sz w:val="24"/>
          <w:szCs w:val="24"/>
        </w:rPr>
        <w:t>Union</w:t>
      </w:r>
      <w:r w:rsidRPr="001E73A0">
        <w:rPr>
          <w:sz w:val="24"/>
          <w:szCs w:val="24"/>
        </w:rPr>
        <w:t xml:space="preserve">) is used to measure the bargaining power of labour unions </w:t>
      </w:r>
      <w:r w:rsidRPr="001E73A0">
        <w:rPr>
          <w:sz w:val="24"/>
          <w:szCs w:val="24"/>
        </w:rPr>
        <w:fldChar w:fldCharType="begin" w:fldLock="1"/>
      </w:r>
      <w:r w:rsidRPr="001E73A0">
        <w:rPr>
          <w:sz w:val="24"/>
          <w:szCs w:val="24"/>
        </w:rPr>
        <w:instrText>ADDIN CSL_CITATION {"citationItems":[{"id":"ITEM-1","itemData":{"ISSN":"09291199","abstract":"In this paper, we examine whether managers use information included in stock prices when making labor investment decisions. Specifically, we examine whether stock price informativeness affects labor investment efficiency. We find that a higher probability of informed trading (PIN) is associated with lower deviations of labor investment from the level justified by economic fundamentals, i.e., higher labor investment efficiency. This finding is robust to using alternative proxies for stock price informativeness and labor investment efficiency, when we control for earnings quality and mispricing, and when we address endogeneity issues. Furthermore, we report evidence suggesting that the positive impact of stock price on labor investment efficiency is more (less) pronounced in firms from highly unionized industries and firms facing higher financial constraints (firms from industries that rely more on skilled labor).","author":[{"dropping-particle":"","family":"Ben-Nasr","given":"Hamdi","non-dropping-particle":"","parse-names":false,"suffix":""},{"dropping-particle":"","family":"Alshwer","given":"Abdullah A.","non-dropping-particle":"","parse-names":false,"suffix":""}],"container-title":"Journal of Corporate Finance","id":"ITEM-1","issue":"C","issued":{"date-parts":[["2016"]]},"page":"249-271","publisher":"Elsevier B.V.","title":"Does stock price informativeness affect labor investment efficiency?","type":"article-journal","volume":"38"},"uris":["http://www.mendeley.com/documents/?uuid=792d336f-df82-4c74-a20d-bf441787c56b"]}],"mendeley":{"formattedCitation":"(Ben-Nasr &amp; Alshwer, 2016)","plainTextFormattedCitation":"(Ben-Nasr &amp; Alshwer, 2016)","previouslyFormattedCitation":"(Ben-Nasr &amp; Alshwer, 2016)"},"properties":{"noteIndex":0},"schema":"https://github.com/citation-style-language/schema/raw/master/csl-citation.json"}</w:instrText>
      </w:r>
      <w:r w:rsidRPr="001E73A0">
        <w:rPr>
          <w:sz w:val="24"/>
          <w:szCs w:val="24"/>
        </w:rPr>
        <w:fldChar w:fldCharType="separate"/>
      </w:r>
      <w:r w:rsidRPr="001E73A0">
        <w:rPr>
          <w:noProof/>
          <w:sz w:val="24"/>
          <w:szCs w:val="24"/>
        </w:rPr>
        <w:t>(Ben-Nasr &amp; Alshwer, 2016)</w:t>
      </w:r>
      <w:r w:rsidRPr="001E73A0">
        <w:rPr>
          <w:sz w:val="24"/>
          <w:szCs w:val="24"/>
        </w:rPr>
        <w:fldChar w:fldCharType="end"/>
      </w:r>
      <w:r w:rsidRPr="001E73A0">
        <w:rPr>
          <w:sz w:val="24"/>
          <w:szCs w:val="24"/>
        </w:rPr>
        <w:t>. Operating in highly unionised industries indicates that a firm faces strong labour unions monitoring. [See Appendix A for detailed definitions.]</w:t>
      </w:r>
    </w:p>
    <w:p w14:paraId="17386D4C" w14:textId="77777777" w:rsidR="00465179" w:rsidRPr="001E73A0" w:rsidRDefault="00465179" w:rsidP="00465179">
      <w:pPr>
        <w:spacing w:after="0" w:line="360" w:lineRule="auto"/>
        <w:ind w:firstLine="720"/>
        <w:jc w:val="both"/>
        <w:rPr>
          <w:sz w:val="24"/>
          <w:szCs w:val="24"/>
        </w:rPr>
      </w:pPr>
      <w:r w:rsidRPr="001E73A0">
        <w:rPr>
          <w:sz w:val="24"/>
          <w:szCs w:val="24"/>
        </w:rPr>
        <w:t>Our samples are classified into strong or weak analyst, institutional investor, and labour union monitoring sub-samples if their respective monitoring measures (</w:t>
      </w:r>
      <w:r w:rsidRPr="001E73A0">
        <w:rPr>
          <w:i/>
          <w:sz w:val="24"/>
          <w:szCs w:val="24"/>
        </w:rPr>
        <w:t>Analyst</w:t>
      </w:r>
      <w:r w:rsidRPr="001E73A0">
        <w:rPr>
          <w:sz w:val="24"/>
          <w:szCs w:val="24"/>
        </w:rPr>
        <w:t xml:space="preserve">, </w:t>
      </w:r>
      <w:r w:rsidRPr="001E73A0">
        <w:rPr>
          <w:i/>
          <w:sz w:val="24"/>
          <w:szCs w:val="24"/>
        </w:rPr>
        <w:t>IOC</w:t>
      </w:r>
      <w:r w:rsidRPr="001E73A0">
        <w:rPr>
          <w:sz w:val="24"/>
          <w:szCs w:val="24"/>
        </w:rPr>
        <w:t xml:space="preserve"> and </w:t>
      </w:r>
      <w:r w:rsidRPr="001E73A0">
        <w:rPr>
          <w:i/>
          <w:sz w:val="24"/>
          <w:szCs w:val="24"/>
        </w:rPr>
        <w:t>Union</w:t>
      </w:r>
      <w:r w:rsidRPr="001E73A0">
        <w:rPr>
          <w:sz w:val="24"/>
          <w:szCs w:val="24"/>
        </w:rPr>
        <w:t>) are above or below the respective median</w:t>
      </w:r>
      <w:bookmarkStart w:id="0" w:name="_Hlk26967838"/>
      <w:r w:rsidRPr="001E73A0">
        <w:rPr>
          <w:sz w:val="24"/>
          <w:szCs w:val="24"/>
        </w:rPr>
        <w:t xml:space="preserve"> each year</w:t>
      </w:r>
      <w:bookmarkEnd w:id="0"/>
      <w:r w:rsidRPr="001E73A0">
        <w:rPr>
          <w:sz w:val="24"/>
          <w:szCs w:val="24"/>
        </w:rPr>
        <w:t xml:space="preserve">. Likewise, we partition our sample into strong auditor monitoring sub-sample (firms with </w:t>
      </w:r>
      <w:r w:rsidRPr="001E73A0">
        <w:rPr>
          <w:i/>
          <w:sz w:val="24"/>
          <w:szCs w:val="24"/>
        </w:rPr>
        <w:t>Big4</w:t>
      </w:r>
      <w:r w:rsidRPr="001E73A0">
        <w:rPr>
          <w:sz w:val="24"/>
          <w:szCs w:val="24"/>
        </w:rPr>
        <w:t xml:space="preserve"> equal to 1) and weak auditor monitoring sub-sample (firms with </w:t>
      </w:r>
      <w:r w:rsidRPr="001E73A0">
        <w:rPr>
          <w:i/>
          <w:sz w:val="24"/>
          <w:szCs w:val="24"/>
        </w:rPr>
        <w:t>Big4</w:t>
      </w:r>
      <w:r w:rsidRPr="001E73A0">
        <w:rPr>
          <w:sz w:val="24"/>
          <w:szCs w:val="24"/>
        </w:rPr>
        <w:t xml:space="preserve"> equal to 0). [See Appendix B for detailed information on the construction of these sub-samples.] If accounting comparability enhances external monitoring by outside stakeholders (analysts, institutional investors, auditors and labour unions), one would expect a more pronounced impact on labour investment in firms with weak external monitoring environments.  </w:t>
      </w:r>
    </w:p>
    <w:p w14:paraId="6AC5A8E4" w14:textId="77777777" w:rsidR="00465179" w:rsidRPr="001E73A0" w:rsidRDefault="00465179" w:rsidP="00465179">
      <w:pPr>
        <w:spacing w:after="0" w:line="360" w:lineRule="auto"/>
        <w:ind w:firstLine="720"/>
        <w:jc w:val="both"/>
        <w:rPr>
          <w:sz w:val="24"/>
          <w:szCs w:val="24"/>
        </w:rPr>
      </w:pPr>
      <w:r w:rsidRPr="001E73A0">
        <w:rPr>
          <w:sz w:val="24"/>
          <w:szCs w:val="24"/>
        </w:rPr>
        <w:t>The results of our baseline model for the sub-samples under weak and strong analyst, institutional investor, auditor, and labour union monitoring are reported in Panels A – Panel D of Table 4, respectively. In Panel A, Panel B, and Panel D, we find significantly negative coefficients on comparability only for the sub-samples with weak analyst, institutional investor, labour union monitoring. Consistent with our expectation, these results indicate that accounts comparability is more useful in improving labour investment efficiency when firms are facing weak external monitoring by analysts, institutional investors, or labour unions.</w:t>
      </w:r>
    </w:p>
    <w:p w14:paraId="3BED1A14" w14:textId="77777777" w:rsidR="00465179" w:rsidRPr="001E73A0" w:rsidRDefault="00465179" w:rsidP="00465179">
      <w:pPr>
        <w:spacing w:after="0" w:line="360" w:lineRule="auto"/>
        <w:ind w:firstLine="720"/>
        <w:jc w:val="both"/>
        <w:rPr>
          <w:sz w:val="24"/>
          <w:szCs w:val="24"/>
        </w:rPr>
      </w:pPr>
    </w:p>
    <w:p w14:paraId="120E56CC" w14:textId="77777777" w:rsidR="00465179" w:rsidRPr="001E73A0" w:rsidRDefault="00465179" w:rsidP="00465179">
      <w:pPr>
        <w:spacing w:after="0" w:line="360" w:lineRule="auto"/>
        <w:jc w:val="center"/>
        <w:rPr>
          <w:sz w:val="24"/>
          <w:szCs w:val="24"/>
        </w:rPr>
      </w:pPr>
      <w:r w:rsidRPr="001E73A0">
        <w:rPr>
          <w:sz w:val="24"/>
          <w:szCs w:val="24"/>
        </w:rPr>
        <w:t>[Insert Table 4 around here]</w:t>
      </w:r>
    </w:p>
    <w:p w14:paraId="4B24884E" w14:textId="77777777" w:rsidR="00465179" w:rsidRPr="001E73A0" w:rsidRDefault="00465179" w:rsidP="00465179">
      <w:pPr>
        <w:spacing w:after="0" w:line="360" w:lineRule="auto"/>
        <w:jc w:val="center"/>
        <w:rPr>
          <w:sz w:val="24"/>
          <w:szCs w:val="24"/>
        </w:rPr>
      </w:pPr>
    </w:p>
    <w:p w14:paraId="538DFB04" w14:textId="77777777" w:rsidR="00465179" w:rsidRPr="001E73A0" w:rsidRDefault="00465179" w:rsidP="00465179">
      <w:pPr>
        <w:spacing w:after="0" w:line="360" w:lineRule="auto"/>
        <w:ind w:firstLine="720"/>
        <w:jc w:val="both"/>
        <w:rPr>
          <w:sz w:val="24"/>
          <w:szCs w:val="24"/>
        </w:rPr>
      </w:pPr>
      <w:r w:rsidRPr="001E73A0">
        <w:rPr>
          <w:sz w:val="24"/>
          <w:szCs w:val="24"/>
        </w:rPr>
        <w:t xml:space="preserve">In Panel C, the coefficients of comparability are negative at the 1% level of significance in all the models for the weak auditor monitoring sub-sample, and are negative and significant at the 5% or 1% level in three models for the strong auditor monitoring sub-sample. The </w:t>
      </w:r>
      <w:r w:rsidRPr="001E73A0">
        <w:rPr>
          <w:sz w:val="24"/>
          <w:szCs w:val="24"/>
        </w:rPr>
        <w:lastRenderedPageBreak/>
        <w:t>results suggest that accounts comparability could lower labour investment inefficiency even in firms with strong auditor monitoring. The difference in coefficients on our comparability measures between these two sub-samples are all significant and better in the weak auditor monitoring sub-sample at the 1% level.</w:t>
      </w:r>
      <w:r w:rsidRPr="001E73A0">
        <w:rPr>
          <w:rStyle w:val="a8"/>
        </w:rPr>
        <w:footnoteReference w:id="11"/>
      </w:r>
      <w:r w:rsidRPr="001E73A0">
        <w:rPr>
          <w:sz w:val="24"/>
          <w:szCs w:val="24"/>
        </w:rPr>
        <w:t xml:space="preserve"> The results suggest that enhanced comparability exerts a greater effect on employment decisions for firms under weak auditor monitoring environments.</w:t>
      </w:r>
    </w:p>
    <w:p w14:paraId="2B3B4E0B" w14:textId="1D2DCAD3" w:rsidR="00465179" w:rsidRPr="001E73A0" w:rsidRDefault="00465179" w:rsidP="00465179">
      <w:pPr>
        <w:spacing w:after="0" w:line="360" w:lineRule="auto"/>
        <w:ind w:firstLine="720"/>
        <w:jc w:val="both"/>
        <w:rPr>
          <w:sz w:val="24"/>
          <w:szCs w:val="24"/>
        </w:rPr>
      </w:pPr>
      <w:r w:rsidRPr="001E73A0">
        <w:rPr>
          <w:sz w:val="24"/>
          <w:szCs w:val="24"/>
        </w:rPr>
        <w:t>Our results from testing external monitoring mechanisms provide corroborating evidence supporting our conjecture that accounts comparability enriches information available to external monitoring agents (analysts, institutional investors, auditors, and labour unions), thereby constraining managerial opportunism in employment decisions.</w:t>
      </w:r>
    </w:p>
    <w:p w14:paraId="1580FB06" w14:textId="66CFFD9C" w:rsidR="007F13A1" w:rsidRPr="001E73A0" w:rsidRDefault="00925C2E">
      <w:pPr>
        <w:spacing w:after="0" w:line="360" w:lineRule="auto"/>
        <w:ind w:firstLine="720"/>
        <w:jc w:val="both"/>
      </w:pPr>
      <w:r w:rsidRPr="001E73A0">
        <w:rPr>
          <w:sz w:val="24"/>
          <w:szCs w:val="24"/>
        </w:rPr>
        <w:t>Next,</w:t>
      </w:r>
      <w:r w:rsidR="001000E3" w:rsidRPr="001E73A0">
        <w:rPr>
          <w:sz w:val="24"/>
          <w:szCs w:val="24"/>
        </w:rPr>
        <w:t xml:space="preserve"> we examine the </w:t>
      </w:r>
      <w:r w:rsidR="00420426" w:rsidRPr="001E73A0">
        <w:rPr>
          <w:sz w:val="24"/>
          <w:szCs w:val="24"/>
        </w:rPr>
        <w:t>internal</w:t>
      </w:r>
      <w:r w:rsidR="001000E3" w:rsidRPr="001E73A0">
        <w:rPr>
          <w:sz w:val="24"/>
          <w:szCs w:val="24"/>
        </w:rPr>
        <w:t xml:space="preserve"> </w:t>
      </w:r>
      <w:r w:rsidR="00420426" w:rsidRPr="001E73A0">
        <w:rPr>
          <w:sz w:val="24"/>
          <w:szCs w:val="24"/>
        </w:rPr>
        <w:t>governance</w:t>
      </w:r>
      <w:r w:rsidR="001000E3" w:rsidRPr="001E73A0">
        <w:rPr>
          <w:sz w:val="24"/>
          <w:szCs w:val="24"/>
        </w:rPr>
        <w:t xml:space="preserve"> </w:t>
      </w:r>
      <w:r w:rsidR="00420426" w:rsidRPr="001E73A0">
        <w:rPr>
          <w:sz w:val="24"/>
          <w:szCs w:val="24"/>
        </w:rPr>
        <w:t>mechanism</w:t>
      </w:r>
      <w:r w:rsidR="001000E3" w:rsidRPr="001E73A0">
        <w:rPr>
          <w:sz w:val="24"/>
          <w:szCs w:val="24"/>
        </w:rPr>
        <w:t>.</w:t>
      </w:r>
      <w:r w:rsidR="007D4169" w:rsidRPr="001E73A0">
        <w:rPr>
          <w:sz w:val="24"/>
          <w:szCs w:val="24"/>
        </w:rPr>
        <w:t xml:space="preserve"> </w:t>
      </w:r>
      <w:r w:rsidR="007E63AB" w:rsidRPr="001E73A0">
        <w:rPr>
          <w:sz w:val="24"/>
          <w:szCs w:val="24"/>
        </w:rPr>
        <w:t xml:space="preserve">Following previous literature </w:t>
      </w:r>
      <w:r w:rsidR="007E63AB" w:rsidRPr="001E73A0">
        <w:rPr>
          <w:sz w:val="24"/>
          <w:szCs w:val="24"/>
        </w:rPr>
        <w:fldChar w:fldCharType="begin" w:fldLock="1"/>
      </w:r>
      <w:r w:rsidR="007E63AB" w:rsidRPr="001E73A0">
        <w:rPr>
          <w:sz w:val="24"/>
          <w:szCs w:val="24"/>
        </w:rPr>
        <w:instrText>ADDIN CSL_CITATION {"citationItems":[{"id":"ITEM-1","itemData":{"ISSN":"00221082","abstract":"Firms with busy boards, those in which a majority of outside directors hold three or more directorships, are associated with weak corporate governance. These firms exhibit lower market-to-book ratios, weaker profitability, and lower sensitivity of CEO turnover to firm performance. Independent but busy boards display CEO turnover-performance sensitivities indistinguishable from those of inside-dominated boards. Departures of busy outside directors generate positive abnormal returns (ARs). When directors become busy as a result of acquiring an additional directorship, other companies in which they hold board seats experience negative ARs. Busy outside directors are more likely to depart boards following poor performance. © 2006 by The American Finance Association.","author":[{"dropping-particle":"","family":"Fich","given":"Eliezer M.","non-dropping-particle":"","parse-names":false,"suffix":""},{"dropping-particle":"","family":"Shivdasani","given":"Anil","non-dropping-particle":"","parse-names":false,"suffix":""}],"container-title":"The Journal of Finance","id":"ITEM-1","issue":"2","issued":{"date-parts":[["2006","4","1"]]},"page":"689-724","publisher":"John Wiley &amp; Sons, Ltd","title":"Are Busy Boards Effective Monitors?","type":"article-journal","volume":"61"},"uris":["http://www.mendeley.com/documents/?uuid=62dbd305-28d4-33dd-a8da-07de19c63220"]},{"id":"ITEM-2","itemData":{"ISSN":"01482963","abstract":"Regulators and researchers alike have focused significant attention on the structure of the corporate board. In general, the results of prior empirical studies suggest that larger boards are costly to firms because of communication and co-ordination problems. How firms use committees to mitigate these costs, however, has not received as much attention. Since boards delegate authority for specific tasks to monitoring committees with independent directors, we re-examine the impact of board structure on firm performance by specifically focusing on the number of monitoring committees. Using ROA and EVA, we find that board size is positively associated with firm performance when firms use more than three monitoring committees. We also find that the previously documented negative association between board size and Tobin's Q disappears when a firm uses more than three monitoring committees. Overall, the results suggest that firms use monitoring committees to mitigate the costs associated with larger boards. © 2013 Elsevier Inc.","author":[{"dropping-particle":"","family":"Upadhyay","given":"Arun D.","non-dropping-particle":"","parse-names":false,"suffix":""},{"dropping-particle":"","family":"Bhargava","given":"Rahul","non-dropping-particle":"","parse-names":false,"suffix":""},{"dropping-particle":"","family":"Faircloth","given":"Sheri D.","non-dropping-particle":"","parse-names":false,"suffix":""}],"container-title":"Journal of Business Research","id":"ITEM-2","issue":"7","issued":{"date-parts":[["2014","7","1"]]},"page":"1486-1492","publisher":"Elsevier Inc.","title":"Board structure and role of monitoring committees","type":"article-journal","volume":"67"},"uris":["http://www.mendeley.com/documents/?uuid=de3c5a08-e8f0-37b1-810c-a6587074505d"]},{"id":"ITEM-3","itemData":{"ISSN":"00221082","abstract":"We examine the number of external appointments held by corporate directors. Directors who serve larger firms and sit on larger boards are more likely to attract directorships. Consistent with Fama and Jensen (1983), we find that firm performance has a positive effect on the number of appointments held by a director. We find no evidence that multiple directors shirk their responsibilities to serve on board committees. We do not find that multiple directors are associated with a greater likelihood of securities fraud litigation. We conclude that the evidence does not support calls for limits on directorships held by an individual.","author":[{"dropping-particle":"","family":"Ferris","given":"Stephen P.","non-dropping-particle":"","parse-names":false,"suffix":""},{"dropping-particle":"","family":"Jagannathan","given":"Murali","non-dropping-particle":"","parse-names":false,"suffix":""},{"dropping-particle":"","family":"Pritchard","given":"A. C.","non-dropping-particle":"","parse-names":false,"suffix":""}],"container-title":"The Journal of Finance","id":"ITEM-3","issue":"3","issued":{"date-parts":[["2003","6","1"]]},"page":"1087-1111","publisher":"Blackwell Publishing Ltd","title":"Too busy to mind the business? Monitoring by directors with multiple board appointments","type":"article-journal","volume":"58"},"uris":["http://www.mendeley.com/documents/?uuid=15e2965d-9773-362e-93c2-00f1e9cfe575"]}],"mendeley":{"formattedCitation":"(Ferris, Jagannathan, &amp; Pritchard, 2003; Fich &amp; Shivdasani, 2006; Upadhyay, Bhargava, &amp; Faircloth, 2014)","plainTextFormattedCitation":"(Ferris, Jagannathan, &amp; Pritchard, 2003; Fich &amp; Shivdasani, 2006; Upadhyay, Bhargava, &amp; Faircloth, 2014)","previouslyFormattedCitation":"(Ferris, Jagannathan, &amp; Pritchard, 2003; Fich &amp; Shivdasani, 2006; Upadhyay, Bhargava, &amp; Faircloth, 2014)"},"properties":{"noteIndex":0},"schema":"https://github.com/citation-style-language/schema/raw/master/csl-citation.json"}</w:instrText>
      </w:r>
      <w:r w:rsidR="007E63AB" w:rsidRPr="001E73A0">
        <w:rPr>
          <w:sz w:val="24"/>
          <w:szCs w:val="24"/>
        </w:rPr>
        <w:fldChar w:fldCharType="separate"/>
      </w:r>
      <w:r w:rsidR="007E63AB" w:rsidRPr="001E73A0">
        <w:rPr>
          <w:noProof/>
          <w:sz w:val="24"/>
          <w:szCs w:val="24"/>
        </w:rPr>
        <w:t>(Ferris, Jagannathan, &amp; Pritchard, 2003; Fich &amp; Shivdasani, 2006; Upadhyay, Bhargava, &amp; Faircloth, 2014)</w:t>
      </w:r>
      <w:r w:rsidR="007E63AB" w:rsidRPr="001E73A0">
        <w:rPr>
          <w:sz w:val="24"/>
          <w:szCs w:val="24"/>
        </w:rPr>
        <w:fldChar w:fldCharType="end"/>
      </w:r>
      <w:r w:rsidR="007E63AB" w:rsidRPr="001E73A0">
        <w:rPr>
          <w:sz w:val="24"/>
          <w:szCs w:val="24"/>
        </w:rPr>
        <w:t>, we use the fraction of independent directors holding three or more external board seats (</w:t>
      </w:r>
      <w:r w:rsidR="007E63AB" w:rsidRPr="001E73A0">
        <w:rPr>
          <w:i/>
          <w:iCs/>
          <w:sz w:val="24"/>
          <w:szCs w:val="24"/>
        </w:rPr>
        <w:t>Busy Board</w:t>
      </w:r>
      <w:r w:rsidR="007E63AB" w:rsidRPr="001E73A0">
        <w:rPr>
          <w:sz w:val="24"/>
          <w:szCs w:val="24"/>
        </w:rPr>
        <w:t>)</w:t>
      </w:r>
      <w:r w:rsidR="007D4169" w:rsidRPr="001E73A0">
        <w:rPr>
          <w:sz w:val="24"/>
          <w:szCs w:val="24"/>
        </w:rPr>
        <w:t xml:space="preserve"> </w:t>
      </w:r>
      <w:r w:rsidR="00693127" w:rsidRPr="001E73A0">
        <w:rPr>
          <w:sz w:val="24"/>
          <w:szCs w:val="24"/>
        </w:rPr>
        <w:t xml:space="preserve">to measure </w:t>
      </w:r>
      <w:r w:rsidR="00420426" w:rsidRPr="001E73A0">
        <w:rPr>
          <w:sz w:val="24"/>
          <w:szCs w:val="24"/>
        </w:rPr>
        <w:t xml:space="preserve">the </w:t>
      </w:r>
      <w:r w:rsidR="00693127" w:rsidRPr="001E73A0">
        <w:rPr>
          <w:sz w:val="24"/>
          <w:szCs w:val="24"/>
        </w:rPr>
        <w:t xml:space="preserve">strength of internal </w:t>
      </w:r>
      <w:r w:rsidR="007E63AB" w:rsidRPr="001E73A0">
        <w:rPr>
          <w:sz w:val="24"/>
          <w:szCs w:val="24"/>
        </w:rPr>
        <w:t>monitoring by boards.</w:t>
      </w:r>
      <w:r w:rsidR="007E63AB" w:rsidRPr="001E73A0">
        <w:rPr>
          <w:sz w:val="24"/>
          <w:szCs w:val="24"/>
          <w:vertAlign w:val="superscript"/>
        </w:rPr>
        <w:footnoteReference w:id="12"/>
      </w:r>
      <w:r w:rsidR="007E63AB" w:rsidRPr="001E73A0">
        <w:rPr>
          <w:sz w:val="24"/>
          <w:szCs w:val="24"/>
        </w:rPr>
        <w:t xml:space="preserve"> Since “effective monitoring requires a commitment of time and resources” </w:t>
      </w:r>
      <w:r w:rsidR="007E63AB" w:rsidRPr="001E73A0">
        <w:rPr>
          <w:sz w:val="24"/>
          <w:szCs w:val="24"/>
        </w:rPr>
        <w:fldChar w:fldCharType="begin" w:fldLock="1"/>
      </w:r>
      <w:r w:rsidR="007E63AB" w:rsidRPr="001E73A0">
        <w:rPr>
          <w:sz w:val="24"/>
          <w:szCs w:val="24"/>
        </w:rPr>
        <w:instrText>ADDIN CSL_CITATION {"citationItems":[{"id":"ITEM-1","itemData":{"author":[{"dropping-particle":"","family":"Allen","given":"William","non-dropping-particle":"","parse-names":false,"suffix":""}],"container-title":"Corporate Governance","editor":[{"dropping-particle":"","family":"Minow","given":"R.","non-dropping-particle":"","parse-names":false,"suffix":""},{"dropping-particle":"","family":"Minow","given":"N.","non-dropping-particle":"","parse-names":false,"suffix":""}],"id":"ITEM-1","issued":{"date-parts":[["1992"]]},"publisher":"Blackwell","publisher-place":"Cambridge, MA","title":"Redefining the role of outside directors in an age of global competition","type":"chapter"},"locator":"457","uris":["http://www.mendeley.com/documents/?uuid=f349027e-2977-3b74-9f3f-499368cac708"]}],"mendeley":{"formattedCitation":"(Allen, 1992, p. 457)","plainTextFormattedCitation":"(Allen, 1992, p. 457)","previouslyFormattedCitation":"(Allen, 1992, p. 457)"},"properties":{"noteIndex":0},"schema":"https://github.com/citation-style-language/schema/raw/master/csl-citation.json"}</w:instrText>
      </w:r>
      <w:r w:rsidR="007E63AB" w:rsidRPr="001E73A0">
        <w:rPr>
          <w:sz w:val="24"/>
          <w:szCs w:val="24"/>
        </w:rPr>
        <w:fldChar w:fldCharType="separate"/>
      </w:r>
      <w:r w:rsidR="007E63AB" w:rsidRPr="001E73A0">
        <w:rPr>
          <w:noProof/>
          <w:sz w:val="24"/>
          <w:szCs w:val="24"/>
        </w:rPr>
        <w:t>(Allen, 1992, p. 457)</w:t>
      </w:r>
      <w:r w:rsidR="007E63AB" w:rsidRPr="001E73A0">
        <w:rPr>
          <w:sz w:val="24"/>
          <w:szCs w:val="24"/>
        </w:rPr>
        <w:fldChar w:fldCharType="end"/>
      </w:r>
      <w:r w:rsidR="007E63AB" w:rsidRPr="001E73A0">
        <w:rPr>
          <w:sz w:val="24"/>
          <w:szCs w:val="24"/>
        </w:rPr>
        <w:t xml:space="preserve">, serving on numerous boards </w:t>
      </w:r>
      <w:r w:rsidR="00FF7AB6" w:rsidRPr="001E73A0">
        <w:rPr>
          <w:sz w:val="24"/>
          <w:szCs w:val="24"/>
        </w:rPr>
        <w:t xml:space="preserve">may </w:t>
      </w:r>
      <w:r w:rsidR="007E63AB" w:rsidRPr="001E73A0">
        <w:rPr>
          <w:sz w:val="24"/>
          <w:szCs w:val="24"/>
        </w:rPr>
        <w:t>distract independent directors from providing adequate monitoring of managerial decision</w:t>
      </w:r>
      <w:r w:rsidR="00B141C2" w:rsidRPr="001E73A0">
        <w:rPr>
          <w:sz w:val="24"/>
          <w:szCs w:val="24"/>
        </w:rPr>
        <w:t>-</w:t>
      </w:r>
      <w:r w:rsidR="007E63AB" w:rsidRPr="001E73A0">
        <w:rPr>
          <w:sz w:val="24"/>
          <w:szCs w:val="24"/>
        </w:rPr>
        <w:t xml:space="preserve">making </w:t>
      </w:r>
      <w:r w:rsidR="007E63AB" w:rsidRPr="001E73A0">
        <w:rPr>
          <w:sz w:val="24"/>
          <w:szCs w:val="24"/>
        </w:rPr>
        <w:fldChar w:fldCharType="begin" w:fldLock="1"/>
      </w:r>
      <w:r w:rsidR="007E63AB" w:rsidRPr="001E73A0">
        <w:rPr>
          <w:sz w:val="24"/>
          <w:szCs w:val="24"/>
        </w:rPr>
        <w:instrText>ADDIN CSL_CITATION {"citationItems":[{"id":"ITEM-1","itemData":{"ISSN":"00221082","abstract":"Firms with busy boards, those in which a majority of outside directors hold three or more directorships, are associated with weak corporate governance. These firms exhibit lower market-to-book ratios, weaker profitability, and lower sensitivity of CEO turnover to firm performance. Independent but busy boards display CEO turnover-performance sensitivities indistinguishable from those of inside-dominated boards. Departures of busy outside directors generate positive abnormal returns (ARs). When directors become busy as a result of acquiring an additional directorship, other companies in which they hold board seats experience negative ARs. Busy outside directors are more likely to depart boards following poor performance. © 2006 by The American Finance Association.","author":[{"dropping-particle":"","family":"Fich","given":"Eliezer M.","non-dropping-particle":"","parse-names":false,"suffix":""},{"dropping-particle":"","family":"Shivdasani","given":"Anil","non-dropping-particle":"","parse-names":false,"suffix":""}],"container-title":"The Journal of Finance","id":"ITEM-1","issue":"2","issued":{"date-parts":[["2006","4","1"]]},"page":"689-724","publisher":"John Wiley &amp; Sons, Ltd","title":"Are Busy Boards Effective Monitors?","type":"article-journal","volume":"61"},"uris":["http://www.mendeley.com/documents/?uuid=62dbd305-28d4-33dd-a8da-07de19c63220"]},{"id":"ITEM-2","itemData":{"ISSN":"0304405X","abstract":"We use the deaths of directors and chief executive officers as a natural experiment to generate exogenous variation in the time and resources available to independent directors at interlocked firms. The loss of such key co-employees is an attention shock because it increases the board committee workload only for some interlocked directors-the 'treatment group'. There is a negative stock market reaction to attention shocks only for treated director-interlocked firms. Interlocking directors' busyness, the importance of their board roles, and their degree of independence magnify the treatment effect. Overall, directors' busyness is detrimental to board monitoring quality and shareholder value. © 2014 Elsevier B.V.","author":[{"dropping-particle":"","family":"Falato","given":"Antonio","non-dropping-particle":"","parse-names":false,"suffix":""},{"dropping-particle":"","family":"Kadyrzhanova","given":"Dalida","non-dropping-particle":"","parse-names":false,"suffix":""},{"dropping-particle":"","family":"Lel","given":"Ugur","non-dropping-particle":"","parse-names":false,"suffix":""}],"container-title":"Journal of Financial Economics","id":"ITEM-2","issue":"3","issued":{"date-parts":[["2014","9","1"]]},"page":"404-426","publisher":"Elsevier","title":"Distracted directors: Does board busyness hurt shareholder value?","type":"article-journal","volume":"113"},"uris":["http://www.mendeley.com/documents/?uuid=261a1060-8f35-3e79-b92e-9b3ae47cbb0b"]},{"id":"ITEM-3","itemData":{"ISSN":"00221082","abstract":"We study whether CEO involvement in the selection of new directors influences the nature of appointments to the board. When the CEO serves on the nominating committee or no nominating committee exists, firms appoint fewer independent outside directors and more gray outsiders with conflicts of interest. Stock price reactions to independent director appointments are significantly lower when the CEO is involved in director selection. Our evidence may illuminate a mechanism used by CEOs to reduce pressure from active monitoring, and we find a recent trend of companies removing CEOs from involvement in director selection.","author":[{"dropping-particle":"","family":"Shivdasani","given":"Anil","non-dropping-particle":"","parse-names":false,"suffix":""},{"dropping-particle":"","family":"Yermack","given":"David","non-dropping-particle":"","parse-names":false,"suffix":""}],"container-title":"The Journal of Finance","id":"ITEM-3","issue":"5","issued":{"date-parts":[["1999","10","1"]]},"page":"1829-1853","publisher":"Blackwell Publishing Inc.","title":"CEO involvement in the selection of new board members: An empirical analysis","type":"article-journal","volume":"54"},"uris":["http://www.mendeley.com/documents/?uuid=61d939fc-ea01-35bb-8c7a-fe4dcdc8f421"]}],"mendeley":{"formattedCitation":"(Falato, Kadyrzhanova, &amp; Lel, 2014; Fich &amp; Shivdasani, 2006; Shivdasani &amp; Yermack, 1999)","plainTextFormattedCitation":"(Falato, Kadyrzhanova, &amp; Lel, 2014; Fich &amp; Shivdasani, 2006; Shivdasani &amp; Yermack, 1999)","previouslyFormattedCitation":"(Falato, Kadyrzhanova, &amp; Lel, 2014; Fich &amp; Shivdasani, 2006; Shivdasani &amp; Yermack, 1999)"},"properties":{"noteIndex":0},"schema":"https://github.com/citation-style-language/schema/raw/master/csl-citation.json"}</w:instrText>
      </w:r>
      <w:r w:rsidR="007E63AB" w:rsidRPr="001E73A0">
        <w:rPr>
          <w:sz w:val="24"/>
          <w:szCs w:val="24"/>
        </w:rPr>
        <w:fldChar w:fldCharType="separate"/>
      </w:r>
      <w:r w:rsidR="007E63AB" w:rsidRPr="001E73A0">
        <w:rPr>
          <w:noProof/>
          <w:sz w:val="24"/>
          <w:szCs w:val="24"/>
        </w:rPr>
        <w:t>(Falato, Kadyrzhanova, &amp; Lel, 2014; Fich &amp; Shivdasani, 2006; Shivdasani &amp; Yermack, 1999)</w:t>
      </w:r>
      <w:r w:rsidR="007E63AB" w:rsidRPr="001E73A0">
        <w:rPr>
          <w:sz w:val="24"/>
          <w:szCs w:val="24"/>
        </w:rPr>
        <w:fldChar w:fldCharType="end"/>
      </w:r>
      <w:r w:rsidR="007E63AB" w:rsidRPr="001E73A0">
        <w:rPr>
          <w:sz w:val="24"/>
          <w:szCs w:val="24"/>
        </w:rPr>
        <w:t>.</w:t>
      </w:r>
      <w:r w:rsidR="0008725C" w:rsidRPr="001E73A0">
        <w:rPr>
          <w:sz w:val="24"/>
          <w:szCs w:val="24"/>
        </w:rPr>
        <w:t xml:space="preserve"> </w:t>
      </w:r>
      <w:r w:rsidR="002861C4" w:rsidRPr="001E73A0">
        <w:rPr>
          <w:sz w:val="24"/>
          <w:szCs w:val="24"/>
        </w:rPr>
        <w:t xml:space="preserve">Higher </w:t>
      </w:r>
      <w:r w:rsidR="007E63AB" w:rsidRPr="001E73A0">
        <w:rPr>
          <w:i/>
          <w:sz w:val="24"/>
          <w:szCs w:val="24"/>
        </w:rPr>
        <w:t>Busy Board</w:t>
      </w:r>
      <w:r w:rsidR="002861C4" w:rsidRPr="001E73A0">
        <w:rPr>
          <w:sz w:val="24"/>
          <w:szCs w:val="24"/>
        </w:rPr>
        <w:t xml:space="preserve"> values</w:t>
      </w:r>
      <w:r w:rsidR="005318D5" w:rsidRPr="001E73A0">
        <w:rPr>
          <w:sz w:val="24"/>
          <w:szCs w:val="24"/>
        </w:rPr>
        <w:t xml:space="preserve"> </w:t>
      </w:r>
      <w:r w:rsidR="002861C4" w:rsidRPr="001E73A0">
        <w:rPr>
          <w:sz w:val="24"/>
          <w:szCs w:val="24"/>
        </w:rPr>
        <w:t>imply</w:t>
      </w:r>
      <w:r w:rsidR="005318D5" w:rsidRPr="001E73A0">
        <w:rPr>
          <w:sz w:val="24"/>
          <w:szCs w:val="24"/>
        </w:rPr>
        <w:t xml:space="preserve"> </w:t>
      </w:r>
      <w:r w:rsidR="007E63AB" w:rsidRPr="001E73A0">
        <w:rPr>
          <w:sz w:val="24"/>
          <w:szCs w:val="24"/>
        </w:rPr>
        <w:t>weaker board monitoring</w:t>
      </w:r>
      <w:r w:rsidR="005318D5" w:rsidRPr="001E73A0">
        <w:rPr>
          <w:sz w:val="24"/>
          <w:szCs w:val="24"/>
        </w:rPr>
        <w:t xml:space="preserve"> and </w:t>
      </w:r>
      <w:r w:rsidR="007E63AB" w:rsidRPr="001E73A0">
        <w:rPr>
          <w:sz w:val="24"/>
          <w:szCs w:val="24"/>
        </w:rPr>
        <w:t xml:space="preserve">less effective </w:t>
      </w:r>
      <w:r w:rsidR="005318D5" w:rsidRPr="001E73A0">
        <w:rPr>
          <w:sz w:val="24"/>
          <w:szCs w:val="24"/>
        </w:rPr>
        <w:t xml:space="preserve">internal governance. </w:t>
      </w:r>
    </w:p>
    <w:p w14:paraId="3A9D3E17" w14:textId="7176260E" w:rsidR="00693127" w:rsidRPr="001E73A0" w:rsidRDefault="00693127" w:rsidP="00A70892">
      <w:pPr>
        <w:spacing w:after="0" w:line="360" w:lineRule="auto"/>
        <w:ind w:firstLine="720"/>
        <w:jc w:val="both"/>
        <w:rPr>
          <w:sz w:val="24"/>
          <w:szCs w:val="24"/>
        </w:rPr>
      </w:pPr>
      <w:r w:rsidRPr="001E73A0">
        <w:rPr>
          <w:sz w:val="24"/>
          <w:szCs w:val="24"/>
        </w:rPr>
        <w:t xml:space="preserve">We partition our sample into firms under strong </w:t>
      </w:r>
      <w:r w:rsidR="007E63AB" w:rsidRPr="001E73A0">
        <w:rPr>
          <w:sz w:val="24"/>
          <w:szCs w:val="24"/>
        </w:rPr>
        <w:t>board monitoring</w:t>
      </w:r>
      <w:r w:rsidRPr="001E73A0">
        <w:rPr>
          <w:sz w:val="24"/>
          <w:szCs w:val="24"/>
        </w:rPr>
        <w:t xml:space="preserve"> environment</w:t>
      </w:r>
      <w:r w:rsidR="00937B72" w:rsidRPr="001E73A0">
        <w:rPr>
          <w:sz w:val="24"/>
          <w:szCs w:val="24"/>
        </w:rPr>
        <w:t>s</w:t>
      </w:r>
      <w:r w:rsidRPr="001E73A0">
        <w:rPr>
          <w:sz w:val="24"/>
          <w:szCs w:val="24"/>
        </w:rPr>
        <w:t xml:space="preserve"> (</w:t>
      </w:r>
      <w:r w:rsidR="00937B72" w:rsidRPr="001E73A0">
        <w:rPr>
          <w:sz w:val="24"/>
          <w:szCs w:val="24"/>
        </w:rPr>
        <w:t>those</w:t>
      </w:r>
      <w:r w:rsidRPr="001E73A0">
        <w:rPr>
          <w:sz w:val="24"/>
          <w:szCs w:val="24"/>
        </w:rPr>
        <w:t xml:space="preserve"> with </w:t>
      </w:r>
      <w:r w:rsidR="00937B72" w:rsidRPr="001E73A0">
        <w:rPr>
          <w:sz w:val="24"/>
          <w:szCs w:val="24"/>
        </w:rPr>
        <w:t xml:space="preserve">a </w:t>
      </w:r>
      <w:r w:rsidR="00A7772A" w:rsidRPr="001E73A0">
        <w:rPr>
          <w:sz w:val="24"/>
          <w:szCs w:val="24"/>
        </w:rPr>
        <w:t>below</w:t>
      </w:r>
      <w:r w:rsidRPr="001E73A0">
        <w:rPr>
          <w:sz w:val="24"/>
          <w:szCs w:val="24"/>
        </w:rPr>
        <w:t xml:space="preserve">-median </w:t>
      </w:r>
      <w:r w:rsidR="007E63AB" w:rsidRPr="001E73A0">
        <w:rPr>
          <w:i/>
          <w:sz w:val="24"/>
          <w:szCs w:val="24"/>
        </w:rPr>
        <w:t>Busy Board</w:t>
      </w:r>
      <w:r w:rsidR="00FB189C" w:rsidRPr="001E73A0">
        <w:rPr>
          <w:sz w:val="24"/>
          <w:szCs w:val="24"/>
        </w:rPr>
        <w:t xml:space="preserve"> each year</w:t>
      </w:r>
      <w:r w:rsidRPr="001E73A0">
        <w:rPr>
          <w:sz w:val="24"/>
          <w:szCs w:val="24"/>
        </w:rPr>
        <w:t xml:space="preserve">) </w:t>
      </w:r>
      <w:r w:rsidR="0042161E" w:rsidRPr="001E73A0">
        <w:rPr>
          <w:sz w:val="24"/>
          <w:szCs w:val="24"/>
        </w:rPr>
        <w:t>ver</w:t>
      </w:r>
      <w:r w:rsidR="00B23270" w:rsidRPr="001E73A0">
        <w:rPr>
          <w:sz w:val="24"/>
          <w:szCs w:val="24"/>
        </w:rPr>
        <w:t>s</w:t>
      </w:r>
      <w:r w:rsidR="0042161E" w:rsidRPr="001E73A0">
        <w:rPr>
          <w:sz w:val="24"/>
          <w:szCs w:val="24"/>
        </w:rPr>
        <w:t xml:space="preserve">us </w:t>
      </w:r>
      <w:r w:rsidR="00FF7AB6" w:rsidRPr="001E73A0">
        <w:rPr>
          <w:sz w:val="24"/>
          <w:szCs w:val="24"/>
        </w:rPr>
        <w:t xml:space="preserve">those </w:t>
      </w:r>
      <w:r w:rsidRPr="001E73A0">
        <w:rPr>
          <w:sz w:val="24"/>
          <w:szCs w:val="24"/>
        </w:rPr>
        <w:t xml:space="preserve">under weak </w:t>
      </w:r>
      <w:r w:rsidR="007E63AB" w:rsidRPr="001E73A0">
        <w:rPr>
          <w:sz w:val="24"/>
          <w:szCs w:val="24"/>
        </w:rPr>
        <w:t>board monitoring</w:t>
      </w:r>
      <w:r w:rsidRPr="001E73A0">
        <w:rPr>
          <w:sz w:val="24"/>
          <w:szCs w:val="24"/>
        </w:rPr>
        <w:t xml:space="preserve"> </w:t>
      </w:r>
      <w:r w:rsidR="00420426" w:rsidRPr="001E73A0">
        <w:rPr>
          <w:sz w:val="24"/>
          <w:szCs w:val="24"/>
        </w:rPr>
        <w:t>environment</w:t>
      </w:r>
      <w:r w:rsidR="00937B72" w:rsidRPr="001E73A0">
        <w:rPr>
          <w:sz w:val="24"/>
          <w:szCs w:val="24"/>
        </w:rPr>
        <w:t>s</w:t>
      </w:r>
      <w:r w:rsidR="00420426" w:rsidRPr="001E73A0">
        <w:rPr>
          <w:sz w:val="24"/>
          <w:szCs w:val="24"/>
        </w:rPr>
        <w:t xml:space="preserve"> </w:t>
      </w:r>
      <w:r w:rsidRPr="001E73A0">
        <w:rPr>
          <w:sz w:val="24"/>
          <w:szCs w:val="24"/>
        </w:rPr>
        <w:t>(</w:t>
      </w:r>
      <w:r w:rsidR="00937B72" w:rsidRPr="001E73A0">
        <w:rPr>
          <w:sz w:val="24"/>
          <w:szCs w:val="24"/>
        </w:rPr>
        <w:t>those</w:t>
      </w:r>
      <w:r w:rsidRPr="001E73A0">
        <w:rPr>
          <w:sz w:val="24"/>
          <w:szCs w:val="24"/>
        </w:rPr>
        <w:t xml:space="preserve"> with </w:t>
      </w:r>
      <w:r w:rsidR="00937B72" w:rsidRPr="001E73A0">
        <w:rPr>
          <w:sz w:val="24"/>
          <w:szCs w:val="24"/>
        </w:rPr>
        <w:t xml:space="preserve">an </w:t>
      </w:r>
      <w:r w:rsidR="00A7772A" w:rsidRPr="001E73A0">
        <w:rPr>
          <w:sz w:val="24"/>
          <w:szCs w:val="24"/>
        </w:rPr>
        <w:t>above</w:t>
      </w:r>
      <w:r w:rsidR="00FB189C" w:rsidRPr="001E73A0">
        <w:rPr>
          <w:sz w:val="24"/>
          <w:szCs w:val="24"/>
        </w:rPr>
        <w:t>-</w:t>
      </w:r>
      <w:r w:rsidRPr="001E73A0">
        <w:rPr>
          <w:sz w:val="24"/>
          <w:szCs w:val="24"/>
        </w:rPr>
        <w:t xml:space="preserve">median </w:t>
      </w:r>
      <w:r w:rsidR="007E63AB" w:rsidRPr="001E73A0">
        <w:rPr>
          <w:i/>
          <w:sz w:val="24"/>
          <w:szCs w:val="24"/>
        </w:rPr>
        <w:t>Busy Board</w:t>
      </w:r>
      <w:r w:rsidR="00FB189C" w:rsidRPr="001E73A0">
        <w:rPr>
          <w:i/>
          <w:iCs/>
          <w:sz w:val="24"/>
          <w:szCs w:val="24"/>
        </w:rPr>
        <w:t xml:space="preserve"> </w:t>
      </w:r>
      <w:r w:rsidR="00FB189C" w:rsidRPr="001E73A0">
        <w:rPr>
          <w:sz w:val="24"/>
          <w:szCs w:val="24"/>
        </w:rPr>
        <w:t>each year</w:t>
      </w:r>
      <w:r w:rsidRPr="001E73A0">
        <w:rPr>
          <w:sz w:val="24"/>
          <w:szCs w:val="24"/>
        </w:rPr>
        <w:t>).</w:t>
      </w:r>
      <w:r w:rsidR="00095C3C" w:rsidRPr="001E73A0">
        <w:rPr>
          <w:sz w:val="24"/>
          <w:szCs w:val="24"/>
        </w:rPr>
        <w:t xml:space="preserve"> I</w:t>
      </w:r>
      <w:r w:rsidRPr="001E73A0">
        <w:rPr>
          <w:sz w:val="24"/>
          <w:szCs w:val="24"/>
        </w:rPr>
        <w:t xml:space="preserve">f accounting information </w:t>
      </w:r>
      <w:r w:rsidR="00937B72" w:rsidRPr="001E73A0">
        <w:rPr>
          <w:sz w:val="24"/>
          <w:szCs w:val="24"/>
        </w:rPr>
        <w:t xml:space="preserve">comparability </w:t>
      </w:r>
      <w:r w:rsidRPr="001E73A0">
        <w:rPr>
          <w:sz w:val="24"/>
          <w:szCs w:val="24"/>
        </w:rPr>
        <w:t>improve</w:t>
      </w:r>
      <w:r w:rsidR="00F85A92" w:rsidRPr="001E73A0">
        <w:rPr>
          <w:sz w:val="24"/>
          <w:szCs w:val="24"/>
        </w:rPr>
        <w:t>s</w:t>
      </w:r>
      <w:r w:rsidRPr="001E73A0">
        <w:rPr>
          <w:sz w:val="24"/>
          <w:szCs w:val="24"/>
        </w:rPr>
        <w:t xml:space="preserve"> internal governance mechanism</w:t>
      </w:r>
      <w:r w:rsidR="00D17016" w:rsidRPr="001E73A0">
        <w:rPr>
          <w:sz w:val="24"/>
          <w:szCs w:val="24"/>
        </w:rPr>
        <w:t>s</w:t>
      </w:r>
      <w:r w:rsidRPr="001E73A0">
        <w:rPr>
          <w:sz w:val="24"/>
          <w:szCs w:val="24"/>
        </w:rPr>
        <w:t>, one would expect the influence of comparability on labo</w:t>
      </w:r>
      <w:r w:rsidR="00F85A92" w:rsidRPr="001E73A0">
        <w:rPr>
          <w:sz w:val="24"/>
          <w:szCs w:val="24"/>
        </w:rPr>
        <w:t>u</w:t>
      </w:r>
      <w:r w:rsidRPr="001E73A0">
        <w:rPr>
          <w:sz w:val="24"/>
          <w:szCs w:val="24"/>
        </w:rPr>
        <w:t xml:space="preserve">r investment inefficiency to be more pronounced in firms under </w:t>
      </w:r>
      <w:r w:rsidR="00420426" w:rsidRPr="001E73A0">
        <w:rPr>
          <w:sz w:val="24"/>
          <w:szCs w:val="24"/>
        </w:rPr>
        <w:t>weak</w:t>
      </w:r>
      <w:r w:rsidRPr="001E73A0">
        <w:rPr>
          <w:sz w:val="24"/>
          <w:szCs w:val="24"/>
        </w:rPr>
        <w:t xml:space="preserve"> </w:t>
      </w:r>
      <w:r w:rsidR="007E63AB" w:rsidRPr="001E73A0">
        <w:rPr>
          <w:sz w:val="24"/>
          <w:szCs w:val="24"/>
        </w:rPr>
        <w:t>board monitoring</w:t>
      </w:r>
      <w:r w:rsidRPr="001E73A0">
        <w:rPr>
          <w:sz w:val="24"/>
          <w:szCs w:val="24"/>
        </w:rPr>
        <w:t xml:space="preserve"> environment</w:t>
      </w:r>
      <w:r w:rsidR="00937B72" w:rsidRPr="001E73A0">
        <w:rPr>
          <w:sz w:val="24"/>
          <w:szCs w:val="24"/>
        </w:rPr>
        <w:t>s</w:t>
      </w:r>
      <w:r w:rsidRPr="001E73A0">
        <w:rPr>
          <w:sz w:val="24"/>
          <w:szCs w:val="24"/>
        </w:rPr>
        <w:t xml:space="preserve">. </w:t>
      </w:r>
    </w:p>
    <w:p w14:paraId="77F87929" w14:textId="5C9EE5B7" w:rsidR="00C90BFA" w:rsidRPr="001E73A0" w:rsidRDefault="00095C3C" w:rsidP="00A70892">
      <w:pPr>
        <w:spacing w:after="0" w:line="360" w:lineRule="auto"/>
        <w:ind w:firstLine="720"/>
        <w:jc w:val="both"/>
        <w:rPr>
          <w:sz w:val="24"/>
          <w:szCs w:val="24"/>
        </w:rPr>
      </w:pPr>
      <w:r w:rsidRPr="001E73A0">
        <w:rPr>
          <w:sz w:val="24"/>
          <w:szCs w:val="24"/>
        </w:rPr>
        <w:lastRenderedPageBreak/>
        <w:t xml:space="preserve">We estimate Eq. (6) on the strong and weak </w:t>
      </w:r>
      <w:r w:rsidR="007E63AB" w:rsidRPr="001E73A0">
        <w:rPr>
          <w:sz w:val="24"/>
          <w:szCs w:val="24"/>
        </w:rPr>
        <w:t>board monitoring</w:t>
      </w:r>
      <w:r w:rsidRPr="001E73A0">
        <w:rPr>
          <w:sz w:val="24"/>
          <w:szCs w:val="24"/>
        </w:rPr>
        <w:t xml:space="preserve"> sub</w:t>
      </w:r>
      <w:r w:rsidR="00F85A92" w:rsidRPr="001E73A0">
        <w:rPr>
          <w:sz w:val="24"/>
          <w:szCs w:val="24"/>
        </w:rPr>
        <w:t>-</w:t>
      </w:r>
      <w:r w:rsidRPr="001E73A0">
        <w:rPr>
          <w:sz w:val="24"/>
          <w:szCs w:val="24"/>
        </w:rPr>
        <w:t xml:space="preserve">samples and report </w:t>
      </w:r>
      <w:r w:rsidR="00FF7AB6" w:rsidRPr="001E73A0">
        <w:rPr>
          <w:sz w:val="24"/>
          <w:szCs w:val="24"/>
        </w:rPr>
        <w:t xml:space="preserve">our </w:t>
      </w:r>
      <w:r w:rsidRPr="001E73A0">
        <w:rPr>
          <w:sz w:val="24"/>
          <w:szCs w:val="24"/>
        </w:rPr>
        <w:t xml:space="preserve">results in Panel E of Table </w:t>
      </w:r>
      <w:r w:rsidR="00D43D72" w:rsidRPr="001E73A0">
        <w:rPr>
          <w:sz w:val="24"/>
          <w:szCs w:val="24"/>
        </w:rPr>
        <w:t>4</w:t>
      </w:r>
      <w:r w:rsidRPr="001E73A0">
        <w:rPr>
          <w:sz w:val="24"/>
          <w:szCs w:val="24"/>
        </w:rPr>
        <w:t xml:space="preserve">. </w:t>
      </w:r>
      <w:r w:rsidR="001000E3" w:rsidRPr="001E73A0">
        <w:rPr>
          <w:sz w:val="24"/>
          <w:szCs w:val="24"/>
        </w:rPr>
        <w:t xml:space="preserve">The coefficients on comparability are significantly negative </w:t>
      </w:r>
      <w:r w:rsidR="00C06003" w:rsidRPr="001E73A0">
        <w:rPr>
          <w:sz w:val="24"/>
          <w:szCs w:val="24"/>
        </w:rPr>
        <w:t xml:space="preserve">only in </w:t>
      </w:r>
      <w:r w:rsidR="00F85A92" w:rsidRPr="001E73A0">
        <w:rPr>
          <w:sz w:val="24"/>
          <w:szCs w:val="24"/>
        </w:rPr>
        <w:t xml:space="preserve">the </w:t>
      </w:r>
      <w:r w:rsidR="00C06003" w:rsidRPr="001E73A0">
        <w:rPr>
          <w:sz w:val="24"/>
          <w:szCs w:val="24"/>
        </w:rPr>
        <w:t xml:space="preserve">weak </w:t>
      </w:r>
      <w:r w:rsidR="007E63AB" w:rsidRPr="001E73A0">
        <w:rPr>
          <w:sz w:val="24"/>
          <w:szCs w:val="24"/>
        </w:rPr>
        <w:t>board monitoring sub-sample</w:t>
      </w:r>
      <w:r w:rsidR="00925C2E" w:rsidRPr="001E73A0">
        <w:rPr>
          <w:sz w:val="24"/>
          <w:szCs w:val="24"/>
        </w:rPr>
        <w:t xml:space="preserve">, suggesting </w:t>
      </w:r>
      <w:r w:rsidRPr="001E73A0">
        <w:rPr>
          <w:sz w:val="24"/>
          <w:szCs w:val="24"/>
        </w:rPr>
        <w:t>that comparability plays a more important role in labo</w:t>
      </w:r>
      <w:r w:rsidR="00F85A92" w:rsidRPr="001E73A0">
        <w:rPr>
          <w:sz w:val="24"/>
          <w:szCs w:val="24"/>
        </w:rPr>
        <w:t>u</w:t>
      </w:r>
      <w:r w:rsidRPr="001E73A0">
        <w:rPr>
          <w:sz w:val="24"/>
          <w:szCs w:val="24"/>
        </w:rPr>
        <w:t xml:space="preserve">r investment practices in firms with </w:t>
      </w:r>
      <w:r w:rsidR="00AE78EC" w:rsidRPr="001E73A0">
        <w:rPr>
          <w:sz w:val="24"/>
          <w:szCs w:val="24"/>
        </w:rPr>
        <w:t>weak</w:t>
      </w:r>
      <w:r w:rsidRPr="001E73A0">
        <w:rPr>
          <w:sz w:val="24"/>
          <w:szCs w:val="24"/>
        </w:rPr>
        <w:t xml:space="preserve"> </w:t>
      </w:r>
      <w:r w:rsidR="007E63AB" w:rsidRPr="001E73A0">
        <w:rPr>
          <w:sz w:val="24"/>
          <w:szCs w:val="24"/>
        </w:rPr>
        <w:t>board monitoring</w:t>
      </w:r>
      <w:r w:rsidRPr="001E73A0">
        <w:rPr>
          <w:sz w:val="24"/>
          <w:szCs w:val="24"/>
        </w:rPr>
        <w:t xml:space="preserve">. </w:t>
      </w:r>
      <w:r w:rsidR="00C90BFA" w:rsidRPr="001E73A0">
        <w:rPr>
          <w:sz w:val="24"/>
          <w:szCs w:val="24"/>
        </w:rPr>
        <w:t xml:space="preserve">This </w:t>
      </w:r>
      <w:r w:rsidR="00AE78EC" w:rsidRPr="001E73A0">
        <w:rPr>
          <w:sz w:val="24"/>
          <w:szCs w:val="24"/>
        </w:rPr>
        <w:t xml:space="preserve">finding </w:t>
      </w:r>
      <w:r w:rsidR="00C90BFA" w:rsidRPr="001E73A0">
        <w:rPr>
          <w:sz w:val="24"/>
          <w:szCs w:val="24"/>
        </w:rPr>
        <w:t>is in line with our argument that enhanced comparability strengthen</w:t>
      </w:r>
      <w:r w:rsidR="00AE78EC" w:rsidRPr="001E73A0">
        <w:rPr>
          <w:sz w:val="24"/>
          <w:szCs w:val="24"/>
        </w:rPr>
        <w:t>s</w:t>
      </w:r>
      <w:r w:rsidR="00C90BFA" w:rsidRPr="001E73A0">
        <w:rPr>
          <w:sz w:val="24"/>
          <w:szCs w:val="24"/>
        </w:rPr>
        <w:t xml:space="preserve"> the effectiveness of internal governance by allowing internal monitoring agents</w:t>
      </w:r>
      <w:r w:rsidR="00C508FC" w:rsidRPr="001E73A0">
        <w:rPr>
          <w:sz w:val="24"/>
          <w:szCs w:val="24"/>
        </w:rPr>
        <w:t xml:space="preserve"> </w:t>
      </w:r>
      <w:r w:rsidR="00937B72" w:rsidRPr="001E73A0">
        <w:rPr>
          <w:sz w:val="24"/>
          <w:szCs w:val="24"/>
        </w:rPr>
        <w:t xml:space="preserve">like </w:t>
      </w:r>
      <w:r w:rsidR="00C508FC" w:rsidRPr="001E73A0">
        <w:rPr>
          <w:sz w:val="24"/>
          <w:szCs w:val="24"/>
        </w:rPr>
        <w:t>corporate boards</w:t>
      </w:r>
      <w:r w:rsidR="00C90BFA" w:rsidRPr="001E73A0">
        <w:rPr>
          <w:sz w:val="24"/>
          <w:szCs w:val="24"/>
        </w:rPr>
        <w:t xml:space="preserve"> to make meaningful comparisons with industry peers, and this, in turn, improves </w:t>
      </w:r>
      <w:r w:rsidR="00937B72" w:rsidRPr="001E73A0">
        <w:rPr>
          <w:sz w:val="24"/>
          <w:szCs w:val="24"/>
        </w:rPr>
        <w:t>their</w:t>
      </w:r>
      <w:r w:rsidR="00C90BFA" w:rsidRPr="001E73A0">
        <w:rPr>
          <w:sz w:val="24"/>
          <w:szCs w:val="24"/>
        </w:rPr>
        <w:t xml:space="preserve"> oversight of manager</w:t>
      </w:r>
      <w:r w:rsidR="00C508FC" w:rsidRPr="001E73A0">
        <w:rPr>
          <w:sz w:val="24"/>
          <w:szCs w:val="24"/>
        </w:rPr>
        <w:t>s’</w:t>
      </w:r>
      <w:r w:rsidR="00C90BFA" w:rsidRPr="001E73A0">
        <w:rPr>
          <w:sz w:val="24"/>
          <w:szCs w:val="24"/>
        </w:rPr>
        <w:t xml:space="preserve"> labo</w:t>
      </w:r>
      <w:r w:rsidR="00F85A92" w:rsidRPr="001E73A0">
        <w:rPr>
          <w:sz w:val="24"/>
          <w:szCs w:val="24"/>
        </w:rPr>
        <w:t>u</w:t>
      </w:r>
      <w:r w:rsidR="00C90BFA" w:rsidRPr="001E73A0">
        <w:rPr>
          <w:sz w:val="24"/>
          <w:szCs w:val="24"/>
        </w:rPr>
        <w:t>r investment decisions.</w:t>
      </w:r>
    </w:p>
    <w:p w14:paraId="7498CDAD" w14:textId="11454045" w:rsidR="00D43D72" w:rsidRPr="001E73A0" w:rsidRDefault="002D2C65">
      <w:pPr>
        <w:spacing w:after="0" w:line="360" w:lineRule="auto"/>
        <w:ind w:firstLine="720"/>
        <w:jc w:val="both"/>
        <w:rPr>
          <w:sz w:val="24"/>
          <w:szCs w:val="24"/>
        </w:rPr>
      </w:pPr>
      <w:r w:rsidRPr="001E73A0">
        <w:rPr>
          <w:sz w:val="24"/>
          <w:szCs w:val="24"/>
        </w:rPr>
        <w:t>Overall</w:t>
      </w:r>
      <w:r w:rsidR="00693127" w:rsidRPr="001E73A0">
        <w:rPr>
          <w:sz w:val="24"/>
          <w:szCs w:val="24"/>
        </w:rPr>
        <w:t xml:space="preserve">, the results corroborate our argument that accounting </w:t>
      </w:r>
      <w:r w:rsidR="00937B72" w:rsidRPr="001E73A0">
        <w:rPr>
          <w:sz w:val="24"/>
          <w:szCs w:val="24"/>
        </w:rPr>
        <w:t xml:space="preserve">comparability </w:t>
      </w:r>
      <w:r w:rsidR="00693127" w:rsidRPr="001E73A0">
        <w:rPr>
          <w:sz w:val="24"/>
          <w:szCs w:val="24"/>
        </w:rPr>
        <w:t>improve</w:t>
      </w:r>
      <w:r w:rsidR="00C90BFA" w:rsidRPr="001E73A0">
        <w:rPr>
          <w:sz w:val="24"/>
          <w:szCs w:val="24"/>
        </w:rPr>
        <w:t>s labo</w:t>
      </w:r>
      <w:r w:rsidR="00F85A92" w:rsidRPr="001E73A0">
        <w:rPr>
          <w:sz w:val="24"/>
          <w:szCs w:val="24"/>
        </w:rPr>
        <w:t>u</w:t>
      </w:r>
      <w:r w:rsidR="00C90BFA" w:rsidRPr="001E73A0">
        <w:rPr>
          <w:sz w:val="24"/>
          <w:szCs w:val="24"/>
        </w:rPr>
        <w:t>r investment efficiency via external monitoring and internal governance mechanisms.</w:t>
      </w:r>
    </w:p>
    <w:p w14:paraId="6B755AA8" w14:textId="77777777" w:rsidR="001000E3" w:rsidRPr="001E73A0" w:rsidRDefault="001000E3" w:rsidP="00095C3C">
      <w:pPr>
        <w:spacing w:after="0" w:line="360" w:lineRule="auto"/>
        <w:jc w:val="both"/>
        <w:rPr>
          <w:sz w:val="24"/>
          <w:szCs w:val="24"/>
        </w:rPr>
      </w:pPr>
    </w:p>
    <w:p w14:paraId="402BB1B3" w14:textId="7C1C4B6A" w:rsidR="006C3B26" w:rsidRPr="001E73A0" w:rsidRDefault="00CC3A1B" w:rsidP="00612D21">
      <w:pPr>
        <w:pStyle w:val="1"/>
        <w:spacing w:line="360" w:lineRule="auto"/>
        <w:rPr>
          <w:szCs w:val="28"/>
        </w:rPr>
      </w:pPr>
      <w:r w:rsidRPr="001E73A0">
        <w:rPr>
          <w:szCs w:val="28"/>
        </w:rPr>
        <w:t>5</w:t>
      </w:r>
      <w:r w:rsidR="004756F0" w:rsidRPr="001E73A0">
        <w:rPr>
          <w:szCs w:val="28"/>
        </w:rPr>
        <w:t>. Robustness Tests</w:t>
      </w:r>
    </w:p>
    <w:p w14:paraId="17614FAD" w14:textId="77777777" w:rsidR="00465179" w:rsidRPr="001E73A0" w:rsidRDefault="00465179" w:rsidP="00465179">
      <w:pPr>
        <w:pStyle w:val="2"/>
        <w:spacing w:before="0" w:after="0" w:line="360" w:lineRule="auto"/>
        <w:rPr>
          <w:szCs w:val="24"/>
        </w:rPr>
      </w:pPr>
      <w:r w:rsidRPr="001E73A0">
        <w:rPr>
          <w:szCs w:val="24"/>
        </w:rPr>
        <w:t xml:space="preserve">5.1 Alternative Explanations: Non-labour Investments </w:t>
      </w:r>
    </w:p>
    <w:p w14:paraId="0B3A544D" w14:textId="77777777" w:rsidR="00465179" w:rsidRPr="001E73A0" w:rsidRDefault="00465179" w:rsidP="00465179"/>
    <w:p w14:paraId="57C0C724" w14:textId="77777777" w:rsidR="00465179" w:rsidRPr="001E73A0" w:rsidRDefault="00465179" w:rsidP="00465179">
      <w:pPr>
        <w:spacing w:after="0" w:line="360" w:lineRule="auto"/>
        <w:ind w:firstLine="720"/>
        <w:jc w:val="both"/>
        <w:rPr>
          <w:sz w:val="24"/>
          <w:szCs w:val="24"/>
        </w:rPr>
      </w:pPr>
      <w:r w:rsidRPr="001E73A0">
        <w:rPr>
          <w:sz w:val="24"/>
          <w:szCs w:val="24"/>
        </w:rPr>
        <w:t>Labour investment may be linked with other types of investment, such as acquisitions or marketing. Thus, a concern with our inferences is that comparability indirectly affects investments in labour through its impact on other investments. For instance, if labour investments are simply a complement to other types of investment, the other investments could potentially drive the relation between comparability and investment in labour. While we have included |</w:t>
      </w:r>
      <w:r w:rsidRPr="001E73A0">
        <w:rPr>
          <w:i/>
          <w:sz w:val="24"/>
          <w:szCs w:val="24"/>
        </w:rPr>
        <w:t>Ab_Other_Invest</w:t>
      </w:r>
      <w:r w:rsidRPr="001E73A0">
        <w:rPr>
          <w:sz w:val="24"/>
          <w:szCs w:val="24"/>
        </w:rPr>
        <w:t xml:space="preserve">| in our regressions to control for abnormal non-labour investments, in this section we perform additional analysis to rule out the possibility that our findings are attributable to other contemporaneous non-labour investments. In particular, we examine four types of investments: capital expenditure (CAPX), advertising expenditure (XAD), R&amp;D expenditure (XRD), and acquisitions expenditure (AQC). Also, following Jung et al. (2014) and Ben-Nasr and Alshwer </w:t>
      </w:r>
      <w:r w:rsidRPr="001E73A0">
        <w:rPr>
          <w:sz w:val="24"/>
          <w:szCs w:val="24"/>
        </w:rPr>
        <w:fldChar w:fldCharType="begin" w:fldLock="1"/>
      </w:r>
      <w:r w:rsidRPr="001E73A0">
        <w:rPr>
          <w:sz w:val="24"/>
          <w:szCs w:val="24"/>
        </w:rPr>
        <w:instrText>ADDIN CSL_CITATION {"citationItems":[{"id":"ITEM-1","itemData":{"ISSN":"09291199","abstract":"In this paper, we examine whether managers use information included in stock prices when making labor investment decisions. Specifically, we examine whether stock price informativeness affects labor investment efficiency. We find that a higher probability of informed trading (PIN) is associated with lower deviations of labor investment from the level justified by economic fundamentals, i.e., higher labor investment efficiency. This finding is robust to using alternative proxies for stock price informativeness and labor investment efficiency, when we control for earnings quality and mispricing, and when we address endogeneity issues. Furthermore, we report evidence suggesting that the positive impact of stock price on labor investment efficiency is more (less) pronounced in firms from highly unionized industries and firms facing higher financial constraints (firms from industries that rely more on skilled labor).","author":[{"dropping-particle":"","family":"Ben-Nasr","given":"Hamdi","non-dropping-particle":"","parse-names":false,"suffix":""},{"dropping-particle":"","family":"Alshwer","given":"Abdullah A.","non-dropping-particle":"","parse-names":false,"suffix":""}],"container-title":"Journal of Corporate Finance","id":"ITEM-1","issue":"C","issued":{"date-parts":[["2016"]]},"page":"249-271","publisher":"Elsevier B.V.","title":"Does stock price informativeness affect labor investment efficiency?","type":"article-journal","volume":"38"},"suppress-author":1,"uris":["http://www.mendeley.com/documents/?uuid=792d336f-df82-4c74-a20d-bf441787c56b"]}],"mendeley":{"formattedCitation":"(2016)","plainTextFormattedCitation":"(2016)","previouslyFormattedCitation":"(2016)"},"properties":{"noteIndex":0},"schema":"https://github.com/citation-style-language/schema/raw/master/csl-citation.json"}</w:instrText>
      </w:r>
      <w:r w:rsidRPr="001E73A0">
        <w:rPr>
          <w:sz w:val="24"/>
          <w:szCs w:val="24"/>
        </w:rPr>
        <w:fldChar w:fldCharType="separate"/>
      </w:r>
      <w:r w:rsidRPr="001E73A0">
        <w:rPr>
          <w:noProof/>
          <w:sz w:val="24"/>
          <w:szCs w:val="24"/>
        </w:rPr>
        <w:t>(2016)</w:t>
      </w:r>
      <w:r w:rsidRPr="001E73A0">
        <w:rPr>
          <w:sz w:val="24"/>
          <w:szCs w:val="24"/>
        </w:rPr>
        <w:fldChar w:fldCharType="end"/>
      </w:r>
      <w:r w:rsidRPr="001E73A0">
        <w:rPr>
          <w:sz w:val="24"/>
          <w:szCs w:val="24"/>
        </w:rPr>
        <w:t xml:space="preserve">, we investigate the total investment in capital (TOC), which is measured as the sum of capital expenditure, R&amp;D expenditure and acquisition expenditure, less proceeds from the sale of PPE (property, plant and equipment). </w:t>
      </w:r>
    </w:p>
    <w:p w14:paraId="19A4A0A0" w14:textId="77777777" w:rsidR="00465179" w:rsidRPr="001E73A0" w:rsidRDefault="00465179" w:rsidP="00465179">
      <w:pPr>
        <w:spacing w:after="0" w:line="360" w:lineRule="auto"/>
        <w:ind w:firstLine="720"/>
        <w:jc w:val="both"/>
        <w:rPr>
          <w:sz w:val="24"/>
          <w:szCs w:val="24"/>
        </w:rPr>
      </w:pPr>
      <w:r w:rsidRPr="001E73A0">
        <w:rPr>
          <w:sz w:val="24"/>
          <w:szCs w:val="24"/>
        </w:rPr>
        <w:t xml:space="preserve">For each type of non-labour investment, we split our sample into three groups based on the relationship between labour investments (net hiring) and the specific investment type: The first group comprises firms for which labour investments and other investments are positively related. That is, firms in this group increase or decrease net hiring and other </w:t>
      </w:r>
      <w:r w:rsidRPr="001E73A0">
        <w:rPr>
          <w:sz w:val="24"/>
          <w:szCs w:val="24"/>
        </w:rPr>
        <w:lastRenderedPageBreak/>
        <w:t xml:space="preserve">investments simultaneously; thus, labour investments are likely to complement other forms of investment. The second group comprises firms for which labour investments and other investments are negatively related. Firms in this group increase (or decrease) net hiring and decrease (or increase) other types of investment; therefore, labour investments are less likely to be a complement to other investments. The third group comprises firms that report zero or a missing value for that type of investment. Then we estimate Eq. (6) separately for each sub-sample. If our findings are primarily driven by relations between comparability and non-labour investments, we would expect the results to be concentrated in the sub-sample of firms with a positive association between labour investments and non-labour investments. For example, it is unlikely that the negative impact of comparability on abnormal net hiring is attributed to acquisition expenditure if such expenses and labour investments move in opposite directions. Similarly, the results are unlikely to be driven by acquisition expenditure for firms that do not invest in acquisitions. </w:t>
      </w:r>
    </w:p>
    <w:p w14:paraId="5BB2C6DB" w14:textId="77777777" w:rsidR="00465179" w:rsidRPr="001E73A0" w:rsidRDefault="00465179" w:rsidP="00465179">
      <w:pPr>
        <w:spacing w:after="0" w:line="360" w:lineRule="auto"/>
        <w:ind w:firstLine="720"/>
        <w:jc w:val="both"/>
        <w:rPr>
          <w:sz w:val="24"/>
          <w:szCs w:val="24"/>
        </w:rPr>
      </w:pPr>
      <w:r w:rsidRPr="001E73A0">
        <w:rPr>
          <w:sz w:val="24"/>
          <w:szCs w:val="24"/>
        </w:rPr>
        <w:t>Table 5 reports the results controlling for the association between labour investments and non-labour investments, including capital expenditure (Panel A), advertising expenditure (Panel B), R&amp;D expenditure (Panel C), acquisition expenditure (Panel D) and total investments in capital (Panel E). We find that, irrespective of whether labour investments and other investments move in the same or opposite directions, the impact of accounting comparability on labour investment inefficiency remains negative and statistically significant. Moreover, the estimated coefficients on comparability are still negative and economically significant in the sub-sample of firms with zero or missing values in non-labour investments.</w:t>
      </w:r>
      <w:r w:rsidRPr="001E73A0">
        <w:rPr>
          <w:rStyle w:val="a8"/>
        </w:rPr>
        <w:t xml:space="preserve"> </w:t>
      </w:r>
      <w:r w:rsidRPr="001E73A0">
        <w:rPr>
          <w:rStyle w:val="a8"/>
        </w:rPr>
        <w:footnoteReference w:id="13"/>
      </w:r>
      <w:r w:rsidRPr="001E73A0">
        <w:rPr>
          <w:sz w:val="24"/>
          <w:szCs w:val="24"/>
        </w:rPr>
        <w:t xml:space="preserve"> Therefore, the negative association between comparability and abnormal net hiring is not concentrated in the sub-sample of firms in which labour investments and non-labour investments complement one another.</w:t>
      </w:r>
    </w:p>
    <w:p w14:paraId="7483AA41" w14:textId="77777777" w:rsidR="00465179" w:rsidRPr="001E73A0" w:rsidRDefault="00465179" w:rsidP="00465179">
      <w:pPr>
        <w:spacing w:after="0" w:line="360" w:lineRule="auto"/>
        <w:ind w:firstLine="720"/>
        <w:jc w:val="both"/>
        <w:rPr>
          <w:sz w:val="24"/>
          <w:szCs w:val="24"/>
        </w:rPr>
      </w:pPr>
    </w:p>
    <w:p w14:paraId="7A2772A0" w14:textId="77777777" w:rsidR="00465179" w:rsidRPr="001E73A0" w:rsidRDefault="00465179" w:rsidP="00465179">
      <w:pPr>
        <w:spacing w:after="0" w:line="360" w:lineRule="auto"/>
        <w:jc w:val="center"/>
        <w:rPr>
          <w:sz w:val="24"/>
          <w:szCs w:val="24"/>
        </w:rPr>
      </w:pPr>
      <w:r w:rsidRPr="001E73A0">
        <w:rPr>
          <w:sz w:val="24"/>
          <w:szCs w:val="24"/>
        </w:rPr>
        <w:t>[Insert Table 5 around here]</w:t>
      </w:r>
    </w:p>
    <w:p w14:paraId="56655D6F" w14:textId="77777777" w:rsidR="00465179" w:rsidRPr="001E73A0" w:rsidRDefault="00465179" w:rsidP="00465179">
      <w:pPr>
        <w:spacing w:after="0" w:line="360" w:lineRule="auto"/>
        <w:jc w:val="center"/>
        <w:rPr>
          <w:sz w:val="24"/>
          <w:szCs w:val="24"/>
        </w:rPr>
      </w:pPr>
    </w:p>
    <w:p w14:paraId="09BE482A" w14:textId="77777777" w:rsidR="00465179" w:rsidRPr="001E73A0" w:rsidRDefault="00465179" w:rsidP="00465179">
      <w:pPr>
        <w:spacing w:after="0" w:line="360" w:lineRule="auto"/>
        <w:ind w:firstLine="720"/>
        <w:jc w:val="both"/>
        <w:rPr>
          <w:sz w:val="24"/>
          <w:szCs w:val="24"/>
        </w:rPr>
      </w:pPr>
      <w:r w:rsidRPr="001E73A0">
        <w:rPr>
          <w:sz w:val="24"/>
          <w:szCs w:val="24"/>
        </w:rPr>
        <w:t xml:space="preserve">Collectively, these results imply that our suppositions are not instead driven by contemporaneous non-labour investments. This concurs with Benmelech et al.’s </w:t>
      </w:r>
      <w:r w:rsidRPr="001E73A0">
        <w:rPr>
          <w:sz w:val="24"/>
          <w:szCs w:val="24"/>
        </w:rPr>
        <w:fldChar w:fldCharType="begin" w:fldLock="1"/>
      </w:r>
      <w:r w:rsidRPr="001E73A0">
        <w:rPr>
          <w:sz w:val="24"/>
          <w:szCs w:val="24"/>
        </w:rPr>
        <w:instrText>ADDIN CSL_CITATION {"citationItems":[{"id":"ITEM-1","itemData":{"ISSN":"1556-5068","author":[{"dropping-particle":"","family":"Benmelech","given":"Efraim","non-dropping-particle":"","parse-names":false,"suffix":""},{"dropping-particle":"","family":"Bergman","given":"Nittai","non-dropping-particle":"","parse-names":false,"suffix":""},{"dropping-particle":"","family":"Seru","given":"Amit","non-dropping-particle":"","parse-names":false,"suffix":""}],"container-title":"Available at: SSRN 2608189","id":"ITEM-1","issued":{"date-parts":[["2015","5","19"]]},"title":"Financing labor","type":"report"},"suppress-author":1,"uris":["http://www.mendeley.com/documents/?uuid=80d90374-7ef9-320d-80a7-dc664c5eab5f"]}],"mendeley":{"formattedCitation":"(2015)","plainTextFormattedCitation":"(2015)","previouslyFormattedCitation":"(2015)"},"properties":{"noteIndex":0},"schema":"https://github.com/citation-style-language/schema/raw/master/csl-citation.json"}</w:instrText>
      </w:r>
      <w:r w:rsidRPr="001E73A0">
        <w:rPr>
          <w:sz w:val="24"/>
          <w:szCs w:val="24"/>
        </w:rPr>
        <w:fldChar w:fldCharType="separate"/>
      </w:r>
      <w:r w:rsidRPr="001E73A0">
        <w:rPr>
          <w:noProof/>
          <w:sz w:val="24"/>
          <w:szCs w:val="24"/>
        </w:rPr>
        <w:t>(2015)</w:t>
      </w:r>
      <w:r w:rsidRPr="001E73A0">
        <w:rPr>
          <w:sz w:val="24"/>
          <w:szCs w:val="24"/>
        </w:rPr>
        <w:fldChar w:fldCharType="end"/>
      </w:r>
      <w:r w:rsidRPr="001E73A0">
        <w:rPr>
          <w:sz w:val="24"/>
          <w:szCs w:val="24"/>
        </w:rPr>
        <w:t xml:space="preserve"> evidence that market friction has an incremental effect on labour investments beyond other </w:t>
      </w:r>
      <w:r w:rsidRPr="001E73A0">
        <w:rPr>
          <w:sz w:val="24"/>
          <w:szCs w:val="24"/>
        </w:rPr>
        <w:lastRenderedPageBreak/>
        <w:t xml:space="preserve">capital investments, and Merz and Yashiv’s </w:t>
      </w:r>
      <w:r w:rsidRPr="001E73A0">
        <w:rPr>
          <w:sz w:val="24"/>
          <w:szCs w:val="24"/>
        </w:rPr>
        <w:fldChar w:fldCharType="begin" w:fldLock="1"/>
      </w:r>
      <w:r w:rsidRPr="001E73A0">
        <w:rPr>
          <w:sz w:val="24"/>
          <w:szCs w:val="24"/>
        </w:rPr>
        <w:instrText>ADDIN CSL_CITATION {"citationItems":[{"id":"ITEM-1","itemData":{"ISSN":"0002-8282","author":[{"dropping-particle":"","family":"Merz","given":"Monika","non-dropping-particle":"","parse-names":false,"suffix":""},{"dropping-particle":"","family":"Yashiv","given":"Eran","non-dropping-particle":"","parse-names":false,"suffix":""}],"container-title":"American Economic Review","id":"ITEM-1","issue":"4","issued":{"date-parts":[["2007","8"]]},"page":"1419-1431","title":"Labor and the market value of the firm","type":"article-journal","volume":"97"},"suppress-author":1,"uris":["http://www.mendeley.com/documents/?uuid=001112b5-3377-33ac-99e2-0fdb5ec7b9da"]}],"mendeley":{"formattedCitation":"(2007)","plainTextFormattedCitation":"(2007)","previouslyFormattedCitation":"(2007)"},"properties":{"noteIndex":0},"schema":"https://github.com/citation-style-language/schema/raw/master/csl-citation.json"}</w:instrText>
      </w:r>
      <w:r w:rsidRPr="001E73A0">
        <w:rPr>
          <w:sz w:val="24"/>
          <w:szCs w:val="24"/>
        </w:rPr>
        <w:fldChar w:fldCharType="separate"/>
      </w:r>
      <w:r w:rsidRPr="001E73A0">
        <w:rPr>
          <w:noProof/>
          <w:sz w:val="24"/>
          <w:szCs w:val="24"/>
        </w:rPr>
        <w:t>(2007)</w:t>
      </w:r>
      <w:r w:rsidRPr="001E73A0">
        <w:rPr>
          <w:sz w:val="24"/>
          <w:szCs w:val="24"/>
        </w:rPr>
        <w:fldChar w:fldCharType="end"/>
      </w:r>
      <w:r w:rsidRPr="001E73A0">
        <w:rPr>
          <w:sz w:val="24"/>
          <w:szCs w:val="24"/>
        </w:rPr>
        <w:t xml:space="preserve"> finding that labour investments influence firm value even after controlling for other investments in capital.</w:t>
      </w:r>
    </w:p>
    <w:p w14:paraId="63E328C1" w14:textId="77777777" w:rsidR="00465179" w:rsidRPr="001E73A0" w:rsidRDefault="00465179" w:rsidP="00465179">
      <w:pPr>
        <w:spacing w:after="0" w:line="360" w:lineRule="auto"/>
        <w:jc w:val="both"/>
        <w:rPr>
          <w:sz w:val="24"/>
          <w:szCs w:val="24"/>
        </w:rPr>
      </w:pPr>
    </w:p>
    <w:p w14:paraId="1C9F687B" w14:textId="77777777" w:rsidR="00465179" w:rsidRPr="001E73A0" w:rsidRDefault="00465179" w:rsidP="00465179">
      <w:pPr>
        <w:pStyle w:val="2"/>
        <w:spacing w:before="0" w:after="0" w:line="360" w:lineRule="auto"/>
        <w:rPr>
          <w:szCs w:val="24"/>
        </w:rPr>
      </w:pPr>
      <w:r w:rsidRPr="001E73A0">
        <w:rPr>
          <w:szCs w:val="24"/>
        </w:rPr>
        <w:t>5.2 Addressing Endogeneity</w:t>
      </w:r>
    </w:p>
    <w:p w14:paraId="2A77ED88" w14:textId="77777777" w:rsidR="00465179" w:rsidRPr="001E73A0" w:rsidRDefault="00465179" w:rsidP="00465179">
      <w:pPr>
        <w:spacing w:after="0" w:line="360" w:lineRule="auto"/>
        <w:ind w:firstLine="720"/>
        <w:jc w:val="both"/>
        <w:rPr>
          <w:sz w:val="24"/>
          <w:szCs w:val="24"/>
        </w:rPr>
      </w:pPr>
      <w:r w:rsidRPr="001E73A0">
        <w:rPr>
          <w:sz w:val="24"/>
          <w:szCs w:val="24"/>
        </w:rPr>
        <w:t xml:space="preserve">Given the endogenous nature of accounting information and corporate decision-making, the association we find between comparability and employment decisions may be driven by omitted firm-specific factors that affect both comparability and labour investment. Certain firms may be more likely to deliver financial statements at higher levels of comparability, and also invest more efficiently in labour. Accordingly, it is possible that both comparability and labour investment could be related to factors that are omitted or difficult to observe. For instance, firms with more able managers may simultaneously have higher accounting comparability and more efficient labour investment. If this is the case, our results could be driven by the omission of the proxy for managerial ability. We have attempted to mitigate this concern by incorporating an extensive list of control variables, and industry, firm, and year fixed-effects to ensure that our supposition cannot be attributed to the time-(in)variant, (un)observed heterogeneity at industry- and firm-levels. Nonetheless, we cannot rule out the possibility that our results might suffer from omitted variable bias. </w:t>
      </w:r>
    </w:p>
    <w:p w14:paraId="55E052BF" w14:textId="77777777" w:rsidR="00465179" w:rsidRPr="001E73A0" w:rsidRDefault="00465179" w:rsidP="00465179">
      <w:pPr>
        <w:spacing w:after="0" w:line="360" w:lineRule="auto"/>
        <w:ind w:firstLine="720"/>
        <w:jc w:val="both"/>
        <w:rPr>
          <w:sz w:val="24"/>
          <w:szCs w:val="24"/>
        </w:rPr>
      </w:pPr>
      <w:r w:rsidRPr="001E73A0">
        <w:rPr>
          <w:sz w:val="24"/>
          <w:szCs w:val="24"/>
        </w:rPr>
        <w:t xml:space="preserve">In order to further tackle such bias, we implement the propensity-score-matching technique to re-examine the influence of comparability on employment decisions. This method allows us to more clearly attribute the observed effects to comparability itself, rather than to firms’ observed or unobserved factors associated with comparability </w:t>
      </w:r>
      <w:r w:rsidRPr="001E73A0">
        <w:rPr>
          <w:sz w:val="24"/>
          <w:szCs w:val="24"/>
        </w:rPr>
        <w:fldChar w:fldCharType="begin" w:fldLock="1"/>
      </w:r>
      <w:r w:rsidRPr="001E73A0">
        <w:rPr>
          <w:sz w:val="24"/>
          <w:szCs w:val="24"/>
        </w:rPr>
        <w:instrText>ADDIN CSL_CITATION {"citationItems":[{"id":"ITEM-1","itemData":{"ISSN":"0001-4826","abstract":"ABSTRACT: We document the first systematic evidence on the characteristics and economic consequences of firms subject to employee allegations of corporate financial misdeeds. First, compared to a control group that avoided public whistle-blowing allegations, firms subject to whistle-blowing allegations were characterized by unique firm-specific factors that led employees to expose alleged financial misdeeds. Second, on average, whistle-blowing announcements were associated with a negative 2.8 percent market-adjusted five-day stock price reaction; this reaction was especially negative for allegations involving earnings management (−7.3 percent). Third, compared to a control group that exhibits similar characteristics, firms subject to whistle-blowing allegations were associated with further negative consequences including earnings restatements, shareholder lawsuits, and negative future operating and stock return performance. Finally, whistle-blowing targets exposed by the press were more likely to make sub...","author":[{"dropping-particle":"","family":"Bowen","given":"Robert M.","non-dropping-particle":"","parse-names":false,"suffix":""},{"dropping-particle":"","family":"Call","given":"Andrew C.","non-dropping-particle":"","parse-names":false,"suffix":""},{"dropping-particle":"","family":"Rajgopal","given":"Shiva","non-dropping-particle":"","parse-names":false,"suffix":""}],"container-title":"The Accounting Review","id":"ITEM-1","issue":"4","issued":{"date-parts":[["2010","7"]]},"page":"1239-1271","title":"Whistle-blowing: Target firm characteristics and economic consequences","type":"article-journal","volume":"85"},"uris":["http://www.mendeley.com/documents/?uuid=a2cae727-a03d-3154-9986-acf30cfdd338"]},{"id":"ITEM-2","itemData":{"ISBN":"8618570346","ISSN":"09291199","abstract":"We investigate the impact of directors' and officers' insurance (D&amp;O insurance) on stock price crash risk. We find that D&amp;O insurance in China is negatively associated with stock price crash risk. This association is robust to a series of robustness checks including the use of alternative sample, Heckman two-step sample selection model, propensity score matching procedure, fixed effects model, the inclusion of some possibly omitted variables, and bootstrap method. Further analyses show that the impact of D&amp;O insurance on crash risk is more pronounced in firms with lower board independence, non-Big 4 auditors, lower institutional shareholdings, and weaker investor protection; and the negative relationship between D&amp;O insurance and crash risk is not driven by the eyeball effect. Moreover, we find that D&amp;O insurance purchase is associated with less financial restatements and more disclosure of corporate social responsibility reports. Our findings provide support to the notion that D&amp;O insurance appears to improve corporate governance.","author":[{"dropping-particle":"","family":"Yuan","given":"Rongli","non-dropping-particle":"","parse-names":false,"suffix":""},{"dropping-particle":"","family":"Sun","given":"Jian","non-dropping-particle":"","parse-names":false,"suffix":""},{"dropping-particle":"","family":"Cao","given":"Feng","non-dropping-particle":"","parse-names":false,"suffix":""}],"container-title":"Journal of Corporate Finance","id":"ITEM-2","issue":"C","issued":{"date-parts":[["2016"]]},"page":"173-192","title":"Directors' and officers' liability insurance and stock price crash risk","type":"article-journal","volume":"37"},"uris":["http://www.mendeley.com/documents/?uuid=e64950ea-0bbf-31fe-bae3-69cffb19d78b"]}],"mendeley":{"formattedCitation":"(Bowen, Call, &amp; Rajgopal, 2010; Yuan, Sun, &amp; Cao, 2016)","plainTextFormattedCitation":"(Bowen, Call, &amp; Rajgopal, 2010; Yuan, Sun, &amp; Cao, 2016)","previouslyFormattedCitation":"(Bowen, Call, &amp; Rajgopal, 2010; Yuan, Sun, &amp; Cao, 2016)"},"properties":{"noteIndex":0},"schema":"https://github.com/citation-style-language/schema/raw/master/csl-citation.json"}</w:instrText>
      </w:r>
      <w:r w:rsidRPr="001E73A0">
        <w:rPr>
          <w:sz w:val="24"/>
          <w:szCs w:val="24"/>
        </w:rPr>
        <w:fldChar w:fldCharType="separate"/>
      </w:r>
      <w:r w:rsidRPr="001E73A0">
        <w:rPr>
          <w:noProof/>
          <w:sz w:val="24"/>
          <w:szCs w:val="24"/>
        </w:rPr>
        <w:t>(Bowen, Call, &amp; Rajgopal, 2010; Yuan, Sun, &amp; Cao, 2016)</w:t>
      </w:r>
      <w:r w:rsidRPr="001E73A0">
        <w:rPr>
          <w:sz w:val="24"/>
          <w:szCs w:val="24"/>
        </w:rPr>
        <w:fldChar w:fldCharType="end"/>
      </w:r>
      <w:r w:rsidRPr="001E73A0">
        <w:rPr>
          <w:sz w:val="24"/>
          <w:szCs w:val="24"/>
        </w:rPr>
        <w:t xml:space="preserve">. To construct a propensity-matched sample, we first estimate the probability of being a firm with higher accounting comparability by running Eq. (7) following Zhang </w:t>
      </w:r>
      <w:r w:rsidRPr="001E73A0">
        <w:rPr>
          <w:sz w:val="24"/>
          <w:szCs w:val="24"/>
        </w:rPr>
        <w:fldChar w:fldCharType="begin" w:fldLock="1"/>
      </w:r>
      <w:r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suppress-author":1,"uris":["http://www.mendeley.com/documents/?uuid=f446f684-96f3-3b20-b904-edd4724f1aa0"]}],"mendeley":{"formattedCitation":"(2018)","plainTextFormattedCitation":"(2018)","previouslyFormattedCitation":"(2018)"},"properties":{"noteIndex":0},"schema":"https://github.com/citation-style-language/schema/raw/master/csl-citation.json"}</w:instrText>
      </w:r>
      <w:r w:rsidRPr="001E73A0">
        <w:rPr>
          <w:sz w:val="24"/>
          <w:szCs w:val="24"/>
        </w:rPr>
        <w:fldChar w:fldCharType="separate"/>
      </w:r>
      <w:r w:rsidRPr="001E73A0">
        <w:rPr>
          <w:noProof/>
          <w:sz w:val="24"/>
          <w:szCs w:val="24"/>
        </w:rPr>
        <w:t>(2018)</w:t>
      </w:r>
      <w:r w:rsidRPr="001E73A0">
        <w:rPr>
          <w:sz w:val="24"/>
          <w:szCs w:val="24"/>
        </w:rPr>
        <w:fldChar w:fldCharType="end"/>
      </w:r>
      <w:r w:rsidRPr="001E73A0">
        <w:rPr>
          <w:sz w:val="24"/>
          <w:szCs w:val="24"/>
        </w:rPr>
        <w:t>,</w:t>
      </w:r>
    </w:p>
    <w:p w14:paraId="19D34926" w14:textId="77777777" w:rsidR="00465179" w:rsidRPr="001E73A0" w:rsidRDefault="00465179" w:rsidP="00465179">
      <w:pPr>
        <w:spacing w:after="0" w:line="360" w:lineRule="auto"/>
        <w:jc w:val="both"/>
        <w:rPr>
          <w:sz w:val="24"/>
          <w:szCs w:val="24"/>
        </w:rPr>
      </w:pPr>
    </w:p>
    <w:p w14:paraId="59A9EF86" w14:textId="77777777" w:rsidR="00465179" w:rsidRPr="001E73A0" w:rsidRDefault="00465179" w:rsidP="00465179">
      <w:pPr>
        <w:spacing w:after="0" w:line="360" w:lineRule="auto"/>
        <w:jc w:val="center"/>
        <w:rPr>
          <w:sz w:val="24"/>
          <w:szCs w:val="24"/>
        </w:rPr>
      </w:pPr>
      <w:r w:rsidRPr="001E73A0">
        <w:rPr>
          <w:position w:val="-32"/>
          <w:sz w:val="24"/>
          <w:szCs w:val="24"/>
        </w:rPr>
        <w:object w:dxaOrig="8320" w:dyaOrig="760" w14:anchorId="47BF77BC">
          <v:shape id="_x0000_i1031" type="#_x0000_t75" style="width:417.75pt;height:36pt" o:ole="">
            <v:imagedata r:id="rId20" o:title=""/>
          </v:shape>
          <o:OLEObject Type="Embed" ProgID="Equation.DSMT4" ShapeID="_x0000_i1031" DrawAspect="Content" ObjectID="_1655669387" r:id="rId21"/>
        </w:object>
      </w:r>
      <w:r w:rsidRPr="001E73A0">
        <w:rPr>
          <w:sz w:val="24"/>
          <w:szCs w:val="24"/>
        </w:rPr>
        <w:t xml:space="preserve">    </w:t>
      </w:r>
      <w:r w:rsidRPr="001E73A0">
        <w:t>(7)</w:t>
      </w:r>
    </w:p>
    <w:p w14:paraId="6756D4C6" w14:textId="77777777" w:rsidR="00465179" w:rsidRPr="001E73A0" w:rsidRDefault="00465179" w:rsidP="00465179">
      <w:pPr>
        <w:spacing w:after="0"/>
        <w:ind w:right="238"/>
        <w:jc w:val="right"/>
        <w:rPr>
          <w:sz w:val="24"/>
          <w:szCs w:val="24"/>
        </w:rPr>
      </w:pPr>
      <w:r w:rsidRPr="001E73A0">
        <w:rPr>
          <w:sz w:val="24"/>
          <w:szCs w:val="24"/>
        </w:rPr>
        <w:t xml:space="preserve"> </w:t>
      </w:r>
    </w:p>
    <w:p w14:paraId="092D9BC1" w14:textId="77777777" w:rsidR="00465179" w:rsidRPr="001E73A0" w:rsidRDefault="00465179" w:rsidP="00465179">
      <w:pPr>
        <w:spacing w:after="0" w:line="360" w:lineRule="auto"/>
        <w:jc w:val="both"/>
        <w:rPr>
          <w:sz w:val="24"/>
          <w:szCs w:val="24"/>
        </w:rPr>
      </w:pPr>
      <w:r w:rsidRPr="001E73A0">
        <w:rPr>
          <w:sz w:val="24"/>
          <w:szCs w:val="24"/>
        </w:rPr>
        <w:t>where the dependent variable is an indicator that equals one if the firm’s accounting comparability (</w:t>
      </w:r>
      <w:r w:rsidRPr="001E73A0">
        <w:rPr>
          <w:i/>
          <w:sz w:val="24"/>
          <w:szCs w:val="24"/>
        </w:rPr>
        <w:t>CompacctInd</w:t>
      </w:r>
      <w:r w:rsidRPr="001E73A0">
        <w:rPr>
          <w:sz w:val="24"/>
          <w:szCs w:val="24"/>
        </w:rPr>
        <w:t>,</w:t>
      </w:r>
      <w:r w:rsidRPr="001E73A0">
        <w:rPr>
          <w:i/>
          <w:sz w:val="24"/>
          <w:szCs w:val="24"/>
        </w:rPr>
        <w:t xml:space="preserve"> Compacct10</w:t>
      </w:r>
      <w:r w:rsidRPr="001E73A0">
        <w:rPr>
          <w:sz w:val="24"/>
          <w:szCs w:val="24"/>
        </w:rPr>
        <w:t xml:space="preserve">, </w:t>
      </w:r>
      <w:r w:rsidRPr="001E73A0">
        <w:rPr>
          <w:i/>
          <w:sz w:val="24"/>
          <w:szCs w:val="24"/>
        </w:rPr>
        <w:t>CompacctBasu</w:t>
      </w:r>
      <w:r w:rsidRPr="001E73A0">
        <w:rPr>
          <w:sz w:val="24"/>
          <w:szCs w:val="24"/>
        </w:rPr>
        <w:t xml:space="preserve">, and </w:t>
      </w:r>
      <w:r w:rsidRPr="001E73A0">
        <w:rPr>
          <w:i/>
          <w:sz w:val="24"/>
          <w:szCs w:val="24"/>
        </w:rPr>
        <w:t>CompacctPle</w:t>
      </w:r>
      <w:r w:rsidRPr="001E73A0">
        <w:rPr>
          <w:sz w:val="24"/>
          <w:szCs w:val="24"/>
        </w:rPr>
        <w:t>) is above the median each year, and zero otherwise. The independent variables are the determinants of comparability, including market-to-book ratio (</w:t>
      </w:r>
      <w:r w:rsidRPr="001E73A0">
        <w:rPr>
          <w:i/>
          <w:sz w:val="24"/>
          <w:szCs w:val="24"/>
        </w:rPr>
        <w:t>MTBV</w:t>
      </w:r>
      <w:r w:rsidRPr="001E73A0">
        <w:rPr>
          <w:sz w:val="24"/>
          <w:szCs w:val="24"/>
        </w:rPr>
        <w:t xml:space="preserve">)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comparability","type":"article-journal","volume":"49"},"uris":["http://www.mendeley.com/documents/?uuid=8d27b5be-25e6-48a6-a72a-283bb7ea747d"]},{"id":"ITEM-2","itemData":{"ISBN":"0165-4101","ISSN":"01654101","PMID":"1021725752","abstract":"This study examines whether application of IFRS by non-US firms results in accounting amounts comparable to those resulting from application of US GAAP by US firms. IFRS firms have greater accounting system and value relevance comparability with US firms when IFRS firms apply IFRS than when they applied domestic standards. Comparability is greater for firms that adopt IFRS mandatorily, firms in common law and high enforcement countries, and in more recent years. Earnings smoothing, accrual quality, and timeliness are potential sources of the greater comparability. Although application of IFRS has enhanced financial reporting comparability with US firms, significant differences remain. © 2012 Elsevier B.V..","author":[{"dropping-particle":"","family":"Barth","given":"Mary E.","non-dropping-particle":"","parse-names":false,"suffix":""},{"dropping-particle":"","family":"Landsman","given":"Wayne R.","non-dropping-particle":"","parse-names":false,"suffix":""},{"dropping-particle":"","family":"Lang","given":"Mark","non-dropping-particle":"","parse-names":false,"suffix":""},{"dropping-particle":"","family":"Williams","given":"Christopher","non-dropping-particle":"","parse-names":false,"suffix":""}],"container-title":"Journal of Accounting and Economics","id":"ITEM-2","issue":"1","issued":{"date-parts":[["2012"]]},"page":"68-93","publisher":"Elsevier","title":"Are IFRS-based and US GAAP-based accounting amounts comparable?","type":"article-journal","volume":"54"},"uris":["http://www.mendeley.com/documents/?uuid=2f035162-bd3f-4863-a2c9-947aa563975d"]}],"mendeley":{"formattedCitation":"(Barth, Landsman, Lang, &amp; Williams, 2012; De Franco et al., 2011)","plainTextFormattedCitation":"(Barth, Landsman, Lang, &amp; Williams, 2012; De Franco et al., 2011)","previouslyFormattedCitation":"(Barth, Landsman, Lang, &amp; Williams, 2012; De Franco et al., 2011)"},"properties":{"noteIndex":0},"schema":"https://github.com/citation-style-language/schema/raw/master/csl-citation.json"}</w:instrText>
      </w:r>
      <w:r w:rsidRPr="001E73A0">
        <w:rPr>
          <w:sz w:val="24"/>
          <w:szCs w:val="24"/>
        </w:rPr>
        <w:fldChar w:fldCharType="separate"/>
      </w:r>
      <w:r w:rsidRPr="001E73A0">
        <w:rPr>
          <w:noProof/>
          <w:sz w:val="24"/>
          <w:szCs w:val="24"/>
        </w:rPr>
        <w:t xml:space="preserve">(Barth, Landsman, Lang, &amp; Williams, </w:t>
      </w:r>
      <w:r w:rsidRPr="001E73A0">
        <w:rPr>
          <w:noProof/>
          <w:sz w:val="24"/>
          <w:szCs w:val="24"/>
        </w:rPr>
        <w:lastRenderedPageBreak/>
        <w:t>2012; De Franco et al., 2011)</w:t>
      </w:r>
      <w:r w:rsidRPr="001E73A0">
        <w:rPr>
          <w:sz w:val="24"/>
          <w:szCs w:val="24"/>
        </w:rPr>
        <w:fldChar w:fldCharType="end"/>
      </w:r>
      <w:r w:rsidRPr="001E73A0">
        <w:rPr>
          <w:sz w:val="24"/>
          <w:szCs w:val="24"/>
        </w:rPr>
        <w:t>, firm size (</w:t>
      </w:r>
      <w:r w:rsidRPr="001E73A0">
        <w:rPr>
          <w:i/>
          <w:sz w:val="24"/>
          <w:szCs w:val="24"/>
        </w:rPr>
        <w:t>Size</w:t>
      </w:r>
      <w:r w:rsidRPr="001E73A0">
        <w:rPr>
          <w:sz w:val="24"/>
          <w:szCs w:val="24"/>
        </w:rPr>
        <w:t xml:space="preserve">) </w:t>
      </w:r>
      <w:r w:rsidRPr="001E73A0">
        <w:rPr>
          <w:sz w:val="24"/>
          <w:szCs w:val="24"/>
        </w:rPr>
        <w:fldChar w:fldCharType="begin" w:fldLock="1"/>
      </w:r>
      <w:r w:rsidRPr="001E73A0">
        <w:rPr>
          <w:sz w:val="24"/>
          <w:szCs w:val="24"/>
        </w:rPr>
        <w:instrText>ADDIN CSL_CITATION {"citationItems":[{"id":"ITEM-1","itemData":{"ISSN":"00218456","author":[{"dropping-particle":"","family":"Minutti-Meza","given":"M.","non-dropping-particle":"","parse-names":false,"suffix":""}],"container-title":"Journal of Accounting Research","id":"ITEM-1","issue":"4","issued":{"date-parts":[["2013","9","1"]]},"page":"779-817","publisher":"Wiley/Blackwell (10.1111)","title":"Does auditor industry specialization improve audit quality?","type":"article-journal","volume":"51"},"uris":["http://www.mendeley.com/documents/?uuid=40a16316-7159-3353-b433-c6b735cef895"]},{"id":"ITEM-2","itemData":{"ISSN":"0001-4826","abstract":"ABSTRACT: This study examines the audit pricing effects when auditors specialize in industries conducive to transferable audit processes. Our results indicate that industry specialists charge incrementally lower fees in industries with homogenous operations, and particularly in industries with both homogenous operations and complex accounting practices. Moreover, we discover that audit quality is no lower for clients audited by these specialists offering fee discounts, consistent with a conclusion that the reduction in fees indicates cost efficiencies rather than lower-quality audits. Further analysis indicates that the shared economies of scale only occur in a subsample of client firms with relatively high bargaining power. When considered in conjunction with prior research using a survivorship approach, our study provides evidence that certain industries lend themselves to specialization because auditors generate cost-based competitive advantages without compromising service quality. Data Availability:...","author":[{"dropping-particle":"","family":"Bills","given":"Kenneth L.","non-dropping-particle":"","parse-names":false,"suffix":""},{"dropping-particle":"","family":"Jeter","given":"Debra C.","non-dropping-particle":"","parse-names":false,"suffix":""},{"dropping-particle":"","family":"Stein","given":"Sarah E.","non-dropping-particle":"","parse-names":false,"suffix":""}],"container-title":"The Accounting Review","id":"ITEM-2","issue":"5","issued":{"date-parts":[["2015","9","1"]]},"page":"1721-1754","publisher":"American Accounting Association","title":"Auditor industry specialization and evidence of cost efficiencies in homogenous industries","type":"article-journal","volume":"90"},"uris":["http://www.mendeley.com/documents/?uuid=af0fdf93-c532-3d7c-87bb-9b8ba8854510"]}],"mendeley":{"formattedCitation":"(Bills, Jeter, &amp; Stein, 2015; Minutti-Meza, 2013)","plainTextFormattedCitation":"(Bills, Jeter, &amp; Stein, 2015; Minutti-Meza, 2013)","previouslyFormattedCitation":"(Bills, Jeter, &amp; Stein, 2015; Minutti-Meza, 2013)"},"properties":{"noteIndex":0},"schema":"https://github.com/citation-style-language/schema/raw/master/csl-citation.json"}</w:instrText>
      </w:r>
      <w:r w:rsidRPr="001E73A0">
        <w:rPr>
          <w:sz w:val="24"/>
          <w:szCs w:val="24"/>
        </w:rPr>
        <w:fldChar w:fldCharType="separate"/>
      </w:r>
      <w:r w:rsidRPr="001E73A0">
        <w:rPr>
          <w:noProof/>
          <w:sz w:val="24"/>
          <w:szCs w:val="24"/>
        </w:rPr>
        <w:t>(Bills, Jeter, &amp; Stein, 2015; Minutti-Meza, 2013)</w:t>
      </w:r>
      <w:r w:rsidRPr="001E73A0">
        <w:rPr>
          <w:sz w:val="24"/>
          <w:szCs w:val="24"/>
        </w:rPr>
        <w:fldChar w:fldCharType="end"/>
      </w:r>
      <w:r w:rsidRPr="001E73A0">
        <w:rPr>
          <w:sz w:val="24"/>
          <w:szCs w:val="24"/>
        </w:rPr>
        <w:t>, loss (</w:t>
      </w:r>
      <w:r w:rsidRPr="001E73A0">
        <w:rPr>
          <w:i/>
          <w:sz w:val="24"/>
          <w:szCs w:val="24"/>
        </w:rPr>
        <w:t>Loss</w:t>
      </w:r>
      <w:r w:rsidRPr="001E73A0">
        <w:rPr>
          <w:sz w:val="24"/>
          <w:szCs w:val="24"/>
        </w:rPr>
        <w:t xml:space="preserve">) </w:t>
      </w:r>
      <w:r w:rsidRPr="001E73A0">
        <w:rPr>
          <w:sz w:val="24"/>
          <w:szCs w:val="24"/>
        </w:rPr>
        <w:fldChar w:fldCharType="begin" w:fldLock="1"/>
      </w:r>
      <w:r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Pr="001E73A0">
        <w:rPr>
          <w:sz w:val="24"/>
          <w:szCs w:val="24"/>
        </w:rPr>
        <w:fldChar w:fldCharType="separate"/>
      </w:r>
      <w:r w:rsidRPr="001E73A0">
        <w:rPr>
          <w:noProof/>
          <w:sz w:val="24"/>
          <w:szCs w:val="24"/>
        </w:rPr>
        <w:t>(De Franco et al., 2011)</w:t>
      </w:r>
      <w:r w:rsidRPr="001E73A0">
        <w:rPr>
          <w:sz w:val="24"/>
          <w:szCs w:val="24"/>
        </w:rPr>
        <w:fldChar w:fldCharType="end"/>
      </w:r>
      <w:r w:rsidRPr="001E73A0">
        <w:rPr>
          <w:sz w:val="24"/>
          <w:szCs w:val="24"/>
        </w:rPr>
        <w:t>, return on asset (</w:t>
      </w:r>
      <w:r w:rsidRPr="001E73A0">
        <w:rPr>
          <w:i/>
          <w:sz w:val="24"/>
          <w:szCs w:val="24"/>
        </w:rPr>
        <w:t>ROA</w:t>
      </w:r>
      <w:r w:rsidRPr="001E73A0">
        <w:rPr>
          <w:sz w:val="24"/>
          <w:szCs w:val="24"/>
        </w:rPr>
        <w:t xml:space="preserve">) </w:t>
      </w:r>
      <w:r w:rsidRPr="001E73A0">
        <w:rPr>
          <w:sz w:val="24"/>
          <w:szCs w:val="24"/>
        </w:rPr>
        <w:fldChar w:fldCharType="begin" w:fldLock="1"/>
      </w:r>
      <w:r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Pr="001E73A0">
        <w:rPr>
          <w:sz w:val="24"/>
          <w:szCs w:val="24"/>
        </w:rPr>
        <w:fldChar w:fldCharType="separate"/>
      </w:r>
      <w:r w:rsidRPr="001E73A0">
        <w:rPr>
          <w:noProof/>
          <w:sz w:val="24"/>
          <w:szCs w:val="24"/>
        </w:rPr>
        <w:t>(Zhang, 2018)</w:t>
      </w:r>
      <w:r w:rsidRPr="001E73A0">
        <w:rPr>
          <w:sz w:val="24"/>
          <w:szCs w:val="24"/>
        </w:rPr>
        <w:fldChar w:fldCharType="end"/>
      </w:r>
      <w:r w:rsidRPr="001E73A0">
        <w:rPr>
          <w:sz w:val="24"/>
          <w:szCs w:val="24"/>
        </w:rPr>
        <w:t>, Big4 indicator (</w:t>
      </w:r>
      <w:r w:rsidRPr="001E73A0">
        <w:rPr>
          <w:i/>
          <w:sz w:val="24"/>
          <w:szCs w:val="24"/>
        </w:rPr>
        <w:t>Big4</w:t>
      </w:r>
      <w:r w:rsidRPr="001E73A0">
        <w:rPr>
          <w:sz w:val="24"/>
          <w:szCs w:val="24"/>
        </w:rPr>
        <w:t xml:space="preserve">) </w:t>
      </w:r>
      <w:r w:rsidRPr="001E73A0">
        <w:rPr>
          <w:sz w:val="24"/>
          <w:szCs w:val="24"/>
        </w:rPr>
        <w:fldChar w:fldCharType="begin" w:fldLock="1"/>
      </w:r>
      <w:r w:rsidRPr="001E73A0">
        <w:rPr>
          <w:sz w:val="24"/>
          <w:szCs w:val="24"/>
        </w:rPr>
        <w:instrText>ADDIN CSL_CITATION {"citationItems":[{"id":"ITEM-1","itemData":{"ISBN":"10.2308/accr-50642","ISSN":"00014826","PMID":"95293403","abstract":"ABSTRACT: The term “audit style” is used to characterize the unique set of internal working rules of each Big 4 audit firm for the implementation of auditing standards and the enforcement of GAAP within their clienteles. Audit style implies that two companies audited by the same Big 4 auditor, subject to the same audit style, are more likely to have comparable earnings than two firms audited by two different Big 4 firms with different styles. By comparable we mean that two firms in the same industry and year will have a more similar accruals and earnings structure. For a sample of U.S. companies for the period 1987 to 2011, we find evidence consistent with audit style increasing the comparability of reported earnings within a Big 4 auditor's clientele. Data Availability: All data are publicly available from the sources identified in the text.","author":[{"dropping-particle":"","family":"Francis","given":"Jere R.","non-dropping-particle":"","parse-names":false,"suffix":""},{"dropping-particle":"","family":"Pinnuck","given":"Matthew L.","non-dropping-particle":"","parse-names":false,"suffix":""},{"dropping-particle":"","family":"Watanabe","given":"Olena","non-dropping-particle":"","parse-names":false,"suffix":""}],"container-title":"Accounting Review","id":"ITEM-1","issue":"2","issued":{"date-parts":[["2014"]]},"page":"605-633","title":"Auditor style and financial statement comparability","type":"article-journal","volume":"89"},"uris":["http://www.mendeley.com/documents/?uuid=f7d02d06-a56f-42df-b819-a74d6a919377"]}],"mendeley":{"formattedCitation":"(Francis, Pinnuck, &amp; Watanabe, 2014)","manualFormatting":"(Francis, Pinnuck, &amp; Watanabe, 2014)","plainTextFormattedCitation":"(Francis, Pinnuck, &amp; Watanabe, 2014)","previouslyFormattedCitation":"(Francis, Pinnuck, &amp; Watanabe, 2014)"},"properties":{"noteIndex":0},"schema":"https://github.com/citation-style-language/schema/raw/master/csl-citation.json"}</w:instrText>
      </w:r>
      <w:r w:rsidRPr="001E73A0">
        <w:rPr>
          <w:sz w:val="24"/>
          <w:szCs w:val="24"/>
        </w:rPr>
        <w:fldChar w:fldCharType="separate"/>
      </w:r>
      <w:r w:rsidRPr="001E73A0">
        <w:rPr>
          <w:noProof/>
          <w:sz w:val="24"/>
          <w:szCs w:val="24"/>
        </w:rPr>
        <w:t>(Francis, Pinnuck, &amp; Watanabe, 2014)</w:t>
      </w:r>
      <w:r w:rsidRPr="001E73A0">
        <w:rPr>
          <w:sz w:val="24"/>
          <w:szCs w:val="24"/>
        </w:rPr>
        <w:fldChar w:fldCharType="end"/>
      </w:r>
      <w:r w:rsidRPr="001E73A0">
        <w:rPr>
          <w:sz w:val="24"/>
          <w:szCs w:val="24"/>
        </w:rPr>
        <w:t>, managerial ability (</w:t>
      </w:r>
      <w:r w:rsidRPr="001E73A0">
        <w:rPr>
          <w:i/>
          <w:sz w:val="24"/>
          <w:szCs w:val="24"/>
        </w:rPr>
        <w:t>Managerial Ability</w:t>
      </w:r>
      <w:r w:rsidRPr="001E73A0">
        <w:rPr>
          <w:sz w:val="24"/>
          <w:szCs w:val="24"/>
        </w:rPr>
        <w:t xml:space="preserve">) and industry and year fixed-effects. [See Appendix A for detailed definitions.] The estimation of Eq. (7) generates the propensity score that can be interpreted as the probability of having higher comparability conditional on these firms’ observable factors. We then match two firms in the same industry and year with the closest propensity score, where one has above-median comparability, and the other has below-median comparability. Finally, we compare the level of efficiency in labour investments between the two matched firms. </w:t>
      </w:r>
    </w:p>
    <w:p w14:paraId="35BCFD33" w14:textId="77777777" w:rsidR="00465179" w:rsidRPr="001E73A0" w:rsidRDefault="00465179" w:rsidP="00465179">
      <w:pPr>
        <w:spacing w:after="0" w:line="360" w:lineRule="auto"/>
        <w:ind w:firstLine="720"/>
        <w:jc w:val="both"/>
        <w:rPr>
          <w:sz w:val="24"/>
          <w:szCs w:val="24"/>
        </w:rPr>
      </w:pPr>
      <w:r w:rsidRPr="001E73A0">
        <w:rPr>
          <w:sz w:val="24"/>
          <w:szCs w:val="24"/>
        </w:rPr>
        <w:t>To add credence to our results, we use three matching algorithms: one-to-one nearest neighbourhood, one-to-four nearest neighbourhood</w:t>
      </w:r>
      <w:r w:rsidRPr="001E73A0">
        <w:rPr>
          <w:rStyle w:val="a8"/>
        </w:rPr>
        <w:footnoteReference w:id="14"/>
      </w:r>
      <w:r w:rsidRPr="001E73A0">
        <w:rPr>
          <w:sz w:val="24"/>
          <w:szCs w:val="24"/>
        </w:rPr>
        <w:t xml:space="preserve"> and radius matching techniques.</w:t>
      </w:r>
      <w:r w:rsidRPr="001E73A0">
        <w:rPr>
          <w:rStyle w:val="a8"/>
        </w:rPr>
        <w:footnoteReference w:id="15"/>
      </w:r>
      <w:r w:rsidRPr="001E73A0">
        <w:t xml:space="preserve"> </w:t>
      </w:r>
      <w:r w:rsidRPr="001E73A0">
        <w:rPr>
          <w:sz w:val="24"/>
          <w:szCs w:val="24"/>
        </w:rPr>
        <w:t>The results are reported in Panel A of Table 6.</w:t>
      </w:r>
      <w:r w:rsidRPr="001E73A0">
        <w:rPr>
          <w:rStyle w:val="a8"/>
        </w:rPr>
        <w:footnoteReference w:id="16"/>
      </w:r>
      <w:r w:rsidRPr="001E73A0">
        <w:rPr>
          <w:sz w:val="24"/>
          <w:szCs w:val="24"/>
        </w:rPr>
        <w:t xml:space="preserve"> Regardless of the matching techniques employed, we find that the differences in labour investment inefficiency between firms with high comparability and matched firms with lower comparability are significantly negative at the 1% level. Specifically, the abnormal net hiring of firms with higher comparability is 2.4 to 3.6 points lower than that of matched firms with lower comparability. This further supports our finding of a negative relationship between financial statement comparability and labour investment inefficiency, and also helps alleviate concerns associated with endogeneity. </w:t>
      </w:r>
    </w:p>
    <w:p w14:paraId="2E4A6F4F" w14:textId="77777777" w:rsidR="00465179" w:rsidRPr="001E73A0" w:rsidRDefault="00465179" w:rsidP="00465179">
      <w:pPr>
        <w:spacing w:after="0" w:line="360" w:lineRule="auto"/>
        <w:ind w:firstLine="720"/>
        <w:jc w:val="both"/>
        <w:rPr>
          <w:sz w:val="24"/>
          <w:szCs w:val="24"/>
        </w:rPr>
      </w:pPr>
    </w:p>
    <w:p w14:paraId="789D051C" w14:textId="77777777" w:rsidR="00465179" w:rsidRPr="001E73A0" w:rsidRDefault="00465179" w:rsidP="00465179">
      <w:pPr>
        <w:spacing w:after="0" w:line="360" w:lineRule="auto"/>
        <w:jc w:val="center"/>
        <w:rPr>
          <w:sz w:val="24"/>
          <w:szCs w:val="24"/>
        </w:rPr>
      </w:pPr>
      <w:r w:rsidRPr="001E73A0">
        <w:rPr>
          <w:sz w:val="24"/>
          <w:szCs w:val="24"/>
        </w:rPr>
        <w:t>[Insert Table 6 around here]</w:t>
      </w:r>
    </w:p>
    <w:p w14:paraId="3AD9F417" w14:textId="77777777" w:rsidR="00465179" w:rsidRPr="001E73A0" w:rsidRDefault="00465179" w:rsidP="00465179">
      <w:pPr>
        <w:spacing w:after="0" w:line="360" w:lineRule="auto"/>
        <w:jc w:val="center"/>
        <w:rPr>
          <w:sz w:val="24"/>
          <w:szCs w:val="24"/>
        </w:rPr>
      </w:pPr>
    </w:p>
    <w:p w14:paraId="5675E601" w14:textId="0C37AA74" w:rsidR="00465179" w:rsidRPr="001E73A0" w:rsidRDefault="00465179" w:rsidP="00465179">
      <w:pPr>
        <w:spacing w:after="0" w:line="360" w:lineRule="auto"/>
        <w:ind w:firstLine="720"/>
        <w:jc w:val="both"/>
        <w:rPr>
          <w:sz w:val="24"/>
          <w:szCs w:val="24"/>
        </w:rPr>
      </w:pPr>
      <w:r w:rsidRPr="001E73A0">
        <w:rPr>
          <w:sz w:val="24"/>
          <w:szCs w:val="24"/>
        </w:rPr>
        <w:t xml:space="preserve">We then examine the influence of accounting comparability on the abnormal net hiring using matched sub-samples as described above. Panel B of Table </w:t>
      </w:r>
      <w:r w:rsidR="00502D3D">
        <w:rPr>
          <w:sz w:val="24"/>
          <w:szCs w:val="24"/>
        </w:rPr>
        <w:t>6</w:t>
      </w:r>
      <w:r w:rsidRPr="001E73A0">
        <w:rPr>
          <w:sz w:val="24"/>
          <w:szCs w:val="24"/>
        </w:rPr>
        <w:t xml:space="preserve"> reports the results of estimating Eq. (6) using our four comparability measures over the matched sub-sample </w:t>
      </w:r>
      <w:r w:rsidRPr="001E73A0">
        <w:rPr>
          <w:sz w:val="24"/>
          <w:szCs w:val="24"/>
        </w:rPr>
        <w:lastRenderedPageBreak/>
        <w:t>based on the one-to-one nearest neighbourhood matching algorithm.</w:t>
      </w:r>
      <w:r w:rsidRPr="001E73A0">
        <w:rPr>
          <w:rStyle w:val="a8"/>
        </w:rPr>
        <w:footnoteReference w:id="17"/>
      </w:r>
      <w:r w:rsidRPr="001E73A0">
        <w:rPr>
          <w:sz w:val="24"/>
          <w:szCs w:val="24"/>
        </w:rPr>
        <w:t xml:space="preserve"> This analysis allows us to investigate how differences in the abnormal labour investment of these firms are explained by variations in the full spectrum of financial statement comparability. As we expect, the results show that the coefficients on all the comparability proxies are significantly negative at the 5% or 1% level, corroborating our earlier findings.</w:t>
      </w:r>
    </w:p>
    <w:p w14:paraId="0405916E" w14:textId="77777777" w:rsidR="00465179" w:rsidRPr="001E73A0" w:rsidRDefault="00465179" w:rsidP="00465179">
      <w:pPr>
        <w:spacing w:after="0" w:line="360" w:lineRule="auto"/>
        <w:ind w:firstLine="720"/>
        <w:jc w:val="both"/>
        <w:rPr>
          <w:sz w:val="24"/>
          <w:szCs w:val="24"/>
        </w:rPr>
      </w:pPr>
      <w:r w:rsidRPr="001E73A0">
        <w:rPr>
          <w:sz w:val="24"/>
          <w:szCs w:val="24"/>
        </w:rPr>
        <w:t xml:space="preserve">Another source of endogeneity that may affect our results is simultaneity or reverse causality. Rather than comparability impacting on labour decision-making, as we imply in our analysis, employment decisions may in fact affect comparability. It is conceivable for managers to exercise discretion in choosing their firms’ accounting methods or systems as well as in determining, directly or indirectly, the efficiency of labour investment. For instance, they can choose accounting systems or methods which are non-comparable with those of their firms’ industry peers in order to undertake opportunistic employment decisions, such as over-hiring, more easily. Further, variation in employment decision-making might reflect dynamic endogeneity. It is possible that comparability of financial reporting is related to past levels of abnormal net hiring and other firm- and industry-level characteristics. For example, managers may reduce the comparability of their financial reports to obscure their historical opportunism in labour or non-labour investments. </w:t>
      </w:r>
    </w:p>
    <w:p w14:paraId="64A8CD00" w14:textId="77777777" w:rsidR="00465179" w:rsidRPr="001E73A0" w:rsidRDefault="00465179" w:rsidP="00465179">
      <w:pPr>
        <w:spacing w:after="0" w:line="360" w:lineRule="auto"/>
        <w:ind w:firstLine="720"/>
        <w:jc w:val="both"/>
        <w:rPr>
          <w:sz w:val="24"/>
          <w:szCs w:val="24"/>
        </w:rPr>
      </w:pPr>
      <w:r w:rsidRPr="001E73A0">
        <w:rPr>
          <w:sz w:val="24"/>
          <w:szCs w:val="24"/>
        </w:rPr>
        <w:t xml:space="preserve">To address such concerns, we implement the dynamic system GMM approach, which is widely used in corporate finance and corporate governance research to ameliorate potential endogeneity bias </w:t>
      </w:r>
      <w:r w:rsidRPr="001E73A0">
        <w:rPr>
          <w:sz w:val="24"/>
          <w:szCs w:val="24"/>
        </w:rPr>
        <w:fldChar w:fldCharType="begin" w:fldLock="1"/>
      </w:r>
      <w:r w:rsidRPr="001E73A0">
        <w:rPr>
          <w:sz w:val="24"/>
          <w:szCs w:val="24"/>
        </w:rPr>
        <w:instrText>ADDIN CSL_CITATION {"citationItems":[{"id":"ITEM-1","itemData":{"ISSN":"0304-405X","abstract":"We use a well-developed dynamic panel generalized method of moments (GMM) estimator to alleviate endogeneity concerns in two aspects of corporate governance research: the effect of board structure on firm performance and the determinants of board structure. The estimator incorporates the dynamic nature of internal governance choices to provide valid and powerful instruments that address unobserved heterogeneity and simultaneity. We re-examine the relation between board structure and performance using the GMM estimator in a panel of 6,000 firms over a period from 1991 to 2003, and find no causal relation between board structure and current firm performance. We illustrate why other commonly used estimators that ignore the dynamic relationship between current governance and past firm performance may be biased. We discuss where it may be appropriate to consider the dynamic panel GMM estimator in corporate governance research, as well as caveats to its use.","author":[{"dropping-particle":"","family":"Wintoki","given":"M. Babajide","non-dropping-particle":"","parse-names":false,"suffix":""},{"dropping-particle":"","family":"Linck","given":"James S.","non-dropping-particle":"","parse-names":false,"suffix":""},{"dropping-particle":"","family":"Netter","given":"Jeffry M.","non-dropping-particle":"","parse-names":false,"suffix":""}],"container-title":"Journal of Financial Economics","id":"ITEM-1","issue":"3","issued":{"date-parts":[["2012","9","1"]]},"page":"581-606","publisher":"North-Holland","title":"Endogeneity and the dynamics of internal corporate governance","type":"article-journal","volume":"105"},"uris":["http://www.mendeley.com/documents/?uuid=fe2dc776-0f46-3744-93e3-db7de4653148"]},{"id":"ITEM-2","itemData":{"ISSN":"0929-1199","abstract":"Dynamic panel models play a natural role in several important areas of corporate finance, but the combination of fixed effects and lagged dependent variables introduces serious econometric bias. Several methods of counteracting these biases are available and these methodologies have been tested on small datasets with independent, normally-distributed explanatory variables. However, no one has evaluated the methods' performance with corporate finance data, in which the dependent variable may be clustered or censored and independent variables may be missing, correlated with one another, or endogenous. We find that the data's properties substantially affect the estimators' performances. We provide evidence about the impact of various data set characteristics on the estimators, so that researchers can determine the best approach for their datasets.","author":[{"dropping-particle":"","family":"Flannery","given":"Mark J.","non-dropping-particle":"","parse-names":false,"suffix":""},{"dropping-particle":"","family":"Hankins","given":"Kristine Watson","non-dropping-particle":"","parse-names":false,"suffix":""}],"container-title":"Journal of Corporate Finance","id":"ITEM-2","issued":{"date-parts":[["2013","2","1"]]},"page":"1-19","publisher":"North-Holland","title":"Estimating dynamic panel models in corporate finance","type":"article-journal","volume":"19"},"uris":["http://www.mendeley.com/documents/?uuid=692918dc-4c4e-3fb0-8392-fd43c0a2fd65"]}],"mendeley":{"formattedCitation":"(Flannery &amp; Hankins, 2013; Wintoki, Linck, &amp; Netter, 2012)","plainTextFormattedCitation":"(Flannery &amp; Hankins, 2013; Wintoki, Linck, &amp; Netter, 2012)","previouslyFormattedCitation":"(Flannery &amp; Hankins, 2013; Wintoki, Linck, &amp; Netter, 2012)"},"properties":{"noteIndex":0},"schema":"https://github.com/citation-style-language/schema/raw/master/csl-citation.json"}</w:instrText>
      </w:r>
      <w:r w:rsidRPr="001E73A0">
        <w:rPr>
          <w:sz w:val="24"/>
          <w:szCs w:val="24"/>
        </w:rPr>
        <w:fldChar w:fldCharType="separate"/>
      </w:r>
      <w:r w:rsidRPr="001E73A0">
        <w:rPr>
          <w:noProof/>
          <w:sz w:val="24"/>
          <w:szCs w:val="24"/>
        </w:rPr>
        <w:t>(Flannery &amp; Hankins, 2013; Wintoki, Linck, &amp; Netter, 2012)</w:t>
      </w:r>
      <w:r w:rsidRPr="001E73A0">
        <w:rPr>
          <w:sz w:val="24"/>
          <w:szCs w:val="24"/>
        </w:rPr>
        <w:fldChar w:fldCharType="end"/>
      </w:r>
      <w:r w:rsidRPr="001E73A0">
        <w:rPr>
          <w:sz w:val="24"/>
          <w:szCs w:val="24"/>
        </w:rPr>
        <w:t xml:space="preserve">. The approach estimates a system in which comparability, abnormal net hiring, and other key corporate characteristics are all jointly endogenous and dynamically interrelated. Thereby, it is useful to show that our results are sufficiently robust to an approach that explicitly incorporates reverse causality, unobservable heterogeneity, and dynamic endogeneity. </w:t>
      </w:r>
    </w:p>
    <w:p w14:paraId="3ACD6100" w14:textId="77777777" w:rsidR="00465179" w:rsidRPr="001E73A0" w:rsidRDefault="00465179" w:rsidP="00465179">
      <w:pPr>
        <w:spacing w:after="0" w:line="360" w:lineRule="auto"/>
        <w:ind w:firstLine="720"/>
        <w:jc w:val="both"/>
        <w:rPr>
          <w:sz w:val="24"/>
          <w:szCs w:val="24"/>
        </w:rPr>
      </w:pPr>
      <w:r w:rsidRPr="001E73A0">
        <w:rPr>
          <w:sz w:val="24"/>
          <w:szCs w:val="24"/>
        </w:rPr>
        <w:t xml:space="preserve">Table 7 reports the results from the dynamic system GMM estimation. We observe that our comparability proxies remain significantly negative, consistent with our main results. In terms of diagnostic tests, the results from the second-order autocorrelation, over-identification, and exogeneity tests all indicate that the specifications we use are appropriate. The evidence indicates that the negative link between comparability and abnormal net hiring </w:t>
      </w:r>
      <w:r w:rsidRPr="001E73A0">
        <w:rPr>
          <w:sz w:val="24"/>
          <w:szCs w:val="24"/>
        </w:rPr>
        <w:lastRenderedPageBreak/>
        <w:t>still holds after correcting for endogeneity concerns based on the dynamic system GMM estimator.</w:t>
      </w:r>
    </w:p>
    <w:p w14:paraId="740F1B55" w14:textId="77777777" w:rsidR="00465179" w:rsidRPr="001E73A0" w:rsidRDefault="00465179" w:rsidP="00465179">
      <w:pPr>
        <w:spacing w:after="0" w:line="360" w:lineRule="auto"/>
        <w:ind w:firstLine="720"/>
        <w:jc w:val="both"/>
        <w:rPr>
          <w:sz w:val="24"/>
          <w:szCs w:val="24"/>
        </w:rPr>
      </w:pPr>
    </w:p>
    <w:p w14:paraId="02988006" w14:textId="77777777" w:rsidR="00465179" w:rsidRPr="001E73A0" w:rsidRDefault="00465179" w:rsidP="00465179">
      <w:pPr>
        <w:spacing w:after="0" w:line="360" w:lineRule="auto"/>
        <w:jc w:val="center"/>
        <w:rPr>
          <w:sz w:val="24"/>
          <w:szCs w:val="24"/>
        </w:rPr>
      </w:pPr>
      <w:r w:rsidRPr="001E73A0">
        <w:rPr>
          <w:sz w:val="24"/>
          <w:szCs w:val="24"/>
        </w:rPr>
        <w:t>[Insert Table 7 around here]</w:t>
      </w:r>
    </w:p>
    <w:p w14:paraId="2F740846" w14:textId="77777777" w:rsidR="00465179" w:rsidRPr="001E73A0" w:rsidRDefault="00465179" w:rsidP="00465179">
      <w:pPr>
        <w:spacing w:after="0" w:line="360" w:lineRule="auto"/>
        <w:ind w:firstLine="720"/>
        <w:jc w:val="both"/>
        <w:rPr>
          <w:sz w:val="24"/>
          <w:szCs w:val="24"/>
        </w:rPr>
      </w:pPr>
    </w:p>
    <w:p w14:paraId="0A08374B" w14:textId="70A844F1" w:rsidR="00465179" w:rsidRPr="001E73A0" w:rsidRDefault="00465179" w:rsidP="00465179">
      <w:pPr>
        <w:spacing w:after="0" w:line="360" w:lineRule="auto"/>
        <w:ind w:firstLine="720"/>
        <w:jc w:val="both"/>
        <w:rPr>
          <w:sz w:val="24"/>
          <w:szCs w:val="24"/>
        </w:rPr>
      </w:pPr>
      <w:r w:rsidRPr="001E73A0">
        <w:rPr>
          <w:sz w:val="24"/>
          <w:szCs w:val="24"/>
        </w:rPr>
        <w:t>Overall, the robustness analyses, including the demonstration of the robustness of the findings to different matching procedures, and to the dynamic GMM approach, suggest a causal effect of comparability on employment decision-making, and thus alleviating any potential endogeneity concerns.</w:t>
      </w:r>
    </w:p>
    <w:p w14:paraId="0269C9BD" w14:textId="77777777" w:rsidR="00465179" w:rsidRPr="001E73A0" w:rsidRDefault="00465179" w:rsidP="00465179">
      <w:pPr>
        <w:spacing w:after="0" w:line="360" w:lineRule="auto"/>
        <w:ind w:firstLine="720"/>
        <w:jc w:val="both"/>
        <w:rPr>
          <w:sz w:val="24"/>
          <w:szCs w:val="24"/>
        </w:rPr>
      </w:pPr>
    </w:p>
    <w:p w14:paraId="1CB79274" w14:textId="648615A5" w:rsidR="007E63AB" w:rsidRPr="001E73A0" w:rsidRDefault="00CC3A1B" w:rsidP="00612D21">
      <w:pPr>
        <w:keepNext/>
        <w:keepLines/>
        <w:spacing w:before="160" w:after="120" w:line="360" w:lineRule="auto"/>
        <w:outlineLvl w:val="1"/>
        <w:rPr>
          <w:rFonts w:cs="Times New Roman"/>
          <w:i/>
          <w:color w:val="000000"/>
          <w:sz w:val="24"/>
          <w:szCs w:val="24"/>
        </w:rPr>
      </w:pPr>
      <w:r w:rsidRPr="001E73A0">
        <w:rPr>
          <w:rFonts w:cs="Times New Roman"/>
          <w:i/>
          <w:color w:val="000000"/>
          <w:sz w:val="24"/>
          <w:szCs w:val="24"/>
        </w:rPr>
        <w:t>5</w:t>
      </w:r>
      <w:r w:rsidR="007E63AB" w:rsidRPr="001E73A0">
        <w:rPr>
          <w:rFonts w:cs="Times New Roman"/>
          <w:i/>
          <w:color w:val="000000"/>
          <w:sz w:val="24"/>
          <w:szCs w:val="24"/>
        </w:rPr>
        <w:t>.3 Alternative proxies and models for expected net hiring</w:t>
      </w:r>
    </w:p>
    <w:p w14:paraId="6EF8EC9A" w14:textId="06CD1612" w:rsidR="007E63AB" w:rsidRPr="001E73A0" w:rsidRDefault="007E63AB">
      <w:pPr>
        <w:spacing w:after="0" w:line="360" w:lineRule="auto"/>
        <w:ind w:firstLine="720"/>
        <w:jc w:val="both"/>
        <w:rPr>
          <w:sz w:val="24"/>
          <w:szCs w:val="24"/>
        </w:rPr>
      </w:pPr>
      <w:r w:rsidRPr="001E73A0">
        <w:rPr>
          <w:sz w:val="24"/>
          <w:szCs w:val="24"/>
        </w:rPr>
        <w:t xml:space="preserve">A central issue in our research design is how we estimate a firm’s expected net hiring. To strengthen the validity of our findings, we replicate our analysis employing several alternatives for measuring </w:t>
      </w:r>
      <w:r w:rsidR="009E1357" w:rsidRPr="001E73A0">
        <w:rPr>
          <w:sz w:val="24"/>
          <w:szCs w:val="24"/>
        </w:rPr>
        <w:t xml:space="preserve">the </w:t>
      </w:r>
      <w:r w:rsidRPr="001E73A0">
        <w:rPr>
          <w:sz w:val="24"/>
          <w:szCs w:val="24"/>
        </w:rPr>
        <w:t xml:space="preserve">expected level of net hiring. We first consider two variations in the labor demand model of Pinnuck and Lillis </w:t>
      </w:r>
      <w:r w:rsidR="0053664A" w:rsidRPr="001E73A0">
        <w:rPr>
          <w:sz w:val="24"/>
          <w:szCs w:val="24"/>
        </w:rPr>
        <w:fldChar w:fldCharType="begin" w:fldLock="1"/>
      </w:r>
      <w:r w:rsidR="0053664A" w:rsidRPr="001E73A0">
        <w:rPr>
          <w:sz w:val="24"/>
          <w:szCs w:val="24"/>
        </w:rP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rsidR="0053664A" w:rsidRPr="001E73A0">
        <w:rPr>
          <w:sz w:val="24"/>
          <w:szCs w:val="24"/>
        </w:rPr>
        <w:fldChar w:fldCharType="separate"/>
      </w:r>
      <w:r w:rsidR="0053664A" w:rsidRPr="001E73A0">
        <w:rPr>
          <w:noProof/>
          <w:sz w:val="24"/>
          <w:szCs w:val="24"/>
        </w:rPr>
        <w:t>(2007)</w:t>
      </w:r>
      <w:r w:rsidR="0053664A" w:rsidRPr="001E73A0">
        <w:rPr>
          <w:sz w:val="24"/>
          <w:szCs w:val="24"/>
        </w:rPr>
        <w:fldChar w:fldCharType="end"/>
      </w:r>
      <w:r w:rsidRPr="001E73A0">
        <w:rPr>
          <w:sz w:val="24"/>
          <w:szCs w:val="24"/>
        </w:rPr>
        <w:t xml:space="preserve">. Since their model only controls for industry fixed effects, we add year dummies to Eq. (1) to control for year fixed effects </w:t>
      </w:r>
      <w:r w:rsidR="0053664A" w:rsidRPr="001E73A0">
        <w:rPr>
          <w:sz w:val="24"/>
          <w:szCs w:val="24"/>
        </w:rPr>
        <w:fldChar w:fldCharType="begin" w:fldLock="1"/>
      </w:r>
      <w:r w:rsidR="0053664A" w:rsidRPr="001E73A0">
        <w:rPr>
          <w:sz w:val="24"/>
          <w:szCs w:val="24"/>
        </w:rPr>
        <w:instrText>ADDIN CSL_CITATION {"citationItems":[{"id":"ITEM-1","itemData":{"abstract":"Monitoring by long-term investors should reduce agency conflicts in firms' labor investment choices. Consistent with this argument, we find that abnormal net hiring, measured as the absolute deviation from optimal net hiring predicted by economic fundamentals, decreases in the presence of institutional investors with longer investment horizons. Firms dominated by long-term shareholders reduce both over-investment (over-hiring and under-firing) and under-investment (under-hiring) in labor. The monitoring role of long-term investors is more pronounced for firms facing higher labor adjustment costs. We address endogeneity concerns by exploiting exogenous changes to long-term institutional ownership resulting from the annual reconstitution of the Russell indexes.","author":[{"dropping-particle":"","family":"Ghaly","given":"Mohamed","non-dropping-particle":"","parse-names":false,"suffix":""},{"dropping-particle":"","family":"Dang","given":"Viet Anh","non-dropping-particle":"","parse-names":false,"suffix":""},{"dropping-particle":"","family":"Stathopoulos","given":"Konstantinos","non-dropping-particle":"","parse-names":false,"suffix":""}],"container-title":"Journal of Corporate Finance","id":"ITEM-1","issued":{"date-parts":[["2020"]]},"page":"In Press","title":"Institutional investors' horizons and corporate employment decisions","type":"article-journal"},"uris":["http://www.mendeley.com/documents/?uuid=9fb1e272-c104-4553-a10d-2894ab94491d"]}],"mendeley":{"formattedCitation":"(Ghaly et al., 2020)","plainTextFormattedCitation":"(Ghaly et al., 2020)","previouslyFormattedCitation":"(Ghaly et al., 2020)"},"properties":{"noteIndex":0},"schema":"https://github.com/citation-style-language/schema/raw/master/csl-citation.json"}</w:instrText>
      </w:r>
      <w:r w:rsidR="0053664A" w:rsidRPr="001E73A0">
        <w:rPr>
          <w:sz w:val="24"/>
          <w:szCs w:val="24"/>
        </w:rPr>
        <w:fldChar w:fldCharType="separate"/>
      </w:r>
      <w:r w:rsidR="0053664A" w:rsidRPr="001E73A0">
        <w:rPr>
          <w:noProof/>
          <w:sz w:val="24"/>
          <w:szCs w:val="24"/>
        </w:rPr>
        <w:t>(Ghaly et al., 2020)</w:t>
      </w:r>
      <w:r w:rsidR="0053664A" w:rsidRPr="001E73A0">
        <w:rPr>
          <w:sz w:val="24"/>
          <w:szCs w:val="24"/>
        </w:rPr>
        <w:fldChar w:fldCharType="end"/>
      </w:r>
      <w:r w:rsidRPr="001E73A0">
        <w:rPr>
          <w:sz w:val="24"/>
          <w:szCs w:val="24"/>
        </w:rPr>
        <w:t xml:space="preserve">. </w:t>
      </w:r>
      <w:r w:rsidR="00CD1FDD">
        <w:rPr>
          <w:sz w:val="24"/>
          <w:szCs w:val="24"/>
        </w:rPr>
        <w:t>N</w:t>
      </w:r>
      <w:r w:rsidRPr="001E73A0">
        <w:rPr>
          <w:sz w:val="24"/>
          <w:szCs w:val="24"/>
        </w:rPr>
        <w:t xml:space="preserve">ext, similar to Jung et al. (2014) and Ben-Nasr and Alshwer (2016), we augment Pinnuck and Lillis’s (2007) model with controls for net hiring in prior year, capital expenditures, R&amp;D investments, advertising expenses, acquisition expenses, and industry unionization level. </w:t>
      </w:r>
    </w:p>
    <w:p w14:paraId="5E99AFC7" w14:textId="120718F4" w:rsidR="007E63AB" w:rsidRPr="001E73A0" w:rsidRDefault="007E63AB" w:rsidP="00CC3A1B">
      <w:pPr>
        <w:spacing w:after="0" w:line="360" w:lineRule="auto"/>
        <w:ind w:firstLine="720"/>
        <w:jc w:val="both"/>
        <w:rPr>
          <w:sz w:val="24"/>
          <w:szCs w:val="24"/>
        </w:rPr>
      </w:pPr>
      <w:r w:rsidRPr="001E73A0">
        <w:rPr>
          <w:sz w:val="24"/>
          <w:szCs w:val="24"/>
        </w:rPr>
        <w:t xml:space="preserve">Further, we consider two alternatives based on other approaches that differ from Pinnuck and Lillis’s (2007) model. In line with Cella </w:t>
      </w:r>
      <w:r w:rsidR="0053664A" w:rsidRPr="001E73A0">
        <w:rPr>
          <w:sz w:val="24"/>
          <w:szCs w:val="24"/>
        </w:rPr>
        <w:fldChar w:fldCharType="begin" w:fldLock="1"/>
      </w:r>
      <w:r w:rsidR="0053664A" w:rsidRPr="001E73A0">
        <w:rPr>
          <w:sz w:val="24"/>
          <w:szCs w:val="24"/>
        </w:rPr>
        <w:instrText>ADDIN CSL_CITATION {"citationItems":[{"id":"ITEM-1","itemData":{"ISSN":"1544-6123","abstract":"Using investors’ trading horizons to capture their incentives to collect information and monitor management's decisions, this paper shows that an increase in the ownership stake held by long-term institutional investors is associated with a subsequent decrease in real investment precisely in firms that invest too much. In support of the monitoring hypothesis, we show that results are driven by the purchases of long-term investors, while quasi-indexers and short-term investors have no influence on investment. We address the potential problem of endogeneity using the inclusion of a firm to the S&amp;P 500 Index as an exogenous shock to institutional holdings.","author":[{"dropping-particle":"","family":"Cella","given":"Cristina","non-dropping-particle":"","parse-names":false,"suffix":""}],"container-title":"Finance Research Letters","id":"ITEM-1","issued":{"date-parts":[["2019","4","18"]]},"page":"forthcoming","publisher":"Elsevier","title":"Institutional investors and corporate investment","type":"article-journal"},"suppress-author":1,"uris":["http://www.mendeley.com/documents/?uuid=85a666d2-aff5-3abb-83a1-fe6f94ca3ee5"]}],"mendeley":{"formattedCitation":"(2019)","plainTextFormattedCitation":"(2019)","previouslyFormattedCitation":"(2019)"},"properties":{"noteIndex":0},"schema":"https://github.com/citation-style-language/schema/raw/master/csl-citation.json"}</w:instrText>
      </w:r>
      <w:r w:rsidR="0053664A" w:rsidRPr="001E73A0">
        <w:rPr>
          <w:sz w:val="24"/>
          <w:szCs w:val="24"/>
        </w:rPr>
        <w:fldChar w:fldCharType="separate"/>
      </w:r>
      <w:r w:rsidR="0053664A" w:rsidRPr="001E73A0">
        <w:rPr>
          <w:noProof/>
          <w:sz w:val="24"/>
          <w:szCs w:val="24"/>
        </w:rPr>
        <w:t>(2019)</w:t>
      </w:r>
      <w:r w:rsidR="0053664A" w:rsidRPr="001E73A0">
        <w:rPr>
          <w:sz w:val="24"/>
          <w:szCs w:val="24"/>
        </w:rPr>
        <w:fldChar w:fldCharType="end"/>
      </w:r>
      <w:r w:rsidRPr="001E73A0">
        <w:rPr>
          <w:sz w:val="24"/>
          <w:szCs w:val="24"/>
        </w:rPr>
        <w:t xml:space="preserve"> and Jung et al. (2014), we adopt the </w:t>
      </w:r>
      <w:r w:rsidR="00C44BBD" w:rsidRPr="001E73A0">
        <w:rPr>
          <w:sz w:val="24"/>
          <w:szCs w:val="24"/>
        </w:rPr>
        <w:t>industry-</w:t>
      </w:r>
      <w:r w:rsidRPr="001E73A0">
        <w:rPr>
          <w:sz w:val="24"/>
          <w:szCs w:val="24"/>
        </w:rPr>
        <w:t>median value of labor investments as the exp</w:t>
      </w:r>
      <w:r w:rsidRPr="001E73A0">
        <w:rPr>
          <w:rFonts w:hint="eastAsia"/>
          <w:sz w:val="24"/>
          <w:szCs w:val="24"/>
        </w:rPr>
        <w:t xml:space="preserve">ected level of net hiring. </w:t>
      </w:r>
      <w:r w:rsidRPr="001E73A0">
        <w:rPr>
          <w:sz w:val="24"/>
          <w:szCs w:val="24"/>
        </w:rPr>
        <w:t>Finally, s</w:t>
      </w:r>
      <w:r w:rsidRPr="001E73A0">
        <w:rPr>
          <w:rFonts w:hint="eastAsia"/>
          <w:sz w:val="24"/>
          <w:szCs w:val="24"/>
        </w:rPr>
        <w:t xml:space="preserve">imilar to the model adopted by Biddle et al. </w:t>
      </w:r>
      <w:r w:rsidR="0053664A" w:rsidRPr="001E73A0">
        <w:rPr>
          <w:sz w:val="24"/>
          <w:szCs w:val="24"/>
        </w:rPr>
        <w:fldChar w:fldCharType="begin" w:fldLock="1"/>
      </w:r>
      <w:r w:rsidR="0053664A" w:rsidRPr="001E73A0">
        <w:rPr>
          <w:sz w:val="24"/>
          <w:szCs w:val="24"/>
        </w:rPr>
        <w:instrText>ADDIN CSL_CITATION {"citationItems":[{"id":"ITEM-1","itemData":{"ISSN":"0165-4101","abstract":"Prior evidence that higher-quality financial reporting improves capital investment efficiency leaves unaddressed whether it reduces over- or under-investment. This study provides evidence of both in documenting a conditional negative (positive) association between financial reporting quality and investment for firms operating in settings more prone to over-investment (under-investment). Firms with higher financial reporting quality also are found to deviate less from predicted investment levels and show less sensitivity to macro-economic conditions. These results suggest that one mechanism linking reporting quality and investment efficiency is a reduction of frictions such as moral hazard and adverse selection that hamper efficient investment.","author":[{"dropping-particle":"","family":"Biddle","given":"Gary C.","non-dropping-particle":"","parse-names":false,"suffix":""},{"dropping-particle":"","family":"Hilary","given":"Gilles","non-dropping-particle":"","parse-names":false,"suffix":""},{"dropping-particle":"","family":"Verdi","given":"Rodrigo S.","non-dropping-particle":"","parse-names":false,"suffix":""}],"container-title":"Journal of Accounting and Economics","id":"ITEM-1","issue":"2-3","issued":{"date-parts":[["2009","12","1"]]},"page":"112-131","publisher":"North-Holland","title":"How does financial reporting quality relate to investment efficiency?","type":"article-journal","volume":"48"},"suppress-author":1,"uris":["http://www.mendeley.com/documents/?uuid=698e10b4-a5bb-3819-bf87-bc3a5e2292c3"]}],"mendeley":{"formattedCitation":"(2009)","plainTextFormattedCitation":"(2009)","previouslyFormattedCitation":"(2009)"},"properties":{"noteIndex":0},"schema":"https://github.com/citation-style-language/schema/raw/master/csl-citation.json"}</w:instrText>
      </w:r>
      <w:r w:rsidR="0053664A" w:rsidRPr="001E73A0">
        <w:rPr>
          <w:sz w:val="24"/>
          <w:szCs w:val="24"/>
        </w:rPr>
        <w:fldChar w:fldCharType="separate"/>
      </w:r>
      <w:r w:rsidR="0053664A" w:rsidRPr="001E73A0">
        <w:rPr>
          <w:noProof/>
          <w:sz w:val="24"/>
          <w:szCs w:val="24"/>
        </w:rPr>
        <w:t>(2009)</w:t>
      </w:r>
      <w:r w:rsidR="0053664A" w:rsidRPr="001E73A0">
        <w:rPr>
          <w:sz w:val="24"/>
          <w:szCs w:val="24"/>
        </w:rPr>
        <w:fldChar w:fldCharType="end"/>
      </w:r>
      <w:r w:rsidRPr="001E73A0">
        <w:rPr>
          <w:rFonts w:hint="eastAsia"/>
          <w:sz w:val="24"/>
          <w:szCs w:val="24"/>
        </w:rPr>
        <w:t xml:space="preserve"> to determine optimal capital investments, we strip Eq. (1) back to </w:t>
      </w:r>
      <w:r w:rsidR="00B55C06" w:rsidRPr="001E73A0">
        <w:rPr>
          <w:rFonts w:hint="eastAsia"/>
          <w:sz w:val="24"/>
          <w:szCs w:val="24"/>
        </w:rPr>
        <w:t xml:space="preserve">only </w:t>
      </w:r>
      <w:r w:rsidRPr="001E73A0">
        <w:rPr>
          <w:rFonts w:hint="eastAsia"/>
          <w:sz w:val="24"/>
          <w:szCs w:val="24"/>
        </w:rPr>
        <w:t xml:space="preserve">incorporate sales growth </w:t>
      </w:r>
      <w:r w:rsidRPr="001E73A0">
        <w:rPr>
          <w:sz w:val="24"/>
          <w:szCs w:val="24"/>
        </w:rPr>
        <w:t xml:space="preserve">as the independent variable. Untabulated results show that our </w:t>
      </w:r>
      <w:r w:rsidR="00B55C06" w:rsidRPr="001E73A0">
        <w:rPr>
          <w:sz w:val="24"/>
          <w:szCs w:val="24"/>
        </w:rPr>
        <w:t xml:space="preserve">findings </w:t>
      </w:r>
      <w:r w:rsidRPr="001E73A0">
        <w:rPr>
          <w:sz w:val="24"/>
          <w:szCs w:val="24"/>
        </w:rPr>
        <w:t>are robust to the use of these alternative measures of expected net hiring.</w:t>
      </w:r>
      <w:r w:rsidRPr="001E73A0">
        <w:rPr>
          <w:sz w:val="24"/>
          <w:szCs w:val="24"/>
          <w:vertAlign w:val="superscript"/>
        </w:rPr>
        <w:footnoteReference w:id="18"/>
      </w:r>
    </w:p>
    <w:p w14:paraId="3325C5B2" w14:textId="77777777" w:rsidR="007E63AB" w:rsidRPr="001E73A0" w:rsidRDefault="007E63AB" w:rsidP="00AA7E55">
      <w:pPr>
        <w:spacing w:after="0" w:line="360" w:lineRule="auto"/>
        <w:ind w:firstLine="720"/>
        <w:jc w:val="both"/>
        <w:rPr>
          <w:sz w:val="24"/>
          <w:szCs w:val="24"/>
        </w:rPr>
      </w:pPr>
    </w:p>
    <w:p w14:paraId="29055EE4" w14:textId="49C5B534" w:rsidR="00035E66" w:rsidRPr="001E73A0" w:rsidRDefault="00CC3A1B" w:rsidP="00612D21">
      <w:pPr>
        <w:pStyle w:val="1"/>
        <w:spacing w:line="360" w:lineRule="auto"/>
      </w:pPr>
      <w:r w:rsidRPr="001E73A0">
        <w:lastRenderedPageBreak/>
        <w:t>6</w:t>
      </w:r>
      <w:r w:rsidR="004756F0" w:rsidRPr="001E73A0">
        <w:t>. Conclusion</w:t>
      </w:r>
    </w:p>
    <w:p w14:paraId="35D2827C" w14:textId="2D61EB3E" w:rsidR="00612C6E" w:rsidRPr="001E73A0" w:rsidRDefault="0015636C">
      <w:pPr>
        <w:adjustRightInd w:val="0"/>
        <w:snapToGrid w:val="0"/>
        <w:spacing w:after="0" w:line="360" w:lineRule="auto"/>
        <w:ind w:firstLine="720"/>
        <w:jc w:val="both"/>
        <w:rPr>
          <w:sz w:val="24"/>
          <w:szCs w:val="24"/>
        </w:rPr>
      </w:pPr>
      <w:r w:rsidRPr="001E73A0">
        <w:rPr>
          <w:sz w:val="24"/>
          <w:szCs w:val="24"/>
        </w:rPr>
        <w:t xml:space="preserve">In this paper, we investigate whether accounting information </w:t>
      </w:r>
      <w:r w:rsidR="00332C5A" w:rsidRPr="001E73A0">
        <w:rPr>
          <w:sz w:val="24"/>
          <w:szCs w:val="24"/>
        </w:rPr>
        <w:t xml:space="preserve">being comparable </w:t>
      </w:r>
      <w:r w:rsidRPr="001E73A0">
        <w:rPr>
          <w:sz w:val="24"/>
          <w:szCs w:val="24"/>
        </w:rPr>
        <w:t xml:space="preserve">improves </w:t>
      </w:r>
      <w:r w:rsidR="00332C5A" w:rsidRPr="001E73A0">
        <w:rPr>
          <w:sz w:val="24"/>
          <w:szCs w:val="24"/>
        </w:rPr>
        <w:t>decision-making in corporate employment</w:t>
      </w:r>
      <w:r w:rsidRPr="001E73A0">
        <w:rPr>
          <w:sz w:val="24"/>
          <w:szCs w:val="24"/>
        </w:rPr>
        <w:t xml:space="preserve">. </w:t>
      </w:r>
      <w:r w:rsidR="00D43D72" w:rsidRPr="001E73A0">
        <w:rPr>
          <w:sz w:val="24"/>
          <w:szCs w:val="24"/>
        </w:rPr>
        <w:t>W</w:t>
      </w:r>
      <w:r w:rsidR="00216BF3" w:rsidRPr="001E73A0">
        <w:rPr>
          <w:sz w:val="24"/>
          <w:szCs w:val="24"/>
        </w:rPr>
        <w:t>e</w:t>
      </w:r>
      <w:r w:rsidR="00E721A4" w:rsidRPr="001E73A0">
        <w:rPr>
          <w:sz w:val="24"/>
          <w:szCs w:val="24"/>
        </w:rPr>
        <w:t xml:space="preserve"> argue that </w:t>
      </w:r>
      <w:r w:rsidR="00B55C06" w:rsidRPr="001E73A0">
        <w:rPr>
          <w:sz w:val="24"/>
          <w:szCs w:val="24"/>
        </w:rPr>
        <w:t xml:space="preserve">such </w:t>
      </w:r>
      <w:r w:rsidR="00321BF3" w:rsidRPr="001E73A0">
        <w:rPr>
          <w:sz w:val="24"/>
          <w:szCs w:val="24"/>
        </w:rPr>
        <w:t>comparability can potentially affect labour investment efficiency via external monitoring</w:t>
      </w:r>
      <w:r w:rsidR="009C2725" w:rsidRPr="001E73A0">
        <w:rPr>
          <w:sz w:val="24"/>
          <w:szCs w:val="24"/>
        </w:rPr>
        <w:t xml:space="preserve"> </w:t>
      </w:r>
      <w:r w:rsidR="00B55C06" w:rsidRPr="001E73A0">
        <w:rPr>
          <w:sz w:val="24"/>
          <w:szCs w:val="24"/>
        </w:rPr>
        <w:t xml:space="preserve">(of </w:t>
      </w:r>
      <w:r w:rsidR="009C2725" w:rsidRPr="001E73A0">
        <w:rPr>
          <w:sz w:val="24"/>
          <w:szCs w:val="24"/>
        </w:rPr>
        <w:t>analysts, institutional investors, auditors, and labour unions)</w:t>
      </w:r>
      <w:r w:rsidR="00321BF3" w:rsidRPr="001E73A0">
        <w:rPr>
          <w:sz w:val="24"/>
          <w:szCs w:val="24"/>
        </w:rPr>
        <w:t xml:space="preserve"> and internal governance</w:t>
      </w:r>
      <w:r w:rsidR="009C2725" w:rsidRPr="001E73A0">
        <w:rPr>
          <w:sz w:val="24"/>
          <w:szCs w:val="24"/>
        </w:rPr>
        <w:t xml:space="preserve"> (</w:t>
      </w:r>
      <w:r w:rsidR="00B55C06" w:rsidRPr="001E73A0">
        <w:rPr>
          <w:sz w:val="24"/>
          <w:szCs w:val="24"/>
        </w:rPr>
        <w:t xml:space="preserve">of </w:t>
      </w:r>
      <w:r w:rsidR="009C2725" w:rsidRPr="001E73A0">
        <w:rPr>
          <w:sz w:val="24"/>
          <w:szCs w:val="24"/>
        </w:rPr>
        <w:t>board</w:t>
      </w:r>
      <w:r w:rsidR="00332C5A" w:rsidRPr="001E73A0">
        <w:rPr>
          <w:sz w:val="24"/>
          <w:szCs w:val="24"/>
        </w:rPr>
        <w:t>s</w:t>
      </w:r>
      <w:r w:rsidR="009C2725" w:rsidRPr="001E73A0">
        <w:rPr>
          <w:sz w:val="24"/>
          <w:szCs w:val="24"/>
        </w:rPr>
        <w:t xml:space="preserve"> of directors) </w:t>
      </w:r>
      <w:r w:rsidR="00321BF3" w:rsidRPr="001E73A0">
        <w:rPr>
          <w:sz w:val="24"/>
          <w:szCs w:val="24"/>
        </w:rPr>
        <w:t xml:space="preserve">mechanisms. </w:t>
      </w:r>
      <w:r w:rsidR="009C2725" w:rsidRPr="001E73A0">
        <w:rPr>
          <w:sz w:val="24"/>
          <w:szCs w:val="24"/>
        </w:rPr>
        <w:t xml:space="preserve">In particular, </w:t>
      </w:r>
      <w:r w:rsidR="00E721A4" w:rsidRPr="001E73A0">
        <w:rPr>
          <w:sz w:val="24"/>
          <w:szCs w:val="24"/>
        </w:rPr>
        <w:t xml:space="preserve">we suggest that </w:t>
      </w:r>
      <w:r w:rsidR="00711249" w:rsidRPr="001E73A0">
        <w:rPr>
          <w:sz w:val="24"/>
          <w:szCs w:val="24"/>
        </w:rPr>
        <w:t>unlike other forms of physical investment decision</w:t>
      </w:r>
      <w:r w:rsidR="00DF584D" w:rsidRPr="001E73A0">
        <w:rPr>
          <w:sz w:val="24"/>
          <w:szCs w:val="24"/>
        </w:rPr>
        <w:t>s</w:t>
      </w:r>
      <w:r w:rsidR="00711249" w:rsidRPr="001E73A0">
        <w:rPr>
          <w:sz w:val="24"/>
          <w:szCs w:val="24"/>
        </w:rPr>
        <w:t xml:space="preserve">, </w:t>
      </w:r>
      <w:r w:rsidR="00B55C06" w:rsidRPr="001E73A0">
        <w:rPr>
          <w:sz w:val="24"/>
          <w:szCs w:val="24"/>
        </w:rPr>
        <w:t xml:space="preserve">those surrounding </w:t>
      </w:r>
      <w:r w:rsidR="00711249" w:rsidRPr="001E73A0">
        <w:rPr>
          <w:sz w:val="24"/>
          <w:szCs w:val="24"/>
        </w:rPr>
        <w:t xml:space="preserve">employment </w:t>
      </w:r>
      <w:r w:rsidR="00B55C06" w:rsidRPr="001E73A0">
        <w:rPr>
          <w:sz w:val="24"/>
          <w:szCs w:val="24"/>
        </w:rPr>
        <w:t>are</w:t>
      </w:r>
      <w:r w:rsidR="00711249" w:rsidRPr="001E73A0">
        <w:rPr>
          <w:sz w:val="24"/>
          <w:szCs w:val="24"/>
        </w:rPr>
        <w:t xml:space="preserve"> largely driven by private information available </w:t>
      </w:r>
      <w:r w:rsidR="00B55C06" w:rsidRPr="001E73A0">
        <w:rPr>
          <w:sz w:val="24"/>
          <w:szCs w:val="24"/>
        </w:rPr>
        <w:t xml:space="preserve">internally </w:t>
      </w:r>
      <w:r w:rsidR="00711249" w:rsidRPr="001E73A0">
        <w:rPr>
          <w:sz w:val="24"/>
          <w:szCs w:val="24"/>
        </w:rPr>
        <w:t>to managers</w:t>
      </w:r>
      <w:r w:rsidR="00332C5A" w:rsidRPr="001E73A0">
        <w:rPr>
          <w:sz w:val="24"/>
          <w:szCs w:val="24"/>
        </w:rPr>
        <w:t>, such as</w:t>
      </w:r>
      <w:r w:rsidR="009C52A6" w:rsidRPr="001E73A0">
        <w:rPr>
          <w:sz w:val="24"/>
          <w:szCs w:val="24"/>
        </w:rPr>
        <w:t xml:space="preserve"> </w:t>
      </w:r>
      <w:r w:rsidR="00711249" w:rsidRPr="001E73A0">
        <w:rPr>
          <w:sz w:val="24"/>
          <w:szCs w:val="24"/>
        </w:rPr>
        <w:t xml:space="preserve">employee </w:t>
      </w:r>
      <w:r w:rsidR="00B55C06" w:rsidRPr="001E73A0">
        <w:rPr>
          <w:sz w:val="24"/>
          <w:szCs w:val="24"/>
        </w:rPr>
        <w:t xml:space="preserve">competence profiles </w:t>
      </w:r>
      <w:r w:rsidR="00711249" w:rsidRPr="001E73A0">
        <w:rPr>
          <w:sz w:val="24"/>
          <w:szCs w:val="24"/>
        </w:rPr>
        <w:t>and productivity, and therefore, suffer</w:t>
      </w:r>
      <w:r w:rsidR="00CA2DFC" w:rsidRPr="001E73A0">
        <w:rPr>
          <w:sz w:val="24"/>
          <w:szCs w:val="24"/>
        </w:rPr>
        <w:t xml:space="preserve"> </w:t>
      </w:r>
      <w:r w:rsidR="00711249" w:rsidRPr="001E73A0">
        <w:rPr>
          <w:sz w:val="24"/>
          <w:szCs w:val="24"/>
        </w:rPr>
        <w:t>from salient information asymmetry</w:t>
      </w:r>
      <w:r w:rsidR="00CF1A3B" w:rsidRPr="001E73A0">
        <w:rPr>
          <w:sz w:val="24"/>
          <w:szCs w:val="24"/>
        </w:rPr>
        <w:t xml:space="preserve"> </w:t>
      </w:r>
      <w:r w:rsidR="0049075E" w:rsidRPr="001E73A0">
        <w:rPr>
          <w:sz w:val="24"/>
          <w:szCs w:val="24"/>
        </w:rPr>
        <w:fldChar w:fldCharType="begin" w:fldLock="1"/>
      </w:r>
      <w:r w:rsidR="00B42CFA" w:rsidRPr="001E73A0">
        <w:rPr>
          <w:sz w:val="24"/>
          <w:szCs w:val="24"/>
        </w:rPr>
        <w:instrText>ADDIN CSL_CITATION {"citationItems":[{"id":"ITEM-1","itemData":{"ISSN":"0963-8180","abstract":"AbstractThis article examines the effect of state ownership on the labor cost stickiness of firms in 22 European countries. States are more likely to interfere in the decision-making processes of s...","author":[{"dropping-particle":"","family":"Prabowo","given":"Ronny","non-dropping-particle":"","parse-names":false,"suffix":""},{"dropping-particle":"","family":"Hooghiemstra","given":"Reggy","non-dropping-particle":"","parse-names":false,"suffix":""},{"dropping-particle":"","family":"Veen-Dirks","given":"Paula","non-dropping-particle":"Van","parse-names":false,"suffix":""}],"container-title":"European Accounting Review","id":"ITEM-1","issue":"4","issued":{"date-parts":[["2018","8","8"]]},"page":"771-796","publisher":"Routledge","title":"State ownership, socio-political factors, and labor Cost Stickiness","type":"article-journal","volume":"27"},"uris":["http://www.mendeley.com/documents/?uuid=b9065eee-7c60-3455-9e23-0231808da396"]},{"id":"ITEM-2","itemData":{"ISSN":"1380-6653","author":[{"dropping-particle":"","family":"Richardson","given":"Scott","non-dropping-particle":"","parse-names":false,"suffix":""}],"container-title":"Review of Accounting Studies","id":"ITEM-2","issue":"2-3","issued":{"date-parts":[["2006","7","18"]]},"page":"159-189","publisher":"Kluwer Academic Publishers-Plenum Publishers","title":"Over-investment of free cash flow","type":"article-journal","volume":"11"},"uris":["http://www.mendeley.com/documents/?uuid=f5ddc463-f895-38f8-ad8f-d97a5a008cb9"]}],"mendeley":{"formattedCitation":"(Prabowo, Hooghiemstra, &amp; Van Veen-Dirks, 2018; Richardson, 2006)","plainTextFormattedCitation":"(Prabowo, Hooghiemstra, &amp; Van Veen-Dirks, 2018; Richardson, 2006)","previouslyFormattedCitation":"(Prabowo, Hooghiemstra, &amp; Van Veen-Dirks, 2018; Richardson, 2006)"},"properties":{"noteIndex":0},"schema":"https://github.com/citation-style-language/schema/raw/master/csl-citation.json"}</w:instrText>
      </w:r>
      <w:r w:rsidR="0049075E" w:rsidRPr="001E73A0">
        <w:rPr>
          <w:sz w:val="24"/>
          <w:szCs w:val="24"/>
        </w:rPr>
        <w:fldChar w:fldCharType="separate"/>
      </w:r>
      <w:r w:rsidR="00B42CFA" w:rsidRPr="001E73A0">
        <w:rPr>
          <w:noProof/>
          <w:sz w:val="24"/>
          <w:szCs w:val="24"/>
        </w:rPr>
        <w:t>(Prabowo, Hooghiemstra, &amp; Van Veen-Dirks, 2018; Richardson, 2006)</w:t>
      </w:r>
      <w:r w:rsidR="0049075E" w:rsidRPr="001E73A0">
        <w:rPr>
          <w:sz w:val="24"/>
          <w:szCs w:val="24"/>
        </w:rPr>
        <w:fldChar w:fldCharType="end"/>
      </w:r>
      <w:r w:rsidR="00711249" w:rsidRPr="001E73A0">
        <w:rPr>
          <w:sz w:val="24"/>
          <w:szCs w:val="24"/>
        </w:rPr>
        <w:t xml:space="preserve">. </w:t>
      </w:r>
      <w:r w:rsidR="00E721A4" w:rsidRPr="001E73A0">
        <w:rPr>
          <w:sz w:val="24"/>
          <w:szCs w:val="24"/>
        </w:rPr>
        <w:t>Accounting c</w:t>
      </w:r>
      <w:r w:rsidR="009C2725" w:rsidRPr="001E73A0">
        <w:rPr>
          <w:sz w:val="24"/>
          <w:szCs w:val="24"/>
        </w:rPr>
        <w:t>omparability</w:t>
      </w:r>
      <w:r w:rsidR="00DF584D" w:rsidRPr="001E73A0">
        <w:rPr>
          <w:sz w:val="24"/>
          <w:szCs w:val="24"/>
        </w:rPr>
        <w:t>, as an effective monitoring</w:t>
      </w:r>
      <w:r w:rsidR="00216BF3" w:rsidRPr="001E73A0">
        <w:rPr>
          <w:sz w:val="24"/>
          <w:szCs w:val="24"/>
        </w:rPr>
        <w:t xml:space="preserve"> </w:t>
      </w:r>
      <w:r w:rsidR="00DF584D" w:rsidRPr="001E73A0">
        <w:rPr>
          <w:sz w:val="24"/>
          <w:szCs w:val="24"/>
        </w:rPr>
        <w:t>tool,</w:t>
      </w:r>
      <w:r w:rsidR="009C2725" w:rsidRPr="001E73A0">
        <w:rPr>
          <w:sz w:val="24"/>
          <w:szCs w:val="24"/>
        </w:rPr>
        <w:t xml:space="preserve"> </w:t>
      </w:r>
      <w:r w:rsidR="00E721A4" w:rsidRPr="001E73A0">
        <w:rPr>
          <w:sz w:val="24"/>
          <w:szCs w:val="24"/>
        </w:rPr>
        <w:t xml:space="preserve">can </w:t>
      </w:r>
      <w:r w:rsidR="009C2725" w:rsidRPr="001E73A0">
        <w:rPr>
          <w:sz w:val="24"/>
          <w:szCs w:val="24"/>
        </w:rPr>
        <w:t xml:space="preserve">enrich the quality </w:t>
      </w:r>
      <w:r w:rsidR="00B55C06" w:rsidRPr="001E73A0">
        <w:rPr>
          <w:sz w:val="24"/>
          <w:szCs w:val="24"/>
        </w:rPr>
        <w:t xml:space="preserve">of </w:t>
      </w:r>
      <w:r w:rsidR="009C2725" w:rsidRPr="001E73A0">
        <w:rPr>
          <w:sz w:val="24"/>
          <w:szCs w:val="24"/>
        </w:rPr>
        <w:t xml:space="preserve">information available to </w:t>
      </w:r>
      <w:r w:rsidR="00B55C06" w:rsidRPr="001E73A0">
        <w:rPr>
          <w:sz w:val="24"/>
          <w:szCs w:val="24"/>
        </w:rPr>
        <w:t xml:space="preserve">the abovementioned </w:t>
      </w:r>
      <w:r w:rsidR="0049075E" w:rsidRPr="001E73A0">
        <w:rPr>
          <w:sz w:val="24"/>
          <w:szCs w:val="24"/>
        </w:rPr>
        <w:t>internal</w:t>
      </w:r>
      <w:r w:rsidR="00E721A4" w:rsidRPr="001E73A0">
        <w:rPr>
          <w:sz w:val="24"/>
          <w:szCs w:val="24"/>
        </w:rPr>
        <w:t xml:space="preserve"> </w:t>
      </w:r>
      <w:r w:rsidR="009C2725" w:rsidRPr="001E73A0">
        <w:rPr>
          <w:sz w:val="24"/>
          <w:szCs w:val="24"/>
        </w:rPr>
        <w:t xml:space="preserve">and </w:t>
      </w:r>
      <w:r w:rsidR="0049075E" w:rsidRPr="001E73A0">
        <w:rPr>
          <w:sz w:val="24"/>
          <w:szCs w:val="24"/>
        </w:rPr>
        <w:t>external</w:t>
      </w:r>
      <w:r w:rsidR="009C2725" w:rsidRPr="001E73A0">
        <w:rPr>
          <w:sz w:val="24"/>
          <w:szCs w:val="24"/>
        </w:rPr>
        <w:t xml:space="preserve"> </w:t>
      </w:r>
      <w:r w:rsidR="00E721A4" w:rsidRPr="001E73A0">
        <w:rPr>
          <w:sz w:val="24"/>
          <w:szCs w:val="24"/>
        </w:rPr>
        <w:t>corporate stakeholders</w:t>
      </w:r>
      <w:r w:rsidR="00B55C06" w:rsidRPr="001E73A0">
        <w:rPr>
          <w:sz w:val="24"/>
          <w:szCs w:val="24"/>
        </w:rPr>
        <w:t>. T</w:t>
      </w:r>
      <w:r w:rsidR="00E721A4" w:rsidRPr="001E73A0">
        <w:rPr>
          <w:sz w:val="24"/>
          <w:szCs w:val="24"/>
        </w:rPr>
        <w:t xml:space="preserve">herefore, </w:t>
      </w:r>
      <w:r w:rsidR="00B55C06" w:rsidRPr="001E73A0">
        <w:rPr>
          <w:sz w:val="24"/>
          <w:szCs w:val="24"/>
        </w:rPr>
        <w:t xml:space="preserve">it </w:t>
      </w:r>
      <w:r w:rsidR="00E721A4" w:rsidRPr="001E73A0">
        <w:rPr>
          <w:sz w:val="24"/>
          <w:szCs w:val="24"/>
        </w:rPr>
        <w:t xml:space="preserve">can </w:t>
      </w:r>
      <w:r w:rsidR="009C2725" w:rsidRPr="001E73A0">
        <w:rPr>
          <w:sz w:val="24"/>
          <w:szCs w:val="24"/>
        </w:rPr>
        <w:t xml:space="preserve">enable them to </w:t>
      </w:r>
      <w:r w:rsidR="00B55C06" w:rsidRPr="001E73A0">
        <w:rPr>
          <w:sz w:val="24"/>
          <w:szCs w:val="24"/>
        </w:rPr>
        <w:t xml:space="preserve">directly or indirectly </w:t>
      </w:r>
      <w:r w:rsidR="00711249" w:rsidRPr="001E73A0">
        <w:rPr>
          <w:sz w:val="24"/>
          <w:szCs w:val="24"/>
        </w:rPr>
        <w:t>apply greater pressure on managers to use corporate resources</w:t>
      </w:r>
      <w:r w:rsidR="00B55C06" w:rsidRPr="001E73A0">
        <w:rPr>
          <w:sz w:val="24"/>
          <w:szCs w:val="24"/>
        </w:rPr>
        <w:t xml:space="preserve"> like </w:t>
      </w:r>
      <w:r w:rsidR="000E6436" w:rsidRPr="001E73A0">
        <w:rPr>
          <w:sz w:val="24"/>
          <w:szCs w:val="24"/>
        </w:rPr>
        <w:t>human capital</w:t>
      </w:r>
      <w:r w:rsidR="00B55C06" w:rsidRPr="001E73A0">
        <w:rPr>
          <w:sz w:val="24"/>
          <w:szCs w:val="24"/>
        </w:rPr>
        <w:t xml:space="preserve"> more</w:t>
      </w:r>
      <w:r w:rsidR="00711249" w:rsidRPr="001E73A0">
        <w:rPr>
          <w:sz w:val="24"/>
          <w:szCs w:val="24"/>
        </w:rPr>
        <w:t xml:space="preserve"> efficiently </w:t>
      </w:r>
      <w:r w:rsidR="00D25D3E" w:rsidRPr="001E73A0">
        <w:rPr>
          <w:sz w:val="24"/>
          <w:szCs w:val="24"/>
        </w:rPr>
        <w:fldChar w:fldCharType="begin" w:fldLock="1"/>
      </w:r>
      <w:r w:rsidR="002A68D3" w:rsidRPr="001E73A0">
        <w:rPr>
          <w:sz w:val="24"/>
          <w:szCs w:val="24"/>
        </w:rPr>
        <w:instrText>ADDIN CSL_CITATION {"citationItems":[{"id":"ITEM-1","itemData":{"ISBN":"0823-9150","ISSN":"19113846","abstract":"We examine whether accounting quality is associated with efficient investments in labor, a key factor of production that has been largely overlooked in prior studies. We find evidence that abnormal net hiring (measured as the absolute deviation from net hiring predicted by economic fundamentals) is negatively associated with accounting quality. These results are robust to a battery of sensitivity tests and controls for other relevant factors, including labor power and other contemporaneous investments. We further examine the channels through which accounting quality improves net hiring efficiency and provide evidence that high-quality accounting reduces both overinvestment in labor (overhiring and under- firing) and underinvestment in labor (underhiring and overfiring). We also show that the effect of accounting quality on net hiring efficiency is particularly strong in highly unionized industries. Finally, we document that abnormal net hiring is costly, in that it is associated with lower future profitability. Overall, our results are consistent with higher-quality accounting facilitating more efficient investments in labor by mitigating the market frictions that stem from information asymmetry and lead to suboptimal levels of investment. [ABSTRACT FROM AUTHOR]","author":[{"dropping-particle":"","family":"Jung","given":"Boochun","non-dropping-particle":"","parse-names":false,"suffix":""},{"dropping-particle":"","family":"Lee","given":"Woo Jong","non-dropping-particle":"","parse-names":false,"suffix":""},{"dropping-particle":"","family":"Weber","given":"David P.","non-dropping-particle":"","parse-names":false,"suffix":""}],"container-title":"Contemporary Accounting Research","id":"ITEM-1","issue":"4","issued":{"date-parts":[["2014"]]},"page":"1047-1076","title":"Financial reporting quality and labor investment efficiency","type":"article-journal","volume":"31"},"uris":["http://www.mendeley.com/documents/?uuid=c0be0420-4a3b-407c-be29-d99c32f42d71"]},{"id":"ITEM-2","itemData":{"ISSN":"0929-1199","abstract":"We examine the impact of CEO-director ties on labor investment efficiency. Using an aggregate measure of CEO-director ties we find that CEOs who have strong ties with independent board members are associated with inefficient labor investment. The effect is stronger in firms that rely more on skilled labor and those that are financially constrained, and that inefficient labor investment exacerbates labor cost stickiness. Our results are robust to selection bias, endogeneity concerns, and alternative explanations. Overall, the results are consistent with the view that stronger CEO ties to independent board members makes monitoring ineffective, which, in turn, aggravates the inefficient labor investment problem. Thus, we identify a potential channel through which CEO-director ties can be detrimental to shareholder value.","author":[{"dropping-particle":"","family":"Khedmati","given":"Mehdi","non-dropping-particle":"","parse-names":false,"suffix":""},{"dropping-particle":"","family":"Sualihu","given":"Mohammed Aminu","non-dropping-particle":"","parse-names":false,"suffix":""},{"dropping-particle":"","family":"Yawson","given":"Alfred","non-dropping-particle":"","parse-names":false,"suffix":""}],"container-title":"Journal of Corporate Finance","id":"ITEM-2","issued":{"date-parts":[["2019","8","10"]]},"page":"forthcoming","publisher":"North-Holland","title":"CEO-director ties and labor investment efficiency","type":"article-journal"},"uris":["http://www.mendeley.com/documents/?uuid=d748f965-c96a-37ab-af3c-4af2c2e2ee2b"]}],"mendeley":{"formattedCitation":"(Jung et al., 2014; Khedmati et al., 2019)","plainTextFormattedCitation":"(Jung et al., 2014; Khedmati et al., 2019)","previouslyFormattedCitation":"(Jung et al., 2014; Khedmati et al., 2019)"},"properties":{"noteIndex":0},"schema":"https://github.com/citation-style-language/schema/raw/master/csl-citation.json"}</w:instrText>
      </w:r>
      <w:r w:rsidR="00D25D3E" w:rsidRPr="001E73A0">
        <w:rPr>
          <w:sz w:val="24"/>
          <w:szCs w:val="24"/>
        </w:rPr>
        <w:fldChar w:fldCharType="separate"/>
      </w:r>
      <w:r w:rsidR="00D25D3E" w:rsidRPr="001E73A0">
        <w:rPr>
          <w:noProof/>
          <w:sz w:val="24"/>
          <w:szCs w:val="24"/>
        </w:rPr>
        <w:t>(Jung et al., 2014; Khedmati et al., 2019)</w:t>
      </w:r>
      <w:r w:rsidR="00D25D3E" w:rsidRPr="001E73A0">
        <w:rPr>
          <w:sz w:val="24"/>
          <w:szCs w:val="24"/>
        </w:rPr>
        <w:fldChar w:fldCharType="end"/>
      </w:r>
      <w:r w:rsidR="00711249" w:rsidRPr="001E73A0">
        <w:rPr>
          <w:sz w:val="24"/>
          <w:szCs w:val="24"/>
        </w:rPr>
        <w:t>.</w:t>
      </w:r>
      <w:r w:rsidR="00612C6E" w:rsidRPr="001E73A0">
        <w:rPr>
          <w:sz w:val="24"/>
          <w:szCs w:val="24"/>
        </w:rPr>
        <w:t xml:space="preserve"> For example, we argue that </w:t>
      </w:r>
      <w:r w:rsidR="009C52A6" w:rsidRPr="001E73A0">
        <w:rPr>
          <w:sz w:val="24"/>
          <w:szCs w:val="24"/>
        </w:rPr>
        <w:t>all these stakeholders</w:t>
      </w:r>
      <w:r w:rsidR="00612C6E" w:rsidRPr="001E73A0">
        <w:rPr>
          <w:sz w:val="24"/>
          <w:szCs w:val="24"/>
        </w:rPr>
        <w:t xml:space="preserve"> may be </w:t>
      </w:r>
      <w:r w:rsidR="009C52A6" w:rsidRPr="001E73A0">
        <w:rPr>
          <w:sz w:val="24"/>
          <w:szCs w:val="24"/>
        </w:rPr>
        <w:t>en</w:t>
      </w:r>
      <w:r w:rsidR="00612C6E" w:rsidRPr="001E73A0">
        <w:rPr>
          <w:sz w:val="24"/>
          <w:szCs w:val="24"/>
        </w:rPr>
        <w:t>able</w:t>
      </w:r>
      <w:r w:rsidR="009C52A6" w:rsidRPr="001E73A0">
        <w:rPr>
          <w:sz w:val="24"/>
          <w:szCs w:val="24"/>
        </w:rPr>
        <w:t>d</w:t>
      </w:r>
      <w:r w:rsidR="00612C6E" w:rsidRPr="001E73A0">
        <w:rPr>
          <w:sz w:val="24"/>
          <w:szCs w:val="24"/>
        </w:rPr>
        <w:t xml:space="preserve"> to apply appropriate counter-balancing pressures (</w:t>
      </w:r>
      <w:r w:rsidR="00B55C06" w:rsidRPr="001E73A0">
        <w:rPr>
          <w:sz w:val="24"/>
          <w:szCs w:val="24"/>
        </w:rPr>
        <w:t>for example</w:t>
      </w:r>
      <w:r w:rsidR="00612C6E" w:rsidRPr="001E73A0">
        <w:rPr>
          <w:sz w:val="24"/>
          <w:szCs w:val="24"/>
        </w:rPr>
        <w:t xml:space="preserve">, labour unions may </w:t>
      </w:r>
      <w:r w:rsidR="00185DBD" w:rsidRPr="001E73A0">
        <w:rPr>
          <w:sz w:val="24"/>
          <w:szCs w:val="24"/>
        </w:rPr>
        <w:t>resist</w:t>
      </w:r>
      <w:r w:rsidR="00612C6E" w:rsidRPr="001E73A0">
        <w:rPr>
          <w:sz w:val="24"/>
          <w:szCs w:val="24"/>
        </w:rPr>
        <w:t xml:space="preserve"> under-hiring </w:t>
      </w:r>
      <w:r w:rsidR="009C52A6" w:rsidRPr="001E73A0">
        <w:rPr>
          <w:sz w:val="24"/>
          <w:szCs w:val="24"/>
        </w:rPr>
        <w:t xml:space="preserve">while </w:t>
      </w:r>
      <w:r w:rsidR="00612C6E" w:rsidRPr="001E73A0">
        <w:rPr>
          <w:sz w:val="24"/>
          <w:szCs w:val="24"/>
        </w:rPr>
        <w:t xml:space="preserve">investors may </w:t>
      </w:r>
      <w:r w:rsidR="00185DBD" w:rsidRPr="001E73A0">
        <w:rPr>
          <w:sz w:val="24"/>
          <w:szCs w:val="24"/>
        </w:rPr>
        <w:t>discourage</w:t>
      </w:r>
      <w:r w:rsidR="00612C6E" w:rsidRPr="001E73A0">
        <w:rPr>
          <w:sz w:val="24"/>
          <w:szCs w:val="24"/>
        </w:rPr>
        <w:t xml:space="preserve"> over-hiring) </w:t>
      </w:r>
      <w:r w:rsidR="00185DBD" w:rsidRPr="001E73A0">
        <w:rPr>
          <w:sz w:val="24"/>
          <w:szCs w:val="24"/>
        </w:rPr>
        <w:t xml:space="preserve">which </w:t>
      </w:r>
      <w:r w:rsidR="00612C6E" w:rsidRPr="001E73A0">
        <w:rPr>
          <w:sz w:val="24"/>
          <w:szCs w:val="24"/>
        </w:rPr>
        <w:t>may ultimately compel managers to</w:t>
      </w:r>
      <w:r w:rsidR="00185DBD" w:rsidRPr="001E73A0">
        <w:rPr>
          <w:sz w:val="24"/>
          <w:szCs w:val="24"/>
        </w:rPr>
        <w:t>wards</w:t>
      </w:r>
      <w:r w:rsidR="00612C6E" w:rsidRPr="001E73A0">
        <w:rPr>
          <w:sz w:val="24"/>
          <w:szCs w:val="24"/>
        </w:rPr>
        <w:t xml:space="preserve"> mak</w:t>
      </w:r>
      <w:r w:rsidR="00185DBD" w:rsidRPr="001E73A0">
        <w:rPr>
          <w:sz w:val="24"/>
          <w:szCs w:val="24"/>
        </w:rPr>
        <w:t>ing</w:t>
      </w:r>
      <w:r w:rsidR="00612C6E" w:rsidRPr="001E73A0">
        <w:rPr>
          <w:sz w:val="24"/>
          <w:szCs w:val="24"/>
        </w:rPr>
        <w:t xml:space="preserve"> optimal employment decisions.</w:t>
      </w:r>
    </w:p>
    <w:p w14:paraId="42DA324B" w14:textId="5E7A7F02" w:rsidR="00185DBD" w:rsidRPr="001E73A0" w:rsidRDefault="00E721A4" w:rsidP="00CF1A3B">
      <w:pPr>
        <w:spacing w:after="0" w:line="360" w:lineRule="auto"/>
        <w:ind w:firstLine="720"/>
        <w:jc w:val="both"/>
        <w:rPr>
          <w:sz w:val="24"/>
          <w:szCs w:val="24"/>
        </w:rPr>
      </w:pPr>
      <w:r w:rsidRPr="001E73A0">
        <w:rPr>
          <w:sz w:val="24"/>
          <w:szCs w:val="24"/>
        </w:rPr>
        <w:t xml:space="preserve">In line with </w:t>
      </w:r>
      <w:r w:rsidR="00185DBD" w:rsidRPr="001E73A0">
        <w:rPr>
          <w:sz w:val="24"/>
          <w:szCs w:val="24"/>
        </w:rPr>
        <w:t xml:space="preserve">the </w:t>
      </w:r>
      <w:r w:rsidRPr="001E73A0">
        <w:rPr>
          <w:sz w:val="24"/>
          <w:szCs w:val="24"/>
        </w:rPr>
        <w:t>theoretical arguments and conjecture</w:t>
      </w:r>
      <w:r w:rsidR="00517393" w:rsidRPr="001E73A0">
        <w:rPr>
          <w:sz w:val="24"/>
          <w:szCs w:val="24"/>
        </w:rPr>
        <w:t>, o</w:t>
      </w:r>
      <w:r w:rsidR="0015636C" w:rsidRPr="001E73A0">
        <w:rPr>
          <w:sz w:val="24"/>
          <w:szCs w:val="24"/>
        </w:rPr>
        <w:t xml:space="preserve">ur results </w:t>
      </w:r>
      <w:r w:rsidR="00185DBD" w:rsidRPr="001E73A0">
        <w:rPr>
          <w:sz w:val="24"/>
          <w:szCs w:val="24"/>
        </w:rPr>
        <w:t xml:space="preserve">demonstrate </w:t>
      </w:r>
      <w:r w:rsidR="0015636C" w:rsidRPr="001E73A0">
        <w:rPr>
          <w:sz w:val="24"/>
          <w:szCs w:val="24"/>
        </w:rPr>
        <w:t xml:space="preserve">that greater accounting comparability leads to more efficient labour investment. Moreover, the evidence shows that financial </w:t>
      </w:r>
      <w:r w:rsidR="009C52A6" w:rsidRPr="001E73A0">
        <w:rPr>
          <w:sz w:val="24"/>
          <w:szCs w:val="24"/>
        </w:rPr>
        <w:t xml:space="preserve">statement comparability </w:t>
      </w:r>
      <w:r w:rsidR="0015636C" w:rsidRPr="001E73A0">
        <w:rPr>
          <w:sz w:val="24"/>
          <w:szCs w:val="24"/>
        </w:rPr>
        <w:t xml:space="preserve">can mitigate both over-investment (over-hiring and under-firing) and under-investment (under-hiring and over-firing) </w:t>
      </w:r>
      <w:r w:rsidR="00185DBD" w:rsidRPr="001E73A0">
        <w:rPr>
          <w:sz w:val="24"/>
          <w:szCs w:val="24"/>
        </w:rPr>
        <w:t>issues</w:t>
      </w:r>
      <w:r w:rsidR="0015636C" w:rsidRPr="001E73A0">
        <w:rPr>
          <w:sz w:val="24"/>
          <w:szCs w:val="24"/>
        </w:rPr>
        <w:t xml:space="preserve">. The findings imply that accounting comparability does not simply increase or reduce labour investments per se, but rather adjusts investment </w:t>
      </w:r>
      <w:r w:rsidR="009C52A6" w:rsidRPr="001E73A0">
        <w:rPr>
          <w:sz w:val="24"/>
          <w:szCs w:val="24"/>
        </w:rPr>
        <w:t>towards</w:t>
      </w:r>
      <w:r w:rsidR="0015636C" w:rsidRPr="001E73A0">
        <w:rPr>
          <w:sz w:val="24"/>
          <w:szCs w:val="24"/>
        </w:rPr>
        <w:t xml:space="preserve"> optimal level</w:t>
      </w:r>
      <w:r w:rsidR="009C52A6" w:rsidRPr="001E73A0">
        <w:rPr>
          <w:sz w:val="24"/>
          <w:szCs w:val="24"/>
        </w:rPr>
        <w:t>s</w:t>
      </w:r>
      <w:r w:rsidR="0015636C" w:rsidRPr="001E73A0">
        <w:rPr>
          <w:sz w:val="24"/>
          <w:szCs w:val="24"/>
        </w:rPr>
        <w:t xml:space="preserve">. </w:t>
      </w:r>
    </w:p>
    <w:p w14:paraId="0658AF0A" w14:textId="62CFBCC9" w:rsidR="0015636C" w:rsidRPr="001E73A0" w:rsidRDefault="0015636C" w:rsidP="00CF1A3B">
      <w:pPr>
        <w:spacing w:after="0" w:line="360" w:lineRule="auto"/>
        <w:ind w:firstLine="720"/>
        <w:jc w:val="both"/>
        <w:rPr>
          <w:sz w:val="24"/>
          <w:szCs w:val="24"/>
        </w:rPr>
      </w:pPr>
      <w:r w:rsidRPr="001E73A0">
        <w:rPr>
          <w:sz w:val="24"/>
          <w:szCs w:val="24"/>
        </w:rPr>
        <w:t xml:space="preserve">Further, we identify the external monitoring and internal governance mechanisms through which comparability impacts employment </w:t>
      </w:r>
      <w:r w:rsidR="009C52A6" w:rsidRPr="001E73A0">
        <w:rPr>
          <w:sz w:val="24"/>
          <w:szCs w:val="24"/>
        </w:rPr>
        <w:t>decision-making</w:t>
      </w:r>
      <w:r w:rsidRPr="001E73A0">
        <w:rPr>
          <w:sz w:val="24"/>
          <w:szCs w:val="24"/>
        </w:rPr>
        <w:t xml:space="preserve">. Our results support the view that accounting comparability can enhance the monitoring effectiveness of </w:t>
      </w:r>
      <w:r w:rsidR="00185DBD" w:rsidRPr="001E73A0">
        <w:rPr>
          <w:sz w:val="24"/>
          <w:szCs w:val="24"/>
        </w:rPr>
        <w:t xml:space="preserve">both </w:t>
      </w:r>
      <w:r w:rsidRPr="001E73A0">
        <w:rPr>
          <w:sz w:val="24"/>
          <w:szCs w:val="24"/>
        </w:rPr>
        <w:t xml:space="preserve">internal and external </w:t>
      </w:r>
      <w:r w:rsidR="009C52A6" w:rsidRPr="001E73A0">
        <w:rPr>
          <w:sz w:val="24"/>
          <w:szCs w:val="24"/>
        </w:rPr>
        <w:t xml:space="preserve">users of </w:t>
      </w:r>
      <w:r w:rsidRPr="001E73A0">
        <w:rPr>
          <w:sz w:val="24"/>
          <w:szCs w:val="24"/>
        </w:rPr>
        <w:t>financial information (</w:t>
      </w:r>
      <w:r w:rsidR="009C52A6" w:rsidRPr="001E73A0">
        <w:rPr>
          <w:sz w:val="24"/>
          <w:szCs w:val="24"/>
        </w:rPr>
        <w:t>boards of directors</w:t>
      </w:r>
      <w:r w:rsidRPr="001E73A0">
        <w:rPr>
          <w:sz w:val="24"/>
          <w:szCs w:val="24"/>
        </w:rPr>
        <w:t xml:space="preserve">, analysts, </w:t>
      </w:r>
      <w:r w:rsidR="009C52A6" w:rsidRPr="001E73A0">
        <w:rPr>
          <w:sz w:val="24"/>
          <w:szCs w:val="24"/>
        </w:rPr>
        <w:t>institutional investors, auditors,</w:t>
      </w:r>
      <w:r w:rsidRPr="001E73A0">
        <w:rPr>
          <w:sz w:val="24"/>
          <w:szCs w:val="24"/>
        </w:rPr>
        <w:t xml:space="preserve"> and labour unions) and thus </w:t>
      </w:r>
      <w:r w:rsidR="00185DBD" w:rsidRPr="001E73A0">
        <w:rPr>
          <w:sz w:val="24"/>
          <w:szCs w:val="24"/>
        </w:rPr>
        <w:t xml:space="preserve">ensure more </w:t>
      </w:r>
      <w:r w:rsidRPr="001E73A0">
        <w:rPr>
          <w:sz w:val="24"/>
          <w:szCs w:val="24"/>
        </w:rPr>
        <w:t>efficient labour investment</w:t>
      </w:r>
      <w:r w:rsidR="00170896" w:rsidRPr="001E73A0">
        <w:rPr>
          <w:sz w:val="24"/>
          <w:szCs w:val="24"/>
        </w:rPr>
        <w:t xml:space="preserve"> also</w:t>
      </w:r>
      <w:r w:rsidRPr="001E73A0">
        <w:rPr>
          <w:sz w:val="24"/>
          <w:szCs w:val="24"/>
        </w:rPr>
        <w:t xml:space="preserve">. </w:t>
      </w:r>
      <w:r w:rsidR="00185DBD" w:rsidRPr="001E73A0">
        <w:rPr>
          <w:sz w:val="24"/>
          <w:szCs w:val="24"/>
        </w:rPr>
        <w:t xml:space="preserve">Our </w:t>
      </w:r>
      <w:r w:rsidRPr="001E73A0">
        <w:rPr>
          <w:sz w:val="24"/>
          <w:szCs w:val="24"/>
        </w:rPr>
        <w:t xml:space="preserve">inferences are </w:t>
      </w:r>
      <w:r w:rsidR="00CA0A73" w:rsidRPr="001E73A0">
        <w:rPr>
          <w:sz w:val="24"/>
          <w:szCs w:val="24"/>
        </w:rPr>
        <w:t xml:space="preserve">robust to alternative measures of accounting comparability and expected net hiring, </w:t>
      </w:r>
      <w:r w:rsidR="00185DBD" w:rsidRPr="001E73A0">
        <w:rPr>
          <w:sz w:val="24"/>
          <w:szCs w:val="24"/>
        </w:rPr>
        <w:t xml:space="preserve">as well as </w:t>
      </w:r>
      <w:r w:rsidR="00CA0A73" w:rsidRPr="001E73A0">
        <w:rPr>
          <w:sz w:val="24"/>
          <w:szCs w:val="24"/>
        </w:rPr>
        <w:t>the different approaches used to ameliorate potential endogeneity bias</w:t>
      </w:r>
      <w:r w:rsidRPr="001E73A0">
        <w:rPr>
          <w:sz w:val="24"/>
          <w:szCs w:val="24"/>
        </w:rPr>
        <w:t>.</w:t>
      </w:r>
    </w:p>
    <w:p w14:paraId="133FBCE5" w14:textId="20F83035" w:rsidR="0015636C" w:rsidRPr="001E73A0" w:rsidRDefault="0015636C" w:rsidP="0015636C">
      <w:pPr>
        <w:spacing w:after="0" w:line="360" w:lineRule="auto"/>
        <w:ind w:firstLine="720"/>
        <w:jc w:val="both"/>
        <w:rPr>
          <w:sz w:val="24"/>
          <w:szCs w:val="24"/>
        </w:rPr>
      </w:pPr>
      <w:r w:rsidRPr="001E73A0">
        <w:rPr>
          <w:sz w:val="24"/>
          <w:szCs w:val="24"/>
        </w:rPr>
        <w:lastRenderedPageBreak/>
        <w:t xml:space="preserve">By documenting the </w:t>
      </w:r>
      <w:r w:rsidR="00170896" w:rsidRPr="001E73A0">
        <w:rPr>
          <w:sz w:val="24"/>
          <w:szCs w:val="24"/>
        </w:rPr>
        <w:t xml:space="preserve">role of </w:t>
      </w:r>
      <w:r w:rsidRPr="001E73A0">
        <w:rPr>
          <w:sz w:val="24"/>
          <w:szCs w:val="24"/>
        </w:rPr>
        <w:t xml:space="preserve">monitoring </w:t>
      </w:r>
      <w:r w:rsidR="00424C93" w:rsidRPr="001E73A0">
        <w:rPr>
          <w:sz w:val="24"/>
          <w:szCs w:val="24"/>
        </w:rPr>
        <w:t>in</w:t>
      </w:r>
      <w:r w:rsidRPr="001E73A0">
        <w:rPr>
          <w:sz w:val="24"/>
          <w:szCs w:val="24"/>
        </w:rPr>
        <w:t xml:space="preserve"> accounting comparability </w:t>
      </w:r>
      <w:r w:rsidR="00424C93" w:rsidRPr="001E73A0">
        <w:rPr>
          <w:sz w:val="24"/>
          <w:szCs w:val="24"/>
        </w:rPr>
        <w:t>impacting decision-making</w:t>
      </w:r>
      <w:r w:rsidR="00583B8C" w:rsidRPr="001E73A0">
        <w:rPr>
          <w:sz w:val="24"/>
          <w:szCs w:val="24"/>
        </w:rPr>
        <w:t xml:space="preserve"> for human resources</w:t>
      </w:r>
      <w:r w:rsidRPr="001E73A0">
        <w:rPr>
          <w:sz w:val="24"/>
          <w:szCs w:val="24"/>
        </w:rPr>
        <w:t>, our finding</w:t>
      </w:r>
      <w:r w:rsidR="00424C93" w:rsidRPr="001E73A0">
        <w:rPr>
          <w:sz w:val="24"/>
          <w:szCs w:val="24"/>
        </w:rPr>
        <w:t>s</w:t>
      </w:r>
      <w:r w:rsidRPr="001E73A0">
        <w:rPr>
          <w:sz w:val="24"/>
          <w:szCs w:val="24"/>
        </w:rPr>
        <w:t xml:space="preserve"> provide direction for firms </w:t>
      </w:r>
      <w:r w:rsidR="00185DBD" w:rsidRPr="001E73A0">
        <w:rPr>
          <w:sz w:val="24"/>
          <w:szCs w:val="24"/>
        </w:rPr>
        <w:t xml:space="preserve">in </w:t>
      </w:r>
      <w:r w:rsidRPr="001E73A0">
        <w:rPr>
          <w:sz w:val="24"/>
          <w:szCs w:val="24"/>
        </w:rPr>
        <w:t>mitigat</w:t>
      </w:r>
      <w:r w:rsidR="00185DBD" w:rsidRPr="001E73A0">
        <w:rPr>
          <w:sz w:val="24"/>
          <w:szCs w:val="24"/>
        </w:rPr>
        <w:t>ing</w:t>
      </w:r>
      <w:r w:rsidRPr="001E73A0">
        <w:rPr>
          <w:sz w:val="24"/>
          <w:szCs w:val="24"/>
        </w:rPr>
        <w:t xml:space="preserve"> conflict between shareholders and managers. Our results are consistent with </w:t>
      </w:r>
      <w:r w:rsidR="002216A2" w:rsidRPr="001E73A0">
        <w:rPr>
          <w:sz w:val="24"/>
          <w:szCs w:val="24"/>
        </w:rPr>
        <w:t>th</w:t>
      </w:r>
      <w:r w:rsidR="00583B8C" w:rsidRPr="001E73A0">
        <w:rPr>
          <w:sz w:val="24"/>
          <w:szCs w:val="24"/>
        </w:rPr>
        <w:t xml:space="preserve">ose </w:t>
      </w:r>
      <w:r w:rsidR="002216A2" w:rsidRPr="001E73A0">
        <w:rPr>
          <w:sz w:val="24"/>
          <w:szCs w:val="24"/>
        </w:rPr>
        <w:t xml:space="preserve">of </w:t>
      </w:r>
      <w:r w:rsidRPr="001E73A0">
        <w:rPr>
          <w:sz w:val="24"/>
          <w:szCs w:val="24"/>
        </w:rPr>
        <w:t xml:space="preserve">prior research that </w:t>
      </w:r>
      <w:r w:rsidR="00424C93" w:rsidRPr="001E73A0">
        <w:rPr>
          <w:sz w:val="24"/>
          <w:szCs w:val="24"/>
        </w:rPr>
        <w:t xml:space="preserve">has </w:t>
      </w:r>
      <w:r w:rsidRPr="001E73A0">
        <w:rPr>
          <w:sz w:val="24"/>
          <w:szCs w:val="24"/>
        </w:rPr>
        <w:t xml:space="preserve">demonstrated the benefits of accounting comparability on firms performance through stock price informativeness </w:t>
      </w:r>
      <w:r w:rsidR="0049075E" w:rsidRPr="001E73A0">
        <w:rPr>
          <w:sz w:val="24"/>
          <w:szCs w:val="24"/>
        </w:rPr>
        <w:fldChar w:fldCharType="begin" w:fldLock="1"/>
      </w:r>
      <w:r w:rsidR="00FB2C4B" w:rsidRPr="001E73A0">
        <w:rPr>
          <w:sz w:val="24"/>
          <w:szCs w:val="24"/>
        </w:rPr>
        <w:instrText>ADDIN CSL_CITATION {"citationItems":[{"id":"ITEM-1","itemData":{"ISSN":"08239150","author":[{"dropping-particle":"","family":"Choi","given":"Jong-Hag","non-dropping-particle":"","parse-names":false,"suffix":""},{"dropping-particle":"","family":"Choi","given":"Sunhwa","non-dropping-particle":"","parse-names":false,"suffix":""},{"dropping-particle":"","family":"Myers","given":"Linda A.","non-dropping-particle":"","parse-names":false,"suffix":""},{"dropping-particle":"","family":"Ziebart","given":"David","non-dropping-particle":"","parse-names":false,"suffix":""}],"container-title":"Contemporary Accounting Research","id":"ITEM-1","issue":"1","issued":{"date-parts":[["2019","7","17"]]},"page":"389-417","publisher":"Wiley/Blackwell (10.1111)","title":"Financial statement comparability and the informativeness of stock prices about future earnings","type":"article-journal","volume":"36"},"uris":["http://www.mendeley.com/documents/?uuid=7b01c9dc-5e81-31e5-82fb-88dfb1f4d005"]}],"mendeley":{"formattedCitation":"(Choi et al., 2019)","plainTextFormattedCitation":"(Choi et al., 2019)","previouslyFormattedCitation":"(Choi et al., 2019)"},"properties":{"noteIndex":0},"schema":"https://github.com/citation-style-language/schema/raw/master/csl-citation.json"}</w:instrText>
      </w:r>
      <w:r w:rsidR="0049075E" w:rsidRPr="001E73A0">
        <w:rPr>
          <w:sz w:val="24"/>
          <w:szCs w:val="24"/>
        </w:rPr>
        <w:fldChar w:fldCharType="separate"/>
      </w:r>
      <w:r w:rsidR="00FB2C4B" w:rsidRPr="001E73A0">
        <w:rPr>
          <w:noProof/>
          <w:sz w:val="24"/>
          <w:szCs w:val="24"/>
        </w:rPr>
        <w:t>(Choi et al., 2019)</w:t>
      </w:r>
      <w:r w:rsidR="0049075E" w:rsidRPr="001E73A0">
        <w:rPr>
          <w:sz w:val="24"/>
          <w:szCs w:val="24"/>
        </w:rPr>
        <w:fldChar w:fldCharType="end"/>
      </w:r>
      <w:r w:rsidRPr="001E73A0">
        <w:rPr>
          <w:sz w:val="24"/>
          <w:szCs w:val="24"/>
        </w:rPr>
        <w:t xml:space="preserve">, credit risk </w:t>
      </w:r>
      <w:r w:rsidR="0049075E" w:rsidRPr="001E73A0">
        <w:rPr>
          <w:sz w:val="24"/>
          <w:szCs w:val="24"/>
        </w:rPr>
        <w:fldChar w:fldCharType="begin" w:fldLock="1"/>
      </w:r>
      <w:r w:rsidR="0049075E" w:rsidRPr="001E73A0">
        <w:rPr>
          <w:sz w:val="24"/>
          <w:szCs w:val="24"/>
        </w:rP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risk","type":"article-journal","volume":"18"},"uris":["http://www.mendeley.com/documents/?uuid=e972df64-99d1-3933-8dc6-d33829ee5701"]}],"mendeley":{"formattedCitation":"(S. Kim et al., 2013)","manualFormatting":"(Kim et al., 2013)","plainTextFormattedCitation":"(S. Kim et al., 2013)","previouslyFormattedCitation":"(S. Kim et al., 2013)"},"properties":{"noteIndex":0},"schema":"https://github.com/citation-style-language/schema/raw/master/csl-citation.json"}</w:instrText>
      </w:r>
      <w:r w:rsidR="0049075E" w:rsidRPr="001E73A0">
        <w:rPr>
          <w:sz w:val="24"/>
          <w:szCs w:val="24"/>
        </w:rPr>
        <w:fldChar w:fldCharType="separate"/>
      </w:r>
      <w:r w:rsidR="0049075E" w:rsidRPr="001E73A0">
        <w:rPr>
          <w:noProof/>
          <w:sz w:val="24"/>
          <w:szCs w:val="24"/>
        </w:rPr>
        <w:t>(Kim et al., 2013)</w:t>
      </w:r>
      <w:r w:rsidR="0049075E" w:rsidRPr="001E73A0">
        <w:rPr>
          <w:sz w:val="24"/>
          <w:szCs w:val="24"/>
        </w:rPr>
        <w:fldChar w:fldCharType="end"/>
      </w:r>
      <w:r w:rsidRPr="001E73A0">
        <w:rPr>
          <w:sz w:val="24"/>
          <w:szCs w:val="24"/>
        </w:rPr>
        <w:t>, stock price crash risk (Kim et al., 2016), auditor style, effort</w:t>
      </w:r>
      <w:r w:rsidR="00424C93" w:rsidRPr="001E73A0">
        <w:rPr>
          <w:sz w:val="24"/>
          <w:szCs w:val="24"/>
        </w:rPr>
        <w:t>,</w:t>
      </w:r>
      <w:r w:rsidRPr="001E73A0">
        <w:rPr>
          <w:sz w:val="24"/>
          <w:szCs w:val="24"/>
        </w:rPr>
        <w:t xml:space="preserve"> and outcomes </w:t>
      </w:r>
      <w:r w:rsidR="0049075E" w:rsidRPr="001E73A0">
        <w:rPr>
          <w:sz w:val="24"/>
          <w:szCs w:val="24"/>
        </w:rPr>
        <w:fldChar w:fldCharType="begin" w:fldLock="1"/>
      </w:r>
      <w:r w:rsidR="0049075E" w:rsidRPr="001E73A0">
        <w:rPr>
          <w:sz w:val="24"/>
          <w:szCs w:val="24"/>
        </w:rPr>
        <w:instrText>ADDIN CSL_CITATION {"citationItems":[{"id":"ITEM-1","itemData":{"ISSN":"08239150","author":[{"dropping-particle":"","family":"Zhang","given":"Joseph H.","non-dropping-particle":"","parse-names":false,"suffix":""}],"container-title":"Contemporary Accounting Research","id":"ITEM-1","issue":"1","issued":{"date-parts":[["2018","3","1"]]},"page":"245-276","publisher":"Wiley/Blackwell (10.1111)","title":"Accounting comparability, audit effort, and audit outcomes","type":"article-journal","volume":"35"},"uris":["http://www.mendeley.com/documents/?uuid=f446f684-96f3-3b20-b904-edd4724f1aa0"]}],"mendeley":{"formattedCitation":"(Zhang, 2018)","plainTextFormattedCitation":"(Zhang, 2018)","previouslyFormattedCitation":"(Zhang, 2018)"},"properties":{"noteIndex":0},"schema":"https://github.com/citation-style-language/schema/raw/master/csl-citation.json"}</w:instrText>
      </w:r>
      <w:r w:rsidR="0049075E" w:rsidRPr="001E73A0">
        <w:rPr>
          <w:sz w:val="24"/>
          <w:szCs w:val="24"/>
        </w:rPr>
        <w:fldChar w:fldCharType="separate"/>
      </w:r>
      <w:r w:rsidR="0049075E" w:rsidRPr="001E73A0">
        <w:rPr>
          <w:noProof/>
          <w:sz w:val="24"/>
          <w:szCs w:val="24"/>
        </w:rPr>
        <w:t>(Zhang, 2018)</w:t>
      </w:r>
      <w:r w:rsidR="0049075E" w:rsidRPr="001E73A0">
        <w:rPr>
          <w:sz w:val="24"/>
          <w:szCs w:val="24"/>
        </w:rPr>
        <w:fldChar w:fldCharType="end"/>
      </w:r>
      <w:r w:rsidRPr="001E73A0">
        <w:rPr>
          <w:sz w:val="24"/>
          <w:szCs w:val="24"/>
        </w:rPr>
        <w:t xml:space="preserve">, analyst forecast accuracy </w:t>
      </w:r>
      <w:r w:rsidR="0049075E" w:rsidRPr="001E73A0">
        <w:rPr>
          <w:sz w:val="24"/>
          <w:szCs w:val="24"/>
        </w:rPr>
        <w:fldChar w:fldCharType="begin" w:fldLock="1"/>
      </w:r>
      <w:r w:rsidR="0049075E" w:rsidRPr="001E73A0">
        <w:rPr>
          <w:sz w:val="24"/>
          <w:szCs w:val="24"/>
        </w:rPr>
        <w:instrText>ADDIN CSL_CITATION {"citationItems":[{"id":"ITEM-1","itemData":{"ISBN":"00218456","ISSN":"00218456","PMID":"62963369","abstract":"Investors, regulators, academics, and researchers all emphasize the importance of financial statement comparability. However, an empirical construct of comparability is typically not specified. In addition, little evidence exists on the benefits of comparability to users. This study attempts to fill these gaps by developing a measure of financial statement comparability. Empirically, this measure is positively related to analyst following and forecast accuracy, and negatively related to analysts’ dispersion in earnings forecasts. These results suggest that financial statement comparability lowers the cost of acquiring information, and increases the overall quantity and quality of information available to analysts about the firm.","author":[{"dropping-particle":"","family":"Franco","given":"Gus","non-dropping-particle":"De","parse-names":false,"suffix":""},{"dropping-particle":"","family":"Kothari","given":"S. P.","non-dropping-particle":"","parse-names":false,"suffix":""},{"dropping-particle":"","family":"Verdi","given":"Rodrigo S.","non-dropping-particle":"","parse-names":false,"suffix":""}],"container-title":"Journal of Accounting Research","id":"ITEM-1","issue":"4","issued":{"date-parts":[["2011"]]},"page":"895-931","title":"The benefits of financial statement comparability","type":"article-journal","volume":"49"},"uris":["http://www.mendeley.com/documents/?uuid=8d27b5be-25e6-48a6-a72a-283bb7ea747d"]}],"mendeley":{"formattedCitation":"(De Franco et al., 2011)","plainTextFormattedCitation":"(De Franco et al., 2011)","previouslyFormattedCitation":"(De Franco et al., 2011)"},"properties":{"noteIndex":0},"schema":"https://github.com/citation-style-language/schema/raw/master/csl-citation.json"}</w:instrText>
      </w:r>
      <w:r w:rsidR="0049075E" w:rsidRPr="001E73A0">
        <w:rPr>
          <w:sz w:val="24"/>
          <w:szCs w:val="24"/>
        </w:rPr>
        <w:fldChar w:fldCharType="separate"/>
      </w:r>
      <w:r w:rsidR="0049075E" w:rsidRPr="001E73A0">
        <w:rPr>
          <w:noProof/>
          <w:sz w:val="24"/>
          <w:szCs w:val="24"/>
        </w:rPr>
        <w:t>(De Franco et al., 2011)</w:t>
      </w:r>
      <w:r w:rsidR="0049075E" w:rsidRPr="001E73A0">
        <w:rPr>
          <w:sz w:val="24"/>
          <w:szCs w:val="24"/>
        </w:rPr>
        <w:fldChar w:fldCharType="end"/>
      </w:r>
      <w:r w:rsidRPr="001E73A0">
        <w:rPr>
          <w:sz w:val="24"/>
          <w:szCs w:val="24"/>
        </w:rPr>
        <w:t xml:space="preserve">, cost of equity </w:t>
      </w:r>
      <w:r w:rsidR="0049075E" w:rsidRPr="001E73A0">
        <w:rPr>
          <w:sz w:val="24"/>
          <w:szCs w:val="24"/>
        </w:rPr>
        <w:fldChar w:fldCharType="begin" w:fldLock="1"/>
      </w:r>
      <w:r w:rsidR="00FD4FF6" w:rsidRPr="001E73A0">
        <w:rPr>
          <w:sz w:val="24"/>
          <w:szCs w:val="24"/>
        </w:rPr>
        <w:instrText>ADDIN CSL_CITATION {"citationItems":[{"id":"ITEM-1","itemData":{"ISSN":"0888-7993","abstract":"SYNOPSIS: We investigate how the comparability of a company's financial statements is related to its cost of equity capital. The Financial Accounting Standards Board's (FASB 2010) Statement of Financial Accounting Concept No. 8 proposes that comparability is a key tenet of accounting because it allows users of financial statements to benchmark a firm against similar firms when distinguishing between alternative investment opportunities. We provide evidence that greater financial statement comparability is associated with lower cost of equity capital, and show that comparability's effect on cost of equity remains after controlling for within-firm accounting quality. Additionally, we find that investors derive greater benefits from financial statement comparability in firms whose information environments are less transparent (high information asymmetry) and whose equity shares trade in markets that are less competitive (imperfect markets). Our findings contribute to accounting research by providing evidence...","author":[{"dropping-particle":"","family":"Imhof","given":"Michael J","non-dropping-particle":"","parse-names":false,"suffix":""},{"dropping-particle":"","family":"Seavey","given":"Scott E.","non-dropping-particle":"","parse-names":false,"suffix":""},{"dropping-particle":"","family":"Smith","given":"David B.","non-dropping-particle":"","parse-names":false,"suffix":""}],"container-title":"Accounting Horizons","id":"ITEM-1","issue":"2","issued":{"date-parts":[["2017","6","1"]]},"page":"125-138","publisher":"American Accounting Association","title":"Comparability and cost of equity capital","type":"article-journal","volume":"31"},"uris":["http://www.mendeley.com/documents/?uuid=f2b3994c-4cb2-315c-8b0d-0fbd4dd3bfcd"]}],"mendeley":{"formattedCitation":"(Imhof et al., 2017)","plainTextFormattedCitation":"(Imhof et al., 2017)","previouslyFormattedCitation":"(Imhof et al., 2017)"},"properties":{"noteIndex":0},"schema":"https://github.com/citation-style-language/schema/raw/master/csl-citation.json"}</w:instrText>
      </w:r>
      <w:r w:rsidR="0049075E" w:rsidRPr="001E73A0">
        <w:rPr>
          <w:sz w:val="24"/>
          <w:szCs w:val="24"/>
        </w:rPr>
        <w:fldChar w:fldCharType="separate"/>
      </w:r>
      <w:r w:rsidR="00FD4FF6" w:rsidRPr="001E73A0">
        <w:rPr>
          <w:noProof/>
          <w:sz w:val="24"/>
          <w:szCs w:val="24"/>
        </w:rPr>
        <w:t>(Imhof et al., 2017)</w:t>
      </w:r>
      <w:r w:rsidR="0049075E" w:rsidRPr="001E73A0">
        <w:rPr>
          <w:sz w:val="24"/>
          <w:szCs w:val="24"/>
        </w:rPr>
        <w:fldChar w:fldCharType="end"/>
      </w:r>
      <w:r w:rsidR="00583B8C" w:rsidRPr="001E73A0">
        <w:rPr>
          <w:sz w:val="24"/>
          <w:szCs w:val="24"/>
        </w:rPr>
        <w:t>,</w:t>
      </w:r>
      <w:r w:rsidRPr="001E73A0">
        <w:rPr>
          <w:sz w:val="24"/>
          <w:szCs w:val="24"/>
        </w:rPr>
        <w:t xml:space="preserve"> and corporate innovative efficiency </w:t>
      </w:r>
      <w:r w:rsidR="0049075E" w:rsidRPr="001E73A0">
        <w:rPr>
          <w:sz w:val="24"/>
          <w:szCs w:val="24"/>
        </w:rPr>
        <w:fldChar w:fldCharType="begin" w:fldLock="1"/>
      </w:r>
      <w:r w:rsidR="00B42CFA" w:rsidRPr="001E73A0">
        <w:rPr>
          <w:sz w:val="24"/>
          <w:szCs w:val="24"/>
        </w:rPr>
        <w:instrText>ADDIN CSL_CITATION {"citationItems":[{"id":"ITEM-1","itemData":{"ISBN":"1319335195","abstract":"We posit that when a subject firm has greater accounting comparability with industry peer firms it facilitates that firm's learning from peer firm R&amp;D investments leading to greater innovative efficiency by the subject firm. We posit that this learning improves because greater accounting comparability leads to better ability to predict future cash flows generated by R&amp;D investments with uncertain outcomes. We also predict that the effect accounting comparability on innovative efficiency will be greater if peer firms have higher accounting (earnings) quality. We find evidence consistent with all of these predictions. In the cross-section, we expect and find that the benefits of greater accounting comparability are greater (smaller) when peer-firms are successful (unsuccessful) innovators and when firms operate in industries with high product similarity and strong product market competition.","author":[{"dropping-particle":"","family":"Chircop","given":"Justin","non-dropping-particle":"","parse-names":false,"suffix":""},{"dropping-particle":"","family":"Collins","given":"Daniel W","non-dropping-particle":"","parse-names":false,"suffix":""},{"dropping-particle":"","family":"Hass","given":"Lars Helge","non-dropping-particle":"","parse-names":false,"suffix":""}],"container-title":"Available at: SSRN 2810448","id":"ITEM-1","issued":{"date-parts":[["2019"]]},"title":"Accounting comparability and corporate innovative efficiency","type":"report"},"uris":["http://www.mendeley.com/documents/?uuid=3a02d1c9-57df-4a31-bb0e-a097f602aa52"]}],"mendeley":{"formattedCitation":"(Chircop, Collins, &amp; Hass, 2019)","plainTextFormattedCitation":"(Chircop, Collins, &amp; Hass, 2019)","previouslyFormattedCitation":"(Chircop, Collins, &amp; Hass, 2019)"},"properties":{"noteIndex":0},"schema":"https://github.com/citation-style-language/schema/raw/master/csl-citation.json"}</w:instrText>
      </w:r>
      <w:r w:rsidR="0049075E" w:rsidRPr="001E73A0">
        <w:rPr>
          <w:sz w:val="24"/>
          <w:szCs w:val="24"/>
        </w:rPr>
        <w:fldChar w:fldCharType="separate"/>
      </w:r>
      <w:r w:rsidR="00B42CFA" w:rsidRPr="001E73A0">
        <w:rPr>
          <w:noProof/>
          <w:sz w:val="24"/>
          <w:szCs w:val="24"/>
        </w:rPr>
        <w:t>(Chircop, Collins, &amp; Hass, 2019)</w:t>
      </w:r>
      <w:r w:rsidR="0049075E" w:rsidRPr="001E73A0">
        <w:rPr>
          <w:sz w:val="24"/>
          <w:szCs w:val="24"/>
        </w:rPr>
        <w:fldChar w:fldCharType="end"/>
      </w:r>
      <w:r w:rsidRPr="001E73A0">
        <w:rPr>
          <w:sz w:val="24"/>
          <w:szCs w:val="24"/>
        </w:rPr>
        <w:t xml:space="preserve">. Our research </w:t>
      </w:r>
      <w:r w:rsidR="00424C93" w:rsidRPr="001E73A0">
        <w:rPr>
          <w:sz w:val="24"/>
          <w:szCs w:val="24"/>
        </w:rPr>
        <w:t>extends</w:t>
      </w:r>
      <w:r w:rsidRPr="001E73A0">
        <w:rPr>
          <w:sz w:val="24"/>
          <w:szCs w:val="24"/>
        </w:rPr>
        <w:t xml:space="preserve"> this strand of the literature by </w:t>
      </w:r>
      <w:r w:rsidR="00424C93" w:rsidRPr="001E73A0">
        <w:rPr>
          <w:sz w:val="24"/>
          <w:szCs w:val="24"/>
        </w:rPr>
        <w:t xml:space="preserve">offering insights into a </w:t>
      </w:r>
      <w:r w:rsidRPr="001E73A0">
        <w:rPr>
          <w:sz w:val="24"/>
          <w:szCs w:val="24"/>
        </w:rPr>
        <w:t>previously unexplored implication of accounting comparability</w:t>
      </w:r>
      <w:r w:rsidR="00424C93" w:rsidRPr="001E73A0">
        <w:rPr>
          <w:sz w:val="24"/>
          <w:szCs w:val="24"/>
        </w:rPr>
        <w:t xml:space="preserve">, that of </w:t>
      </w:r>
      <w:r w:rsidR="00583B8C" w:rsidRPr="001E73A0">
        <w:rPr>
          <w:sz w:val="24"/>
          <w:szCs w:val="24"/>
        </w:rPr>
        <w:t xml:space="preserve">enhanced </w:t>
      </w:r>
      <w:r w:rsidRPr="001E73A0">
        <w:rPr>
          <w:sz w:val="24"/>
          <w:szCs w:val="24"/>
        </w:rPr>
        <w:t xml:space="preserve">corporate employment </w:t>
      </w:r>
      <w:r w:rsidR="00424C93" w:rsidRPr="001E73A0">
        <w:rPr>
          <w:sz w:val="24"/>
          <w:szCs w:val="24"/>
        </w:rPr>
        <w:t>decision-making</w:t>
      </w:r>
      <w:r w:rsidRPr="001E73A0">
        <w:rPr>
          <w:sz w:val="24"/>
          <w:szCs w:val="24"/>
        </w:rPr>
        <w:t xml:space="preserve">. We underscore the importance and usefulness of accounting comparability and provide support for the claims of regulators and standard-setters that </w:t>
      </w:r>
      <w:r w:rsidR="00424C93" w:rsidRPr="001E73A0">
        <w:rPr>
          <w:sz w:val="24"/>
          <w:szCs w:val="24"/>
        </w:rPr>
        <w:t xml:space="preserve">it </w:t>
      </w:r>
      <w:r w:rsidRPr="001E73A0">
        <w:rPr>
          <w:sz w:val="24"/>
          <w:szCs w:val="24"/>
        </w:rPr>
        <w:t xml:space="preserve">facilitates efficiencies in the allocation of firm-level investment. </w:t>
      </w:r>
      <w:r w:rsidR="00424C93" w:rsidRPr="001E73A0">
        <w:rPr>
          <w:sz w:val="24"/>
          <w:szCs w:val="24"/>
        </w:rPr>
        <w:t>We also</w:t>
      </w:r>
      <w:r w:rsidRPr="001E73A0">
        <w:rPr>
          <w:sz w:val="24"/>
          <w:szCs w:val="24"/>
        </w:rPr>
        <w:t xml:space="preserve"> provide </w:t>
      </w:r>
      <w:r w:rsidR="00424C93" w:rsidRPr="001E73A0">
        <w:rPr>
          <w:sz w:val="24"/>
          <w:szCs w:val="24"/>
        </w:rPr>
        <w:t xml:space="preserve">clear </w:t>
      </w:r>
      <w:r w:rsidRPr="001E73A0">
        <w:rPr>
          <w:sz w:val="24"/>
          <w:szCs w:val="24"/>
        </w:rPr>
        <w:t>direction for firm</w:t>
      </w:r>
      <w:r w:rsidR="000B4AD3" w:rsidRPr="001E73A0">
        <w:rPr>
          <w:sz w:val="24"/>
          <w:szCs w:val="24"/>
        </w:rPr>
        <w:t>s</w:t>
      </w:r>
      <w:r w:rsidRPr="001E73A0">
        <w:rPr>
          <w:sz w:val="24"/>
          <w:szCs w:val="24"/>
        </w:rPr>
        <w:t xml:space="preserve"> </w:t>
      </w:r>
      <w:r w:rsidR="00424C93" w:rsidRPr="001E73A0">
        <w:rPr>
          <w:sz w:val="24"/>
          <w:szCs w:val="24"/>
        </w:rPr>
        <w:t>aiming to enhance</w:t>
      </w:r>
      <w:r w:rsidRPr="001E73A0">
        <w:rPr>
          <w:sz w:val="24"/>
          <w:szCs w:val="24"/>
        </w:rPr>
        <w:t xml:space="preserve"> </w:t>
      </w:r>
      <w:r w:rsidR="00583B8C" w:rsidRPr="001E73A0">
        <w:rPr>
          <w:sz w:val="24"/>
          <w:szCs w:val="24"/>
        </w:rPr>
        <w:t xml:space="preserve">human resource </w:t>
      </w:r>
      <w:r w:rsidR="00424C93" w:rsidRPr="001E73A0">
        <w:rPr>
          <w:sz w:val="24"/>
          <w:szCs w:val="24"/>
        </w:rPr>
        <w:t>decision</w:t>
      </w:r>
      <w:r w:rsidR="00583B8C" w:rsidRPr="001E73A0">
        <w:rPr>
          <w:sz w:val="24"/>
          <w:szCs w:val="24"/>
        </w:rPr>
        <w:t>s</w:t>
      </w:r>
      <w:r w:rsidRPr="001E73A0">
        <w:rPr>
          <w:sz w:val="24"/>
          <w:szCs w:val="24"/>
        </w:rPr>
        <w:t xml:space="preserve">, which is </w:t>
      </w:r>
      <w:r w:rsidR="00424C93" w:rsidRPr="001E73A0">
        <w:rPr>
          <w:sz w:val="24"/>
          <w:szCs w:val="24"/>
        </w:rPr>
        <w:t xml:space="preserve">an </w:t>
      </w:r>
      <w:r w:rsidRPr="001E73A0">
        <w:rPr>
          <w:sz w:val="24"/>
          <w:szCs w:val="24"/>
        </w:rPr>
        <w:t>increasingly</w:t>
      </w:r>
      <w:r w:rsidR="007E41F8" w:rsidRPr="001E73A0">
        <w:rPr>
          <w:sz w:val="24"/>
          <w:szCs w:val="24"/>
        </w:rPr>
        <w:t xml:space="preserve"> </w:t>
      </w:r>
      <w:r w:rsidR="00424C93" w:rsidRPr="001E73A0">
        <w:rPr>
          <w:sz w:val="24"/>
          <w:szCs w:val="24"/>
        </w:rPr>
        <w:t xml:space="preserve">visible aspect of </w:t>
      </w:r>
      <w:r w:rsidRPr="001E73A0">
        <w:rPr>
          <w:sz w:val="24"/>
          <w:szCs w:val="24"/>
        </w:rPr>
        <w:t xml:space="preserve">modern </w:t>
      </w:r>
      <w:r w:rsidR="00424C93" w:rsidRPr="001E73A0">
        <w:rPr>
          <w:sz w:val="24"/>
          <w:szCs w:val="24"/>
        </w:rPr>
        <w:t>and accountable corporate investment scrutiny</w:t>
      </w:r>
      <w:r w:rsidRPr="001E73A0">
        <w:rPr>
          <w:sz w:val="24"/>
          <w:szCs w:val="24"/>
        </w:rPr>
        <w:t>.</w:t>
      </w:r>
    </w:p>
    <w:p w14:paraId="0F3E61C1" w14:textId="6BF3AF79" w:rsidR="0015636C" w:rsidRPr="001E73A0" w:rsidRDefault="0015636C" w:rsidP="0015636C">
      <w:pPr>
        <w:spacing w:after="0" w:line="360" w:lineRule="auto"/>
        <w:ind w:firstLine="720"/>
        <w:jc w:val="both"/>
        <w:rPr>
          <w:sz w:val="24"/>
          <w:szCs w:val="24"/>
        </w:rPr>
      </w:pPr>
      <w:r w:rsidRPr="001E73A0">
        <w:rPr>
          <w:sz w:val="24"/>
          <w:szCs w:val="24"/>
        </w:rPr>
        <w:t xml:space="preserve">Notwithstanding </w:t>
      </w:r>
      <w:r w:rsidR="00424C93" w:rsidRPr="001E73A0">
        <w:rPr>
          <w:sz w:val="24"/>
          <w:szCs w:val="24"/>
        </w:rPr>
        <w:t>the clarity and be</w:t>
      </w:r>
      <w:r w:rsidR="00A27508" w:rsidRPr="001E73A0">
        <w:rPr>
          <w:sz w:val="24"/>
          <w:szCs w:val="24"/>
        </w:rPr>
        <w:t xml:space="preserve">nefit </w:t>
      </w:r>
      <w:r w:rsidR="00583B8C" w:rsidRPr="001E73A0">
        <w:rPr>
          <w:sz w:val="24"/>
          <w:szCs w:val="24"/>
        </w:rPr>
        <w:t xml:space="preserve">the above conclusions </w:t>
      </w:r>
      <w:r w:rsidR="00A27508" w:rsidRPr="001E73A0">
        <w:rPr>
          <w:sz w:val="24"/>
          <w:szCs w:val="24"/>
        </w:rPr>
        <w:t>may bring</w:t>
      </w:r>
      <w:r w:rsidRPr="001E73A0">
        <w:rPr>
          <w:sz w:val="24"/>
          <w:szCs w:val="24"/>
        </w:rPr>
        <w:t xml:space="preserve">, one caveat </w:t>
      </w:r>
      <w:r w:rsidR="00583B8C" w:rsidRPr="001E73A0">
        <w:rPr>
          <w:sz w:val="24"/>
          <w:szCs w:val="24"/>
        </w:rPr>
        <w:t>to</w:t>
      </w:r>
      <w:r w:rsidR="00A27508" w:rsidRPr="001E73A0">
        <w:rPr>
          <w:sz w:val="24"/>
          <w:szCs w:val="24"/>
        </w:rPr>
        <w:t xml:space="preserve"> </w:t>
      </w:r>
      <w:r w:rsidRPr="001E73A0">
        <w:rPr>
          <w:sz w:val="24"/>
          <w:szCs w:val="24"/>
        </w:rPr>
        <w:t xml:space="preserve">be considered is that, similar to past empirical studies of this nature, our proxies for accounting comparability and labour investment efficiency, among others, may or may not </w:t>
      </w:r>
      <w:r w:rsidR="00A27508" w:rsidRPr="001E73A0">
        <w:rPr>
          <w:sz w:val="24"/>
          <w:szCs w:val="24"/>
        </w:rPr>
        <w:t xml:space="preserve">strictly </w:t>
      </w:r>
      <w:r w:rsidRPr="001E73A0">
        <w:rPr>
          <w:sz w:val="24"/>
          <w:szCs w:val="24"/>
        </w:rPr>
        <w:t>reflect practice</w:t>
      </w:r>
      <w:r w:rsidR="00A27508" w:rsidRPr="001E73A0">
        <w:rPr>
          <w:sz w:val="24"/>
          <w:szCs w:val="24"/>
        </w:rPr>
        <w:t xml:space="preserve"> or may do so with varying degrees of subtlety</w:t>
      </w:r>
      <w:r w:rsidRPr="001E73A0">
        <w:rPr>
          <w:sz w:val="24"/>
          <w:szCs w:val="24"/>
        </w:rPr>
        <w:t xml:space="preserve">. </w:t>
      </w:r>
      <w:r w:rsidR="00A27508" w:rsidRPr="001E73A0">
        <w:rPr>
          <w:sz w:val="24"/>
          <w:szCs w:val="24"/>
        </w:rPr>
        <w:t>F</w:t>
      </w:r>
      <w:r w:rsidRPr="001E73A0">
        <w:rPr>
          <w:sz w:val="24"/>
          <w:szCs w:val="24"/>
        </w:rPr>
        <w:t xml:space="preserve">uture researchers may </w:t>
      </w:r>
      <w:r w:rsidR="00A27508" w:rsidRPr="001E73A0">
        <w:rPr>
          <w:sz w:val="24"/>
          <w:szCs w:val="24"/>
        </w:rPr>
        <w:t xml:space="preserve">find it useful, therefore, to corroborate and validate our conclusions with additional substantiating insight, through </w:t>
      </w:r>
      <w:r w:rsidR="0070063A" w:rsidRPr="001E73A0">
        <w:rPr>
          <w:sz w:val="24"/>
          <w:szCs w:val="24"/>
        </w:rPr>
        <w:t xml:space="preserve">perhaps </w:t>
      </w:r>
      <w:r w:rsidRPr="001E73A0">
        <w:rPr>
          <w:sz w:val="24"/>
          <w:szCs w:val="24"/>
        </w:rPr>
        <w:t>conducting in-depth case studies that may</w:t>
      </w:r>
      <w:r w:rsidR="0070063A" w:rsidRPr="001E73A0">
        <w:rPr>
          <w:sz w:val="24"/>
          <w:szCs w:val="24"/>
        </w:rPr>
        <w:t xml:space="preserve"> involve</w:t>
      </w:r>
      <w:r w:rsidR="00A27508" w:rsidRPr="001E73A0">
        <w:rPr>
          <w:sz w:val="24"/>
          <w:szCs w:val="24"/>
        </w:rPr>
        <w:t>, for example,</w:t>
      </w:r>
      <w:r w:rsidRPr="001E73A0">
        <w:rPr>
          <w:sz w:val="24"/>
          <w:szCs w:val="24"/>
        </w:rPr>
        <w:t xml:space="preserve"> interviewing </w:t>
      </w:r>
      <w:r w:rsidR="00A27508" w:rsidRPr="001E73A0">
        <w:rPr>
          <w:sz w:val="24"/>
          <w:szCs w:val="24"/>
        </w:rPr>
        <w:t xml:space="preserve">financial </w:t>
      </w:r>
      <w:r w:rsidRPr="001E73A0">
        <w:rPr>
          <w:sz w:val="24"/>
          <w:szCs w:val="24"/>
        </w:rPr>
        <w:t xml:space="preserve">analysts, </w:t>
      </w:r>
      <w:r w:rsidR="0070063A" w:rsidRPr="001E73A0">
        <w:rPr>
          <w:sz w:val="24"/>
          <w:szCs w:val="24"/>
        </w:rPr>
        <w:t xml:space="preserve">investors, </w:t>
      </w:r>
      <w:r w:rsidRPr="001E73A0">
        <w:rPr>
          <w:sz w:val="24"/>
          <w:szCs w:val="24"/>
        </w:rPr>
        <w:t>auditors, labour unions</w:t>
      </w:r>
      <w:r w:rsidR="0070063A" w:rsidRPr="001E73A0">
        <w:rPr>
          <w:sz w:val="24"/>
          <w:szCs w:val="24"/>
        </w:rPr>
        <w:t>,</w:t>
      </w:r>
      <w:r w:rsidRPr="001E73A0">
        <w:rPr>
          <w:sz w:val="24"/>
          <w:szCs w:val="24"/>
        </w:rPr>
        <w:t xml:space="preserve"> </w:t>
      </w:r>
      <w:r w:rsidR="0070063A" w:rsidRPr="001E73A0">
        <w:rPr>
          <w:sz w:val="24"/>
          <w:szCs w:val="24"/>
        </w:rPr>
        <w:t xml:space="preserve">directors, </w:t>
      </w:r>
      <w:r w:rsidR="00A27508" w:rsidRPr="001E73A0">
        <w:rPr>
          <w:sz w:val="24"/>
          <w:szCs w:val="24"/>
        </w:rPr>
        <w:t xml:space="preserve">or </w:t>
      </w:r>
      <w:r w:rsidRPr="001E73A0">
        <w:rPr>
          <w:sz w:val="24"/>
          <w:szCs w:val="24"/>
        </w:rPr>
        <w:t>managers</w:t>
      </w:r>
      <w:r w:rsidR="00A27508" w:rsidRPr="001E73A0">
        <w:rPr>
          <w:sz w:val="24"/>
          <w:szCs w:val="24"/>
        </w:rPr>
        <w:t xml:space="preserve"> for </w:t>
      </w:r>
      <w:r w:rsidR="0070063A" w:rsidRPr="001E73A0">
        <w:rPr>
          <w:sz w:val="24"/>
          <w:szCs w:val="24"/>
        </w:rPr>
        <w:t xml:space="preserve">their </w:t>
      </w:r>
      <w:r w:rsidR="00A27508" w:rsidRPr="001E73A0">
        <w:rPr>
          <w:sz w:val="24"/>
          <w:szCs w:val="24"/>
        </w:rPr>
        <w:t>qualitative perspectives.</w:t>
      </w:r>
      <w:r w:rsidR="00574E02" w:rsidRPr="001E73A0">
        <w:rPr>
          <w:sz w:val="24"/>
          <w:szCs w:val="24"/>
        </w:rPr>
        <w:t xml:space="preserve"> Furthermore, our study focuses </w:t>
      </w:r>
      <w:r w:rsidR="0070063A" w:rsidRPr="001E73A0">
        <w:rPr>
          <w:sz w:val="24"/>
          <w:szCs w:val="24"/>
        </w:rPr>
        <w:t xml:space="preserve">solely </w:t>
      </w:r>
      <w:r w:rsidR="00574E02" w:rsidRPr="001E73A0">
        <w:rPr>
          <w:sz w:val="24"/>
          <w:szCs w:val="24"/>
        </w:rPr>
        <w:t>on the US</w:t>
      </w:r>
      <w:r w:rsidR="0070063A" w:rsidRPr="001E73A0">
        <w:rPr>
          <w:sz w:val="24"/>
          <w:szCs w:val="24"/>
        </w:rPr>
        <w:t xml:space="preserve"> so</w:t>
      </w:r>
      <w:r w:rsidR="00574E02" w:rsidRPr="001E73A0">
        <w:rPr>
          <w:sz w:val="24"/>
          <w:szCs w:val="24"/>
        </w:rPr>
        <w:t xml:space="preserve"> future studies may </w:t>
      </w:r>
      <w:r w:rsidR="0070063A" w:rsidRPr="001E73A0">
        <w:rPr>
          <w:sz w:val="24"/>
          <w:szCs w:val="24"/>
        </w:rPr>
        <w:t xml:space="preserve">usefully </w:t>
      </w:r>
      <w:r w:rsidR="00574E02" w:rsidRPr="001E73A0">
        <w:rPr>
          <w:sz w:val="24"/>
          <w:szCs w:val="24"/>
        </w:rPr>
        <w:t xml:space="preserve">extend our findings by </w:t>
      </w:r>
      <w:r w:rsidR="0070063A" w:rsidRPr="001E73A0">
        <w:rPr>
          <w:sz w:val="24"/>
          <w:szCs w:val="24"/>
        </w:rPr>
        <w:t xml:space="preserve">garnering </w:t>
      </w:r>
      <w:r w:rsidR="00574E02" w:rsidRPr="001E73A0">
        <w:rPr>
          <w:sz w:val="24"/>
          <w:szCs w:val="24"/>
        </w:rPr>
        <w:t xml:space="preserve">data from other </w:t>
      </w:r>
      <w:r w:rsidR="0070063A" w:rsidRPr="001E73A0">
        <w:rPr>
          <w:sz w:val="24"/>
          <w:szCs w:val="24"/>
        </w:rPr>
        <w:t>economies</w:t>
      </w:r>
      <w:r w:rsidR="00574E02" w:rsidRPr="001E73A0">
        <w:rPr>
          <w:sz w:val="24"/>
          <w:szCs w:val="24"/>
        </w:rPr>
        <w:t>.</w:t>
      </w:r>
    </w:p>
    <w:p w14:paraId="4E1618AF" w14:textId="77777777" w:rsidR="00035E66" w:rsidRPr="001E73A0" w:rsidRDefault="00035E66" w:rsidP="002E7D97">
      <w:pPr>
        <w:spacing w:after="0" w:line="360" w:lineRule="auto"/>
        <w:ind w:firstLine="720"/>
        <w:jc w:val="both"/>
        <w:rPr>
          <w:sz w:val="24"/>
          <w:szCs w:val="24"/>
        </w:rPr>
      </w:pPr>
    </w:p>
    <w:p w14:paraId="40BDD2D5" w14:textId="77777777" w:rsidR="00035E66" w:rsidRDefault="00035E66" w:rsidP="002E7D97">
      <w:pPr>
        <w:spacing w:after="0" w:line="360" w:lineRule="auto"/>
        <w:ind w:firstLine="720"/>
        <w:jc w:val="both"/>
        <w:rPr>
          <w:sz w:val="24"/>
          <w:szCs w:val="24"/>
        </w:rPr>
      </w:pPr>
    </w:p>
    <w:p w14:paraId="30121850" w14:textId="77777777" w:rsidR="00C92539" w:rsidRDefault="00C92539" w:rsidP="002E7D97">
      <w:pPr>
        <w:spacing w:after="0" w:line="360" w:lineRule="auto"/>
        <w:ind w:firstLine="720"/>
        <w:jc w:val="both"/>
        <w:rPr>
          <w:sz w:val="24"/>
          <w:szCs w:val="24"/>
        </w:rPr>
      </w:pPr>
    </w:p>
    <w:p w14:paraId="413B7FD7" w14:textId="77777777" w:rsidR="00C92539" w:rsidRDefault="00C92539" w:rsidP="002E7D97">
      <w:pPr>
        <w:spacing w:after="0" w:line="360" w:lineRule="auto"/>
        <w:ind w:firstLine="720"/>
        <w:jc w:val="both"/>
        <w:rPr>
          <w:sz w:val="24"/>
          <w:szCs w:val="24"/>
        </w:rPr>
      </w:pPr>
    </w:p>
    <w:p w14:paraId="22A43F96" w14:textId="77777777" w:rsidR="00C92539" w:rsidRDefault="00C92539" w:rsidP="002E7D97">
      <w:pPr>
        <w:spacing w:after="0" w:line="360" w:lineRule="auto"/>
        <w:ind w:firstLine="720"/>
        <w:jc w:val="both"/>
        <w:rPr>
          <w:sz w:val="24"/>
          <w:szCs w:val="24"/>
        </w:rPr>
      </w:pPr>
    </w:p>
    <w:p w14:paraId="0706D5D5" w14:textId="77777777" w:rsidR="008D2AAB" w:rsidRDefault="008D2AAB" w:rsidP="002E7D97">
      <w:pPr>
        <w:spacing w:after="0" w:line="360" w:lineRule="auto"/>
        <w:ind w:firstLine="720"/>
        <w:jc w:val="both"/>
        <w:rPr>
          <w:sz w:val="24"/>
          <w:szCs w:val="24"/>
        </w:rPr>
      </w:pPr>
    </w:p>
    <w:p w14:paraId="2C460E18" w14:textId="77777777" w:rsidR="008D2AAB" w:rsidRDefault="008D2AAB" w:rsidP="002E7D97">
      <w:pPr>
        <w:spacing w:after="0" w:line="360" w:lineRule="auto"/>
        <w:ind w:firstLine="720"/>
        <w:jc w:val="both"/>
        <w:rPr>
          <w:sz w:val="24"/>
          <w:szCs w:val="24"/>
        </w:rPr>
      </w:pPr>
    </w:p>
    <w:p w14:paraId="16976DA9" w14:textId="77777777" w:rsidR="008D2AAB" w:rsidRDefault="008D2AAB" w:rsidP="002E7D97">
      <w:pPr>
        <w:spacing w:after="0" w:line="360" w:lineRule="auto"/>
        <w:ind w:firstLine="720"/>
        <w:jc w:val="both"/>
        <w:rPr>
          <w:sz w:val="24"/>
          <w:szCs w:val="24"/>
        </w:rPr>
      </w:pPr>
    </w:p>
    <w:p w14:paraId="4A56B60C" w14:textId="77777777" w:rsidR="008D2AAB" w:rsidRDefault="008D2AAB" w:rsidP="002E7D97">
      <w:pPr>
        <w:spacing w:after="0" w:line="360" w:lineRule="auto"/>
        <w:ind w:firstLine="720"/>
        <w:jc w:val="both"/>
        <w:rPr>
          <w:sz w:val="24"/>
          <w:szCs w:val="24"/>
        </w:rPr>
      </w:pPr>
    </w:p>
    <w:p w14:paraId="7B92D966" w14:textId="77777777" w:rsidR="008D2AAB" w:rsidRDefault="008D2AAB" w:rsidP="002E7D97">
      <w:pPr>
        <w:spacing w:after="0" w:line="360" w:lineRule="auto"/>
        <w:ind w:firstLine="720"/>
        <w:jc w:val="both"/>
        <w:rPr>
          <w:sz w:val="24"/>
          <w:szCs w:val="24"/>
        </w:rPr>
      </w:pPr>
    </w:p>
    <w:p w14:paraId="4BAB2599" w14:textId="77777777" w:rsidR="008D2AAB" w:rsidRDefault="008D2AAB" w:rsidP="002E7D97">
      <w:pPr>
        <w:spacing w:after="0" w:line="360" w:lineRule="auto"/>
        <w:ind w:firstLine="720"/>
        <w:jc w:val="both"/>
        <w:rPr>
          <w:sz w:val="24"/>
          <w:szCs w:val="24"/>
        </w:rPr>
      </w:pPr>
    </w:p>
    <w:p w14:paraId="7FCE4F0C" w14:textId="77777777" w:rsidR="008D2AAB" w:rsidRDefault="008D2AAB" w:rsidP="002E7D97">
      <w:pPr>
        <w:spacing w:after="0" w:line="360" w:lineRule="auto"/>
        <w:ind w:firstLine="720"/>
        <w:jc w:val="both"/>
        <w:rPr>
          <w:sz w:val="24"/>
          <w:szCs w:val="24"/>
        </w:rPr>
      </w:pPr>
    </w:p>
    <w:p w14:paraId="28BB71DA" w14:textId="77777777" w:rsidR="008D2AAB" w:rsidRDefault="008D2AAB" w:rsidP="002E7D97">
      <w:pPr>
        <w:spacing w:after="0" w:line="360" w:lineRule="auto"/>
        <w:ind w:firstLine="720"/>
        <w:jc w:val="both"/>
        <w:rPr>
          <w:sz w:val="24"/>
          <w:szCs w:val="24"/>
        </w:rPr>
      </w:pPr>
    </w:p>
    <w:p w14:paraId="3A0B80A7" w14:textId="77777777" w:rsidR="008D2AAB" w:rsidRDefault="008D2AAB" w:rsidP="002E7D97">
      <w:pPr>
        <w:spacing w:after="0" w:line="360" w:lineRule="auto"/>
        <w:ind w:firstLine="720"/>
        <w:jc w:val="both"/>
        <w:rPr>
          <w:sz w:val="24"/>
          <w:szCs w:val="24"/>
        </w:rPr>
      </w:pPr>
    </w:p>
    <w:p w14:paraId="665352F1" w14:textId="77777777" w:rsidR="008D2AAB" w:rsidRDefault="008D2AAB" w:rsidP="002E7D97">
      <w:pPr>
        <w:spacing w:after="0" w:line="360" w:lineRule="auto"/>
        <w:ind w:firstLine="720"/>
        <w:jc w:val="both"/>
        <w:rPr>
          <w:sz w:val="24"/>
          <w:szCs w:val="24"/>
        </w:rPr>
      </w:pPr>
    </w:p>
    <w:p w14:paraId="1228273A" w14:textId="77777777" w:rsidR="00C92539" w:rsidRPr="001E73A0" w:rsidRDefault="00C92539" w:rsidP="002E7D97">
      <w:pPr>
        <w:spacing w:after="0" w:line="360" w:lineRule="auto"/>
        <w:ind w:firstLine="720"/>
        <w:jc w:val="both"/>
        <w:rPr>
          <w:sz w:val="24"/>
          <w:szCs w:val="24"/>
        </w:rPr>
      </w:pPr>
    </w:p>
    <w:p w14:paraId="66255D0A" w14:textId="77777777" w:rsidR="007078B5" w:rsidRPr="001E73A0" w:rsidRDefault="00101E28" w:rsidP="00612D21">
      <w:pPr>
        <w:pStyle w:val="1"/>
        <w:jc w:val="both"/>
        <w:rPr>
          <w:lang w:val="de-DE"/>
        </w:rPr>
      </w:pPr>
      <w:r w:rsidRPr="001E73A0">
        <w:rPr>
          <w:lang w:val="de-DE"/>
        </w:rPr>
        <w:t>References</w:t>
      </w:r>
    </w:p>
    <w:p w14:paraId="6D64E9E3" w14:textId="77777777" w:rsidR="00910DAF" w:rsidRPr="001E73A0" w:rsidRDefault="00910DAF" w:rsidP="00A75266">
      <w:pPr>
        <w:spacing w:after="120"/>
        <w:jc w:val="both"/>
        <w:rPr>
          <w:lang w:val="de-DE"/>
        </w:rPr>
      </w:pPr>
    </w:p>
    <w:bookmarkStart w:id="1" w:name="_Hlk44404972"/>
    <w:p w14:paraId="56110418" w14:textId="35F040A3" w:rsidR="00CD1FDD" w:rsidRPr="00CD1FDD" w:rsidRDefault="00AF1DD9" w:rsidP="007B6A60">
      <w:pPr>
        <w:widowControl w:val="0"/>
        <w:autoSpaceDE w:val="0"/>
        <w:autoSpaceDN w:val="0"/>
        <w:adjustRightInd w:val="0"/>
        <w:spacing w:line="240" w:lineRule="auto"/>
        <w:ind w:left="480" w:hanging="480"/>
        <w:jc w:val="both"/>
        <w:rPr>
          <w:rFonts w:cs="Calibri"/>
          <w:noProof/>
          <w:szCs w:val="24"/>
        </w:rPr>
      </w:pPr>
      <w:r w:rsidRPr="001E73A0">
        <w:fldChar w:fldCharType="begin" w:fldLock="1"/>
      </w:r>
      <w:r w:rsidRPr="001E73A0">
        <w:rPr>
          <w:lang w:val="de-DE"/>
        </w:rPr>
        <w:instrText xml:space="preserve">ADDIN Mendeley Bibliography CSL_BIBLIOGRAPHY </w:instrText>
      </w:r>
      <w:r w:rsidRPr="001E73A0">
        <w:fldChar w:fldCharType="separate"/>
      </w:r>
      <w:r w:rsidR="00CD1FDD" w:rsidRPr="00CD1FDD">
        <w:rPr>
          <w:rFonts w:cs="Calibri"/>
          <w:noProof/>
          <w:szCs w:val="24"/>
        </w:rPr>
        <w:t xml:space="preserve">Abadie, A., Drukker, D., Herr, J., &amp; Imbens, G. (2004). Implementing matching estimators for average treatment effects in Stata. </w:t>
      </w:r>
      <w:r w:rsidR="00CD1FDD" w:rsidRPr="00CD1FDD">
        <w:rPr>
          <w:rFonts w:cs="Calibri"/>
          <w:i/>
          <w:iCs/>
          <w:noProof/>
          <w:szCs w:val="24"/>
        </w:rPr>
        <w:t>Stata Journal</w:t>
      </w:r>
      <w:r w:rsidR="00CD1FDD" w:rsidRPr="00CD1FDD">
        <w:rPr>
          <w:rFonts w:cs="Calibri"/>
          <w:noProof/>
          <w:szCs w:val="24"/>
        </w:rPr>
        <w:t xml:space="preserve">, </w:t>
      </w:r>
      <w:r w:rsidR="00CD1FDD" w:rsidRPr="00CD1FDD">
        <w:rPr>
          <w:rFonts w:cs="Calibri"/>
          <w:i/>
          <w:iCs/>
          <w:noProof/>
          <w:szCs w:val="24"/>
        </w:rPr>
        <w:t>4</w:t>
      </w:r>
      <w:r w:rsidR="00CD1FDD" w:rsidRPr="00CD1FDD">
        <w:rPr>
          <w:rFonts w:cs="Calibri"/>
          <w:noProof/>
          <w:szCs w:val="24"/>
        </w:rPr>
        <w:t>(3), 290–311.</w:t>
      </w:r>
    </w:p>
    <w:p w14:paraId="65D6EA1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Allen, W. (1992). Redefining the role of outside directors in an age of global competition. In R. Minow &amp; N. Minow (Eds.), </w:t>
      </w:r>
      <w:r w:rsidRPr="00CD1FDD">
        <w:rPr>
          <w:rFonts w:cs="Calibri"/>
          <w:i/>
          <w:iCs/>
          <w:noProof/>
          <w:szCs w:val="24"/>
        </w:rPr>
        <w:t>Corporate Governance</w:t>
      </w:r>
      <w:r w:rsidRPr="00CD1FDD">
        <w:rPr>
          <w:rFonts w:cs="Calibri"/>
          <w:noProof/>
          <w:szCs w:val="24"/>
        </w:rPr>
        <w:t>. Cambridge, MA: Blackwell.</w:t>
      </w:r>
    </w:p>
    <w:p w14:paraId="00DEE78C"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Atanassov, J., &amp; Kim, E. H. (2009). Labor and corporate governance: International evidence from restructuring decisions.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64</w:t>
      </w:r>
      <w:r w:rsidRPr="00CD1FDD">
        <w:rPr>
          <w:rFonts w:cs="Calibri"/>
          <w:noProof/>
          <w:szCs w:val="24"/>
        </w:rPr>
        <w:t>(1), 341–374.</w:t>
      </w:r>
    </w:p>
    <w:p w14:paraId="0265970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Austin, P. C. (2011). Optimal caliper widths for propensity-score matching when estimating differences in means and differences in proportions in observational studies. </w:t>
      </w:r>
      <w:r w:rsidRPr="00CD1FDD">
        <w:rPr>
          <w:rFonts w:cs="Calibri"/>
          <w:i/>
          <w:iCs/>
          <w:noProof/>
          <w:szCs w:val="24"/>
        </w:rPr>
        <w:t>Pharmaceutical Statistics</w:t>
      </w:r>
      <w:r w:rsidRPr="00CD1FDD">
        <w:rPr>
          <w:rFonts w:cs="Calibri"/>
          <w:noProof/>
          <w:szCs w:val="24"/>
        </w:rPr>
        <w:t xml:space="preserve">, </w:t>
      </w:r>
      <w:r w:rsidRPr="00CD1FDD">
        <w:rPr>
          <w:rFonts w:cs="Calibri"/>
          <w:i/>
          <w:iCs/>
          <w:noProof/>
          <w:szCs w:val="24"/>
        </w:rPr>
        <w:t>10</w:t>
      </w:r>
      <w:r w:rsidRPr="00CD1FDD">
        <w:rPr>
          <w:rFonts w:cs="Calibri"/>
          <w:noProof/>
          <w:szCs w:val="24"/>
        </w:rPr>
        <w:t>(2), 150–161.</w:t>
      </w:r>
    </w:p>
    <w:p w14:paraId="0E5F2DE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Bae, G. S., Choi, S. U., Dhaliwal, D. S., &amp; Lamoreaux, P. T. (2017). Auditors and client investment efficiency.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92</w:t>
      </w:r>
      <w:r w:rsidRPr="00CD1FDD">
        <w:rPr>
          <w:rFonts w:cs="Calibri"/>
          <w:noProof/>
          <w:szCs w:val="24"/>
        </w:rPr>
        <w:t>(2), 19–40.</w:t>
      </w:r>
    </w:p>
    <w:p w14:paraId="7471A84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Banning, K., &amp; Chiles, T. (2007). Trade-offs in the labor union-CEO compensation relationship. </w:t>
      </w:r>
      <w:r w:rsidRPr="00CD1FDD">
        <w:rPr>
          <w:rFonts w:cs="Calibri"/>
          <w:i/>
          <w:iCs/>
          <w:noProof/>
          <w:szCs w:val="24"/>
        </w:rPr>
        <w:t>Journal of Labor Research</w:t>
      </w:r>
      <w:r w:rsidRPr="00CD1FDD">
        <w:rPr>
          <w:rFonts w:cs="Calibri"/>
          <w:noProof/>
          <w:szCs w:val="24"/>
        </w:rPr>
        <w:t xml:space="preserve">, </w:t>
      </w:r>
      <w:r w:rsidRPr="00CD1FDD">
        <w:rPr>
          <w:rFonts w:cs="Calibri"/>
          <w:i/>
          <w:iCs/>
          <w:noProof/>
          <w:szCs w:val="24"/>
        </w:rPr>
        <w:t>28</w:t>
      </w:r>
      <w:r w:rsidRPr="00CD1FDD">
        <w:rPr>
          <w:rFonts w:cs="Calibri"/>
          <w:noProof/>
          <w:szCs w:val="24"/>
        </w:rPr>
        <w:t>(2), 347–357.</w:t>
      </w:r>
    </w:p>
    <w:p w14:paraId="4751D92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Barth, M. E., Landsman, W. R., Lang, M., &amp; Williams, C. (2012). Are IFRS-based and US GAAP-based accounting amounts comparable?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54</w:t>
      </w:r>
      <w:r w:rsidRPr="00CD1FDD">
        <w:rPr>
          <w:rFonts w:cs="Calibri"/>
          <w:noProof/>
          <w:szCs w:val="24"/>
        </w:rPr>
        <w:t>(1), 68–93.</w:t>
      </w:r>
    </w:p>
    <w:p w14:paraId="2A04096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Basu, S. (1997). The conservatism principle and the asymmetric timeliness of earnings.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24</w:t>
      </w:r>
      <w:r w:rsidRPr="00CD1FDD">
        <w:rPr>
          <w:rFonts w:cs="Calibri"/>
          <w:noProof/>
          <w:szCs w:val="24"/>
        </w:rPr>
        <w:t>(1), 3–37.</w:t>
      </w:r>
    </w:p>
    <w:p w14:paraId="77EA8225"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Becker, C. L., Defond, M. L., Jiambalvo, J., &amp; Subramanyam, K. R. (1998). The effect of audit quality on earnings management.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15</w:t>
      </w:r>
      <w:r w:rsidRPr="00CD1FDD">
        <w:rPr>
          <w:rFonts w:cs="Calibri"/>
          <w:noProof/>
          <w:szCs w:val="24"/>
        </w:rPr>
        <w:t>(1), 1–24.</w:t>
      </w:r>
    </w:p>
    <w:p w14:paraId="7A8FC6B1"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Becker, G. S. (1962). Investment in human capital: A theoretical analysis. </w:t>
      </w:r>
      <w:r w:rsidRPr="00CD1FDD">
        <w:rPr>
          <w:rFonts w:cs="Calibri"/>
          <w:i/>
          <w:iCs/>
          <w:noProof/>
          <w:szCs w:val="24"/>
        </w:rPr>
        <w:t>Journal of Political Economy</w:t>
      </w:r>
      <w:r w:rsidRPr="00CD1FDD">
        <w:rPr>
          <w:rFonts w:cs="Calibri"/>
          <w:noProof/>
          <w:szCs w:val="24"/>
        </w:rPr>
        <w:t xml:space="preserve">, </w:t>
      </w:r>
      <w:r w:rsidRPr="00CD1FDD">
        <w:rPr>
          <w:rFonts w:cs="Calibri"/>
          <w:i/>
          <w:iCs/>
          <w:noProof/>
          <w:szCs w:val="24"/>
        </w:rPr>
        <w:t>70</w:t>
      </w:r>
      <w:r w:rsidRPr="00CD1FDD">
        <w:rPr>
          <w:rFonts w:cs="Calibri"/>
          <w:noProof/>
          <w:szCs w:val="24"/>
        </w:rPr>
        <w:t>(5, Part 2), 9–49.</w:t>
      </w:r>
    </w:p>
    <w:p w14:paraId="78C65AE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Ben-Nasr, H., &amp; Alshwer, A. A. (2016). Does stock price informativeness affect labor investment efficiency? </w:t>
      </w:r>
      <w:r w:rsidRPr="00CD1FDD">
        <w:rPr>
          <w:rFonts w:cs="Calibri"/>
          <w:i/>
          <w:iCs/>
          <w:noProof/>
          <w:szCs w:val="24"/>
        </w:rPr>
        <w:t>Journal of Corporate Finance</w:t>
      </w:r>
      <w:r w:rsidRPr="00CD1FDD">
        <w:rPr>
          <w:rFonts w:cs="Calibri"/>
          <w:noProof/>
          <w:szCs w:val="24"/>
        </w:rPr>
        <w:t xml:space="preserve">, </w:t>
      </w:r>
      <w:r w:rsidRPr="00CD1FDD">
        <w:rPr>
          <w:rFonts w:cs="Calibri"/>
          <w:i/>
          <w:iCs/>
          <w:noProof/>
          <w:szCs w:val="24"/>
        </w:rPr>
        <w:t>38</w:t>
      </w:r>
      <w:r w:rsidRPr="00CD1FDD">
        <w:rPr>
          <w:rFonts w:cs="Calibri"/>
          <w:noProof/>
          <w:szCs w:val="24"/>
        </w:rPr>
        <w:t>(C), 249–271.</w:t>
      </w:r>
    </w:p>
    <w:p w14:paraId="6C9936D6"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Benmelech, E., Bergman, N., &amp; Seru, A. (2015). </w:t>
      </w:r>
      <w:r w:rsidRPr="00CD1FDD">
        <w:rPr>
          <w:rFonts w:cs="Calibri"/>
          <w:i/>
          <w:iCs/>
          <w:noProof/>
          <w:szCs w:val="24"/>
        </w:rPr>
        <w:t>Financing labor</w:t>
      </w:r>
      <w:r w:rsidRPr="00CD1FDD">
        <w:rPr>
          <w:rFonts w:cs="Calibri"/>
          <w:noProof/>
          <w:szCs w:val="24"/>
        </w:rPr>
        <w:t xml:space="preserve">. </w:t>
      </w:r>
      <w:r w:rsidRPr="00CD1FDD">
        <w:rPr>
          <w:rFonts w:cs="Calibri"/>
          <w:i/>
          <w:iCs/>
          <w:noProof/>
          <w:szCs w:val="24"/>
        </w:rPr>
        <w:t>Available at: SSRN 2608189</w:t>
      </w:r>
      <w:r w:rsidRPr="00CD1FDD">
        <w:rPr>
          <w:rFonts w:cs="Calibri"/>
          <w:noProof/>
          <w:szCs w:val="24"/>
        </w:rPr>
        <w:t>.</w:t>
      </w:r>
    </w:p>
    <w:p w14:paraId="4CD9AC7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Bernanke, B. (2004). Monetary policy and the economic outlook. </w:t>
      </w:r>
      <w:r w:rsidRPr="00CD1FDD">
        <w:rPr>
          <w:rFonts w:cs="Calibri"/>
          <w:i/>
          <w:iCs/>
          <w:noProof/>
          <w:szCs w:val="24"/>
        </w:rPr>
        <w:t>Federal Reserve Board Speech Delivered at the Meetings of the American Economic Association, San Diego, California, January 4.</w:t>
      </w:r>
    </w:p>
    <w:p w14:paraId="55BB6E9C"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lastRenderedPageBreak/>
        <w:t xml:space="preserve">Bertrand, M., &amp; Mullainathan, S. (2003). Enjoying the quiet life? Corporate governance and managerial preferences. </w:t>
      </w:r>
      <w:r w:rsidRPr="00CD1FDD">
        <w:rPr>
          <w:rFonts w:cs="Calibri"/>
          <w:i/>
          <w:iCs/>
          <w:noProof/>
          <w:szCs w:val="24"/>
        </w:rPr>
        <w:t>Journal of Political Economy</w:t>
      </w:r>
      <w:r w:rsidRPr="00CD1FDD">
        <w:rPr>
          <w:rFonts w:cs="Calibri"/>
          <w:noProof/>
          <w:szCs w:val="24"/>
        </w:rPr>
        <w:t xml:space="preserve">, </w:t>
      </w:r>
      <w:r w:rsidRPr="00CD1FDD">
        <w:rPr>
          <w:rFonts w:cs="Calibri"/>
          <w:i/>
          <w:iCs/>
          <w:noProof/>
          <w:szCs w:val="24"/>
        </w:rPr>
        <w:t>111</w:t>
      </w:r>
      <w:r w:rsidRPr="00CD1FDD">
        <w:rPr>
          <w:rFonts w:cs="Calibri"/>
          <w:noProof/>
          <w:szCs w:val="24"/>
        </w:rPr>
        <w:t>(5), 1043–1075.</w:t>
      </w:r>
    </w:p>
    <w:p w14:paraId="128F34C9"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Biddle, G. C., &amp; Hilary, G. (2006). Accounting quality and firm‐level capital investment.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81</w:t>
      </w:r>
      <w:r w:rsidRPr="00CD1FDD">
        <w:rPr>
          <w:rFonts w:cs="Calibri"/>
          <w:noProof/>
          <w:szCs w:val="24"/>
        </w:rPr>
        <w:t>(5), 963–982.</w:t>
      </w:r>
    </w:p>
    <w:p w14:paraId="1AE8BBE5"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Biddle, G. C., Hilary, G., &amp; Verdi, R. S. (2009). How does financial reporting quality relate to investment efficiency?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48</w:t>
      </w:r>
      <w:r w:rsidRPr="00CD1FDD">
        <w:rPr>
          <w:rFonts w:cs="Calibri"/>
          <w:noProof/>
          <w:szCs w:val="24"/>
        </w:rPr>
        <w:t>(2–3), 112–131.</w:t>
      </w:r>
    </w:p>
    <w:p w14:paraId="6D7CEE7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Bills, K. L., Jeter, D. C., &amp; Stein, S. E. (2015). Auditor industry specialization and evidence of cost efficiencies in homogenous industries.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90</w:t>
      </w:r>
      <w:r w:rsidRPr="00CD1FDD">
        <w:rPr>
          <w:rFonts w:cs="Calibri"/>
          <w:noProof/>
          <w:szCs w:val="24"/>
        </w:rPr>
        <w:t>(5), 1721–1754.</w:t>
      </w:r>
    </w:p>
    <w:p w14:paraId="6CD661B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Bowen, R. M., Call, A. C., &amp; Rajgopal, S. (2010). Whistle-blowing: Target firm characteristics and economic consequences.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85</w:t>
      </w:r>
      <w:r w:rsidRPr="00CD1FDD">
        <w:rPr>
          <w:rFonts w:cs="Calibri"/>
          <w:noProof/>
          <w:szCs w:val="24"/>
        </w:rPr>
        <w:t>(4), 1239–1271.</w:t>
      </w:r>
    </w:p>
    <w:p w14:paraId="776F92C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Bushman, R. M., &amp; Smith, A. J. (2001). Financial accounting information and corporate governance.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32</w:t>
      </w:r>
      <w:r w:rsidRPr="00CD1FDD">
        <w:rPr>
          <w:rFonts w:cs="Calibri"/>
          <w:noProof/>
          <w:szCs w:val="24"/>
        </w:rPr>
        <w:t>(1–3), 237–333.</w:t>
      </w:r>
    </w:p>
    <w:p w14:paraId="0E5DD7E6"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Byard, D., Li, Y., &amp; Yu, Y. (2011). The effect of mandatory IFRS adoption on financial analysts’ information environment. </w:t>
      </w:r>
      <w:r w:rsidRPr="00CD1FDD">
        <w:rPr>
          <w:rFonts w:cs="Calibri"/>
          <w:i/>
          <w:iCs/>
          <w:noProof/>
          <w:szCs w:val="24"/>
        </w:rPr>
        <w:t>Journal of Accounting Research</w:t>
      </w:r>
      <w:r w:rsidRPr="00CD1FDD">
        <w:rPr>
          <w:rFonts w:cs="Calibri"/>
          <w:noProof/>
          <w:szCs w:val="24"/>
        </w:rPr>
        <w:t xml:space="preserve">, </w:t>
      </w:r>
      <w:r w:rsidRPr="00CD1FDD">
        <w:rPr>
          <w:rFonts w:cs="Calibri"/>
          <w:i/>
          <w:iCs/>
          <w:noProof/>
          <w:szCs w:val="24"/>
        </w:rPr>
        <w:t>49</w:t>
      </w:r>
      <w:r w:rsidRPr="00CD1FDD">
        <w:rPr>
          <w:rFonts w:cs="Calibri"/>
          <w:noProof/>
          <w:szCs w:val="24"/>
        </w:rPr>
        <w:t>(1), 69–96.</w:t>
      </w:r>
    </w:p>
    <w:p w14:paraId="413047A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Call, A. C., Campbell, J. L., Dhaliwal, D. S., &amp; Moon, J. R. (2017). Employee quality and financial reporting outcomes.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64</w:t>
      </w:r>
      <w:r w:rsidRPr="00CD1FDD">
        <w:rPr>
          <w:rFonts w:cs="Calibri"/>
          <w:noProof/>
          <w:szCs w:val="24"/>
        </w:rPr>
        <w:t>(1), 123–149.</w:t>
      </w:r>
    </w:p>
    <w:p w14:paraId="743AAFBB"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Cao, Z., &amp; Rees, B. (2019). </w:t>
      </w:r>
      <w:r w:rsidRPr="00CD1FDD">
        <w:rPr>
          <w:rFonts w:cs="Calibri"/>
          <w:i/>
          <w:iCs/>
          <w:noProof/>
          <w:szCs w:val="24"/>
        </w:rPr>
        <w:t>Employee treatment, labor investment efficiency and firm performance</w:t>
      </w:r>
      <w:r w:rsidRPr="00CD1FDD">
        <w:rPr>
          <w:rFonts w:cs="Calibri"/>
          <w:noProof/>
          <w:szCs w:val="24"/>
        </w:rPr>
        <w:t xml:space="preserve">. </w:t>
      </w:r>
      <w:r w:rsidRPr="00CD1FDD">
        <w:rPr>
          <w:rFonts w:cs="Calibri"/>
          <w:i/>
          <w:iCs/>
          <w:noProof/>
          <w:szCs w:val="24"/>
        </w:rPr>
        <w:t>Available at: SSRN 3119189</w:t>
      </w:r>
      <w:r w:rsidRPr="00CD1FDD">
        <w:rPr>
          <w:rFonts w:cs="Calibri"/>
          <w:noProof/>
          <w:szCs w:val="24"/>
        </w:rPr>
        <w:t>.</w:t>
      </w:r>
    </w:p>
    <w:p w14:paraId="0A748AC1"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Cella, C. (2019). Institutional investors and corporate investment. </w:t>
      </w:r>
      <w:r w:rsidRPr="00CD1FDD">
        <w:rPr>
          <w:rFonts w:cs="Calibri"/>
          <w:i/>
          <w:iCs/>
          <w:noProof/>
          <w:szCs w:val="24"/>
        </w:rPr>
        <w:t>Finance Research Letters</w:t>
      </w:r>
      <w:r w:rsidRPr="00CD1FDD">
        <w:rPr>
          <w:rFonts w:cs="Calibri"/>
          <w:noProof/>
          <w:szCs w:val="24"/>
        </w:rPr>
        <w:t>, forthcoming.</w:t>
      </w:r>
    </w:p>
    <w:p w14:paraId="33FBBE4B"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Chen, C. W., Collins, D. W., Kravet, T. D., &amp; Mergenthaler, R. D. (2018). Financial statement comparability and the efficiency of acquisition decisions.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35</w:t>
      </w:r>
      <w:r w:rsidRPr="00CD1FDD">
        <w:rPr>
          <w:rFonts w:cs="Calibri"/>
          <w:noProof/>
          <w:szCs w:val="24"/>
        </w:rPr>
        <w:t>(1), 164–202.</w:t>
      </w:r>
    </w:p>
    <w:p w14:paraId="5BC0153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Chen, Q., Goldstein, I., &amp; Jiang, W. (2007). Price informativeness and investment sensitivity to stock price. </w:t>
      </w:r>
      <w:r w:rsidRPr="00CD1FDD">
        <w:rPr>
          <w:rFonts w:cs="Calibri"/>
          <w:i/>
          <w:iCs/>
          <w:noProof/>
          <w:szCs w:val="24"/>
        </w:rPr>
        <w:t>Review of Financial Studies</w:t>
      </w:r>
      <w:r w:rsidRPr="00CD1FDD">
        <w:rPr>
          <w:rFonts w:cs="Calibri"/>
          <w:noProof/>
          <w:szCs w:val="24"/>
        </w:rPr>
        <w:t xml:space="preserve">, </w:t>
      </w:r>
      <w:r w:rsidRPr="00CD1FDD">
        <w:rPr>
          <w:rFonts w:cs="Calibri"/>
          <w:i/>
          <w:iCs/>
          <w:noProof/>
          <w:szCs w:val="24"/>
        </w:rPr>
        <w:t>20</w:t>
      </w:r>
      <w:r w:rsidRPr="00CD1FDD">
        <w:rPr>
          <w:rFonts w:cs="Calibri"/>
          <w:noProof/>
          <w:szCs w:val="24"/>
        </w:rPr>
        <w:t>(3), 619–650.</w:t>
      </w:r>
    </w:p>
    <w:p w14:paraId="72FAD43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Chen, T., Xie, L., &amp; Zhang, Y. (2017). How does analysts’ forecast quality relate to corporate investment efficiency? </w:t>
      </w:r>
      <w:r w:rsidRPr="00CD1FDD">
        <w:rPr>
          <w:rFonts w:cs="Calibri"/>
          <w:i/>
          <w:iCs/>
          <w:noProof/>
          <w:szCs w:val="24"/>
        </w:rPr>
        <w:t>Journal of Corporate Finance</w:t>
      </w:r>
      <w:r w:rsidRPr="00CD1FDD">
        <w:rPr>
          <w:rFonts w:cs="Calibri"/>
          <w:noProof/>
          <w:szCs w:val="24"/>
        </w:rPr>
        <w:t xml:space="preserve">, </w:t>
      </w:r>
      <w:r w:rsidRPr="00CD1FDD">
        <w:rPr>
          <w:rFonts w:cs="Calibri"/>
          <w:i/>
          <w:iCs/>
          <w:noProof/>
          <w:szCs w:val="24"/>
        </w:rPr>
        <w:t>43</w:t>
      </w:r>
      <w:r w:rsidRPr="00CD1FDD">
        <w:rPr>
          <w:rFonts w:cs="Calibri"/>
          <w:noProof/>
          <w:szCs w:val="24"/>
        </w:rPr>
        <w:t>, 217–240.</w:t>
      </w:r>
    </w:p>
    <w:p w14:paraId="1BAD32A1"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Chen, Y., &amp; Vann, C. E. (2017). Clawback provision adoption, corporate governance, and investment decisions. </w:t>
      </w:r>
      <w:r w:rsidRPr="00CD1FDD">
        <w:rPr>
          <w:rFonts w:cs="Calibri"/>
          <w:i/>
          <w:iCs/>
          <w:noProof/>
          <w:szCs w:val="24"/>
        </w:rPr>
        <w:t>Journal of Business Finance &amp; Accounting</w:t>
      </w:r>
      <w:r w:rsidRPr="00CD1FDD">
        <w:rPr>
          <w:rFonts w:cs="Calibri"/>
          <w:noProof/>
          <w:szCs w:val="24"/>
        </w:rPr>
        <w:t xml:space="preserve">, </w:t>
      </w:r>
      <w:r w:rsidRPr="00CD1FDD">
        <w:rPr>
          <w:rFonts w:cs="Calibri"/>
          <w:i/>
          <w:iCs/>
          <w:noProof/>
          <w:szCs w:val="24"/>
        </w:rPr>
        <w:t>44</w:t>
      </w:r>
      <w:r w:rsidRPr="00CD1FDD">
        <w:rPr>
          <w:rFonts w:cs="Calibri"/>
          <w:noProof/>
          <w:szCs w:val="24"/>
        </w:rPr>
        <w:t>(9–10), 1370–1397.</w:t>
      </w:r>
    </w:p>
    <w:p w14:paraId="5E7C17B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Cheng, J.-C., &amp; Wu, R.-S. (2018). Internal capital market efficiency and the diversification discount: The role of financial statement comparability. </w:t>
      </w:r>
      <w:r w:rsidRPr="00CD1FDD">
        <w:rPr>
          <w:rFonts w:cs="Calibri"/>
          <w:i/>
          <w:iCs/>
          <w:noProof/>
          <w:szCs w:val="24"/>
        </w:rPr>
        <w:t>Journal of Business Finance &amp; Accounting</w:t>
      </w:r>
      <w:r w:rsidRPr="00CD1FDD">
        <w:rPr>
          <w:rFonts w:cs="Calibri"/>
          <w:noProof/>
          <w:szCs w:val="24"/>
        </w:rPr>
        <w:t xml:space="preserve">, </w:t>
      </w:r>
      <w:r w:rsidRPr="00CD1FDD">
        <w:rPr>
          <w:rFonts w:cs="Calibri"/>
          <w:i/>
          <w:iCs/>
          <w:noProof/>
          <w:szCs w:val="24"/>
        </w:rPr>
        <w:t>45</w:t>
      </w:r>
      <w:r w:rsidRPr="00CD1FDD">
        <w:rPr>
          <w:rFonts w:cs="Calibri"/>
          <w:noProof/>
          <w:szCs w:val="24"/>
        </w:rPr>
        <w:t>(5–6), 572–603.</w:t>
      </w:r>
    </w:p>
    <w:p w14:paraId="59A791EA"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Chircop, J., Collins, D. W., &amp; Hass, L. H. (2019). </w:t>
      </w:r>
      <w:r w:rsidRPr="00CD1FDD">
        <w:rPr>
          <w:rFonts w:cs="Calibri"/>
          <w:i/>
          <w:iCs/>
          <w:noProof/>
          <w:szCs w:val="24"/>
        </w:rPr>
        <w:t>Accounting comparability and corporate innovative efficiency</w:t>
      </w:r>
      <w:r w:rsidRPr="00CD1FDD">
        <w:rPr>
          <w:rFonts w:cs="Calibri"/>
          <w:noProof/>
          <w:szCs w:val="24"/>
        </w:rPr>
        <w:t xml:space="preserve">. </w:t>
      </w:r>
      <w:r w:rsidRPr="00CD1FDD">
        <w:rPr>
          <w:rFonts w:cs="Calibri"/>
          <w:i/>
          <w:iCs/>
          <w:noProof/>
          <w:szCs w:val="24"/>
        </w:rPr>
        <w:t>Available at: SSRN 2810448</w:t>
      </w:r>
      <w:r w:rsidRPr="00CD1FDD">
        <w:rPr>
          <w:rFonts w:cs="Calibri"/>
          <w:noProof/>
          <w:szCs w:val="24"/>
        </w:rPr>
        <w:t>.</w:t>
      </w:r>
    </w:p>
    <w:p w14:paraId="0C959933"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Choi, J.-H., Choi, S., Myers, L. A., &amp; Ziebart, D. (2019). Financial statement comparability and the informativeness of stock prices about future earnings.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36</w:t>
      </w:r>
      <w:r w:rsidRPr="00CD1FDD">
        <w:rPr>
          <w:rFonts w:cs="Calibri"/>
          <w:noProof/>
          <w:szCs w:val="24"/>
        </w:rPr>
        <w:t>(1), 389–417.</w:t>
      </w:r>
    </w:p>
    <w:p w14:paraId="6222EF2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Collins, D. W., Kothari, S. P., Shanken, J., &amp; Sloan, R. G. (1994). Lack of timeliness and noise as explanations for the low contemporaneuos return-earnings association.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18</w:t>
      </w:r>
      <w:r w:rsidRPr="00CD1FDD">
        <w:rPr>
          <w:rFonts w:cs="Calibri"/>
          <w:noProof/>
          <w:szCs w:val="24"/>
        </w:rPr>
        <w:t>(3), 289–324.</w:t>
      </w:r>
    </w:p>
    <w:p w14:paraId="713E6D4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De Franco, G., Kothari, S. P., &amp; Verdi, R. S. (2011). The benefits of financial statement comparability. </w:t>
      </w:r>
      <w:r w:rsidRPr="00CD1FDD">
        <w:rPr>
          <w:rFonts w:cs="Calibri"/>
          <w:i/>
          <w:iCs/>
          <w:noProof/>
          <w:szCs w:val="24"/>
        </w:rPr>
        <w:lastRenderedPageBreak/>
        <w:t>Journal of Accounting Research</w:t>
      </w:r>
      <w:r w:rsidRPr="00CD1FDD">
        <w:rPr>
          <w:rFonts w:cs="Calibri"/>
          <w:noProof/>
          <w:szCs w:val="24"/>
        </w:rPr>
        <w:t xml:space="preserve">, </w:t>
      </w:r>
      <w:r w:rsidRPr="00CD1FDD">
        <w:rPr>
          <w:rFonts w:cs="Calibri"/>
          <w:i/>
          <w:iCs/>
          <w:noProof/>
          <w:szCs w:val="24"/>
        </w:rPr>
        <w:t>49</w:t>
      </w:r>
      <w:r w:rsidRPr="00CD1FDD">
        <w:rPr>
          <w:rFonts w:cs="Calibri"/>
          <w:noProof/>
          <w:szCs w:val="24"/>
        </w:rPr>
        <w:t>(4), 895–931.</w:t>
      </w:r>
    </w:p>
    <w:p w14:paraId="02F35E7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Dechow, P. M., &amp; Dichev, I. D. (2002). The quality of accruals and earnings: The role of accrual estimation errors.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77</w:t>
      </w:r>
      <w:r w:rsidRPr="00CD1FDD">
        <w:rPr>
          <w:rFonts w:cs="Calibri"/>
          <w:noProof/>
          <w:szCs w:val="24"/>
        </w:rPr>
        <w:t>(s-1), 35–59.</w:t>
      </w:r>
    </w:p>
    <w:p w14:paraId="4D7CBAA6"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Falato, A., Kadyrzhanova, D., &amp; Lel, U. (2014). Distracted directors: Does board busyness hurt shareholder value? </w:t>
      </w:r>
      <w:r w:rsidRPr="00CD1FDD">
        <w:rPr>
          <w:rFonts w:cs="Calibri"/>
          <w:i/>
          <w:iCs/>
          <w:noProof/>
          <w:szCs w:val="24"/>
        </w:rPr>
        <w:t>Journal of Financial Economics</w:t>
      </w:r>
      <w:r w:rsidRPr="00CD1FDD">
        <w:rPr>
          <w:rFonts w:cs="Calibri"/>
          <w:noProof/>
          <w:szCs w:val="24"/>
        </w:rPr>
        <w:t xml:space="preserve">, </w:t>
      </w:r>
      <w:r w:rsidRPr="00CD1FDD">
        <w:rPr>
          <w:rFonts w:cs="Calibri"/>
          <w:i/>
          <w:iCs/>
          <w:noProof/>
          <w:szCs w:val="24"/>
        </w:rPr>
        <w:t>113</w:t>
      </w:r>
      <w:r w:rsidRPr="00CD1FDD">
        <w:rPr>
          <w:rFonts w:cs="Calibri"/>
          <w:noProof/>
          <w:szCs w:val="24"/>
        </w:rPr>
        <w:t>(3), 404–426.</w:t>
      </w:r>
    </w:p>
    <w:p w14:paraId="451158F5"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Ferris, S. P., Jagannathan, M., &amp; Pritchard, A. C. (2003). Too busy to mind the business? Monitoring by directors with multiple board appointments.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58</w:t>
      </w:r>
      <w:r w:rsidRPr="00CD1FDD">
        <w:rPr>
          <w:rFonts w:cs="Calibri"/>
          <w:noProof/>
          <w:szCs w:val="24"/>
        </w:rPr>
        <w:t>(3), 1087–1111.</w:t>
      </w:r>
    </w:p>
    <w:p w14:paraId="458E9A0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Fich, E. M., &amp; Shivdasani, A. (2006). Are Busy Boards Effective Monitors?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61</w:t>
      </w:r>
      <w:r w:rsidRPr="00CD1FDD">
        <w:rPr>
          <w:rFonts w:cs="Calibri"/>
          <w:noProof/>
          <w:szCs w:val="24"/>
        </w:rPr>
        <w:t>(2), 689–724.</w:t>
      </w:r>
    </w:p>
    <w:p w14:paraId="0AB6DA8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Financial Accounting Standards Board (FASB). (1980). </w:t>
      </w:r>
      <w:r w:rsidRPr="00CD1FDD">
        <w:rPr>
          <w:rFonts w:cs="Calibri"/>
          <w:i/>
          <w:iCs/>
          <w:noProof/>
          <w:szCs w:val="24"/>
        </w:rPr>
        <w:t>Statement of Financial Accounting Concepts No. 2: Qualitative Characteristics of Accounting Information</w:t>
      </w:r>
      <w:r w:rsidRPr="00CD1FDD">
        <w:rPr>
          <w:rFonts w:cs="Calibri"/>
          <w:noProof/>
          <w:szCs w:val="24"/>
        </w:rPr>
        <w:t>.</w:t>
      </w:r>
    </w:p>
    <w:p w14:paraId="23EA2F6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Flannery, M. J., &amp; Hankins, K. W. (2013). Estimating dynamic panel models in corporate finance. </w:t>
      </w:r>
      <w:r w:rsidRPr="00CD1FDD">
        <w:rPr>
          <w:rFonts w:cs="Calibri"/>
          <w:i/>
          <w:iCs/>
          <w:noProof/>
          <w:szCs w:val="24"/>
        </w:rPr>
        <w:t>Journal of Corporate Finance</w:t>
      </w:r>
      <w:r w:rsidRPr="00CD1FDD">
        <w:rPr>
          <w:rFonts w:cs="Calibri"/>
          <w:noProof/>
          <w:szCs w:val="24"/>
        </w:rPr>
        <w:t xml:space="preserve">, </w:t>
      </w:r>
      <w:r w:rsidRPr="00CD1FDD">
        <w:rPr>
          <w:rFonts w:cs="Calibri"/>
          <w:i/>
          <w:iCs/>
          <w:noProof/>
          <w:szCs w:val="24"/>
        </w:rPr>
        <w:t>19</w:t>
      </w:r>
      <w:r w:rsidRPr="00CD1FDD">
        <w:rPr>
          <w:rFonts w:cs="Calibri"/>
          <w:noProof/>
          <w:szCs w:val="24"/>
        </w:rPr>
        <w:t>, 1–19.</w:t>
      </w:r>
    </w:p>
    <w:p w14:paraId="6A2A664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Florou, A., &amp; Pope, P. F. (2012). Mandatory IFRS adoption and institutional investment decisions.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87</w:t>
      </w:r>
      <w:r w:rsidRPr="00CD1FDD">
        <w:rPr>
          <w:rFonts w:cs="Calibri"/>
          <w:noProof/>
          <w:szCs w:val="24"/>
        </w:rPr>
        <w:t>(6), 1993–2025.</w:t>
      </w:r>
    </w:p>
    <w:p w14:paraId="77A1968A"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Fracassi, C., &amp; Tate, G. (2012). External Networking and Internal Firm Governance.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67</w:t>
      </w:r>
      <w:r w:rsidRPr="00CD1FDD">
        <w:rPr>
          <w:rFonts w:cs="Calibri"/>
          <w:noProof/>
          <w:szCs w:val="24"/>
        </w:rPr>
        <w:t>(1), 153–194.</w:t>
      </w:r>
    </w:p>
    <w:p w14:paraId="0D191E8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Francis, J. R., Maydew, E. L., &amp; Sparks, H. C. (1999). The role of Big 6 auditors in the credible reporting of accruals. </w:t>
      </w:r>
      <w:r w:rsidRPr="00CD1FDD">
        <w:rPr>
          <w:rFonts w:cs="Calibri"/>
          <w:i/>
          <w:iCs/>
          <w:noProof/>
          <w:szCs w:val="24"/>
        </w:rPr>
        <w:t>Auditing</w:t>
      </w:r>
      <w:r w:rsidRPr="00CD1FDD">
        <w:rPr>
          <w:rFonts w:cs="Calibri"/>
          <w:noProof/>
          <w:szCs w:val="24"/>
        </w:rPr>
        <w:t xml:space="preserve">, </w:t>
      </w:r>
      <w:r w:rsidRPr="00CD1FDD">
        <w:rPr>
          <w:rFonts w:cs="Calibri"/>
          <w:i/>
          <w:iCs/>
          <w:noProof/>
          <w:szCs w:val="24"/>
        </w:rPr>
        <w:t>18</w:t>
      </w:r>
      <w:r w:rsidRPr="00CD1FDD">
        <w:rPr>
          <w:rFonts w:cs="Calibri"/>
          <w:noProof/>
          <w:szCs w:val="24"/>
        </w:rPr>
        <w:t>(2), 17–34.</w:t>
      </w:r>
    </w:p>
    <w:p w14:paraId="17B5C8CA"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Francis, J. R., Pinnuck, M. L., &amp; Watanabe, O. (2014). Auditor style and financial statement comparability. </w:t>
      </w:r>
      <w:r w:rsidRPr="00CD1FDD">
        <w:rPr>
          <w:rFonts w:cs="Calibri"/>
          <w:i/>
          <w:iCs/>
          <w:noProof/>
          <w:szCs w:val="24"/>
        </w:rPr>
        <w:t>Accounting Review</w:t>
      </w:r>
      <w:r w:rsidRPr="00CD1FDD">
        <w:rPr>
          <w:rFonts w:cs="Calibri"/>
          <w:noProof/>
          <w:szCs w:val="24"/>
        </w:rPr>
        <w:t xml:space="preserve">, </w:t>
      </w:r>
      <w:r w:rsidRPr="00CD1FDD">
        <w:rPr>
          <w:rFonts w:cs="Calibri"/>
          <w:i/>
          <w:iCs/>
          <w:noProof/>
          <w:szCs w:val="24"/>
        </w:rPr>
        <w:t>89</w:t>
      </w:r>
      <w:r w:rsidRPr="00CD1FDD">
        <w:rPr>
          <w:rFonts w:cs="Calibri"/>
          <w:noProof/>
          <w:szCs w:val="24"/>
        </w:rPr>
        <w:t>(2), 605–633.</w:t>
      </w:r>
    </w:p>
    <w:p w14:paraId="33E49E63"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Froot, K., Perold, A., &amp; Stein, J. (1992). Shareholder trading practices and corporate investment horizons. </w:t>
      </w:r>
      <w:r w:rsidRPr="00CD1FDD">
        <w:rPr>
          <w:rFonts w:cs="Calibri"/>
          <w:i/>
          <w:iCs/>
          <w:noProof/>
          <w:szCs w:val="24"/>
        </w:rPr>
        <w:t>Journal of Applied Corporate Finance</w:t>
      </w:r>
      <w:r w:rsidRPr="00CD1FDD">
        <w:rPr>
          <w:rFonts w:cs="Calibri"/>
          <w:noProof/>
          <w:szCs w:val="24"/>
        </w:rPr>
        <w:t xml:space="preserve">, </w:t>
      </w:r>
      <w:r w:rsidRPr="00CD1FDD">
        <w:rPr>
          <w:rFonts w:cs="Calibri"/>
          <w:i/>
          <w:iCs/>
          <w:noProof/>
          <w:szCs w:val="24"/>
        </w:rPr>
        <w:t>5</w:t>
      </w:r>
      <w:r w:rsidRPr="00CD1FDD">
        <w:rPr>
          <w:rFonts w:cs="Calibri"/>
          <w:noProof/>
          <w:szCs w:val="24"/>
        </w:rPr>
        <w:t>(2), 42–58.</w:t>
      </w:r>
    </w:p>
    <w:p w14:paraId="649D0DDC"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García Lara, J. M., García Osma, B., Mora, A., &amp; Scapin, M. (2017). The monitoring role of female directors over accounting quality. </w:t>
      </w:r>
      <w:r w:rsidRPr="00CD1FDD">
        <w:rPr>
          <w:rFonts w:cs="Calibri"/>
          <w:i/>
          <w:iCs/>
          <w:noProof/>
          <w:szCs w:val="24"/>
        </w:rPr>
        <w:t>Journal of Corporate Finance</w:t>
      </w:r>
      <w:r w:rsidRPr="00CD1FDD">
        <w:rPr>
          <w:rFonts w:cs="Calibri"/>
          <w:noProof/>
          <w:szCs w:val="24"/>
        </w:rPr>
        <w:t xml:space="preserve">, </w:t>
      </w:r>
      <w:r w:rsidRPr="00CD1FDD">
        <w:rPr>
          <w:rFonts w:cs="Calibri"/>
          <w:i/>
          <w:iCs/>
          <w:noProof/>
          <w:szCs w:val="24"/>
        </w:rPr>
        <w:t>45</w:t>
      </w:r>
      <w:r w:rsidRPr="00CD1FDD">
        <w:rPr>
          <w:rFonts w:cs="Calibri"/>
          <w:noProof/>
          <w:szCs w:val="24"/>
        </w:rPr>
        <w:t>, 651–668.</w:t>
      </w:r>
    </w:p>
    <w:p w14:paraId="78299F3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Ghaly, M., Dang, V. A., &amp; Stathopoulos, K. (2020). Institutional investors’ horizons and corporate employment decisions. </w:t>
      </w:r>
      <w:r w:rsidRPr="00CD1FDD">
        <w:rPr>
          <w:rFonts w:cs="Calibri"/>
          <w:i/>
          <w:iCs/>
          <w:noProof/>
          <w:szCs w:val="24"/>
        </w:rPr>
        <w:t>Journal of Corporate Finance</w:t>
      </w:r>
      <w:r w:rsidRPr="00CD1FDD">
        <w:rPr>
          <w:rFonts w:cs="Calibri"/>
          <w:noProof/>
          <w:szCs w:val="24"/>
        </w:rPr>
        <w:t>, In Press.</w:t>
      </w:r>
    </w:p>
    <w:p w14:paraId="6FCDE93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Gompers, P., Ishii, J., &amp; Metrick, A. (2003). Corporate governance and equity prices. </w:t>
      </w:r>
      <w:r w:rsidRPr="00CD1FDD">
        <w:rPr>
          <w:rFonts w:cs="Calibri"/>
          <w:i/>
          <w:iCs/>
          <w:noProof/>
          <w:szCs w:val="24"/>
        </w:rPr>
        <w:t>The Quarterly Journal of Economics</w:t>
      </w:r>
      <w:r w:rsidRPr="00CD1FDD">
        <w:rPr>
          <w:rFonts w:cs="Calibri"/>
          <w:noProof/>
          <w:szCs w:val="24"/>
        </w:rPr>
        <w:t xml:space="preserve">, </w:t>
      </w:r>
      <w:r w:rsidRPr="00CD1FDD">
        <w:rPr>
          <w:rFonts w:cs="Calibri"/>
          <w:i/>
          <w:iCs/>
          <w:noProof/>
          <w:szCs w:val="24"/>
        </w:rPr>
        <w:t>118</w:t>
      </w:r>
      <w:r w:rsidRPr="00CD1FDD">
        <w:rPr>
          <w:rFonts w:cs="Calibri"/>
          <w:noProof/>
          <w:szCs w:val="24"/>
        </w:rPr>
        <w:t>(1), 107–156.</w:t>
      </w:r>
    </w:p>
    <w:p w14:paraId="4978633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Gong, G., Li, L. Y., &amp; Zhou, L. (2013). Earnings non-synchronicity and voluntary disclosure.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30</w:t>
      </w:r>
      <w:r w:rsidRPr="00CD1FDD">
        <w:rPr>
          <w:rFonts w:cs="Calibri"/>
          <w:noProof/>
          <w:szCs w:val="24"/>
        </w:rPr>
        <w:t>(4), 1560–1589.</w:t>
      </w:r>
    </w:p>
    <w:p w14:paraId="2A82B0B6"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Graham, J. R., Harvey, C. R., &amp; Rajgopal, S. (2005). The economic implications of corporate financial reporting.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40</w:t>
      </w:r>
      <w:r w:rsidRPr="00CD1FDD">
        <w:rPr>
          <w:rFonts w:cs="Calibri"/>
          <w:noProof/>
          <w:szCs w:val="24"/>
        </w:rPr>
        <w:t>(1–3), 3–73.</w:t>
      </w:r>
    </w:p>
    <w:p w14:paraId="72C2026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Hamermesh, D. S. (1995). Labour demand and the source of adjustment costs. </w:t>
      </w:r>
      <w:r w:rsidRPr="00CD1FDD">
        <w:rPr>
          <w:rFonts w:cs="Calibri"/>
          <w:i/>
          <w:iCs/>
          <w:noProof/>
          <w:szCs w:val="24"/>
        </w:rPr>
        <w:t>The Economic Journal</w:t>
      </w:r>
      <w:r w:rsidRPr="00CD1FDD">
        <w:rPr>
          <w:rFonts w:cs="Calibri"/>
          <w:noProof/>
          <w:szCs w:val="24"/>
        </w:rPr>
        <w:t xml:space="preserve">, </w:t>
      </w:r>
      <w:r w:rsidRPr="00CD1FDD">
        <w:rPr>
          <w:rFonts w:cs="Calibri"/>
          <w:i/>
          <w:iCs/>
          <w:noProof/>
          <w:szCs w:val="24"/>
        </w:rPr>
        <w:t>105</w:t>
      </w:r>
      <w:r w:rsidRPr="00CD1FDD">
        <w:rPr>
          <w:rFonts w:cs="Calibri"/>
          <w:noProof/>
          <w:szCs w:val="24"/>
        </w:rPr>
        <w:t>(430), 620–634.</w:t>
      </w:r>
    </w:p>
    <w:p w14:paraId="17E2B316"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Hamm, S. J. W., Jung, B., &amp; Lee, W.-J. (2018). Labor unions and income smoothing.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35</w:t>
      </w:r>
      <w:r w:rsidRPr="00CD1FDD">
        <w:rPr>
          <w:rFonts w:cs="Calibri"/>
          <w:noProof/>
          <w:szCs w:val="24"/>
        </w:rPr>
        <w:t>(3), 1201–1228.</w:t>
      </w:r>
    </w:p>
    <w:p w14:paraId="6EFD1719"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Hansson, B., Johanson, U., &amp; Leitner, K. H. (2004). The impact of human capital and human capital investments on company performance: Evidence from literature and European survey results. In P. Descy &amp; M. Tessaring (Eds.), </w:t>
      </w:r>
      <w:r w:rsidRPr="00CD1FDD">
        <w:rPr>
          <w:rFonts w:cs="Calibri"/>
          <w:i/>
          <w:iCs/>
          <w:noProof/>
          <w:szCs w:val="24"/>
        </w:rPr>
        <w:t xml:space="preserve">Evaluation and Impact of Education and Training: The Value of </w:t>
      </w:r>
      <w:r w:rsidRPr="00CD1FDD">
        <w:rPr>
          <w:rFonts w:cs="Calibri"/>
          <w:i/>
          <w:iCs/>
          <w:noProof/>
          <w:szCs w:val="24"/>
        </w:rPr>
        <w:lastRenderedPageBreak/>
        <w:t>Learning. Third report on Vocational Training Research in Europe: Background Report.</w:t>
      </w:r>
      <w:r w:rsidRPr="00CD1FDD">
        <w:rPr>
          <w:rFonts w:cs="Calibri"/>
          <w:noProof/>
          <w:szCs w:val="24"/>
        </w:rPr>
        <w:t xml:space="preserve"> Luxembourg (Cedefop Reference Series, 54): vol. 2004 Office for Official Publications of the European Communities.</w:t>
      </w:r>
    </w:p>
    <w:p w14:paraId="7E6C1E8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Hartzell, J. C., &amp; Starks, L. T. (2003). Institutional investors and executive compensation.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58</w:t>
      </w:r>
      <w:r w:rsidRPr="00CD1FDD">
        <w:rPr>
          <w:rFonts w:cs="Calibri"/>
          <w:noProof/>
          <w:szCs w:val="24"/>
        </w:rPr>
        <w:t>(6), 2351–2374.</w:t>
      </w:r>
    </w:p>
    <w:p w14:paraId="14DD0CD3"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Healy, P. M., &amp; Palepu, K. G. (2001). Information asymmetry, corporate disclosure, and the capital markets: A review of the empirical disclosure literature.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31</w:t>
      </w:r>
      <w:r w:rsidRPr="00CD1FDD">
        <w:rPr>
          <w:rFonts w:cs="Calibri"/>
          <w:noProof/>
          <w:szCs w:val="24"/>
        </w:rPr>
        <w:t>(1–3), 405–440.</w:t>
      </w:r>
    </w:p>
    <w:p w14:paraId="7F41A90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Higgs, D. (2003). </w:t>
      </w:r>
      <w:r w:rsidRPr="00CD1FDD">
        <w:rPr>
          <w:rFonts w:cs="Calibri"/>
          <w:i/>
          <w:iCs/>
          <w:noProof/>
          <w:szCs w:val="24"/>
        </w:rPr>
        <w:t>Review of the role and effectiveness of non-executive directors</w:t>
      </w:r>
      <w:r w:rsidRPr="00CD1FDD">
        <w:rPr>
          <w:rFonts w:cs="Calibri"/>
          <w:noProof/>
          <w:szCs w:val="24"/>
        </w:rPr>
        <w:t>. Department of Trade and Industry/ HMSO, London.</w:t>
      </w:r>
    </w:p>
    <w:p w14:paraId="14FE8275"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Hirsch, B. T., &amp; Macpherson, D. A. (2003). Union membership and coverage database from the current population survey: Note. </w:t>
      </w:r>
      <w:r w:rsidRPr="00CD1FDD">
        <w:rPr>
          <w:rFonts w:cs="Calibri"/>
          <w:i/>
          <w:iCs/>
          <w:noProof/>
          <w:szCs w:val="24"/>
        </w:rPr>
        <w:t>Industrial and Labor Relations Review</w:t>
      </w:r>
      <w:r w:rsidRPr="00CD1FDD">
        <w:rPr>
          <w:rFonts w:cs="Calibri"/>
          <w:noProof/>
          <w:szCs w:val="24"/>
        </w:rPr>
        <w:t xml:space="preserve">, </w:t>
      </w:r>
      <w:r w:rsidRPr="00CD1FDD">
        <w:rPr>
          <w:rFonts w:cs="Calibri"/>
          <w:i/>
          <w:iCs/>
          <w:noProof/>
          <w:szCs w:val="24"/>
        </w:rPr>
        <w:t>56</w:t>
      </w:r>
      <w:r w:rsidRPr="00CD1FDD">
        <w:rPr>
          <w:rFonts w:cs="Calibri"/>
          <w:noProof/>
          <w:szCs w:val="24"/>
        </w:rPr>
        <w:t>(2), 349.</w:t>
      </w:r>
    </w:p>
    <w:p w14:paraId="02DF815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Imhof, M. J., Seavey, S. E., &amp; Smith, D. B. (2017). Comparability and cost of equity capital. </w:t>
      </w:r>
      <w:r w:rsidRPr="00CD1FDD">
        <w:rPr>
          <w:rFonts w:cs="Calibri"/>
          <w:i/>
          <w:iCs/>
          <w:noProof/>
          <w:szCs w:val="24"/>
        </w:rPr>
        <w:t>Accounting Horizons</w:t>
      </w:r>
      <w:r w:rsidRPr="00CD1FDD">
        <w:rPr>
          <w:rFonts w:cs="Calibri"/>
          <w:noProof/>
          <w:szCs w:val="24"/>
        </w:rPr>
        <w:t xml:space="preserve">, </w:t>
      </w:r>
      <w:r w:rsidRPr="00CD1FDD">
        <w:rPr>
          <w:rFonts w:cs="Calibri"/>
          <w:i/>
          <w:iCs/>
          <w:noProof/>
          <w:szCs w:val="24"/>
        </w:rPr>
        <w:t>31</w:t>
      </w:r>
      <w:r w:rsidRPr="00CD1FDD">
        <w:rPr>
          <w:rFonts w:cs="Calibri"/>
          <w:noProof/>
          <w:szCs w:val="24"/>
        </w:rPr>
        <w:t>(2), 125–138.</w:t>
      </w:r>
    </w:p>
    <w:p w14:paraId="5372DC32"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Jensen, M. (1986). Agency costs of free cash flow, corporate finance, and takeovers. </w:t>
      </w:r>
      <w:r w:rsidRPr="00CD1FDD">
        <w:rPr>
          <w:rFonts w:cs="Calibri"/>
          <w:i/>
          <w:iCs/>
          <w:noProof/>
          <w:szCs w:val="24"/>
        </w:rPr>
        <w:t>American Economic Review</w:t>
      </w:r>
      <w:r w:rsidRPr="00CD1FDD">
        <w:rPr>
          <w:rFonts w:cs="Calibri"/>
          <w:noProof/>
          <w:szCs w:val="24"/>
        </w:rPr>
        <w:t xml:space="preserve">, </w:t>
      </w:r>
      <w:r w:rsidRPr="00CD1FDD">
        <w:rPr>
          <w:rFonts w:cs="Calibri"/>
          <w:i/>
          <w:iCs/>
          <w:noProof/>
          <w:szCs w:val="24"/>
        </w:rPr>
        <w:t>76</w:t>
      </w:r>
      <w:r w:rsidRPr="00CD1FDD">
        <w:rPr>
          <w:rFonts w:cs="Calibri"/>
          <w:noProof/>
          <w:szCs w:val="24"/>
        </w:rPr>
        <w:t>, 323–329.</w:t>
      </w:r>
    </w:p>
    <w:p w14:paraId="78765D5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Jiraporn, P., Jiraporn, N., Boeprasert, A., &amp; Chang, K. (2014). Does corporate social responsibility (CSR) improve credit ratings? Evidence from geographic identification. </w:t>
      </w:r>
      <w:r w:rsidRPr="00CD1FDD">
        <w:rPr>
          <w:rFonts w:cs="Calibri"/>
          <w:i/>
          <w:iCs/>
          <w:noProof/>
          <w:szCs w:val="24"/>
        </w:rPr>
        <w:t>Financial Management</w:t>
      </w:r>
      <w:r w:rsidRPr="00CD1FDD">
        <w:rPr>
          <w:rFonts w:cs="Calibri"/>
          <w:noProof/>
          <w:szCs w:val="24"/>
        </w:rPr>
        <w:t xml:space="preserve">, </w:t>
      </w:r>
      <w:r w:rsidRPr="00CD1FDD">
        <w:rPr>
          <w:rFonts w:cs="Calibri"/>
          <w:i/>
          <w:iCs/>
          <w:noProof/>
          <w:szCs w:val="24"/>
        </w:rPr>
        <w:t>43</w:t>
      </w:r>
      <w:r w:rsidRPr="00CD1FDD">
        <w:rPr>
          <w:rFonts w:cs="Calibri"/>
          <w:noProof/>
          <w:szCs w:val="24"/>
        </w:rPr>
        <w:t>(3), 505–531.</w:t>
      </w:r>
    </w:p>
    <w:p w14:paraId="6FE75753"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John, K., Knyazeva, A., &amp; Knyazeva, D. (2011). Does geography matter? Firm location and corporate payout policy. </w:t>
      </w:r>
      <w:r w:rsidRPr="00CD1FDD">
        <w:rPr>
          <w:rFonts w:cs="Calibri"/>
          <w:i/>
          <w:iCs/>
          <w:noProof/>
          <w:szCs w:val="24"/>
        </w:rPr>
        <w:t>Journal of Financial Economics</w:t>
      </w:r>
      <w:r w:rsidRPr="00CD1FDD">
        <w:rPr>
          <w:rFonts w:cs="Calibri"/>
          <w:noProof/>
          <w:szCs w:val="24"/>
        </w:rPr>
        <w:t xml:space="preserve">, </w:t>
      </w:r>
      <w:r w:rsidRPr="00CD1FDD">
        <w:rPr>
          <w:rFonts w:cs="Calibri"/>
          <w:i/>
          <w:iCs/>
          <w:noProof/>
          <w:szCs w:val="24"/>
        </w:rPr>
        <w:t>101</w:t>
      </w:r>
      <w:r w:rsidRPr="00CD1FDD">
        <w:rPr>
          <w:rFonts w:cs="Calibri"/>
          <w:noProof/>
          <w:szCs w:val="24"/>
        </w:rPr>
        <w:t>(3), 533–551.</w:t>
      </w:r>
    </w:p>
    <w:p w14:paraId="190DF61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Jung, B., Lee, W.-J., &amp; Yang, Y. S. (2016). The impact of dividend Covenants on investment and operating performance. </w:t>
      </w:r>
      <w:r w:rsidRPr="00CD1FDD">
        <w:rPr>
          <w:rFonts w:cs="Calibri"/>
          <w:i/>
          <w:iCs/>
          <w:noProof/>
          <w:szCs w:val="24"/>
        </w:rPr>
        <w:t>Journal of Business Finance &amp; Accounting</w:t>
      </w:r>
      <w:r w:rsidRPr="00CD1FDD">
        <w:rPr>
          <w:rFonts w:cs="Calibri"/>
          <w:noProof/>
          <w:szCs w:val="24"/>
        </w:rPr>
        <w:t xml:space="preserve">, </w:t>
      </w:r>
      <w:r w:rsidRPr="00CD1FDD">
        <w:rPr>
          <w:rFonts w:cs="Calibri"/>
          <w:i/>
          <w:iCs/>
          <w:noProof/>
          <w:szCs w:val="24"/>
        </w:rPr>
        <w:t>43</w:t>
      </w:r>
      <w:r w:rsidRPr="00CD1FDD">
        <w:rPr>
          <w:rFonts w:cs="Calibri"/>
          <w:noProof/>
          <w:szCs w:val="24"/>
        </w:rPr>
        <w:t>(3–4), 414–447.</w:t>
      </w:r>
    </w:p>
    <w:p w14:paraId="47A61889"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Jung, B., Lee, W. J., &amp; Weber, D. P. (2014). Financial reporting quality and labor investment efficiency.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31</w:t>
      </w:r>
      <w:r w:rsidRPr="00CD1FDD">
        <w:rPr>
          <w:rFonts w:cs="Calibri"/>
          <w:noProof/>
          <w:szCs w:val="24"/>
        </w:rPr>
        <w:t>(4), 1047–1076.</w:t>
      </w:r>
    </w:p>
    <w:p w14:paraId="4A080D3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Kasznik, R. (1999). On the association between voluntary disclosure and earnings management. </w:t>
      </w:r>
      <w:r w:rsidRPr="00CD1FDD">
        <w:rPr>
          <w:rFonts w:cs="Calibri"/>
          <w:i/>
          <w:iCs/>
          <w:noProof/>
          <w:szCs w:val="24"/>
        </w:rPr>
        <w:t>Journal of Accounting Research</w:t>
      </w:r>
      <w:r w:rsidRPr="00CD1FDD">
        <w:rPr>
          <w:rFonts w:cs="Calibri"/>
          <w:noProof/>
          <w:szCs w:val="24"/>
        </w:rPr>
        <w:t xml:space="preserve">, </w:t>
      </w:r>
      <w:r w:rsidRPr="00CD1FDD">
        <w:rPr>
          <w:rFonts w:cs="Calibri"/>
          <w:i/>
          <w:iCs/>
          <w:noProof/>
          <w:szCs w:val="24"/>
        </w:rPr>
        <w:t>37</w:t>
      </w:r>
      <w:r w:rsidRPr="00CD1FDD">
        <w:rPr>
          <w:rFonts w:cs="Calibri"/>
          <w:noProof/>
          <w:szCs w:val="24"/>
        </w:rPr>
        <w:t>(1), 57–81.</w:t>
      </w:r>
    </w:p>
    <w:p w14:paraId="31F0FCA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Khan, M., &amp; Watts, R. L. (2009). Estimation and empirical properties of a firm-year measure of accounting conservatism.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48</w:t>
      </w:r>
      <w:r w:rsidRPr="00CD1FDD">
        <w:rPr>
          <w:rFonts w:cs="Calibri"/>
          <w:noProof/>
          <w:szCs w:val="24"/>
        </w:rPr>
        <w:t>(2–3), 132–150.</w:t>
      </w:r>
    </w:p>
    <w:p w14:paraId="051A946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Khedmati, M., Sualihu, M. A., &amp; Yawson, A. (2019). CEO-director ties and labor investment efficiency. </w:t>
      </w:r>
      <w:r w:rsidRPr="00CD1FDD">
        <w:rPr>
          <w:rFonts w:cs="Calibri"/>
          <w:i/>
          <w:iCs/>
          <w:noProof/>
          <w:szCs w:val="24"/>
        </w:rPr>
        <w:t>Journal of Corporate Finance</w:t>
      </w:r>
      <w:r w:rsidRPr="00CD1FDD">
        <w:rPr>
          <w:rFonts w:cs="Calibri"/>
          <w:noProof/>
          <w:szCs w:val="24"/>
        </w:rPr>
        <w:t>, forthcoming.</w:t>
      </w:r>
    </w:p>
    <w:p w14:paraId="67BBEA3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Kim, J.-B., Chung, R., &amp; Firth, Mi. (2003). Auditor conservatism, asymmetric monitoring, and earnings management.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20</w:t>
      </w:r>
      <w:r w:rsidRPr="00CD1FDD">
        <w:rPr>
          <w:rFonts w:cs="Calibri"/>
          <w:noProof/>
          <w:szCs w:val="24"/>
        </w:rPr>
        <w:t>(2), 323–359.</w:t>
      </w:r>
    </w:p>
    <w:p w14:paraId="2F142B2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Kim, J.-B., Li, L., Lu, L. Y., &amp; Yu, Y. (2016). Financial statement comparability and expected crash risk.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61</w:t>
      </w:r>
      <w:r w:rsidRPr="00CD1FDD">
        <w:rPr>
          <w:rFonts w:cs="Calibri"/>
          <w:noProof/>
          <w:szCs w:val="24"/>
        </w:rPr>
        <w:t>(2–3), 294–312.</w:t>
      </w:r>
    </w:p>
    <w:p w14:paraId="33C91AD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Kim, S., Kraft, P., &amp; Ryan, S. G. (2013). Financial statement comparability and credit risk. </w:t>
      </w:r>
      <w:r w:rsidRPr="00CD1FDD">
        <w:rPr>
          <w:rFonts w:cs="Calibri"/>
          <w:i/>
          <w:iCs/>
          <w:noProof/>
          <w:szCs w:val="24"/>
        </w:rPr>
        <w:t>Review of Accounting Studies</w:t>
      </w:r>
      <w:r w:rsidRPr="00CD1FDD">
        <w:rPr>
          <w:rFonts w:cs="Calibri"/>
          <w:noProof/>
          <w:szCs w:val="24"/>
        </w:rPr>
        <w:t xml:space="preserve">, </w:t>
      </w:r>
      <w:r w:rsidRPr="00CD1FDD">
        <w:rPr>
          <w:rFonts w:cs="Calibri"/>
          <w:i/>
          <w:iCs/>
          <w:noProof/>
          <w:szCs w:val="24"/>
        </w:rPr>
        <w:t>18</w:t>
      </w:r>
      <w:r w:rsidRPr="00CD1FDD">
        <w:rPr>
          <w:rFonts w:cs="Calibri"/>
          <w:noProof/>
          <w:szCs w:val="24"/>
        </w:rPr>
        <w:t>(3), 783–823.</w:t>
      </w:r>
    </w:p>
    <w:p w14:paraId="45186EF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Kong, D., Liu, S., &amp; Xiang, J. (2018). Political promotion and labor investment efficiency. </w:t>
      </w:r>
      <w:r w:rsidRPr="00CD1FDD">
        <w:rPr>
          <w:rFonts w:cs="Calibri"/>
          <w:i/>
          <w:iCs/>
          <w:noProof/>
          <w:szCs w:val="24"/>
        </w:rPr>
        <w:t>China Economic Review</w:t>
      </w:r>
      <w:r w:rsidRPr="00CD1FDD">
        <w:rPr>
          <w:rFonts w:cs="Calibri"/>
          <w:noProof/>
          <w:szCs w:val="24"/>
        </w:rPr>
        <w:t xml:space="preserve">, </w:t>
      </w:r>
      <w:r w:rsidRPr="00CD1FDD">
        <w:rPr>
          <w:rFonts w:cs="Calibri"/>
          <w:i/>
          <w:iCs/>
          <w:noProof/>
          <w:szCs w:val="24"/>
        </w:rPr>
        <w:t>50</w:t>
      </w:r>
      <w:r w:rsidRPr="00CD1FDD">
        <w:rPr>
          <w:rFonts w:cs="Calibri"/>
          <w:noProof/>
          <w:szCs w:val="24"/>
        </w:rPr>
        <w:t>, 273–293.</w:t>
      </w:r>
    </w:p>
    <w:p w14:paraId="5566F6E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Kothari, S. P., Leone, A. J., &amp; Wasley, C. E. (2005). Performance matched discretionary accrual measures.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39</w:t>
      </w:r>
      <w:r w:rsidRPr="00CD1FDD">
        <w:rPr>
          <w:rFonts w:cs="Calibri"/>
          <w:noProof/>
          <w:szCs w:val="24"/>
        </w:rPr>
        <w:t>(1), 163–197.</w:t>
      </w:r>
    </w:p>
    <w:p w14:paraId="6A1A62E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lastRenderedPageBreak/>
        <w:t xml:space="preserve">Lara, J. M. G., Osma, B. G., &amp; Penalva, F. (2016). Accounting conservatism and firm investment efficiency. </w:t>
      </w:r>
      <w:r w:rsidRPr="00CD1FDD">
        <w:rPr>
          <w:rFonts w:cs="Calibri"/>
          <w:i/>
          <w:iCs/>
          <w:noProof/>
          <w:szCs w:val="24"/>
        </w:rPr>
        <w:t>Journal of Accounting and Economics</w:t>
      </w:r>
      <w:r w:rsidRPr="00CD1FDD">
        <w:rPr>
          <w:rFonts w:cs="Calibri"/>
          <w:noProof/>
          <w:szCs w:val="24"/>
        </w:rPr>
        <w:t xml:space="preserve">, </w:t>
      </w:r>
      <w:r w:rsidRPr="00CD1FDD">
        <w:rPr>
          <w:rFonts w:cs="Calibri"/>
          <w:i/>
          <w:iCs/>
          <w:noProof/>
          <w:szCs w:val="24"/>
        </w:rPr>
        <w:t>61</w:t>
      </w:r>
      <w:r w:rsidRPr="00CD1FDD">
        <w:rPr>
          <w:rFonts w:cs="Calibri"/>
          <w:noProof/>
          <w:szCs w:val="24"/>
        </w:rPr>
        <w:t>(1), 221–238.</w:t>
      </w:r>
    </w:p>
    <w:p w14:paraId="1150AB6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Li, F. (2011). Earnings quality based on corporate investment decisions. </w:t>
      </w:r>
      <w:r w:rsidRPr="00CD1FDD">
        <w:rPr>
          <w:rFonts w:cs="Calibri"/>
          <w:i/>
          <w:iCs/>
          <w:noProof/>
          <w:szCs w:val="24"/>
        </w:rPr>
        <w:t>Journal of Accounting Research</w:t>
      </w:r>
      <w:r w:rsidRPr="00CD1FDD">
        <w:rPr>
          <w:rFonts w:cs="Calibri"/>
          <w:noProof/>
          <w:szCs w:val="24"/>
        </w:rPr>
        <w:t xml:space="preserve">, </w:t>
      </w:r>
      <w:r w:rsidRPr="00CD1FDD">
        <w:rPr>
          <w:rFonts w:cs="Calibri"/>
          <w:i/>
          <w:iCs/>
          <w:noProof/>
          <w:szCs w:val="24"/>
        </w:rPr>
        <w:t>49</w:t>
      </w:r>
      <w:r w:rsidRPr="00CD1FDD">
        <w:rPr>
          <w:rFonts w:cs="Calibri"/>
          <w:noProof/>
          <w:szCs w:val="24"/>
        </w:rPr>
        <w:t>(3), 721–752.</w:t>
      </w:r>
    </w:p>
    <w:p w14:paraId="5ECC81C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Lobo, G. J., Neel, M., &amp; Rhodes, A. (2018). Accounting comparability and relative performance evaluation in CEO compensation. </w:t>
      </w:r>
      <w:r w:rsidRPr="00CD1FDD">
        <w:rPr>
          <w:rFonts w:cs="Calibri"/>
          <w:i/>
          <w:iCs/>
          <w:noProof/>
          <w:szCs w:val="24"/>
        </w:rPr>
        <w:t>Review of Accounting Studies</w:t>
      </w:r>
      <w:r w:rsidRPr="00CD1FDD">
        <w:rPr>
          <w:rFonts w:cs="Calibri"/>
          <w:noProof/>
          <w:szCs w:val="24"/>
        </w:rPr>
        <w:t xml:space="preserve">, </w:t>
      </w:r>
      <w:r w:rsidRPr="00CD1FDD">
        <w:rPr>
          <w:rFonts w:cs="Calibri"/>
          <w:i/>
          <w:iCs/>
          <w:noProof/>
          <w:szCs w:val="24"/>
        </w:rPr>
        <w:t>23</w:t>
      </w:r>
      <w:r w:rsidRPr="00CD1FDD">
        <w:rPr>
          <w:rFonts w:cs="Calibri"/>
          <w:noProof/>
          <w:szCs w:val="24"/>
        </w:rPr>
        <w:t>(3), 1137–1176.</w:t>
      </w:r>
    </w:p>
    <w:p w14:paraId="669CB18C"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Merz, M., &amp; Yashiv, E. (2007). Labor and the market value of the firm. </w:t>
      </w:r>
      <w:r w:rsidRPr="00CD1FDD">
        <w:rPr>
          <w:rFonts w:cs="Calibri"/>
          <w:i/>
          <w:iCs/>
          <w:noProof/>
          <w:szCs w:val="24"/>
        </w:rPr>
        <w:t>American Economic Review</w:t>
      </w:r>
      <w:r w:rsidRPr="00CD1FDD">
        <w:rPr>
          <w:rFonts w:cs="Calibri"/>
          <w:noProof/>
          <w:szCs w:val="24"/>
        </w:rPr>
        <w:t xml:space="preserve">, </w:t>
      </w:r>
      <w:r w:rsidRPr="00CD1FDD">
        <w:rPr>
          <w:rFonts w:cs="Calibri"/>
          <w:i/>
          <w:iCs/>
          <w:noProof/>
          <w:szCs w:val="24"/>
        </w:rPr>
        <w:t>97</w:t>
      </w:r>
      <w:r w:rsidRPr="00CD1FDD">
        <w:rPr>
          <w:rFonts w:cs="Calibri"/>
          <w:noProof/>
          <w:szCs w:val="24"/>
        </w:rPr>
        <w:t>(4), 1419–1431.</w:t>
      </w:r>
    </w:p>
    <w:p w14:paraId="24542F6A"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Minutti-Meza, M. (2013). Does auditor industry specialization improve audit quality? </w:t>
      </w:r>
      <w:r w:rsidRPr="00CD1FDD">
        <w:rPr>
          <w:rFonts w:cs="Calibri"/>
          <w:i/>
          <w:iCs/>
          <w:noProof/>
          <w:szCs w:val="24"/>
        </w:rPr>
        <w:t>Journal of Accounting Research</w:t>
      </w:r>
      <w:r w:rsidRPr="00CD1FDD">
        <w:rPr>
          <w:rFonts w:cs="Calibri"/>
          <w:noProof/>
          <w:szCs w:val="24"/>
        </w:rPr>
        <w:t xml:space="preserve">, </w:t>
      </w:r>
      <w:r w:rsidRPr="00CD1FDD">
        <w:rPr>
          <w:rFonts w:cs="Calibri"/>
          <w:i/>
          <w:iCs/>
          <w:noProof/>
          <w:szCs w:val="24"/>
        </w:rPr>
        <w:t>51</w:t>
      </w:r>
      <w:r w:rsidRPr="00CD1FDD">
        <w:rPr>
          <w:rFonts w:cs="Calibri"/>
          <w:noProof/>
          <w:szCs w:val="24"/>
        </w:rPr>
        <w:t>(4), 779–817.</w:t>
      </w:r>
    </w:p>
    <w:p w14:paraId="4CABAA0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Neel, M. (2017). Accounting comparability and economic outcomes of mandatory IFRS adoption.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34</w:t>
      </w:r>
      <w:r w:rsidRPr="00CD1FDD">
        <w:rPr>
          <w:rFonts w:cs="Calibri"/>
          <w:noProof/>
          <w:szCs w:val="24"/>
        </w:rPr>
        <w:t>(1), 658–690.</w:t>
      </w:r>
    </w:p>
    <w:p w14:paraId="70A6DB6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Owen, D. L., &amp; Lloyd, A. J. (1985). The use of financial information by trade union negotiators in plant level collective bargaining. </w:t>
      </w:r>
      <w:r w:rsidRPr="00CD1FDD">
        <w:rPr>
          <w:rFonts w:cs="Calibri"/>
          <w:i/>
          <w:iCs/>
          <w:noProof/>
          <w:szCs w:val="24"/>
        </w:rPr>
        <w:t>Accounting, Organizations and Society</w:t>
      </w:r>
      <w:r w:rsidRPr="00CD1FDD">
        <w:rPr>
          <w:rFonts w:cs="Calibri"/>
          <w:noProof/>
          <w:szCs w:val="24"/>
        </w:rPr>
        <w:t xml:space="preserve">, </w:t>
      </w:r>
      <w:r w:rsidRPr="00CD1FDD">
        <w:rPr>
          <w:rFonts w:cs="Calibri"/>
          <w:i/>
          <w:iCs/>
          <w:noProof/>
          <w:szCs w:val="24"/>
        </w:rPr>
        <w:t>10</w:t>
      </w:r>
      <w:r w:rsidRPr="00CD1FDD">
        <w:rPr>
          <w:rFonts w:cs="Calibri"/>
          <w:noProof/>
          <w:szCs w:val="24"/>
        </w:rPr>
        <w:t>(3), 329–350.</w:t>
      </w:r>
    </w:p>
    <w:p w14:paraId="4C3C113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Petersen, M. A. (2009). Estimating standard errors in finance panel data sets: Comparing approaches. </w:t>
      </w:r>
      <w:r w:rsidRPr="00CD1FDD">
        <w:rPr>
          <w:rFonts w:cs="Calibri"/>
          <w:i/>
          <w:iCs/>
          <w:noProof/>
          <w:szCs w:val="24"/>
        </w:rPr>
        <w:t>Review of Financial Studies</w:t>
      </w:r>
      <w:r w:rsidRPr="00CD1FDD">
        <w:rPr>
          <w:rFonts w:cs="Calibri"/>
          <w:noProof/>
          <w:szCs w:val="24"/>
        </w:rPr>
        <w:t xml:space="preserve">, </w:t>
      </w:r>
      <w:r w:rsidRPr="00CD1FDD">
        <w:rPr>
          <w:rFonts w:cs="Calibri"/>
          <w:i/>
          <w:iCs/>
          <w:noProof/>
          <w:szCs w:val="24"/>
        </w:rPr>
        <w:t>22</w:t>
      </w:r>
      <w:r w:rsidRPr="00CD1FDD">
        <w:rPr>
          <w:rFonts w:cs="Calibri"/>
          <w:noProof/>
          <w:szCs w:val="24"/>
        </w:rPr>
        <w:t>(1), 435–480.</w:t>
      </w:r>
    </w:p>
    <w:p w14:paraId="376CCB70"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Pinnuck, M., &amp; Lillis, A. M. (2007). Profits versus losses: Does reporting an accounting loss act as a heuristic trigger to exercise the abandonment option and divest employees? </w:t>
      </w:r>
      <w:r w:rsidRPr="00CD1FDD">
        <w:rPr>
          <w:rFonts w:cs="Calibri"/>
          <w:i/>
          <w:iCs/>
          <w:noProof/>
          <w:szCs w:val="24"/>
        </w:rPr>
        <w:t>Accounting Review</w:t>
      </w:r>
      <w:r w:rsidRPr="00CD1FDD">
        <w:rPr>
          <w:rFonts w:cs="Calibri"/>
          <w:noProof/>
          <w:szCs w:val="24"/>
        </w:rPr>
        <w:t xml:space="preserve">, </w:t>
      </w:r>
      <w:r w:rsidRPr="00CD1FDD">
        <w:rPr>
          <w:rFonts w:cs="Calibri"/>
          <w:i/>
          <w:iCs/>
          <w:noProof/>
          <w:szCs w:val="24"/>
        </w:rPr>
        <w:t>82</w:t>
      </w:r>
      <w:r w:rsidRPr="00CD1FDD">
        <w:rPr>
          <w:rFonts w:cs="Calibri"/>
          <w:noProof/>
          <w:szCs w:val="24"/>
        </w:rPr>
        <w:t>(4), 1031–1053.</w:t>
      </w:r>
    </w:p>
    <w:p w14:paraId="63C54F7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Prabowo, R., Hooghiemstra, R., &amp; Van Veen-Dirks, P. (2018). State ownership, socio-political factors, and labor Cost Stickiness. </w:t>
      </w:r>
      <w:r w:rsidRPr="00CD1FDD">
        <w:rPr>
          <w:rFonts w:cs="Calibri"/>
          <w:i/>
          <w:iCs/>
          <w:noProof/>
          <w:szCs w:val="24"/>
        </w:rPr>
        <w:t>European Accounting Review</w:t>
      </w:r>
      <w:r w:rsidRPr="00CD1FDD">
        <w:rPr>
          <w:rFonts w:cs="Calibri"/>
          <w:noProof/>
          <w:szCs w:val="24"/>
        </w:rPr>
        <w:t xml:space="preserve">, </w:t>
      </w:r>
      <w:r w:rsidRPr="00CD1FDD">
        <w:rPr>
          <w:rFonts w:cs="Calibri"/>
          <w:i/>
          <w:iCs/>
          <w:noProof/>
          <w:szCs w:val="24"/>
        </w:rPr>
        <w:t>27</w:t>
      </w:r>
      <w:r w:rsidRPr="00CD1FDD">
        <w:rPr>
          <w:rFonts w:cs="Calibri"/>
          <w:noProof/>
          <w:szCs w:val="24"/>
        </w:rPr>
        <w:t>(4), 771–796.</w:t>
      </w:r>
    </w:p>
    <w:p w14:paraId="238688E2"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Richardson, S. (2006). Over-investment of free cash flow. </w:t>
      </w:r>
      <w:r w:rsidRPr="00CD1FDD">
        <w:rPr>
          <w:rFonts w:cs="Calibri"/>
          <w:i/>
          <w:iCs/>
          <w:noProof/>
          <w:szCs w:val="24"/>
        </w:rPr>
        <w:t>Review of Accounting Studies</w:t>
      </w:r>
      <w:r w:rsidRPr="00CD1FDD">
        <w:rPr>
          <w:rFonts w:cs="Calibri"/>
          <w:noProof/>
          <w:szCs w:val="24"/>
        </w:rPr>
        <w:t xml:space="preserve">, </w:t>
      </w:r>
      <w:r w:rsidRPr="00CD1FDD">
        <w:rPr>
          <w:rFonts w:cs="Calibri"/>
          <w:i/>
          <w:iCs/>
          <w:noProof/>
          <w:szCs w:val="24"/>
        </w:rPr>
        <w:t>11</w:t>
      </w:r>
      <w:r w:rsidRPr="00CD1FDD">
        <w:rPr>
          <w:rFonts w:cs="Calibri"/>
          <w:noProof/>
          <w:szCs w:val="24"/>
        </w:rPr>
        <w:t>(2–3), 159–189.</w:t>
      </w:r>
    </w:p>
    <w:p w14:paraId="7B3E1B3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Shane, P. B., Smith, D. B., &amp; Zhang, S. (2014). Financial statement comparability and valuation of seasoned equity offerings. </w:t>
      </w:r>
      <w:r w:rsidRPr="00CD1FDD">
        <w:rPr>
          <w:rFonts w:cs="Calibri"/>
          <w:i/>
          <w:iCs/>
          <w:noProof/>
          <w:szCs w:val="24"/>
        </w:rPr>
        <w:t>Available at: SSRN 12372965</w:t>
      </w:r>
      <w:r w:rsidRPr="00CD1FDD">
        <w:rPr>
          <w:rFonts w:cs="Calibri"/>
          <w:noProof/>
          <w:szCs w:val="24"/>
        </w:rPr>
        <w:t>.</w:t>
      </w:r>
    </w:p>
    <w:p w14:paraId="18A71A5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Sharon, F. (2016). 5 Reasons CEOs should be Involved in Hiring Decisions. Retrieved November 1, 2019, from https://www.cio.com/article/3124755/5-reasons-ceos-should-be-involved-in-hiring-decisions.html</w:t>
      </w:r>
    </w:p>
    <w:p w14:paraId="5DAB7F0F"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Shivdasani, A., &amp; Yermack, D. (1999). CEO involvement in the selection of new board members: An empirical analysis.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54</w:t>
      </w:r>
      <w:r w:rsidRPr="00CD1FDD">
        <w:rPr>
          <w:rFonts w:cs="Calibri"/>
          <w:noProof/>
          <w:szCs w:val="24"/>
        </w:rPr>
        <w:t>(5), 1829–1853.</w:t>
      </w:r>
    </w:p>
    <w:p w14:paraId="1736466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Shleifer, A., &amp; Vishny, R. (1986). Large shareholders and corporate control. </w:t>
      </w:r>
      <w:r w:rsidRPr="00CD1FDD">
        <w:rPr>
          <w:rFonts w:cs="Calibri"/>
          <w:i/>
          <w:iCs/>
          <w:noProof/>
          <w:szCs w:val="24"/>
        </w:rPr>
        <w:t>Journal of Political Economy</w:t>
      </w:r>
      <w:r w:rsidRPr="00CD1FDD">
        <w:rPr>
          <w:rFonts w:cs="Calibri"/>
          <w:noProof/>
          <w:szCs w:val="24"/>
        </w:rPr>
        <w:t xml:space="preserve">, </w:t>
      </w:r>
      <w:r w:rsidRPr="00CD1FDD">
        <w:rPr>
          <w:rFonts w:cs="Calibri"/>
          <w:i/>
          <w:iCs/>
          <w:noProof/>
          <w:szCs w:val="24"/>
        </w:rPr>
        <w:t>94</w:t>
      </w:r>
      <w:r w:rsidRPr="00CD1FDD">
        <w:rPr>
          <w:rFonts w:cs="Calibri"/>
          <w:noProof/>
          <w:szCs w:val="24"/>
        </w:rPr>
        <w:t>(3).</w:t>
      </w:r>
    </w:p>
    <w:p w14:paraId="1837C319"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Sohn, B. C. (2016). The effect of accounting comparability on the accrual-based and real earnings management. </w:t>
      </w:r>
      <w:r w:rsidRPr="00CD1FDD">
        <w:rPr>
          <w:rFonts w:cs="Calibri"/>
          <w:i/>
          <w:iCs/>
          <w:noProof/>
          <w:szCs w:val="24"/>
        </w:rPr>
        <w:t>Journal of Accounting and Public Policy</w:t>
      </w:r>
      <w:r w:rsidRPr="00CD1FDD">
        <w:rPr>
          <w:rFonts w:cs="Calibri"/>
          <w:noProof/>
          <w:szCs w:val="24"/>
        </w:rPr>
        <w:t xml:space="preserve">, </w:t>
      </w:r>
      <w:r w:rsidRPr="00CD1FDD">
        <w:rPr>
          <w:rFonts w:cs="Calibri"/>
          <w:i/>
          <w:iCs/>
          <w:noProof/>
          <w:szCs w:val="24"/>
        </w:rPr>
        <w:t>35</w:t>
      </w:r>
      <w:r w:rsidRPr="00CD1FDD">
        <w:rPr>
          <w:rFonts w:cs="Calibri"/>
          <w:noProof/>
          <w:szCs w:val="24"/>
        </w:rPr>
        <w:t>(5), 513–539.</w:t>
      </w:r>
    </w:p>
    <w:p w14:paraId="2E445C37"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Suk, I., &amp; Zhao, Y. (2017). Does financial statement comparability deter aggressive tax avoidance? </w:t>
      </w:r>
      <w:r w:rsidRPr="00CD1FDD">
        <w:rPr>
          <w:rFonts w:cs="Calibri"/>
          <w:i/>
          <w:iCs/>
          <w:noProof/>
          <w:szCs w:val="24"/>
        </w:rPr>
        <w:t>Available at: SSRN 3065250</w:t>
      </w:r>
      <w:r w:rsidRPr="00CD1FDD">
        <w:rPr>
          <w:rFonts w:cs="Calibri"/>
          <w:noProof/>
          <w:szCs w:val="24"/>
        </w:rPr>
        <w:t>.</w:t>
      </w:r>
    </w:p>
    <w:p w14:paraId="0F92846C"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Upadhyay, A. D., Bhargava, R., &amp; Faircloth, S. D. (2014). Board structure and role of monitoring committees. </w:t>
      </w:r>
      <w:r w:rsidRPr="00CD1FDD">
        <w:rPr>
          <w:rFonts w:cs="Calibri"/>
          <w:i/>
          <w:iCs/>
          <w:noProof/>
          <w:szCs w:val="24"/>
        </w:rPr>
        <w:t>Journal of Business Research</w:t>
      </w:r>
      <w:r w:rsidRPr="00CD1FDD">
        <w:rPr>
          <w:rFonts w:cs="Calibri"/>
          <w:noProof/>
          <w:szCs w:val="24"/>
        </w:rPr>
        <w:t xml:space="preserve">, </w:t>
      </w:r>
      <w:r w:rsidRPr="00CD1FDD">
        <w:rPr>
          <w:rFonts w:cs="Calibri"/>
          <w:i/>
          <w:iCs/>
          <w:noProof/>
          <w:szCs w:val="24"/>
        </w:rPr>
        <w:t>67</w:t>
      </w:r>
      <w:r w:rsidRPr="00CD1FDD">
        <w:rPr>
          <w:rFonts w:cs="Calibri"/>
          <w:noProof/>
          <w:szCs w:val="24"/>
        </w:rPr>
        <w:t>(7), 1486–1492.</w:t>
      </w:r>
    </w:p>
    <w:p w14:paraId="02EEDFEE"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von Thadden, E.-L. (1995). Long-term contracts, short-term investment and monitoring. </w:t>
      </w:r>
      <w:r w:rsidRPr="00CD1FDD">
        <w:rPr>
          <w:rFonts w:cs="Calibri"/>
          <w:i/>
          <w:iCs/>
          <w:noProof/>
          <w:szCs w:val="24"/>
        </w:rPr>
        <w:t>The Review of Economic Studies</w:t>
      </w:r>
      <w:r w:rsidRPr="00CD1FDD">
        <w:rPr>
          <w:rFonts w:cs="Calibri"/>
          <w:noProof/>
          <w:szCs w:val="24"/>
        </w:rPr>
        <w:t xml:space="preserve">, </w:t>
      </w:r>
      <w:r w:rsidRPr="00CD1FDD">
        <w:rPr>
          <w:rFonts w:cs="Calibri"/>
          <w:i/>
          <w:iCs/>
          <w:noProof/>
          <w:szCs w:val="24"/>
        </w:rPr>
        <w:t>62</w:t>
      </w:r>
      <w:r w:rsidRPr="00CD1FDD">
        <w:rPr>
          <w:rFonts w:cs="Calibri"/>
          <w:noProof/>
          <w:szCs w:val="24"/>
        </w:rPr>
        <w:t>(4), 557–575.</w:t>
      </w:r>
    </w:p>
    <w:p w14:paraId="211165E2"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lastRenderedPageBreak/>
        <w:t xml:space="preserve">Whited, T. M., &amp; Wu, G. (2006). Financial constraints risk. </w:t>
      </w:r>
      <w:r w:rsidRPr="00CD1FDD">
        <w:rPr>
          <w:rFonts w:cs="Calibri"/>
          <w:i/>
          <w:iCs/>
          <w:noProof/>
          <w:szCs w:val="24"/>
        </w:rPr>
        <w:t>Review of Financial Studies</w:t>
      </w:r>
      <w:r w:rsidRPr="00CD1FDD">
        <w:rPr>
          <w:rFonts w:cs="Calibri"/>
          <w:noProof/>
          <w:szCs w:val="24"/>
        </w:rPr>
        <w:t xml:space="preserve">, </w:t>
      </w:r>
      <w:r w:rsidRPr="00CD1FDD">
        <w:rPr>
          <w:rFonts w:cs="Calibri"/>
          <w:i/>
          <w:iCs/>
          <w:noProof/>
          <w:szCs w:val="24"/>
        </w:rPr>
        <w:t>19</w:t>
      </w:r>
      <w:r w:rsidRPr="00CD1FDD">
        <w:rPr>
          <w:rFonts w:cs="Calibri"/>
          <w:noProof/>
          <w:szCs w:val="24"/>
        </w:rPr>
        <w:t>(2), 531–559.</w:t>
      </w:r>
    </w:p>
    <w:p w14:paraId="337E6054"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Williamson, O. E. (1963). Managerial discretion and business behavior. </w:t>
      </w:r>
      <w:r w:rsidRPr="00CD1FDD">
        <w:rPr>
          <w:rFonts w:cs="Calibri"/>
          <w:i/>
          <w:iCs/>
          <w:noProof/>
          <w:szCs w:val="24"/>
        </w:rPr>
        <w:t>The American Economic Review</w:t>
      </w:r>
      <w:r w:rsidRPr="00CD1FDD">
        <w:rPr>
          <w:rFonts w:cs="Calibri"/>
          <w:noProof/>
          <w:szCs w:val="24"/>
        </w:rPr>
        <w:t xml:space="preserve">, </w:t>
      </w:r>
      <w:r w:rsidRPr="00CD1FDD">
        <w:rPr>
          <w:rFonts w:cs="Calibri"/>
          <w:i/>
          <w:iCs/>
          <w:noProof/>
          <w:szCs w:val="24"/>
        </w:rPr>
        <w:t>53</w:t>
      </w:r>
      <w:r w:rsidRPr="00CD1FDD">
        <w:rPr>
          <w:rFonts w:cs="Calibri"/>
          <w:noProof/>
          <w:szCs w:val="24"/>
        </w:rPr>
        <w:t>(5), 1032–1057.</w:t>
      </w:r>
    </w:p>
    <w:p w14:paraId="12423D1A"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Wintoki, M. B., Linck, J. S., &amp; Netter, J. M. (2012). Endogeneity and the dynamics of internal corporate governance. </w:t>
      </w:r>
      <w:r w:rsidRPr="00CD1FDD">
        <w:rPr>
          <w:rFonts w:cs="Calibri"/>
          <w:i/>
          <w:iCs/>
          <w:noProof/>
          <w:szCs w:val="24"/>
        </w:rPr>
        <w:t>Journal of Financial Economics</w:t>
      </w:r>
      <w:r w:rsidRPr="00CD1FDD">
        <w:rPr>
          <w:rFonts w:cs="Calibri"/>
          <w:noProof/>
          <w:szCs w:val="24"/>
        </w:rPr>
        <w:t xml:space="preserve">, </w:t>
      </w:r>
      <w:r w:rsidRPr="00CD1FDD">
        <w:rPr>
          <w:rFonts w:cs="Calibri"/>
          <w:i/>
          <w:iCs/>
          <w:noProof/>
          <w:szCs w:val="24"/>
        </w:rPr>
        <w:t>105</w:t>
      </w:r>
      <w:r w:rsidRPr="00CD1FDD">
        <w:rPr>
          <w:rFonts w:cs="Calibri"/>
          <w:noProof/>
          <w:szCs w:val="24"/>
        </w:rPr>
        <w:t>(3), 581–606.</w:t>
      </w:r>
    </w:p>
    <w:p w14:paraId="122EC5F8"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Yip, R. W. Y., &amp; Young, D. (2012). Does mandatory IFRS adoption improve information comparability?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87</w:t>
      </w:r>
      <w:r w:rsidRPr="00CD1FDD">
        <w:rPr>
          <w:rFonts w:cs="Calibri"/>
          <w:noProof/>
          <w:szCs w:val="24"/>
        </w:rPr>
        <w:t>(5), 1767–1789.</w:t>
      </w:r>
    </w:p>
    <w:p w14:paraId="276D856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Yu, F. (2008). Analyst coverage and earnings management. </w:t>
      </w:r>
      <w:r w:rsidRPr="00CD1FDD">
        <w:rPr>
          <w:rFonts w:cs="Calibri"/>
          <w:i/>
          <w:iCs/>
          <w:noProof/>
          <w:szCs w:val="24"/>
        </w:rPr>
        <w:t>Journal of Financial Economics</w:t>
      </w:r>
      <w:r w:rsidRPr="00CD1FDD">
        <w:rPr>
          <w:rFonts w:cs="Calibri"/>
          <w:noProof/>
          <w:szCs w:val="24"/>
        </w:rPr>
        <w:t xml:space="preserve">, </w:t>
      </w:r>
      <w:r w:rsidRPr="00CD1FDD">
        <w:rPr>
          <w:rFonts w:cs="Calibri"/>
          <w:i/>
          <w:iCs/>
          <w:noProof/>
          <w:szCs w:val="24"/>
        </w:rPr>
        <w:t>88</w:t>
      </w:r>
      <w:r w:rsidRPr="00CD1FDD">
        <w:rPr>
          <w:rFonts w:cs="Calibri"/>
          <w:noProof/>
          <w:szCs w:val="24"/>
        </w:rPr>
        <w:t>(2), 245–271.</w:t>
      </w:r>
    </w:p>
    <w:p w14:paraId="2FA46145"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Yu, G., &amp; Wahid, A. S. (2014). Accounting standards and international portfolio holdings. </w:t>
      </w:r>
      <w:r w:rsidRPr="00CD1FDD">
        <w:rPr>
          <w:rFonts w:cs="Calibri"/>
          <w:i/>
          <w:iCs/>
          <w:noProof/>
          <w:szCs w:val="24"/>
        </w:rPr>
        <w:t>The Accounting Review</w:t>
      </w:r>
      <w:r w:rsidRPr="00CD1FDD">
        <w:rPr>
          <w:rFonts w:cs="Calibri"/>
          <w:noProof/>
          <w:szCs w:val="24"/>
        </w:rPr>
        <w:t xml:space="preserve">, </w:t>
      </w:r>
      <w:r w:rsidRPr="00CD1FDD">
        <w:rPr>
          <w:rFonts w:cs="Calibri"/>
          <w:i/>
          <w:iCs/>
          <w:noProof/>
          <w:szCs w:val="24"/>
        </w:rPr>
        <w:t>89</w:t>
      </w:r>
      <w:r w:rsidRPr="00CD1FDD">
        <w:rPr>
          <w:rFonts w:cs="Calibri"/>
          <w:noProof/>
          <w:szCs w:val="24"/>
        </w:rPr>
        <w:t>(5), 1895–1930.</w:t>
      </w:r>
    </w:p>
    <w:p w14:paraId="50345029"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Yuan, R., Sun, J., &amp; Cao, F. (2016). Directors’ and officers’ liability insurance and stock price crash risk. </w:t>
      </w:r>
      <w:r w:rsidRPr="00CD1FDD">
        <w:rPr>
          <w:rFonts w:cs="Calibri"/>
          <w:i/>
          <w:iCs/>
          <w:noProof/>
          <w:szCs w:val="24"/>
        </w:rPr>
        <w:t>Journal of Corporate Finance</w:t>
      </w:r>
      <w:r w:rsidRPr="00CD1FDD">
        <w:rPr>
          <w:rFonts w:cs="Calibri"/>
          <w:noProof/>
          <w:szCs w:val="24"/>
        </w:rPr>
        <w:t xml:space="preserve">, </w:t>
      </w:r>
      <w:r w:rsidRPr="00CD1FDD">
        <w:rPr>
          <w:rFonts w:cs="Calibri"/>
          <w:i/>
          <w:iCs/>
          <w:noProof/>
          <w:szCs w:val="24"/>
        </w:rPr>
        <w:t>37</w:t>
      </w:r>
      <w:r w:rsidRPr="00CD1FDD">
        <w:rPr>
          <w:rFonts w:cs="Calibri"/>
          <w:noProof/>
          <w:szCs w:val="24"/>
        </w:rPr>
        <w:t>(C), 173–192.</w:t>
      </w:r>
    </w:p>
    <w:p w14:paraId="01F4024D" w14:textId="77777777" w:rsidR="00CD1FDD" w:rsidRPr="00CD1FDD" w:rsidRDefault="00CD1FDD" w:rsidP="007B6A60">
      <w:pPr>
        <w:widowControl w:val="0"/>
        <w:autoSpaceDE w:val="0"/>
        <w:autoSpaceDN w:val="0"/>
        <w:adjustRightInd w:val="0"/>
        <w:spacing w:line="240" w:lineRule="auto"/>
        <w:ind w:left="480" w:hanging="480"/>
        <w:jc w:val="both"/>
        <w:rPr>
          <w:rFonts w:cs="Calibri"/>
          <w:noProof/>
          <w:szCs w:val="24"/>
        </w:rPr>
      </w:pPr>
      <w:r w:rsidRPr="00CD1FDD">
        <w:rPr>
          <w:rFonts w:cs="Calibri"/>
          <w:noProof/>
          <w:szCs w:val="24"/>
        </w:rPr>
        <w:t xml:space="preserve">Zhang, J. H. (2018). Accounting comparability, audit effort, and audit outcomes. </w:t>
      </w:r>
      <w:r w:rsidRPr="00CD1FDD">
        <w:rPr>
          <w:rFonts w:cs="Calibri"/>
          <w:i/>
          <w:iCs/>
          <w:noProof/>
          <w:szCs w:val="24"/>
        </w:rPr>
        <w:t>Contemporary Accounting Research</w:t>
      </w:r>
      <w:r w:rsidRPr="00CD1FDD">
        <w:rPr>
          <w:rFonts w:cs="Calibri"/>
          <w:noProof/>
          <w:szCs w:val="24"/>
        </w:rPr>
        <w:t xml:space="preserve">, </w:t>
      </w:r>
      <w:r w:rsidRPr="00CD1FDD">
        <w:rPr>
          <w:rFonts w:cs="Calibri"/>
          <w:i/>
          <w:iCs/>
          <w:noProof/>
          <w:szCs w:val="24"/>
        </w:rPr>
        <w:t>35</w:t>
      </w:r>
      <w:r w:rsidRPr="00CD1FDD">
        <w:rPr>
          <w:rFonts w:cs="Calibri"/>
          <w:noProof/>
          <w:szCs w:val="24"/>
        </w:rPr>
        <w:t>(1), 245–276.</w:t>
      </w:r>
    </w:p>
    <w:p w14:paraId="0908E971" w14:textId="77777777" w:rsidR="00CD1FDD" w:rsidRPr="00CD1FDD" w:rsidRDefault="00CD1FDD" w:rsidP="007B6A60">
      <w:pPr>
        <w:widowControl w:val="0"/>
        <w:autoSpaceDE w:val="0"/>
        <w:autoSpaceDN w:val="0"/>
        <w:adjustRightInd w:val="0"/>
        <w:spacing w:line="240" w:lineRule="auto"/>
        <w:ind w:left="480" w:hanging="480"/>
        <w:jc w:val="both"/>
        <w:rPr>
          <w:rFonts w:cs="Calibri"/>
          <w:noProof/>
        </w:rPr>
      </w:pPr>
      <w:r w:rsidRPr="00CD1FDD">
        <w:rPr>
          <w:rFonts w:cs="Calibri"/>
          <w:noProof/>
          <w:szCs w:val="24"/>
        </w:rPr>
        <w:t xml:space="preserve">Zingales, L. (2000). In search of new foundations. </w:t>
      </w:r>
      <w:r w:rsidRPr="00CD1FDD">
        <w:rPr>
          <w:rFonts w:cs="Calibri"/>
          <w:i/>
          <w:iCs/>
          <w:noProof/>
          <w:szCs w:val="24"/>
        </w:rPr>
        <w:t>The Journal of Finance</w:t>
      </w:r>
      <w:r w:rsidRPr="00CD1FDD">
        <w:rPr>
          <w:rFonts w:cs="Calibri"/>
          <w:noProof/>
          <w:szCs w:val="24"/>
        </w:rPr>
        <w:t xml:space="preserve">, </w:t>
      </w:r>
      <w:r w:rsidRPr="00CD1FDD">
        <w:rPr>
          <w:rFonts w:cs="Calibri"/>
          <w:i/>
          <w:iCs/>
          <w:noProof/>
          <w:szCs w:val="24"/>
        </w:rPr>
        <w:t>55</w:t>
      </w:r>
      <w:r w:rsidRPr="00CD1FDD">
        <w:rPr>
          <w:rFonts w:cs="Calibri"/>
          <w:noProof/>
          <w:szCs w:val="24"/>
        </w:rPr>
        <w:t>(4), 1623–1653.</w:t>
      </w:r>
    </w:p>
    <w:p w14:paraId="04EA5D30" w14:textId="77777777" w:rsidR="00A75266" w:rsidRDefault="00AF1DD9" w:rsidP="007B6A60">
      <w:pPr>
        <w:jc w:val="both"/>
      </w:pPr>
      <w:r w:rsidRPr="001E73A0">
        <w:fldChar w:fldCharType="end"/>
      </w:r>
      <w:bookmarkEnd w:id="1"/>
    </w:p>
    <w:p w14:paraId="5F515D9C" w14:textId="77777777" w:rsidR="00016D40" w:rsidRDefault="00016D40" w:rsidP="0049075E">
      <w:pPr>
        <w:jc w:val="both"/>
      </w:pPr>
    </w:p>
    <w:p w14:paraId="5E89FE0A" w14:textId="77777777" w:rsidR="007B6A60" w:rsidRDefault="007B6A60" w:rsidP="0049075E">
      <w:pPr>
        <w:jc w:val="both"/>
      </w:pPr>
    </w:p>
    <w:p w14:paraId="6EE3AC6F" w14:textId="77777777" w:rsidR="007B6A60" w:rsidRDefault="007B6A60" w:rsidP="0049075E">
      <w:pPr>
        <w:jc w:val="both"/>
      </w:pPr>
    </w:p>
    <w:p w14:paraId="2F5B0042" w14:textId="77777777" w:rsidR="007B6A60" w:rsidRDefault="007B6A60" w:rsidP="0049075E">
      <w:pPr>
        <w:jc w:val="both"/>
      </w:pPr>
    </w:p>
    <w:p w14:paraId="5125A709" w14:textId="77777777" w:rsidR="007B6A60" w:rsidRDefault="007B6A60" w:rsidP="0049075E">
      <w:pPr>
        <w:jc w:val="both"/>
      </w:pPr>
    </w:p>
    <w:p w14:paraId="2C85F3EA" w14:textId="77777777" w:rsidR="007B6A60" w:rsidRDefault="007B6A60" w:rsidP="0049075E">
      <w:pPr>
        <w:jc w:val="both"/>
      </w:pPr>
    </w:p>
    <w:p w14:paraId="29EB2436" w14:textId="77777777" w:rsidR="007B6A60" w:rsidRDefault="007B6A60" w:rsidP="0049075E">
      <w:pPr>
        <w:jc w:val="both"/>
      </w:pPr>
    </w:p>
    <w:p w14:paraId="3CD8FB0B" w14:textId="77777777" w:rsidR="007B6A60" w:rsidRDefault="007B6A60" w:rsidP="0049075E">
      <w:pPr>
        <w:jc w:val="both"/>
      </w:pPr>
    </w:p>
    <w:p w14:paraId="6B239D26" w14:textId="77777777" w:rsidR="007B6A60" w:rsidRDefault="007B6A60" w:rsidP="0049075E">
      <w:pPr>
        <w:jc w:val="both"/>
      </w:pPr>
    </w:p>
    <w:p w14:paraId="5050B7EF" w14:textId="77777777" w:rsidR="007B6A60" w:rsidRDefault="007B6A60" w:rsidP="0049075E">
      <w:pPr>
        <w:jc w:val="both"/>
      </w:pPr>
    </w:p>
    <w:p w14:paraId="43AD32DA" w14:textId="77777777" w:rsidR="007B6A60" w:rsidRDefault="007B6A60" w:rsidP="0049075E">
      <w:pPr>
        <w:jc w:val="both"/>
      </w:pPr>
    </w:p>
    <w:p w14:paraId="6684A5AB" w14:textId="77777777" w:rsidR="007B6A60" w:rsidRDefault="007B6A60" w:rsidP="0049075E">
      <w:pPr>
        <w:jc w:val="both"/>
      </w:pPr>
    </w:p>
    <w:p w14:paraId="09D46E1C" w14:textId="77777777" w:rsidR="007B6A60" w:rsidRDefault="007B6A60" w:rsidP="0049075E">
      <w:pPr>
        <w:jc w:val="both"/>
      </w:pPr>
    </w:p>
    <w:p w14:paraId="3590EB9C" w14:textId="77777777" w:rsidR="007B6A60" w:rsidRDefault="007B6A60" w:rsidP="0049075E">
      <w:pPr>
        <w:jc w:val="both"/>
      </w:pPr>
    </w:p>
    <w:p w14:paraId="13AB856F" w14:textId="77777777" w:rsidR="007B6A60" w:rsidRDefault="007B6A60" w:rsidP="0049075E">
      <w:pPr>
        <w:jc w:val="both"/>
      </w:pPr>
    </w:p>
    <w:p w14:paraId="25A1E44F" w14:textId="77777777" w:rsidR="008D2AAB" w:rsidRDefault="008D2AAB" w:rsidP="0049075E">
      <w:pPr>
        <w:jc w:val="both"/>
      </w:pPr>
    </w:p>
    <w:p w14:paraId="4EC06EBC" w14:textId="77777777" w:rsidR="008D2AAB" w:rsidRDefault="008D2AAB" w:rsidP="0049075E">
      <w:pPr>
        <w:jc w:val="both"/>
      </w:pPr>
    </w:p>
    <w:p w14:paraId="4764F970" w14:textId="77777777" w:rsidR="008D2AAB" w:rsidRDefault="008D2AAB" w:rsidP="0049075E">
      <w:pPr>
        <w:jc w:val="both"/>
      </w:pPr>
    </w:p>
    <w:p w14:paraId="15F20B04" w14:textId="77777777" w:rsidR="003C6C9D" w:rsidRDefault="003C6C9D" w:rsidP="0049075E">
      <w:pPr>
        <w:jc w:val="both"/>
      </w:pPr>
    </w:p>
    <w:p w14:paraId="019D64F6" w14:textId="77777777" w:rsidR="003C6C9D" w:rsidRDefault="003C6C9D" w:rsidP="0049075E">
      <w:pPr>
        <w:jc w:val="both"/>
      </w:pPr>
    </w:p>
    <w:p w14:paraId="0E36CFF1" w14:textId="77777777" w:rsidR="003C6C9D" w:rsidRDefault="003C6C9D" w:rsidP="0049075E">
      <w:pPr>
        <w:jc w:val="both"/>
      </w:pPr>
    </w:p>
    <w:p w14:paraId="67D40839" w14:textId="77777777" w:rsidR="003C6C9D" w:rsidRDefault="003C6C9D" w:rsidP="0049075E">
      <w:pPr>
        <w:jc w:val="both"/>
      </w:pPr>
    </w:p>
    <w:p w14:paraId="040A9C63" w14:textId="77777777" w:rsidR="00240BE9" w:rsidRDefault="00240BE9" w:rsidP="0049075E">
      <w:pPr>
        <w:jc w:val="both"/>
      </w:pPr>
      <w:bookmarkStart w:id="2" w:name="_GoBack"/>
      <w:bookmarkEnd w:id="2"/>
    </w:p>
    <w:p w14:paraId="4C4C5679" w14:textId="77777777" w:rsidR="003C6C9D" w:rsidRDefault="003C6C9D" w:rsidP="0049075E">
      <w:pPr>
        <w:jc w:val="both"/>
      </w:pPr>
    </w:p>
    <w:p w14:paraId="279E475C" w14:textId="77777777" w:rsidR="003C6C9D" w:rsidRDefault="003C6C9D" w:rsidP="0049075E">
      <w:pPr>
        <w:jc w:val="both"/>
      </w:pPr>
    </w:p>
    <w:p w14:paraId="4F81235B" w14:textId="77777777" w:rsidR="00016D40" w:rsidRDefault="00016D40" w:rsidP="0049075E">
      <w:pPr>
        <w:jc w:val="both"/>
      </w:pPr>
    </w:p>
    <w:p w14:paraId="3F2F6BC7" w14:textId="77777777" w:rsidR="00016D40" w:rsidRPr="00CA1166" w:rsidRDefault="00016D40" w:rsidP="00016D40">
      <w:pPr>
        <w:jc w:val="both"/>
      </w:pPr>
      <w:r w:rsidRPr="00CA1166">
        <w:rPr>
          <w:b/>
        </w:rPr>
        <w:t>Table 1</w:t>
      </w:r>
      <w:r w:rsidRPr="00CA1166">
        <w:t>. Sample Selection and Descriptive Statistics</w:t>
      </w:r>
    </w:p>
    <w:p w14:paraId="194699E5" w14:textId="77777777" w:rsidR="00016D40" w:rsidRPr="00CA1166" w:rsidRDefault="00016D40" w:rsidP="00016D40"/>
    <w:p w14:paraId="448AAF8C" w14:textId="77777777" w:rsidR="00016D40" w:rsidRPr="00CA1166" w:rsidRDefault="00016D40" w:rsidP="00016D40">
      <w:r w:rsidRPr="00CA1166">
        <w:rPr>
          <w:b/>
        </w:rPr>
        <w:t>Panel A</w:t>
      </w:r>
      <w:r w:rsidRPr="00CA1166">
        <w:t>: Sample Selection</w:t>
      </w:r>
    </w:p>
    <w:tbl>
      <w:tblPr>
        <w:tblW w:w="5000" w:type="pct"/>
        <w:tblBorders>
          <w:top w:val="single" w:sz="18" w:space="0" w:color="auto"/>
        </w:tblBorders>
        <w:tblLook w:val="04A0" w:firstRow="1" w:lastRow="0" w:firstColumn="1" w:lastColumn="0" w:noHBand="0" w:noVBand="1"/>
      </w:tblPr>
      <w:tblGrid>
        <w:gridCol w:w="7743"/>
        <w:gridCol w:w="1283"/>
      </w:tblGrid>
      <w:tr w:rsidR="00016D40" w:rsidRPr="00CA1166" w14:paraId="63EC4F25" w14:textId="77777777" w:rsidTr="00CD1FDD">
        <w:trPr>
          <w:trHeight w:val="161"/>
        </w:trPr>
        <w:tc>
          <w:tcPr>
            <w:tcW w:w="4289" w:type="pct"/>
            <w:tcBorders>
              <w:bottom w:val="single" w:sz="4" w:space="0" w:color="auto"/>
            </w:tcBorders>
            <w:shd w:val="clear" w:color="auto" w:fill="auto"/>
            <w:noWrap/>
            <w:hideMark/>
          </w:tcPr>
          <w:p w14:paraId="177D6108" w14:textId="77777777" w:rsidR="00016D40" w:rsidRPr="00CA1166" w:rsidRDefault="00016D40" w:rsidP="00CD1FDD">
            <w:pPr>
              <w:spacing w:after="0" w:line="240" w:lineRule="auto"/>
            </w:pPr>
          </w:p>
        </w:tc>
        <w:tc>
          <w:tcPr>
            <w:tcW w:w="711" w:type="pct"/>
            <w:tcBorders>
              <w:bottom w:val="single" w:sz="4" w:space="0" w:color="auto"/>
            </w:tcBorders>
            <w:shd w:val="clear" w:color="auto" w:fill="auto"/>
            <w:noWrap/>
            <w:vAlign w:val="center"/>
            <w:hideMark/>
          </w:tcPr>
          <w:p w14:paraId="40003B36" w14:textId="77777777" w:rsidR="00016D40" w:rsidRPr="00CA1166" w:rsidRDefault="00016D40" w:rsidP="00CD1FDD">
            <w:pPr>
              <w:spacing w:after="0" w:line="240" w:lineRule="auto"/>
              <w:jc w:val="center"/>
              <w:rPr>
                <w:b/>
                <w:bCs/>
              </w:rPr>
            </w:pPr>
            <w:r w:rsidRPr="00CA1166">
              <w:rPr>
                <w:b/>
                <w:bCs/>
              </w:rPr>
              <w:t>Obs.</w:t>
            </w:r>
          </w:p>
        </w:tc>
      </w:tr>
      <w:tr w:rsidR="00016D40" w:rsidRPr="00CA1166" w14:paraId="77B92731" w14:textId="77777777" w:rsidTr="00CD1FDD">
        <w:trPr>
          <w:trHeight w:val="483"/>
        </w:trPr>
        <w:tc>
          <w:tcPr>
            <w:tcW w:w="4289" w:type="pct"/>
            <w:tcBorders>
              <w:top w:val="single" w:sz="4" w:space="0" w:color="auto"/>
            </w:tcBorders>
            <w:shd w:val="clear" w:color="auto" w:fill="auto"/>
            <w:vAlign w:val="center"/>
            <w:hideMark/>
          </w:tcPr>
          <w:p w14:paraId="7BA5380C" w14:textId="77777777" w:rsidR="00016D40" w:rsidRPr="00CA1166" w:rsidRDefault="00016D40" w:rsidP="00CD1FDD">
            <w:pPr>
              <w:spacing w:after="0" w:line="240" w:lineRule="auto"/>
            </w:pPr>
            <w:r w:rsidRPr="00CA1166">
              <w:t xml:space="preserve">Total number of firm-year observations from 1983 to 2015 </w:t>
            </w:r>
            <w:r w:rsidRPr="00CA1166">
              <w:br/>
              <w:t>with the necessary information to estimate the expected level of net hiring</w:t>
            </w:r>
          </w:p>
        </w:tc>
        <w:tc>
          <w:tcPr>
            <w:tcW w:w="711" w:type="pct"/>
            <w:tcBorders>
              <w:top w:val="single" w:sz="4" w:space="0" w:color="auto"/>
            </w:tcBorders>
            <w:shd w:val="clear" w:color="auto" w:fill="auto"/>
            <w:noWrap/>
            <w:vAlign w:val="center"/>
            <w:hideMark/>
          </w:tcPr>
          <w:p w14:paraId="0C641CFF" w14:textId="77777777" w:rsidR="00016D40" w:rsidRPr="00CA1166" w:rsidRDefault="00016D40" w:rsidP="00CD1FDD">
            <w:pPr>
              <w:spacing w:after="0" w:line="240" w:lineRule="auto"/>
              <w:jc w:val="center"/>
            </w:pPr>
            <w:r w:rsidRPr="00CA1166">
              <w:t>147,214</w:t>
            </w:r>
          </w:p>
        </w:tc>
      </w:tr>
      <w:tr w:rsidR="00016D40" w:rsidRPr="00CA1166" w14:paraId="4BF58023" w14:textId="77777777" w:rsidTr="00CD1FDD">
        <w:trPr>
          <w:trHeight w:val="161"/>
        </w:trPr>
        <w:tc>
          <w:tcPr>
            <w:tcW w:w="4289" w:type="pct"/>
            <w:shd w:val="clear" w:color="auto" w:fill="auto"/>
            <w:noWrap/>
            <w:vAlign w:val="center"/>
            <w:hideMark/>
          </w:tcPr>
          <w:p w14:paraId="15218AB9" w14:textId="77777777" w:rsidR="00016D40" w:rsidRPr="00CA1166" w:rsidRDefault="00016D40" w:rsidP="00CD1FDD">
            <w:pPr>
              <w:spacing w:after="0" w:line="240" w:lineRule="auto"/>
            </w:pPr>
            <w:r w:rsidRPr="00CA1166">
              <w:t>Less: missing values for comparability proxies</w:t>
            </w:r>
          </w:p>
        </w:tc>
        <w:tc>
          <w:tcPr>
            <w:tcW w:w="711" w:type="pct"/>
            <w:tcBorders>
              <w:bottom w:val="nil"/>
            </w:tcBorders>
            <w:shd w:val="clear" w:color="auto" w:fill="auto"/>
            <w:noWrap/>
            <w:vAlign w:val="center"/>
            <w:hideMark/>
          </w:tcPr>
          <w:p w14:paraId="42D3A1DD" w14:textId="77777777" w:rsidR="00016D40" w:rsidRPr="00CA1166" w:rsidRDefault="00016D40" w:rsidP="00CD1FDD">
            <w:pPr>
              <w:spacing w:after="0" w:line="240" w:lineRule="auto"/>
              <w:jc w:val="center"/>
            </w:pPr>
            <w:r w:rsidRPr="00CA1166">
              <w:t>(85,225)</w:t>
            </w:r>
          </w:p>
        </w:tc>
      </w:tr>
      <w:tr w:rsidR="00016D40" w:rsidRPr="00CA1166" w14:paraId="03AB9309" w14:textId="77777777" w:rsidTr="00CD1FDD">
        <w:trPr>
          <w:trHeight w:val="161"/>
        </w:trPr>
        <w:tc>
          <w:tcPr>
            <w:tcW w:w="4289" w:type="pct"/>
            <w:shd w:val="clear" w:color="auto" w:fill="auto"/>
            <w:vAlign w:val="center"/>
            <w:hideMark/>
          </w:tcPr>
          <w:p w14:paraId="2441AB4A" w14:textId="77777777" w:rsidR="00016D40" w:rsidRPr="00CA1166" w:rsidRDefault="00016D40" w:rsidP="00CD1FDD">
            <w:pPr>
              <w:spacing w:after="0" w:line="240" w:lineRule="auto"/>
            </w:pPr>
            <w:r w:rsidRPr="00CA1166">
              <w:t>Less: missing values for the control variables used in our analyses</w:t>
            </w:r>
          </w:p>
        </w:tc>
        <w:tc>
          <w:tcPr>
            <w:tcW w:w="711" w:type="pct"/>
            <w:tcBorders>
              <w:top w:val="nil"/>
              <w:bottom w:val="nil"/>
            </w:tcBorders>
            <w:shd w:val="clear" w:color="auto" w:fill="auto"/>
            <w:noWrap/>
            <w:vAlign w:val="center"/>
            <w:hideMark/>
          </w:tcPr>
          <w:p w14:paraId="0654F0EE" w14:textId="77777777" w:rsidR="00016D40" w:rsidRPr="00CA1166" w:rsidRDefault="00016D40" w:rsidP="00CD1FDD">
            <w:pPr>
              <w:spacing w:after="0" w:line="240" w:lineRule="auto"/>
              <w:jc w:val="center"/>
            </w:pPr>
            <w:r w:rsidRPr="00CA1166">
              <w:t>(7,388)</w:t>
            </w:r>
          </w:p>
        </w:tc>
      </w:tr>
      <w:tr w:rsidR="00016D40" w:rsidRPr="00CA1166" w14:paraId="0C7FCF14" w14:textId="77777777" w:rsidTr="00CD1FDD">
        <w:trPr>
          <w:trHeight w:val="161"/>
        </w:trPr>
        <w:tc>
          <w:tcPr>
            <w:tcW w:w="4289" w:type="pct"/>
            <w:shd w:val="clear" w:color="auto" w:fill="auto"/>
            <w:vAlign w:val="center"/>
            <w:hideMark/>
          </w:tcPr>
          <w:p w14:paraId="68347910" w14:textId="77777777" w:rsidR="00016D40" w:rsidRPr="00CA1166" w:rsidRDefault="00016D40" w:rsidP="00CD1FDD">
            <w:pPr>
              <w:spacing w:after="0" w:line="240" w:lineRule="auto"/>
            </w:pPr>
          </w:p>
        </w:tc>
        <w:tc>
          <w:tcPr>
            <w:tcW w:w="711" w:type="pct"/>
            <w:tcBorders>
              <w:top w:val="nil"/>
              <w:bottom w:val="nil"/>
            </w:tcBorders>
            <w:shd w:val="clear" w:color="auto" w:fill="auto"/>
            <w:noWrap/>
            <w:vAlign w:val="center"/>
            <w:hideMark/>
          </w:tcPr>
          <w:p w14:paraId="40154EE0" w14:textId="77777777" w:rsidR="00016D40" w:rsidRPr="00CA1166" w:rsidRDefault="00016D40" w:rsidP="00CD1FDD">
            <w:pPr>
              <w:spacing w:after="0" w:line="240" w:lineRule="auto"/>
              <w:jc w:val="center"/>
            </w:pPr>
          </w:p>
        </w:tc>
      </w:tr>
      <w:tr w:rsidR="00016D40" w:rsidRPr="00CA1166" w14:paraId="1A19EF30" w14:textId="77777777" w:rsidTr="00CD1FDD">
        <w:trPr>
          <w:trHeight w:val="161"/>
        </w:trPr>
        <w:tc>
          <w:tcPr>
            <w:tcW w:w="4289" w:type="pct"/>
            <w:shd w:val="clear" w:color="auto" w:fill="auto"/>
            <w:noWrap/>
            <w:vAlign w:val="center"/>
            <w:hideMark/>
          </w:tcPr>
          <w:p w14:paraId="1E37F4BB" w14:textId="77777777" w:rsidR="00016D40" w:rsidRPr="00CA1166" w:rsidRDefault="00016D40" w:rsidP="00CD1FDD">
            <w:pPr>
              <w:spacing w:after="0" w:line="240" w:lineRule="auto"/>
            </w:pPr>
            <w:r w:rsidRPr="00CA1166">
              <w:t>Final sample</w:t>
            </w:r>
          </w:p>
        </w:tc>
        <w:tc>
          <w:tcPr>
            <w:tcW w:w="711" w:type="pct"/>
            <w:tcBorders>
              <w:top w:val="nil"/>
              <w:bottom w:val="nil"/>
            </w:tcBorders>
            <w:shd w:val="clear" w:color="auto" w:fill="auto"/>
            <w:noWrap/>
            <w:vAlign w:val="center"/>
            <w:hideMark/>
          </w:tcPr>
          <w:p w14:paraId="63B461D4" w14:textId="77777777" w:rsidR="00016D40" w:rsidRPr="00CA1166" w:rsidRDefault="00016D40" w:rsidP="00CD1FDD">
            <w:pPr>
              <w:spacing w:after="0" w:line="240" w:lineRule="auto"/>
              <w:jc w:val="center"/>
            </w:pPr>
            <w:r w:rsidRPr="00CA1166">
              <w:t>54,601</w:t>
            </w:r>
          </w:p>
        </w:tc>
      </w:tr>
      <w:tr w:rsidR="00016D40" w:rsidRPr="00CA1166" w14:paraId="58DB7344" w14:textId="77777777" w:rsidTr="00CD1FDD">
        <w:trPr>
          <w:trHeight w:val="161"/>
        </w:trPr>
        <w:tc>
          <w:tcPr>
            <w:tcW w:w="4289" w:type="pct"/>
            <w:shd w:val="clear" w:color="auto" w:fill="auto"/>
            <w:noWrap/>
            <w:vAlign w:val="center"/>
            <w:hideMark/>
          </w:tcPr>
          <w:p w14:paraId="6FF9D0DD" w14:textId="77777777" w:rsidR="00016D40" w:rsidRPr="00CA1166" w:rsidRDefault="00016D40" w:rsidP="00CD1FDD">
            <w:pPr>
              <w:spacing w:after="0" w:line="240" w:lineRule="auto"/>
            </w:pPr>
          </w:p>
        </w:tc>
        <w:tc>
          <w:tcPr>
            <w:tcW w:w="711" w:type="pct"/>
            <w:tcBorders>
              <w:top w:val="nil"/>
            </w:tcBorders>
            <w:shd w:val="clear" w:color="auto" w:fill="auto"/>
            <w:noWrap/>
            <w:vAlign w:val="center"/>
            <w:hideMark/>
          </w:tcPr>
          <w:p w14:paraId="5DCE929D" w14:textId="77777777" w:rsidR="00016D40" w:rsidRPr="00CA1166" w:rsidRDefault="00016D40" w:rsidP="00CD1FDD">
            <w:pPr>
              <w:spacing w:after="0" w:line="240" w:lineRule="auto"/>
              <w:jc w:val="center"/>
            </w:pPr>
          </w:p>
        </w:tc>
      </w:tr>
      <w:tr w:rsidR="00016D40" w:rsidRPr="00CA1166" w14:paraId="05F868C4" w14:textId="77777777" w:rsidTr="00CD1FDD">
        <w:trPr>
          <w:trHeight w:val="161"/>
        </w:trPr>
        <w:tc>
          <w:tcPr>
            <w:tcW w:w="4289" w:type="pct"/>
            <w:tcBorders>
              <w:bottom w:val="single" w:sz="18" w:space="0" w:color="auto"/>
            </w:tcBorders>
            <w:shd w:val="clear" w:color="auto" w:fill="auto"/>
            <w:vAlign w:val="center"/>
            <w:hideMark/>
          </w:tcPr>
          <w:p w14:paraId="75E1D68F" w14:textId="77777777" w:rsidR="00016D40" w:rsidRPr="00CA1166" w:rsidRDefault="00016D40" w:rsidP="00CD1FDD">
            <w:pPr>
              <w:spacing w:after="0" w:line="240" w:lineRule="auto"/>
            </w:pPr>
            <w:r w:rsidRPr="00CA1166">
              <w:t>Number of firms</w:t>
            </w:r>
          </w:p>
        </w:tc>
        <w:tc>
          <w:tcPr>
            <w:tcW w:w="711" w:type="pct"/>
            <w:tcBorders>
              <w:bottom w:val="single" w:sz="18" w:space="0" w:color="auto"/>
            </w:tcBorders>
            <w:shd w:val="clear" w:color="auto" w:fill="auto"/>
            <w:noWrap/>
            <w:vAlign w:val="center"/>
            <w:hideMark/>
          </w:tcPr>
          <w:p w14:paraId="73F12A80" w14:textId="77777777" w:rsidR="00016D40" w:rsidRPr="00CA1166" w:rsidRDefault="00016D40" w:rsidP="00CD1FDD">
            <w:pPr>
              <w:spacing w:after="0" w:line="240" w:lineRule="auto"/>
              <w:jc w:val="center"/>
            </w:pPr>
            <w:r w:rsidRPr="00CA1166">
              <w:t>6,295</w:t>
            </w:r>
          </w:p>
        </w:tc>
      </w:tr>
    </w:tbl>
    <w:p w14:paraId="25D7C8D9" w14:textId="77777777" w:rsidR="00016D40" w:rsidRDefault="00016D40" w:rsidP="00016D40"/>
    <w:p w14:paraId="6240F5A9" w14:textId="77777777" w:rsidR="00016D40" w:rsidRPr="00CA1166" w:rsidRDefault="00016D40" w:rsidP="00016D40"/>
    <w:p w14:paraId="711D4383" w14:textId="77777777" w:rsidR="00016D40" w:rsidRPr="00CA1166" w:rsidRDefault="00016D40" w:rsidP="00016D40">
      <w:r w:rsidRPr="00CA1166">
        <w:rPr>
          <w:b/>
        </w:rPr>
        <w:t>Panel B</w:t>
      </w:r>
      <w:r w:rsidRPr="00CA1166">
        <w:t>: Descriptive Statistics</w:t>
      </w:r>
    </w:p>
    <w:tbl>
      <w:tblPr>
        <w:tblW w:w="5033" w:type="pct"/>
        <w:jc w:val="center"/>
        <w:tblLook w:val="04A0" w:firstRow="1" w:lastRow="0" w:firstColumn="1" w:lastColumn="0" w:noHBand="0" w:noVBand="1"/>
      </w:tblPr>
      <w:tblGrid>
        <w:gridCol w:w="2344"/>
        <w:gridCol w:w="1072"/>
        <w:gridCol w:w="1072"/>
        <w:gridCol w:w="1385"/>
        <w:gridCol w:w="1072"/>
        <w:gridCol w:w="1072"/>
        <w:gridCol w:w="1069"/>
      </w:tblGrid>
      <w:tr w:rsidR="00016D40" w:rsidRPr="00CA1166" w14:paraId="760EA124" w14:textId="77777777" w:rsidTr="00CD1FDD">
        <w:trPr>
          <w:trHeight w:val="270"/>
          <w:jc w:val="center"/>
        </w:trPr>
        <w:tc>
          <w:tcPr>
            <w:tcW w:w="1290" w:type="pct"/>
            <w:tcBorders>
              <w:top w:val="single" w:sz="18" w:space="0" w:color="auto"/>
              <w:left w:val="nil"/>
              <w:bottom w:val="single" w:sz="4" w:space="0" w:color="auto"/>
              <w:right w:val="nil"/>
            </w:tcBorders>
            <w:shd w:val="clear" w:color="auto" w:fill="auto"/>
            <w:noWrap/>
            <w:vAlign w:val="center"/>
            <w:hideMark/>
          </w:tcPr>
          <w:p w14:paraId="0AB3E0BE"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590" w:type="pct"/>
            <w:tcBorders>
              <w:top w:val="single" w:sz="18" w:space="0" w:color="auto"/>
              <w:left w:val="nil"/>
              <w:bottom w:val="single" w:sz="4" w:space="0" w:color="auto"/>
              <w:right w:val="nil"/>
            </w:tcBorders>
            <w:shd w:val="clear" w:color="auto" w:fill="auto"/>
            <w:noWrap/>
            <w:vAlign w:val="center"/>
            <w:hideMark/>
          </w:tcPr>
          <w:p w14:paraId="31C19F15"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Obs.</w:t>
            </w:r>
          </w:p>
        </w:tc>
        <w:tc>
          <w:tcPr>
            <w:tcW w:w="590" w:type="pct"/>
            <w:tcBorders>
              <w:top w:val="single" w:sz="18" w:space="0" w:color="auto"/>
              <w:left w:val="nil"/>
              <w:bottom w:val="single" w:sz="4" w:space="0" w:color="auto"/>
              <w:right w:val="nil"/>
            </w:tcBorders>
            <w:shd w:val="clear" w:color="auto" w:fill="auto"/>
            <w:noWrap/>
            <w:vAlign w:val="center"/>
            <w:hideMark/>
          </w:tcPr>
          <w:p w14:paraId="6C00BC19"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Mean</w:t>
            </w:r>
          </w:p>
        </w:tc>
        <w:tc>
          <w:tcPr>
            <w:tcW w:w="762" w:type="pct"/>
            <w:tcBorders>
              <w:top w:val="single" w:sz="18" w:space="0" w:color="auto"/>
              <w:left w:val="nil"/>
              <w:bottom w:val="single" w:sz="4" w:space="0" w:color="auto"/>
              <w:right w:val="nil"/>
            </w:tcBorders>
            <w:shd w:val="clear" w:color="auto" w:fill="auto"/>
            <w:noWrap/>
            <w:vAlign w:val="center"/>
            <w:hideMark/>
          </w:tcPr>
          <w:p w14:paraId="733CF241"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Std.dev</w:t>
            </w:r>
          </w:p>
        </w:tc>
        <w:tc>
          <w:tcPr>
            <w:tcW w:w="590" w:type="pct"/>
            <w:tcBorders>
              <w:top w:val="single" w:sz="18" w:space="0" w:color="auto"/>
              <w:left w:val="nil"/>
              <w:bottom w:val="single" w:sz="4" w:space="0" w:color="auto"/>
              <w:right w:val="nil"/>
            </w:tcBorders>
            <w:shd w:val="clear" w:color="auto" w:fill="auto"/>
            <w:noWrap/>
            <w:vAlign w:val="center"/>
            <w:hideMark/>
          </w:tcPr>
          <w:p w14:paraId="0426AC77"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Q1</w:t>
            </w:r>
          </w:p>
        </w:tc>
        <w:tc>
          <w:tcPr>
            <w:tcW w:w="590" w:type="pct"/>
            <w:tcBorders>
              <w:top w:val="single" w:sz="18" w:space="0" w:color="auto"/>
              <w:left w:val="nil"/>
              <w:bottom w:val="single" w:sz="4" w:space="0" w:color="auto"/>
              <w:right w:val="nil"/>
            </w:tcBorders>
            <w:shd w:val="clear" w:color="auto" w:fill="auto"/>
            <w:noWrap/>
            <w:vAlign w:val="center"/>
            <w:hideMark/>
          </w:tcPr>
          <w:p w14:paraId="5AB306A7"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Median</w:t>
            </w:r>
          </w:p>
        </w:tc>
        <w:tc>
          <w:tcPr>
            <w:tcW w:w="588" w:type="pct"/>
            <w:tcBorders>
              <w:top w:val="single" w:sz="18" w:space="0" w:color="auto"/>
              <w:left w:val="nil"/>
              <w:bottom w:val="single" w:sz="4" w:space="0" w:color="auto"/>
              <w:right w:val="nil"/>
            </w:tcBorders>
            <w:shd w:val="clear" w:color="auto" w:fill="auto"/>
            <w:noWrap/>
            <w:vAlign w:val="center"/>
            <w:hideMark/>
          </w:tcPr>
          <w:p w14:paraId="21132211"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Q3</w:t>
            </w:r>
          </w:p>
        </w:tc>
      </w:tr>
      <w:tr w:rsidR="00016D40" w:rsidRPr="00CA1166" w14:paraId="1D60928C" w14:textId="77777777" w:rsidTr="00CD1FDD">
        <w:trPr>
          <w:trHeight w:val="270"/>
          <w:jc w:val="center"/>
        </w:trPr>
        <w:tc>
          <w:tcPr>
            <w:tcW w:w="1290" w:type="pct"/>
            <w:tcBorders>
              <w:top w:val="single" w:sz="4" w:space="0" w:color="auto"/>
              <w:left w:val="nil"/>
              <w:bottom w:val="nil"/>
              <w:right w:val="nil"/>
            </w:tcBorders>
            <w:shd w:val="clear" w:color="auto" w:fill="auto"/>
            <w:noWrap/>
            <w:vAlign w:val="center"/>
            <w:hideMark/>
          </w:tcPr>
          <w:p w14:paraId="2A48E069" w14:textId="77777777" w:rsidR="00016D40" w:rsidRPr="00011CAD" w:rsidRDefault="00016D40" w:rsidP="00CD1FDD">
            <w:pPr>
              <w:spacing w:after="0" w:line="240" w:lineRule="auto"/>
              <w:rPr>
                <w:rFonts w:eastAsia="Times New Roman" w:cs="Calibri"/>
                <w:color w:val="000000"/>
                <w:sz w:val="20"/>
                <w:szCs w:val="20"/>
                <w:lang w:val="de-DE"/>
              </w:rPr>
            </w:pPr>
            <w:r w:rsidRPr="00CA1166">
              <w:rPr>
                <w:rFonts w:eastAsia="Times New Roman" w:cs="Calibri"/>
                <w:color w:val="000000"/>
                <w:sz w:val="20"/>
                <w:szCs w:val="20"/>
                <w:lang w:val="de-DE"/>
              </w:rPr>
              <w:t>|</w:t>
            </w:r>
            <w:r w:rsidRPr="00CA1166">
              <w:rPr>
                <w:rFonts w:eastAsia="Times New Roman" w:cs="Calibri"/>
                <w:i/>
                <w:iCs/>
                <w:color w:val="000000"/>
                <w:sz w:val="20"/>
                <w:szCs w:val="20"/>
                <w:lang w:val="de-DE"/>
              </w:rPr>
              <w:t>Ab_Net_Hiring</w:t>
            </w:r>
            <w:r w:rsidRPr="00CA1166">
              <w:rPr>
                <w:rFonts w:eastAsia="Times New Roman" w:cs="Calibri"/>
                <w:color w:val="000000"/>
                <w:sz w:val="20"/>
                <w:szCs w:val="20"/>
                <w:lang w:val="de-DE"/>
              </w:rPr>
              <w:t>|</w:t>
            </w:r>
            <w:r w:rsidRPr="00CA1166">
              <w:rPr>
                <w:rFonts w:eastAsia="Times New Roman" w:cs="Calibri"/>
                <w:i/>
                <w:iCs/>
                <w:color w:val="000000"/>
                <w:sz w:val="20"/>
                <w:szCs w:val="20"/>
                <w:vertAlign w:val="subscript"/>
                <w:lang w:val="de-DE"/>
              </w:rPr>
              <w:t>i,t</w:t>
            </w:r>
          </w:p>
        </w:tc>
        <w:tc>
          <w:tcPr>
            <w:tcW w:w="590" w:type="pct"/>
            <w:tcBorders>
              <w:top w:val="single" w:sz="4" w:space="0" w:color="auto"/>
              <w:left w:val="nil"/>
              <w:bottom w:val="nil"/>
              <w:right w:val="nil"/>
            </w:tcBorders>
            <w:shd w:val="clear" w:color="auto" w:fill="auto"/>
            <w:noWrap/>
            <w:vAlign w:val="center"/>
            <w:hideMark/>
          </w:tcPr>
          <w:p w14:paraId="48D5D93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single" w:sz="4" w:space="0" w:color="auto"/>
              <w:left w:val="nil"/>
              <w:bottom w:val="nil"/>
              <w:right w:val="nil"/>
            </w:tcBorders>
            <w:shd w:val="clear" w:color="auto" w:fill="auto"/>
            <w:noWrap/>
            <w:vAlign w:val="center"/>
            <w:hideMark/>
          </w:tcPr>
          <w:p w14:paraId="4EFAC7E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0.160</w:t>
            </w:r>
          </w:p>
        </w:tc>
        <w:tc>
          <w:tcPr>
            <w:tcW w:w="762" w:type="pct"/>
            <w:tcBorders>
              <w:top w:val="single" w:sz="4" w:space="0" w:color="auto"/>
              <w:left w:val="nil"/>
              <w:bottom w:val="nil"/>
              <w:right w:val="nil"/>
            </w:tcBorders>
            <w:shd w:val="clear" w:color="auto" w:fill="auto"/>
            <w:noWrap/>
            <w:vAlign w:val="center"/>
            <w:hideMark/>
          </w:tcPr>
          <w:p w14:paraId="05D2E5B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0.267</w:t>
            </w:r>
          </w:p>
        </w:tc>
        <w:tc>
          <w:tcPr>
            <w:tcW w:w="590" w:type="pct"/>
            <w:tcBorders>
              <w:top w:val="single" w:sz="4" w:space="0" w:color="auto"/>
              <w:left w:val="nil"/>
              <w:bottom w:val="nil"/>
              <w:right w:val="nil"/>
            </w:tcBorders>
            <w:shd w:val="clear" w:color="auto" w:fill="auto"/>
            <w:noWrap/>
            <w:vAlign w:val="center"/>
            <w:hideMark/>
          </w:tcPr>
          <w:p w14:paraId="06C39BA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0.043</w:t>
            </w:r>
          </w:p>
        </w:tc>
        <w:tc>
          <w:tcPr>
            <w:tcW w:w="590" w:type="pct"/>
            <w:tcBorders>
              <w:top w:val="single" w:sz="4" w:space="0" w:color="auto"/>
              <w:left w:val="nil"/>
              <w:bottom w:val="nil"/>
              <w:right w:val="nil"/>
            </w:tcBorders>
            <w:shd w:val="clear" w:color="auto" w:fill="auto"/>
            <w:noWrap/>
            <w:vAlign w:val="center"/>
            <w:hideMark/>
          </w:tcPr>
          <w:p w14:paraId="193777B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0.092</w:t>
            </w:r>
          </w:p>
        </w:tc>
        <w:tc>
          <w:tcPr>
            <w:tcW w:w="588" w:type="pct"/>
            <w:tcBorders>
              <w:top w:val="single" w:sz="4" w:space="0" w:color="auto"/>
              <w:left w:val="nil"/>
              <w:bottom w:val="nil"/>
              <w:right w:val="nil"/>
            </w:tcBorders>
            <w:shd w:val="clear" w:color="auto" w:fill="auto"/>
            <w:noWrap/>
            <w:vAlign w:val="center"/>
            <w:hideMark/>
          </w:tcPr>
          <w:p w14:paraId="7FF9633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0.176</w:t>
            </w:r>
          </w:p>
        </w:tc>
      </w:tr>
      <w:tr w:rsidR="00016D40" w:rsidRPr="00CA1166" w14:paraId="21F90401"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1CE2BCA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416D456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180CC40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-0.026</w:t>
            </w:r>
          </w:p>
        </w:tc>
        <w:tc>
          <w:tcPr>
            <w:tcW w:w="762" w:type="pct"/>
            <w:tcBorders>
              <w:top w:val="nil"/>
              <w:left w:val="nil"/>
              <w:bottom w:val="nil"/>
              <w:right w:val="nil"/>
            </w:tcBorders>
            <w:shd w:val="clear" w:color="auto" w:fill="auto"/>
            <w:noWrap/>
            <w:vAlign w:val="center"/>
            <w:hideMark/>
          </w:tcPr>
          <w:p w14:paraId="3CCA310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0.026</w:t>
            </w:r>
          </w:p>
        </w:tc>
        <w:tc>
          <w:tcPr>
            <w:tcW w:w="590" w:type="pct"/>
            <w:tcBorders>
              <w:top w:val="nil"/>
              <w:left w:val="nil"/>
              <w:bottom w:val="nil"/>
              <w:right w:val="nil"/>
            </w:tcBorders>
            <w:shd w:val="clear" w:color="auto" w:fill="auto"/>
            <w:noWrap/>
            <w:vAlign w:val="center"/>
            <w:hideMark/>
          </w:tcPr>
          <w:p w14:paraId="33C8325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-0.029</w:t>
            </w:r>
          </w:p>
        </w:tc>
        <w:tc>
          <w:tcPr>
            <w:tcW w:w="590" w:type="pct"/>
            <w:tcBorders>
              <w:top w:val="nil"/>
              <w:left w:val="nil"/>
              <w:bottom w:val="nil"/>
              <w:right w:val="nil"/>
            </w:tcBorders>
            <w:shd w:val="clear" w:color="auto" w:fill="auto"/>
            <w:noWrap/>
            <w:vAlign w:val="center"/>
            <w:hideMark/>
          </w:tcPr>
          <w:p w14:paraId="223EED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-0.017</w:t>
            </w:r>
          </w:p>
        </w:tc>
        <w:tc>
          <w:tcPr>
            <w:tcW w:w="588" w:type="pct"/>
            <w:tcBorders>
              <w:top w:val="nil"/>
              <w:left w:val="nil"/>
              <w:bottom w:val="nil"/>
              <w:right w:val="nil"/>
            </w:tcBorders>
            <w:shd w:val="clear" w:color="auto" w:fill="auto"/>
            <w:noWrap/>
            <w:vAlign w:val="center"/>
            <w:hideMark/>
          </w:tcPr>
          <w:p w14:paraId="631E71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r>
      <w:tr w:rsidR="00016D40" w:rsidRPr="00CA1166" w14:paraId="1ABD7DF8"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691B52C8"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5843BA3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394CB2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762" w:type="pct"/>
            <w:tcBorders>
              <w:top w:val="nil"/>
              <w:left w:val="nil"/>
              <w:bottom w:val="nil"/>
              <w:right w:val="nil"/>
            </w:tcBorders>
            <w:shd w:val="clear" w:color="auto" w:fill="auto"/>
            <w:noWrap/>
            <w:vAlign w:val="center"/>
            <w:hideMark/>
          </w:tcPr>
          <w:p w14:paraId="4E6766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0.016</w:t>
            </w:r>
          </w:p>
        </w:tc>
        <w:tc>
          <w:tcPr>
            <w:tcW w:w="590" w:type="pct"/>
            <w:tcBorders>
              <w:top w:val="nil"/>
              <w:left w:val="nil"/>
              <w:bottom w:val="nil"/>
              <w:right w:val="nil"/>
            </w:tcBorders>
            <w:shd w:val="clear" w:color="auto" w:fill="auto"/>
            <w:noWrap/>
            <w:vAlign w:val="center"/>
            <w:hideMark/>
          </w:tcPr>
          <w:p w14:paraId="6FC7E29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590" w:type="pct"/>
            <w:tcBorders>
              <w:top w:val="nil"/>
              <w:left w:val="nil"/>
              <w:bottom w:val="nil"/>
              <w:right w:val="nil"/>
            </w:tcBorders>
            <w:shd w:val="clear" w:color="auto" w:fill="auto"/>
            <w:noWrap/>
            <w:vAlign w:val="center"/>
            <w:hideMark/>
          </w:tcPr>
          <w:p w14:paraId="624C28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88" w:type="pct"/>
            <w:tcBorders>
              <w:top w:val="nil"/>
              <w:left w:val="nil"/>
              <w:bottom w:val="nil"/>
              <w:right w:val="nil"/>
            </w:tcBorders>
            <w:shd w:val="clear" w:color="auto" w:fill="auto"/>
            <w:noWrap/>
            <w:vAlign w:val="center"/>
            <w:hideMark/>
          </w:tcPr>
          <w:p w14:paraId="1EC8DC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-0.002</w:t>
            </w:r>
          </w:p>
        </w:tc>
      </w:tr>
      <w:tr w:rsidR="00016D40" w:rsidRPr="00CA1166" w14:paraId="0D3FEE03"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72965F4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0DD2B6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53154</w:t>
            </w:r>
          </w:p>
        </w:tc>
        <w:tc>
          <w:tcPr>
            <w:tcW w:w="590" w:type="pct"/>
            <w:tcBorders>
              <w:top w:val="nil"/>
              <w:left w:val="nil"/>
              <w:bottom w:val="nil"/>
              <w:right w:val="nil"/>
            </w:tcBorders>
            <w:shd w:val="clear" w:color="auto" w:fill="auto"/>
            <w:noWrap/>
            <w:vAlign w:val="center"/>
            <w:hideMark/>
          </w:tcPr>
          <w:p w14:paraId="679E3F6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-0.035</w:t>
            </w:r>
          </w:p>
        </w:tc>
        <w:tc>
          <w:tcPr>
            <w:tcW w:w="762" w:type="pct"/>
            <w:tcBorders>
              <w:top w:val="nil"/>
              <w:left w:val="nil"/>
              <w:bottom w:val="nil"/>
              <w:right w:val="nil"/>
            </w:tcBorders>
            <w:shd w:val="clear" w:color="auto" w:fill="auto"/>
            <w:noWrap/>
            <w:vAlign w:val="center"/>
            <w:hideMark/>
          </w:tcPr>
          <w:p w14:paraId="3CF40F5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0.023</w:t>
            </w:r>
          </w:p>
        </w:tc>
        <w:tc>
          <w:tcPr>
            <w:tcW w:w="590" w:type="pct"/>
            <w:tcBorders>
              <w:top w:val="nil"/>
              <w:left w:val="nil"/>
              <w:bottom w:val="nil"/>
              <w:right w:val="nil"/>
            </w:tcBorders>
            <w:shd w:val="clear" w:color="auto" w:fill="auto"/>
            <w:noWrap/>
            <w:vAlign w:val="center"/>
            <w:hideMark/>
          </w:tcPr>
          <w:p w14:paraId="79FE49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-0.041</w:t>
            </w:r>
          </w:p>
        </w:tc>
        <w:tc>
          <w:tcPr>
            <w:tcW w:w="590" w:type="pct"/>
            <w:tcBorders>
              <w:top w:val="nil"/>
              <w:left w:val="nil"/>
              <w:bottom w:val="nil"/>
              <w:right w:val="nil"/>
            </w:tcBorders>
            <w:shd w:val="clear" w:color="auto" w:fill="auto"/>
            <w:noWrap/>
            <w:vAlign w:val="center"/>
            <w:hideMark/>
          </w:tcPr>
          <w:p w14:paraId="2B5CC14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-0.029</w:t>
            </w:r>
          </w:p>
        </w:tc>
        <w:tc>
          <w:tcPr>
            <w:tcW w:w="588" w:type="pct"/>
            <w:tcBorders>
              <w:top w:val="nil"/>
              <w:left w:val="nil"/>
              <w:bottom w:val="nil"/>
              <w:right w:val="nil"/>
            </w:tcBorders>
            <w:shd w:val="clear" w:color="auto" w:fill="auto"/>
            <w:noWrap/>
            <w:vAlign w:val="center"/>
            <w:hideMark/>
          </w:tcPr>
          <w:p w14:paraId="20703F7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-0.021</w:t>
            </w:r>
          </w:p>
        </w:tc>
      </w:tr>
      <w:tr w:rsidR="00016D40" w:rsidRPr="00CA1166" w14:paraId="21C83BAF"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689A8F8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0C810E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51173</w:t>
            </w:r>
          </w:p>
        </w:tc>
        <w:tc>
          <w:tcPr>
            <w:tcW w:w="590" w:type="pct"/>
            <w:tcBorders>
              <w:top w:val="nil"/>
              <w:left w:val="nil"/>
              <w:bottom w:val="nil"/>
              <w:right w:val="nil"/>
            </w:tcBorders>
            <w:shd w:val="clear" w:color="auto" w:fill="auto"/>
            <w:noWrap/>
            <w:vAlign w:val="center"/>
            <w:hideMark/>
          </w:tcPr>
          <w:p w14:paraId="4E238EB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-0.032</w:t>
            </w:r>
          </w:p>
        </w:tc>
        <w:tc>
          <w:tcPr>
            <w:tcW w:w="762" w:type="pct"/>
            <w:tcBorders>
              <w:top w:val="nil"/>
              <w:left w:val="nil"/>
              <w:bottom w:val="nil"/>
              <w:right w:val="nil"/>
            </w:tcBorders>
            <w:shd w:val="clear" w:color="auto" w:fill="auto"/>
            <w:noWrap/>
            <w:vAlign w:val="center"/>
            <w:hideMark/>
          </w:tcPr>
          <w:p w14:paraId="45280F2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0.022</w:t>
            </w:r>
          </w:p>
        </w:tc>
        <w:tc>
          <w:tcPr>
            <w:tcW w:w="590" w:type="pct"/>
            <w:tcBorders>
              <w:top w:val="nil"/>
              <w:left w:val="nil"/>
              <w:bottom w:val="nil"/>
              <w:right w:val="nil"/>
            </w:tcBorders>
            <w:shd w:val="clear" w:color="auto" w:fill="auto"/>
            <w:noWrap/>
            <w:vAlign w:val="center"/>
            <w:hideMark/>
          </w:tcPr>
          <w:p w14:paraId="2CDA15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-0.037</w:t>
            </w:r>
          </w:p>
        </w:tc>
        <w:tc>
          <w:tcPr>
            <w:tcW w:w="590" w:type="pct"/>
            <w:tcBorders>
              <w:top w:val="nil"/>
              <w:left w:val="nil"/>
              <w:bottom w:val="nil"/>
              <w:right w:val="nil"/>
            </w:tcBorders>
            <w:shd w:val="clear" w:color="auto" w:fill="auto"/>
            <w:noWrap/>
            <w:vAlign w:val="center"/>
            <w:hideMark/>
          </w:tcPr>
          <w:p w14:paraId="4585E98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-0.026</w:t>
            </w:r>
          </w:p>
        </w:tc>
        <w:tc>
          <w:tcPr>
            <w:tcW w:w="588" w:type="pct"/>
            <w:tcBorders>
              <w:top w:val="nil"/>
              <w:left w:val="nil"/>
              <w:bottom w:val="nil"/>
              <w:right w:val="nil"/>
            </w:tcBorders>
            <w:shd w:val="clear" w:color="auto" w:fill="auto"/>
            <w:noWrap/>
            <w:vAlign w:val="center"/>
            <w:hideMark/>
          </w:tcPr>
          <w:p w14:paraId="3D5C878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-0.019</w:t>
            </w:r>
          </w:p>
        </w:tc>
      </w:tr>
      <w:tr w:rsidR="00016D40" w:rsidRPr="00CA1166" w14:paraId="3EDF92D9"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19A662CC"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MTBV</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1F28E4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7EDCA63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0.025</w:t>
            </w:r>
          </w:p>
        </w:tc>
        <w:tc>
          <w:tcPr>
            <w:tcW w:w="762" w:type="pct"/>
            <w:tcBorders>
              <w:top w:val="nil"/>
              <w:left w:val="nil"/>
              <w:bottom w:val="nil"/>
              <w:right w:val="nil"/>
            </w:tcBorders>
            <w:shd w:val="clear" w:color="auto" w:fill="auto"/>
            <w:noWrap/>
            <w:vAlign w:val="center"/>
            <w:hideMark/>
          </w:tcPr>
          <w:p w14:paraId="71E2621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0.068</w:t>
            </w:r>
          </w:p>
        </w:tc>
        <w:tc>
          <w:tcPr>
            <w:tcW w:w="590" w:type="pct"/>
            <w:tcBorders>
              <w:top w:val="nil"/>
              <w:left w:val="nil"/>
              <w:bottom w:val="nil"/>
              <w:right w:val="nil"/>
            </w:tcBorders>
            <w:shd w:val="clear" w:color="auto" w:fill="auto"/>
            <w:noWrap/>
            <w:vAlign w:val="center"/>
            <w:hideMark/>
          </w:tcPr>
          <w:p w14:paraId="14DA67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590" w:type="pct"/>
            <w:tcBorders>
              <w:top w:val="nil"/>
              <w:left w:val="nil"/>
              <w:bottom w:val="nil"/>
              <w:right w:val="nil"/>
            </w:tcBorders>
            <w:shd w:val="clear" w:color="auto" w:fill="auto"/>
            <w:noWrap/>
            <w:vAlign w:val="center"/>
            <w:hideMark/>
          </w:tcPr>
          <w:p w14:paraId="19C7FE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0.017</w:t>
            </w:r>
          </w:p>
        </w:tc>
        <w:tc>
          <w:tcPr>
            <w:tcW w:w="588" w:type="pct"/>
            <w:tcBorders>
              <w:top w:val="nil"/>
              <w:left w:val="nil"/>
              <w:bottom w:val="nil"/>
              <w:right w:val="nil"/>
            </w:tcBorders>
            <w:shd w:val="clear" w:color="auto" w:fill="auto"/>
            <w:noWrap/>
            <w:vAlign w:val="center"/>
            <w:hideMark/>
          </w:tcPr>
          <w:p w14:paraId="2878D71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0.029</w:t>
            </w:r>
          </w:p>
        </w:tc>
      </w:tr>
      <w:tr w:rsidR="00016D40" w:rsidRPr="00CA1166" w14:paraId="0A37EBD4"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2211695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Size</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11033E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49470F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0.619</w:t>
            </w:r>
          </w:p>
        </w:tc>
        <w:tc>
          <w:tcPr>
            <w:tcW w:w="762" w:type="pct"/>
            <w:tcBorders>
              <w:top w:val="nil"/>
              <w:left w:val="nil"/>
              <w:bottom w:val="nil"/>
              <w:right w:val="nil"/>
            </w:tcBorders>
            <w:shd w:val="clear" w:color="auto" w:fill="auto"/>
            <w:noWrap/>
            <w:vAlign w:val="center"/>
            <w:hideMark/>
          </w:tcPr>
          <w:p w14:paraId="0DBD78C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0.273</w:t>
            </w:r>
          </w:p>
        </w:tc>
        <w:tc>
          <w:tcPr>
            <w:tcW w:w="590" w:type="pct"/>
            <w:tcBorders>
              <w:top w:val="nil"/>
              <w:left w:val="nil"/>
              <w:bottom w:val="nil"/>
              <w:right w:val="nil"/>
            </w:tcBorders>
            <w:shd w:val="clear" w:color="auto" w:fill="auto"/>
            <w:noWrap/>
            <w:vAlign w:val="center"/>
            <w:hideMark/>
          </w:tcPr>
          <w:p w14:paraId="38CF89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0.398</w:t>
            </w:r>
          </w:p>
        </w:tc>
        <w:tc>
          <w:tcPr>
            <w:tcW w:w="590" w:type="pct"/>
            <w:tcBorders>
              <w:top w:val="nil"/>
              <w:left w:val="nil"/>
              <w:bottom w:val="nil"/>
              <w:right w:val="nil"/>
            </w:tcBorders>
            <w:shd w:val="clear" w:color="auto" w:fill="auto"/>
            <w:noWrap/>
            <w:vAlign w:val="center"/>
            <w:hideMark/>
          </w:tcPr>
          <w:p w14:paraId="0CD8866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0.667</w:t>
            </w:r>
          </w:p>
        </w:tc>
        <w:tc>
          <w:tcPr>
            <w:tcW w:w="588" w:type="pct"/>
            <w:tcBorders>
              <w:top w:val="nil"/>
              <w:left w:val="nil"/>
              <w:bottom w:val="nil"/>
              <w:right w:val="nil"/>
            </w:tcBorders>
            <w:shd w:val="clear" w:color="auto" w:fill="auto"/>
            <w:noWrap/>
            <w:vAlign w:val="center"/>
            <w:hideMark/>
          </w:tcPr>
          <w:p w14:paraId="69A8C26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0.864</w:t>
            </w:r>
          </w:p>
        </w:tc>
      </w:tr>
      <w:tr w:rsidR="00016D40" w:rsidRPr="00CA1166" w14:paraId="1B7624BE"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1E5ECCC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Quick</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35E2C0F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57109E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1.966</w:t>
            </w:r>
          </w:p>
        </w:tc>
        <w:tc>
          <w:tcPr>
            <w:tcW w:w="762" w:type="pct"/>
            <w:tcBorders>
              <w:top w:val="nil"/>
              <w:left w:val="nil"/>
              <w:bottom w:val="nil"/>
              <w:right w:val="nil"/>
            </w:tcBorders>
            <w:shd w:val="clear" w:color="auto" w:fill="auto"/>
            <w:noWrap/>
            <w:vAlign w:val="center"/>
            <w:hideMark/>
          </w:tcPr>
          <w:p w14:paraId="339B141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3.123</w:t>
            </w:r>
          </w:p>
        </w:tc>
        <w:tc>
          <w:tcPr>
            <w:tcW w:w="590" w:type="pct"/>
            <w:tcBorders>
              <w:top w:val="nil"/>
              <w:left w:val="nil"/>
              <w:bottom w:val="nil"/>
              <w:right w:val="nil"/>
            </w:tcBorders>
            <w:shd w:val="clear" w:color="auto" w:fill="auto"/>
            <w:noWrap/>
            <w:vAlign w:val="center"/>
            <w:hideMark/>
          </w:tcPr>
          <w:p w14:paraId="5F5DA0C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0.765</w:t>
            </w:r>
          </w:p>
        </w:tc>
        <w:tc>
          <w:tcPr>
            <w:tcW w:w="590" w:type="pct"/>
            <w:tcBorders>
              <w:top w:val="nil"/>
              <w:left w:val="nil"/>
              <w:bottom w:val="nil"/>
              <w:right w:val="nil"/>
            </w:tcBorders>
            <w:shd w:val="clear" w:color="auto" w:fill="auto"/>
            <w:noWrap/>
            <w:vAlign w:val="center"/>
            <w:hideMark/>
          </w:tcPr>
          <w:p w14:paraId="25EE9D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1.189</w:t>
            </w:r>
          </w:p>
        </w:tc>
        <w:tc>
          <w:tcPr>
            <w:tcW w:w="588" w:type="pct"/>
            <w:tcBorders>
              <w:top w:val="nil"/>
              <w:left w:val="nil"/>
              <w:bottom w:val="nil"/>
              <w:right w:val="nil"/>
            </w:tcBorders>
            <w:shd w:val="clear" w:color="auto" w:fill="auto"/>
            <w:noWrap/>
            <w:vAlign w:val="center"/>
            <w:hideMark/>
          </w:tcPr>
          <w:p w14:paraId="4E0B1D7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2.033</w:t>
            </w:r>
          </w:p>
        </w:tc>
      </w:tr>
      <w:tr w:rsidR="00016D40" w:rsidRPr="00CA1166" w14:paraId="14A1F01C"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1E6C3D94"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Lev</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3983253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77378FA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0.235</w:t>
            </w:r>
          </w:p>
        </w:tc>
        <w:tc>
          <w:tcPr>
            <w:tcW w:w="762" w:type="pct"/>
            <w:tcBorders>
              <w:top w:val="nil"/>
              <w:left w:val="nil"/>
              <w:bottom w:val="nil"/>
              <w:right w:val="nil"/>
            </w:tcBorders>
            <w:shd w:val="clear" w:color="auto" w:fill="auto"/>
            <w:noWrap/>
            <w:vAlign w:val="center"/>
            <w:hideMark/>
          </w:tcPr>
          <w:p w14:paraId="298E463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0.218</w:t>
            </w:r>
          </w:p>
        </w:tc>
        <w:tc>
          <w:tcPr>
            <w:tcW w:w="590" w:type="pct"/>
            <w:tcBorders>
              <w:top w:val="nil"/>
              <w:left w:val="nil"/>
              <w:bottom w:val="nil"/>
              <w:right w:val="nil"/>
            </w:tcBorders>
            <w:shd w:val="clear" w:color="auto" w:fill="auto"/>
            <w:noWrap/>
            <w:vAlign w:val="center"/>
            <w:hideMark/>
          </w:tcPr>
          <w:p w14:paraId="5227A7E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0.061</w:t>
            </w:r>
          </w:p>
        </w:tc>
        <w:tc>
          <w:tcPr>
            <w:tcW w:w="590" w:type="pct"/>
            <w:tcBorders>
              <w:top w:val="nil"/>
              <w:left w:val="nil"/>
              <w:bottom w:val="nil"/>
              <w:right w:val="nil"/>
            </w:tcBorders>
            <w:shd w:val="clear" w:color="auto" w:fill="auto"/>
            <w:noWrap/>
            <w:vAlign w:val="center"/>
            <w:hideMark/>
          </w:tcPr>
          <w:p w14:paraId="56605A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0.212</w:t>
            </w:r>
          </w:p>
        </w:tc>
        <w:tc>
          <w:tcPr>
            <w:tcW w:w="588" w:type="pct"/>
            <w:tcBorders>
              <w:top w:val="nil"/>
              <w:left w:val="nil"/>
              <w:bottom w:val="nil"/>
              <w:right w:val="nil"/>
            </w:tcBorders>
            <w:shd w:val="clear" w:color="auto" w:fill="auto"/>
            <w:noWrap/>
            <w:vAlign w:val="center"/>
            <w:hideMark/>
          </w:tcPr>
          <w:p w14:paraId="496A789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0.352</w:t>
            </w:r>
          </w:p>
        </w:tc>
      </w:tr>
      <w:tr w:rsidR="00016D40" w:rsidRPr="00CA1166" w14:paraId="155042F5"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23852A2E"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Div_Payer</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46AFEF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668570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0.478</w:t>
            </w:r>
          </w:p>
        </w:tc>
        <w:tc>
          <w:tcPr>
            <w:tcW w:w="762" w:type="pct"/>
            <w:tcBorders>
              <w:top w:val="nil"/>
              <w:left w:val="nil"/>
              <w:bottom w:val="nil"/>
              <w:right w:val="nil"/>
            </w:tcBorders>
            <w:shd w:val="clear" w:color="auto" w:fill="auto"/>
            <w:noWrap/>
            <w:vAlign w:val="center"/>
            <w:hideMark/>
          </w:tcPr>
          <w:p w14:paraId="28302F6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0.500</w:t>
            </w:r>
          </w:p>
        </w:tc>
        <w:tc>
          <w:tcPr>
            <w:tcW w:w="590" w:type="pct"/>
            <w:tcBorders>
              <w:top w:val="nil"/>
              <w:left w:val="nil"/>
              <w:bottom w:val="nil"/>
              <w:right w:val="nil"/>
            </w:tcBorders>
            <w:shd w:val="clear" w:color="auto" w:fill="auto"/>
            <w:noWrap/>
            <w:vAlign w:val="center"/>
            <w:hideMark/>
          </w:tcPr>
          <w:p w14:paraId="5B97485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90" w:type="pct"/>
            <w:tcBorders>
              <w:top w:val="nil"/>
              <w:left w:val="nil"/>
              <w:bottom w:val="nil"/>
              <w:right w:val="nil"/>
            </w:tcBorders>
            <w:shd w:val="clear" w:color="auto" w:fill="auto"/>
            <w:noWrap/>
            <w:vAlign w:val="center"/>
            <w:hideMark/>
          </w:tcPr>
          <w:p w14:paraId="55BE840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88" w:type="pct"/>
            <w:tcBorders>
              <w:top w:val="nil"/>
              <w:left w:val="nil"/>
              <w:bottom w:val="nil"/>
              <w:right w:val="nil"/>
            </w:tcBorders>
            <w:shd w:val="clear" w:color="auto" w:fill="auto"/>
            <w:noWrap/>
            <w:vAlign w:val="center"/>
            <w:hideMark/>
          </w:tcPr>
          <w:p w14:paraId="08DCAFC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1.000</w:t>
            </w:r>
          </w:p>
        </w:tc>
      </w:tr>
      <w:tr w:rsidR="00016D40" w:rsidRPr="00CA1166" w14:paraId="761AF07E"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4325666E"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Tangible</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0CD750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3B4B019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0.321</w:t>
            </w:r>
          </w:p>
        </w:tc>
        <w:tc>
          <w:tcPr>
            <w:tcW w:w="762" w:type="pct"/>
            <w:tcBorders>
              <w:top w:val="nil"/>
              <w:left w:val="nil"/>
              <w:bottom w:val="nil"/>
              <w:right w:val="nil"/>
            </w:tcBorders>
            <w:shd w:val="clear" w:color="auto" w:fill="auto"/>
            <w:noWrap/>
            <w:vAlign w:val="center"/>
            <w:hideMark/>
          </w:tcPr>
          <w:p w14:paraId="47896F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0.247</w:t>
            </w:r>
          </w:p>
        </w:tc>
        <w:tc>
          <w:tcPr>
            <w:tcW w:w="590" w:type="pct"/>
            <w:tcBorders>
              <w:top w:val="nil"/>
              <w:left w:val="nil"/>
              <w:bottom w:val="nil"/>
              <w:right w:val="nil"/>
            </w:tcBorders>
            <w:shd w:val="clear" w:color="auto" w:fill="auto"/>
            <w:noWrap/>
            <w:vAlign w:val="center"/>
            <w:hideMark/>
          </w:tcPr>
          <w:p w14:paraId="7E7EB3B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0.119</w:t>
            </w:r>
          </w:p>
        </w:tc>
        <w:tc>
          <w:tcPr>
            <w:tcW w:w="590" w:type="pct"/>
            <w:tcBorders>
              <w:top w:val="nil"/>
              <w:left w:val="nil"/>
              <w:bottom w:val="nil"/>
              <w:right w:val="nil"/>
            </w:tcBorders>
            <w:shd w:val="clear" w:color="auto" w:fill="auto"/>
            <w:noWrap/>
            <w:vAlign w:val="center"/>
            <w:hideMark/>
          </w:tcPr>
          <w:p w14:paraId="5DC11A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0.253</w:t>
            </w:r>
          </w:p>
        </w:tc>
        <w:tc>
          <w:tcPr>
            <w:tcW w:w="588" w:type="pct"/>
            <w:tcBorders>
              <w:top w:val="nil"/>
              <w:left w:val="nil"/>
              <w:bottom w:val="nil"/>
              <w:right w:val="nil"/>
            </w:tcBorders>
            <w:shd w:val="clear" w:color="auto" w:fill="auto"/>
            <w:noWrap/>
            <w:vAlign w:val="center"/>
            <w:hideMark/>
          </w:tcPr>
          <w:p w14:paraId="54204C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0.479</w:t>
            </w:r>
          </w:p>
        </w:tc>
      </w:tr>
      <w:tr w:rsidR="00016D40" w:rsidRPr="00CA1166" w14:paraId="4F652AF5"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0289148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Loss</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5FE5312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769C2C5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0.280</w:t>
            </w:r>
          </w:p>
        </w:tc>
        <w:tc>
          <w:tcPr>
            <w:tcW w:w="762" w:type="pct"/>
            <w:tcBorders>
              <w:top w:val="nil"/>
              <w:left w:val="nil"/>
              <w:bottom w:val="nil"/>
              <w:right w:val="nil"/>
            </w:tcBorders>
            <w:shd w:val="clear" w:color="auto" w:fill="auto"/>
            <w:noWrap/>
            <w:vAlign w:val="center"/>
            <w:hideMark/>
          </w:tcPr>
          <w:p w14:paraId="605D0D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0.449</w:t>
            </w:r>
          </w:p>
        </w:tc>
        <w:tc>
          <w:tcPr>
            <w:tcW w:w="590" w:type="pct"/>
            <w:tcBorders>
              <w:top w:val="nil"/>
              <w:left w:val="nil"/>
              <w:bottom w:val="nil"/>
              <w:right w:val="nil"/>
            </w:tcBorders>
            <w:shd w:val="clear" w:color="auto" w:fill="auto"/>
            <w:noWrap/>
            <w:vAlign w:val="center"/>
            <w:hideMark/>
          </w:tcPr>
          <w:p w14:paraId="6CD2F4F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90" w:type="pct"/>
            <w:tcBorders>
              <w:top w:val="nil"/>
              <w:left w:val="nil"/>
              <w:bottom w:val="nil"/>
              <w:right w:val="nil"/>
            </w:tcBorders>
            <w:shd w:val="clear" w:color="auto" w:fill="auto"/>
            <w:noWrap/>
            <w:vAlign w:val="center"/>
            <w:hideMark/>
          </w:tcPr>
          <w:p w14:paraId="740DA7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88" w:type="pct"/>
            <w:tcBorders>
              <w:top w:val="nil"/>
              <w:left w:val="nil"/>
              <w:bottom w:val="nil"/>
              <w:right w:val="nil"/>
            </w:tcBorders>
            <w:shd w:val="clear" w:color="auto" w:fill="auto"/>
            <w:noWrap/>
            <w:vAlign w:val="center"/>
            <w:hideMark/>
          </w:tcPr>
          <w:p w14:paraId="4AEBB3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1.000</w:t>
            </w:r>
          </w:p>
        </w:tc>
      </w:tr>
      <w:tr w:rsidR="00016D40" w:rsidRPr="00CA1166" w14:paraId="0CDD96C6"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772DD35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CFO_Vol</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3412993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88D75C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0.067</w:t>
            </w:r>
          </w:p>
        </w:tc>
        <w:tc>
          <w:tcPr>
            <w:tcW w:w="762" w:type="pct"/>
            <w:tcBorders>
              <w:top w:val="nil"/>
              <w:left w:val="nil"/>
              <w:bottom w:val="nil"/>
              <w:right w:val="nil"/>
            </w:tcBorders>
            <w:shd w:val="clear" w:color="auto" w:fill="auto"/>
            <w:noWrap/>
            <w:vAlign w:val="center"/>
            <w:hideMark/>
          </w:tcPr>
          <w:p w14:paraId="75EC2B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0.173</w:t>
            </w:r>
          </w:p>
        </w:tc>
        <w:tc>
          <w:tcPr>
            <w:tcW w:w="590" w:type="pct"/>
            <w:tcBorders>
              <w:top w:val="nil"/>
              <w:left w:val="nil"/>
              <w:bottom w:val="nil"/>
              <w:right w:val="nil"/>
            </w:tcBorders>
            <w:shd w:val="clear" w:color="auto" w:fill="auto"/>
            <w:noWrap/>
            <w:vAlign w:val="center"/>
            <w:hideMark/>
          </w:tcPr>
          <w:p w14:paraId="003EA6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0.016</w:t>
            </w:r>
          </w:p>
        </w:tc>
        <w:tc>
          <w:tcPr>
            <w:tcW w:w="590" w:type="pct"/>
            <w:tcBorders>
              <w:top w:val="nil"/>
              <w:left w:val="nil"/>
              <w:bottom w:val="nil"/>
              <w:right w:val="nil"/>
            </w:tcBorders>
            <w:shd w:val="clear" w:color="auto" w:fill="auto"/>
            <w:noWrap/>
            <w:vAlign w:val="center"/>
            <w:hideMark/>
          </w:tcPr>
          <w:p w14:paraId="7E86EB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0.031</w:t>
            </w:r>
          </w:p>
        </w:tc>
        <w:tc>
          <w:tcPr>
            <w:tcW w:w="588" w:type="pct"/>
            <w:tcBorders>
              <w:top w:val="nil"/>
              <w:left w:val="nil"/>
              <w:bottom w:val="nil"/>
              <w:right w:val="nil"/>
            </w:tcBorders>
            <w:shd w:val="clear" w:color="auto" w:fill="auto"/>
            <w:noWrap/>
            <w:vAlign w:val="center"/>
            <w:hideMark/>
          </w:tcPr>
          <w:p w14:paraId="190917A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0.065</w:t>
            </w:r>
          </w:p>
        </w:tc>
      </w:tr>
      <w:tr w:rsidR="00016D40" w:rsidRPr="00CA1166" w14:paraId="079236F1"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2BEDDE62"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Sales_Vol</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5F790EC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2388C1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0.033</w:t>
            </w:r>
          </w:p>
        </w:tc>
        <w:tc>
          <w:tcPr>
            <w:tcW w:w="762" w:type="pct"/>
            <w:tcBorders>
              <w:top w:val="nil"/>
              <w:left w:val="nil"/>
              <w:bottom w:val="nil"/>
              <w:right w:val="nil"/>
            </w:tcBorders>
            <w:shd w:val="clear" w:color="auto" w:fill="auto"/>
            <w:noWrap/>
            <w:vAlign w:val="center"/>
            <w:hideMark/>
          </w:tcPr>
          <w:p w14:paraId="0E63E1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0.103</w:t>
            </w:r>
          </w:p>
        </w:tc>
        <w:tc>
          <w:tcPr>
            <w:tcW w:w="590" w:type="pct"/>
            <w:tcBorders>
              <w:top w:val="nil"/>
              <w:left w:val="nil"/>
              <w:bottom w:val="nil"/>
              <w:right w:val="nil"/>
            </w:tcBorders>
            <w:shd w:val="clear" w:color="auto" w:fill="auto"/>
            <w:noWrap/>
            <w:vAlign w:val="center"/>
            <w:hideMark/>
          </w:tcPr>
          <w:p w14:paraId="28C5D86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0.001</w:t>
            </w:r>
          </w:p>
        </w:tc>
        <w:tc>
          <w:tcPr>
            <w:tcW w:w="590" w:type="pct"/>
            <w:tcBorders>
              <w:top w:val="nil"/>
              <w:left w:val="nil"/>
              <w:bottom w:val="nil"/>
              <w:right w:val="nil"/>
            </w:tcBorders>
            <w:shd w:val="clear" w:color="auto" w:fill="auto"/>
            <w:noWrap/>
            <w:vAlign w:val="center"/>
            <w:hideMark/>
          </w:tcPr>
          <w:p w14:paraId="490BB41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88" w:type="pct"/>
            <w:tcBorders>
              <w:top w:val="nil"/>
              <w:left w:val="nil"/>
              <w:bottom w:val="nil"/>
              <w:right w:val="nil"/>
            </w:tcBorders>
            <w:shd w:val="clear" w:color="auto" w:fill="auto"/>
            <w:noWrap/>
            <w:vAlign w:val="center"/>
            <w:hideMark/>
          </w:tcPr>
          <w:p w14:paraId="6107E9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0.019</w:t>
            </w:r>
          </w:p>
        </w:tc>
      </w:tr>
      <w:tr w:rsidR="00016D40" w:rsidRPr="00CA1166" w14:paraId="78165407"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0F526E35"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IO</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685A92A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75B8579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0.328</w:t>
            </w:r>
          </w:p>
        </w:tc>
        <w:tc>
          <w:tcPr>
            <w:tcW w:w="762" w:type="pct"/>
            <w:tcBorders>
              <w:top w:val="nil"/>
              <w:left w:val="nil"/>
              <w:bottom w:val="nil"/>
              <w:right w:val="nil"/>
            </w:tcBorders>
            <w:shd w:val="clear" w:color="auto" w:fill="auto"/>
            <w:noWrap/>
            <w:vAlign w:val="center"/>
            <w:hideMark/>
          </w:tcPr>
          <w:p w14:paraId="3C046C8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0.321</w:t>
            </w:r>
          </w:p>
        </w:tc>
        <w:tc>
          <w:tcPr>
            <w:tcW w:w="590" w:type="pct"/>
            <w:tcBorders>
              <w:top w:val="nil"/>
              <w:left w:val="nil"/>
              <w:bottom w:val="nil"/>
              <w:right w:val="nil"/>
            </w:tcBorders>
            <w:shd w:val="clear" w:color="auto" w:fill="auto"/>
            <w:noWrap/>
            <w:vAlign w:val="center"/>
            <w:hideMark/>
          </w:tcPr>
          <w:p w14:paraId="10C3836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90" w:type="pct"/>
            <w:tcBorders>
              <w:top w:val="nil"/>
              <w:left w:val="nil"/>
              <w:bottom w:val="nil"/>
              <w:right w:val="nil"/>
            </w:tcBorders>
            <w:shd w:val="clear" w:color="auto" w:fill="auto"/>
            <w:noWrap/>
            <w:vAlign w:val="center"/>
            <w:hideMark/>
          </w:tcPr>
          <w:p w14:paraId="3795E26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0.250</w:t>
            </w:r>
          </w:p>
        </w:tc>
        <w:tc>
          <w:tcPr>
            <w:tcW w:w="588" w:type="pct"/>
            <w:tcBorders>
              <w:top w:val="nil"/>
              <w:left w:val="nil"/>
              <w:bottom w:val="nil"/>
              <w:right w:val="nil"/>
            </w:tcBorders>
            <w:shd w:val="clear" w:color="auto" w:fill="auto"/>
            <w:noWrap/>
            <w:vAlign w:val="center"/>
            <w:hideMark/>
          </w:tcPr>
          <w:p w14:paraId="0C1AB8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0.606</w:t>
            </w:r>
          </w:p>
        </w:tc>
      </w:tr>
      <w:tr w:rsidR="00016D40" w:rsidRPr="00CA1166" w14:paraId="4FD36E38"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0BA2776C"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Stock_Cov</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72CC2CD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1DE146A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0.041</w:t>
            </w:r>
          </w:p>
        </w:tc>
        <w:tc>
          <w:tcPr>
            <w:tcW w:w="762" w:type="pct"/>
            <w:tcBorders>
              <w:top w:val="nil"/>
              <w:left w:val="nil"/>
              <w:bottom w:val="nil"/>
              <w:right w:val="nil"/>
            </w:tcBorders>
            <w:shd w:val="clear" w:color="auto" w:fill="auto"/>
            <w:noWrap/>
            <w:vAlign w:val="center"/>
            <w:hideMark/>
          </w:tcPr>
          <w:p w14:paraId="6660CCA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0.057</w:t>
            </w:r>
          </w:p>
        </w:tc>
        <w:tc>
          <w:tcPr>
            <w:tcW w:w="590" w:type="pct"/>
            <w:tcBorders>
              <w:top w:val="nil"/>
              <w:left w:val="nil"/>
              <w:bottom w:val="nil"/>
              <w:right w:val="nil"/>
            </w:tcBorders>
            <w:shd w:val="clear" w:color="auto" w:fill="auto"/>
            <w:noWrap/>
            <w:vAlign w:val="center"/>
            <w:hideMark/>
          </w:tcPr>
          <w:p w14:paraId="2A99491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90" w:type="pct"/>
            <w:tcBorders>
              <w:top w:val="nil"/>
              <w:left w:val="nil"/>
              <w:bottom w:val="nil"/>
              <w:right w:val="nil"/>
            </w:tcBorders>
            <w:shd w:val="clear" w:color="auto" w:fill="auto"/>
            <w:noWrap/>
            <w:vAlign w:val="center"/>
            <w:hideMark/>
          </w:tcPr>
          <w:p w14:paraId="5596BAD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0.020</w:t>
            </w:r>
          </w:p>
        </w:tc>
        <w:tc>
          <w:tcPr>
            <w:tcW w:w="588" w:type="pct"/>
            <w:tcBorders>
              <w:top w:val="nil"/>
              <w:left w:val="nil"/>
              <w:bottom w:val="nil"/>
              <w:right w:val="nil"/>
            </w:tcBorders>
            <w:shd w:val="clear" w:color="auto" w:fill="auto"/>
            <w:noWrap/>
            <w:vAlign w:val="center"/>
            <w:hideMark/>
          </w:tcPr>
          <w:p w14:paraId="1289E9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0.050</w:t>
            </w:r>
          </w:p>
        </w:tc>
      </w:tr>
      <w:tr w:rsidR="00016D40" w:rsidRPr="00CA1166" w14:paraId="62C5B9C5"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7D3839C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lastRenderedPageBreak/>
              <w:t>HHI</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710E570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E2E3EA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0.064</w:t>
            </w:r>
          </w:p>
        </w:tc>
        <w:tc>
          <w:tcPr>
            <w:tcW w:w="762" w:type="pct"/>
            <w:tcBorders>
              <w:top w:val="nil"/>
              <w:left w:val="nil"/>
              <w:bottom w:val="nil"/>
              <w:right w:val="nil"/>
            </w:tcBorders>
            <w:shd w:val="clear" w:color="auto" w:fill="auto"/>
            <w:noWrap/>
            <w:vAlign w:val="center"/>
            <w:hideMark/>
          </w:tcPr>
          <w:p w14:paraId="5F2657A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0.054</w:t>
            </w:r>
          </w:p>
        </w:tc>
        <w:tc>
          <w:tcPr>
            <w:tcW w:w="590" w:type="pct"/>
            <w:tcBorders>
              <w:top w:val="nil"/>
              <w:left w:val="nil"/>
              <w:bottom w:val="nil"/>
              <w:right w:val="nil"/>
            </w:tcBorders>
            <w:shd w:val="clear" w:color="auto" w:fill="auto"/>
            <w:noWrap/>
            <w:vAlign w:val="center"/>
            <w:hideMark/>
          </w:tcPr>
          <w:p w14:paraId="5CFE348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0.034</w:t>
            </w:r>
          </w:p>
        </w:tc>
        <w:tc>
          <w:tcPr>
            <w:tcW w:w="590" w:type="pct"/>
            <w:tcBorders>
              <w:top w:val="nil"/>
              <w:left w:val="nil"/>
              <w:bottom w:val="nil"/>
              <w:right w:val="nil"/>
            </w:tcBorders>
            <w:shd w:val="clear" w:color="auto" w:fill="auto"/>
            <w:noWrap/>
            <w:vAlign w:val="center"/>
            <w:hideMark/>
          </w:tcPr>
          <w:p w14:paraId="1F311C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0.050</w:t>
            </w:r>
          </w:p>
        </w:tc>
        <w:tc>
          <w:tcPr>
            <w:tcW w:w="588" w:type="pct"/>
            <w:tcBorders>
              <w:top w:val="nil"/>
              <w:left w:val="nil"/>
              <w:bottom w:val="nil"/>
              <w:right w:val="nil"/>
            </w:tcBorders>
            <w:shd w:val="clear" w:color="auto" w:fill="auto"/>
            <w:noWrap/>
            <w:vAlign w:val="center"/>
            <w:hideMark/>
          </w:tcPr>
          <w:p w14:paraId="3A22C3F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0.073</w:t>
            </w:r>
          </w:p>
        </w:tc>
      </w:tr>
      <w:tr w:rsidR="00016D40" w:rsidRPr="00CA1166" w14:paraId="39E19759"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567493E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AQ</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515A0C5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0698F54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-0.071</w:t>
            </w:r>
          </w:p>
        </w:tc>
        <w:tc>
          <w:tcPr>
            <w:tcW w:w="762" w:type="pct"/>
            <w:tcBorders>
              <w:top w:val="nil"/>
              <w:left w:val="nil"/>
              <w:bottom w:val="nil"/>
              <w:right w:val="nil"/>
            </w:tcBorders>
            <w:shd w:val="clear" w:color="auto" w:fill="auto"/>
            <w:noWrap/>
            <w:vAlign w:val="center"/>
            <w:hideMark/>
          </w:tcPr>
          <w:p w14:paraId="3507303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0.083</w:t>
            </w:r>
          </w:p>
        </w:tc>
        <w:tc>
          <w:tcPr>
            <w:tcW w:w="590" w:type="pct"/>
            <w:tcBorders>
              <w:top w:val="nil"/>
              <w:left w:val="nil"/>
              <w:bottom w:val="nil"/>
              <w:right w:val="nil"/>
            </w:tcBorders>
            <w:shd w:val="clear" w:color="auto" w:fill="auto"/>
            <w:noWrap/>
            <w:vAlign w:val="center"/>
            <w:hideMark/>
          </w:tcPr>
          <w:p w14:paraId="6FD16C0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-0.086</w:t>
            </w:r>
          </w:p>
        </w:tc>
        <w:tc>
          <w:tcPr>
            <w:tcW w:w="590" w:type="pct"/>
            <w:tcBorders>
              <w:top w:val="nil"/>
              <w:left w:val="nil"/>
              <w:bottom w:val="nil"/>
              <w:right w:val="nil"/>
            </w:tcBorders>
            <w:shd w:val="clear" w:color="auto" w:fill="auto"/>
            <w:noWrap/>
            <w:vAlign w:val="center"/>
            <w:hideMark/>
          </w:tcPr>
          <w:p w14:paraId="5029E4F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-0.048</w:t>
            </w:r>
          </w:p>
        </w:tc>
        <w:tc>
          <w:tcPr>
            <w:tcW w:w="588" w:type="pct"/>
            <w:tcBorders>
              <w:top w:val="nil"/>
              <w:left w:val="nil"/>
              <w:bottom w:val="nil"/>
              <w:right w:val="nil"/>
            </w:tcBorders>
            <w:shd w:val="clear" w:color="auto" w:fill="auto"/>
            <w:noWrap/>
            <w:vAlign w:val="center"/>
            <w:hideMark/>
          </w:tcPr>
          <w:p w14:paraId="7240C56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-0.027</w:t>
            </w:r>
          </w:p>
        </w:tc>
      </w:tr>
      <w:tr w:rsidR="00016D40" w:rsidRPr="00CA1166" w14:paraId="64E42FA1"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1E77FB4A"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Pop</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7BF0041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1D91D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13.683</w:t>
            </w:r>
          </w:p>
        </w:tc>
        <w:tc>
          <w:tcPr>
            <w:tcW w:w="762" w:type="pct"/>
            <w:tcBorders>
              <w:top w:val="nil"/>
              <w:left w:val="nil"/>
              <w:bottom w:val="nil"/>
              <w:right w:val="nil"/>
            </w:tcBorders>
            <w:shd w:val="clear" w:color="auto" w:fill="auto"/>
            <w:noWrap/>
            <w:vAlign w:val="center"/>
            <w:hideMark/>
          </w:tcPr>
          <w:p w14:paraId="4151688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1.098</w:t>
            </w:r>
          </w:p>
        </w:tc>
        <w:tc>
          <w:tcPr>
            <w:tcW w:w="590" w:type="pct"/>
            <w:tcBorders>
              <w:top w:val="nil"/>
              <w:left w:val="nil"/>
              <w:bottom w:val="nil"/>
              <w:right w:val="nil"/>
            </w:tcBorders>
            <w:shd w:val="clear" w:color="auto" w:fill="auto"/>
            <w:noWrap/>
            <w:vAlign w:val="center"/>
            <w:hideMark/>
          </w:tcPr>
          <w:p w14:paraId="6B24A74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13.206</w:t>
            </w:r>
          </w:p>
        </w:tc>
        <w:tc>
          <w:tcPr>
            <w:tcW w:w="590" w:type="pct"/>
            <w:tcBorders>
              <w:top w:val="nil"/>
              <w:left w:val="nil"/>
              <w:bottom w:val="nil"/>
              <w:right w:val="nil"/>
            </w:tcBorders>
            <w:shd w:val="clear" w:color="auto" w:fill="auto"/>
            <w:noWrap/>
            <w:vAlign w:val="center"/>
            <w:hideMark/>
          </w:tcPr>
          <w:p w14:paraId="78319E7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13.680</w:t>
            </w:r>
          </w:p>
        </w:tc>
        <w:tc>
          <w:tcPr>
            <w:tcW w:w="588" w:type="pct"/>
            <w:tcBorders>
              <w:top w:val="nil"/>
              <w:left w:val="nil"/>
              <w:bottom w:val="nil"/>
              <w:right w:val="nil"/>
            </w:tcBorders>
            <w:shd w:val="clear" w:color="auto" w:fill="auto"/>
            <w:noWrap/>
            <w:vAlign w:val="center"/>
            <w:hideMark/>
          </w:tcPr>
          <w:p w14:paraId="22990F1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14.277</w:t>
            </w:r>
          </w:p>
        </w:tc>
      </w:tr>
      <w:tr w:rsidR="00016D40" w:rsidRPr="00CA1166" w14:paraId="12534E3C"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21042AA0"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Central</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37E40E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4311C31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0.863</w:t>
            </w:r>
          </w:p>
        </w:tc>
        <w:tc>
          <w:tcPr>
            <w:tcW w:w="762" w:type="pct"/>
            <w:tcBorders>
              <w:top w:val="nil"/>
              <w:left w:val="nil"/>
              <w:bottom w:val="nil"/>
              <w:right w:val="nil"/>
            </w:tcBorders>
            <w:shd w:val="clear" w:color="auto" w:fill="auto"/>
            <w:noWrap/>
            <w:vAlign w:val="center"/>
            <w:hideMark/>
          </w:tcPr>
          <w:p w14:paraId="1B759D8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0.344</w:t>
            </w:r>
          </w:p>
        </w:tc>
        <w:tc>
          <w:tcPr>
            <w:tcW w:w="590" w:type="pct"/>
            <w:tcBorders>
              <w:top w:val="nil"/>
              <w:left w:val="nil"/>
              <w:bottom w:val="nil"/>
              <w:right w:val="nil"/>
            </w:tcBorders>
            <w:shd w:val="clear" w:color="auto" w:fill="auto"/>
            <w:noWrap/>
            <w:vAlign w:val="center"/>
            <w:hideMark/>
          </w:tcPr>
          <w:p w14:paraId="0A28ED8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1.000</w:t>
            </w:r>
          </w:p>
        </w:tc>
        <w:tc>
          <w:tcPr>
            <w:tcW w:w="590" w:type="pct"/>
            <w:tcBorders>
              <w:top w:val="nil"/>
              <w:left w:val="nil"/>
              <w:bottom w:val="nil"/>
              <w:right w:val="nil"/>
            </w:tcBorders>
            <w:shd w:val="clear" w:color="auto" w:fill="auto"/>
            <w:noWrap/>
            <w:vAlign w:val="center"/>
            <w:hideMark/>
          </w:tcPr>
          <w:p w14:paraId="5F2E2C3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1.000</w:t>
            </w:r>
          </w:p>
        </w:tc>
        <w:tc>
          <w:tcPr>
            <w:tcW w:w="588" w:type="pct"/>
            <w:tcBorders>
              <w:top w:val="nil"/>
              <w:left w:val="nil"/>
              <w:bottom w:val="nil"/>
              <w:right w:val="nil"/>
            </w:tcBorders>
            <w:shd w:val="clear" w:color="auto" w:fill="auto"/>
            <w:noWrap/>
            <w:vAlign w:val="center"/>
            <w:hideMark/>
          </w:tcPr>
          <w:p w14:paraId="096211D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1.000</w:t>
            </w:r>
          </w:p>
        </w:tc>
      </w:tr>
      <w:tr w:rsidR="00016D40" w:rsidRPr="00CA1166" w14:paraId="4BAAA960"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20ED0135"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Net_Hiring_Vol</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3F54049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15406FB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0.303</w:t>
            </w:r>
          </w:p>
        </w:tc>
        <w:tc>
          <w:tcPr>
            <w:tcW w:w="762" w:type="pct"/>
            <w:tcBorders>
              <w:top w:val="nil"/>
              <w:left w:val="nil"/>
              <w:bottom w:val="nil"/>
              <w:right w:val="nil"/>
            </w:tcBorders>
            <w:shd w:val="clear" w:color="auto" w:fill="auto"/>
            <w:noWrap/>
            <w:vAlign w:val="center"/>
            <w:hideMark/>
          </w:tcPr>
          <w:p w14:paraId="6409AF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0.915</w:t>
            </w:r>
          </w:p>
        </w:tc>
        <w:tc>
          <w:tcPr>
            <w:tcW w:w="590" w:type="pct"/>
            <w:tcBorders>
              <w:top w:val="nil"/>
              <w:left w:val="nil"/>
              <w:bottom w:val="nil"/>
              <w:right w:val="nil"/>
            </w:tcBorders>
            <w:shd w:val="clear" w:color="auto" w:fill="auto"/>
            <w:noWrap/>
            <w:vAlign w:val="center"/>
            <w:hideMark/>
          </w:tcPr>
          <w:p w14:paraId="62A043F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0.075</w:t>
            </w:r>
          </w:p>
        </w:tc>
        <w:tc>
          <w:tcPr>
            <w:tcW w:w="590" w:type="pct"/>
            <w:tcBorders>
              <w:top w:val="nil"/>
              <w:left w:val="nil"/>
              <w:bottom w:val="nil"/>
              <w:right w:val="nil"/>
            </w:tcBorders>
            <w:shd w:val="clear" w:color="auto" w:fill="auto"/>
            <w:noWrap/>
            <w:vAlign w:val="center"/>
            <w:hideMark/>
          </w:tcPr>
          <w:p w14:paraId="395BED6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0.143</w:t>
            </w:r>
          </w:p>
        </w:tc>
        <w:tc>
          <w:tcPr>
            <w:tcW w:w="588" w:type="pct"/>
            <w:tcBorders>
              <w:top w:val="nil"/>
              <w:left w:val="nil"/>
              <w:bottom w:val="nil"/>
              <w:right w:val="nil"/>
            </w:tcBorders>
            <w:shd w:val="clear" w:color="auto" w:fill="auto"/>
            <w:noWrap/>
            <w:vAlign w:val="center"/>
            <w:hideMark/>
          </w:tcPr>
          <w:p w14:paraId="16AED19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0.267</w:t>
            </w:r>
          </w:p>
        </w:tc>
      </w:tr>
      <w:tr w:rsidR="00016D40" w:rsidRPr="00CA1166" w14:paraId="47218EB9"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6D30B1D2" w14:textId="77777777" w:rsidR="00016D40" w:rsidRPr="00CA1166" w:rsidRDefault="00016D40" w:rsidP="00CD1FDD">
            <w:pPr>
              <w:spacing w:after="0" w:line="240" w:lineRule="auto"/>
              <w:rPr>
                <w:rFonts w:eastAsia="Times New Roman" w:cs="Calibri"/>
                <w:i/>
                <w:iCs/>
                <w:color w:val="000000"/>
                <w:sz w:val="20"/>
                <w:szCs w:val="20"/>
              </w:rPr>
            </w:pPr>
            <w:r>
              <w:rPr>
                <w:rFonts w:eastAsia="Times New Roman" w:cs="Calibri"/>
                <w:i/>
                <w:iCs/>
                <w:color w:val="000000"/>
                <w:sz w:val="20"/>
                <w:szCs w:val="20"/>
              </w:rPr>
              <w:t>Labour</w:t>
            </w:r>
            <w:r w:rsidRPr="00CA1166">
              <w:rPr>
                <w:rFonts w:eastAsia="Times New Roman" w:cs="Calibri"/>
                <w:i/>
                <w:iCs/>
                <w:color w:val="000000"/>
                <w:sz w:val="20"/>
                <w:szCs w:val="20"/>
              </w:rPr>
              <w:t>_Intensity</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0022BF5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50138F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762" w:type="pct"/>
            <w:tcBorders>
              <w:top w:val="nil"/>
              <w:left w:val="nil"/>
              <w:bottom w:val="nil"/>
              <w:right w:val="nil"/>
            </w:tcBorders>
            <w:shd w:val="clear" w:color="auto" w:fill="auto"/>
            <w:noWrap/>
            <w:vAlign w:val="center"/>
            <w:hideMark/>
          </w:tcPr>
          <w:p w14:paraId="196697A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0.013</w:t>
            </w:r>
          </w:p>
        </w:tc>
        <w:tc>
          <w:tcPr>
            <w:tcW w:w="590" w:type="pct"/>
            <w:tcBorders>
              <w:top w:val="nil"/>
              <w:left w:val="nil"/>
              <w:bottom w:val="nil"/>
              <w:right w:val="nil"/>
            </w:tcBorders>
            <w:shd w:val="clear" w:color="auto" w:fill="auto"/>
            <w:noWrap/>
            <w:vAlign w:val="center"/>
            <w:hideMark/>
          </w:tcPr>
          <w:p w14:paraId="0FD44EB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0.002</w:t>
            </w:r>
          </w:p>
        </w:tc>
        <w:tc>
          <w:tcPr>
            <w:tcW w:w="590" w:type="pct"/>
            <w:tcBorders>
              <w:top w:val="nil"/>
              <w:left w:val="nil"/>
              <w:bottom w:val="nil"/>
              <w:right w:val="nil"/>
            </w:tcBorders>
            <w:shd w:val="clear" w:color="auto" w:fill="auto"/>
            <w:noWrap/>
            <w:vAlign w:val="center"/>
            <w:hideMark/>
          </w:tcPr>
          <w:p w14:paraId="5EDC77A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c>
          <w:tcPr>
            <w:tcW w:w="588" w:type="pct"/>
            <w:tcBorders>
              <w:top w:val="nil"/>
              <w:left w:val="nil"/>
              <w:bottom w:val="nil"/>
              <w:right w:val="nil"/>
            </w:tcBorders>
            <w:shd w:val="clear" w:color="auto" w:fill="auto"/>
            <w:noWrap/>
            <w:vAlign w:val="center"/>
            <w:hideMark/>
          </w:tcPr>
          <w:p w14:paraId="4AE826B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r>
      <w:tr w:rsidR="00016D40" w:rsidRPr="00CA1166" w14:paraId="52872080" w14:textId="77777777" w:rsidTr="00CD1FDD">
        <w:trPr>
          <w:trHeight w:val="270"/>
          <w:jc w:val="center"/>
        </w:trPr>
        <w:tc>
          <w:tcPr>
            <w:tcW w:w="1290" w:type="pct"/>
            <w:tcBorders>
              <w:top w:val="nil"/>
              <w:left w:val="nil"/>
              <w:bottom w:val="nil"/>
              <w:right w:val="nil"/>
            </w:tcBorders>
            <w:shd w:val="clear" w:color="auto" w:fill="auto"/>
            <w:noWrap/>
            <w:vAlign w:val="center"/>
            <w:hideMark/>
          </w:tcPr>
          <w:p w14:paraId="6D6D260C"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Union</w:t>
            </w:r>
            <w:r w:rsidRPr="00CA1166">
              <w:rPr>
                <w:rFonts w:eastAsia="Times New Roman" w:cs="Calibri"/>
                <w:i/>
                <w:iCs/>
                <w:color w:val="000000"/>
                <w:sz w:val="20"/>
                <w:szCs w:val="20"/>
                <w:vertAlign w:val="subscript"/>
              </w:rPr>
              <w:t>i,t-1</w:t>
            </w:r>
          </w:p>
        </w:tc>
        <w:tc>
          <w:tcPr>
            <w:tcW w:w="590" w:type="pct"/>
            <w:tcBorders>
              <w:top w:val="nil"/>
              <w:left w:val="nil"/>
              <w:bottom w:val="nil"/>
              <w:right w:val="nil"/>
            </w:tcBorders>
            <w:shd w:val="clear" w:color="auto" w:fill="auto"/>
            <w:noWrap/>
            <w:vAlign w:val="center"/>
            <w:hideMark/>
          </w:tcPr>
          <w:p w14:paraId="0F59883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nil"/>
              <w:right w:val="nil"/>
            </w:tcBorders>
            <w:shd w:val="clear" w:color="auto" w:fill="auto"/>
            <w:noWrap/>
            <w:vAlign w:val="center"/>
            <w:hideMark/>
          </w:tcPr>
          <w:p w14:paraId="78CB17D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0.138</w:t>
            </w:r>
          </w:p>
        </w:tc>
        <w:tc>
          <w:tcPr>
            <w:tcW w:w="762" w:type="pct"/>
            <w:tcBorders>
              <w:top w:val="nil"/>
              <w:left w:val="nil"/>
              <w:bottom w:val="nil"/>
              <w:right w:val="nil"/>
            </w:tcBorders>
            <w:shd w:val="clear" w:color="auto" w:fill="auto"/>
            <w:noWrap/>
            <w:vAlign w:val="center"/>
            <w:hideMark/>
          </w:tcPr>
          <w:p w14:paraId="225DA0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0.131</w:t>
            </w:r>
          </w:p>
        </w:tc>
        <w:tc>
          <w:tcPr>
            <w:tcW w:w="590" w:type="pct"/>
            <w:tcBorders>
              <w:top w:val="nil"/>
              <w:left w:val="nil"/>
              <w:bottom w:val="nil"/>
              <w:right w:val="nil"/>
            </w:tcBorders>
            <w:shd w:val="clear" w:color="auto" w:fill="auto"/>
            <w:noWrap/>
            <w:vAlign w:val="center"/>
            <w:hideMark/>
          </w:tcPr>
          <w:p w14:paraId="7CE1D2A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0.040</w:t>
            </w:r>
          </w:p>
        </w:tc>
        <w:tc>
          <w:tcPr>
            <w:tcW w:w="590" w:type="pct"/>
            <w:tcBorders>
              <w:top w:val="nil"/>
              <w:left w:val="nil"/>
              <w:bottom w:val="nil"/>
              <w:right w:val="nil"/>
            </w:tcBorders>
            <w:shd w:val="clear" w:color="auto" w:fill="auto"/>
            <w:noWrap/>
            <w:vAlign w:val="center"/>
            <w:hideMark/>
          </w:tcPr>
          <w:p w14:paraId="7E5BB10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0.094</w:t>
            </w:r>
          </w:p>
        </w:tc>
        <w:tc>
          <w:tcPr>
            <w:tcW w:w="588" w:type="pct"/>
            <w:tcBorders>
              <w:top w:val="nil"/>
              <w:left w:val="nil"/>
              <w:bottom w:val="nil"/>
              <w:right w:val="nil"/>
            </w:tcBorders>
            <w:shd w:val="clear" w:color="auto" w:fill="auto"/>
            <w:noWrap/>
            <w:vAlign w:val="center"/>
            <w:hideMark/>
          </w:tcPr>
          <w:p w14:paraId="1EA246E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0.194</w:t>
            </w:r>
          </w:p>
        </w:tc>
      </w:tr>
      <w:tr w:rsidR="00016D40" w:rsidRPr="00CA1166" w14:paraId="21B194CD" w14:textId="77777777" w:rsidTr="00CD1FDD">
        <w:trPr>
          <w:trHeight w:val="270"/>
          <w:jc w:val="center"/>
        </w:trPr>
        <w:tc>
          <w:tcPr>
            <w:tcW w:w="1290" w:type="pct"/>
            <w:tcBorders>
              <w:top w:val="nil"/>
              <w:left w:val="nil"/>
              <w:bottom w:val="single" w:sz="18" w:space="0" w:color="auto"/>
              <w:right w:val="nil"/>
            </w:tcBorders>
            <w:shd w:val="clear" w:color="auto" w:fill="auto"/>
            <w:noWrap/>
            <w:vAlign w:val="center"/>
            <w:hideMark/>
          </w:tcPr>
          <w:p w14:paraId="24F6AFC2"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w:t>
            </w:r>
            <w:r w:rsidRPr="00CA1166">
              <w:rPr>
                <w:rFonts w:eastAsia="Times New Roman" w:cs="Calibri"/>
                <w:i/>
                <w:iCs/>
                <w:color w:val="000000"/>
                <w:sz w:val="20"/>
                <w:szCs w:val="20"/>
              </w:rPr>
              <w:t>Ab_Other_Invest</w:t>
            </w:r>
            <w:r w:rsidRPr="00CA1166">
              <w:rPr>
                <w:rFonts w:eastAsia="Times New Roman" w:cs="Calibri"/>
                <w:color w:val="000000"/>
                <w:sz w:val="20"/>
                <w:szCs w:val="20"/>
              </w:rPr>
              <w:t>|</w:t>
            </w:r>
            <w:r w:rsidRPr="00CA1166">
              <w:rPr>
                <w:rFonts w:eastAsia="Times New Roman" w:cs="Calibri"/>
                <w:i/>
                <w:iCs/>
                <w:color w:val="000000"/>
                <w:sz w:val="20"/>
                <w:szCs w:val="20"/>
                <w:vertAlign w:val="subscript"/>
              </w:rPr>
              <w:t>i,t</w:t>
            </w:r>
          </w:p>
        </w:tc>
        <w:tc>
          <w:tcPr>
            <w:tcW w:w="590" w:type="pct"/>
            <w:tcBorders>
              <w:top w:val="nil"/>
              <w:left w:val="nil"/>
              <w:bottom w:val="single" w:sz="18" w:space="0" w:color="auto"/>
              <w:right w:val="nil"/>
            </w:tcBorders>
            <w:shd w:val="clear" w:color="auto" w:fill="auto"/>
            <w:noWrap/>
            <w:vAlign w:val="center"/>
            <w:hideMark/>
          </w:tcPr>
          <w:p w14:paraId="26C1767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90" w:type="pct"/>
            <w:tcBorders>
              <w:top w:val="nil"/>
              <w:left w:val="nil"/>
              <w:bottom w:val="single" w:sz="18" w:space="0" w:color="auto"/>
              <w:right w:val="nil"/>
            </w:tcBorders>
            <w:shd w:val="clear" w:color="auto" w:fill="auto"/>
            <w:noWrap/>
            <w:vAlign w:val="center"/>
            <w:hideMark/>
          </w:tcPr>
          <w:p w14:paraId="66EAE75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0.087</w:t>
            </w:r>
          </w:p>
        </w:tc>
        <w:tc>
          <w:tcPr>
            <w:tcW w:w="762" w:type="pct"/>
            <w:tcBorders>
              <w:top w:val="nil"/>
              <w:left w:val="nil"/>
              <w:bottom w:val="single" w:sz="18" w:space="0" w:color="auto"/>
              <w:right w:val="nil"/>
            </w:tcBorders>
            <w:shd w:val="clear" w:color="auto" w:fill="auto"/>
            <w:noWrap/>
            <w:vAlign w:val="center"/>
            <w:hideMark/>
          </w:tcPr>
          <w:p w14:paraId="5CBA815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0.127</w:t>
            </w:r>
          </w:p>
        </w:tc>
        <w:tc>
          <w:tcPr>
            <w:tcW w:w="590" w:type="pct"/>
            <w:tcBorders>
              <w:top w:val="nil"/>
              <w:left w:val="nil"/>
              <w:bottom w:val="single" w:sz="18" w:space="0" w:color="auto"/>
              <w:right w:val="nil"/>
            </w:tcBorders>
            <w:shd w:val="clear" w:color="auto" w:fill="auto"/>
            <w:noWrap/>
            <w:vAlign w:val="center"/>
            <w:hideMark/>
          </w:tcPr>
          <w:p w14:paraId="7A02084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0.034</w:t>
            </w:r>
          </w:p>
        </w:tc>
        <w:tc>
          <w:tcPr>
            <w:tcW w:w="590" w:type="pct"/>
            <w:tcBorders>
              <w:top w:val="nil"/>
              <w:left w:val="nil"/>
              <w:bottom w:val="single" w:sz="18" w:space="0" w:color="auto"/>
              <w:right w:val="nil"/>
            </w:tcBorders>
            <w:shd w:val="clear" w:color="auto" w:fill="auto"/>
            <w:noWrap/>
            <w:vAlign w:val="center"/>
            <w:hideMark/>
          </w:tcPr>
          <w:p w14:paraId="3B03914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0.066</w:t>
            </w:r>
          </w:p>
        </w:tc>
        <w:tc>
          <w:tcPr>
            <w:tcW w:w="588" w:type="pct"/>
            <w:tcBorders>
              <w:top w:val="nil"/>
              <w:left w:val="nil"/>
              <w:bottom w:val="single" w:sz="18" w:space="0" w:color="auto"/>
              <w:right w:val="nil"/>
            </w:tcBorders>
            <w:shd w:val="clear" w:color="auto" w:fill="auto"/>
            <w:noWrap/>
            <w:vAlign w:val="center"/>
            <w:hideMark/>
          </w:tcPr>
          <w:p w14:paraId="12E9781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0.100</w:t>
            </w:r>
          </w:p>
        </w:tc>
      </w:tr>
    </w:tbl>
    <w:p w14:paraId="34A65304" w14:textId="77777777" w:rsidR="00016D40" w:rsidRPr="00CA1166" w:rsidRDefault="00016D40" w:rsidP="00016D40">
      <w:pPr>
        <w:spacing w:after="0"/>
      </w:pPr>
    </w:p>
    <w:p w14:paraId="6BCB926C" w14:textId="77777777" w:rsidR="00016D40" w:rsidRPr="00CA1166" w:rsidRDefault="00016D40" w:rsidP="00016D40">
      <w:pPr>
        <w:sectPr w:rsidR="00016D40" w:rsidRPr="00CA1166" w:rsidSect="008325AD">
          <w:footerReference w:type="default" r:id="rId22"/>
          <w:footerReference w:type="first" r:id="rId23"/>
          <w:pgSz w:w="11906" w:h="16838"/>
          <w:pgMar w:top="1440" w:right="1440" w:bottom="1440" w:left="1440" w:header="708" w:footer="708" w:gutter="0"/>
          <w:pgNumType w:start="0"/>
          <w:cols w:space="708"/>
          <w:titlePg/>
          <w:docGrid w:linePitch="360"/>
        </w:sectPr>
      </w:pPr>
      <w:r w:rsidRPr="00CA1166">
        <w:t>Note: Panel A shows our sample selection procedure. Panel B presents descriptive statistics for the labo</w:t>
      </w:r>
      <w:r>
        <w:t>u</w:t>
      </w:r>
      <w:r w:rsidRPr="00CA1166">
        <w:t>r investment, comparability, and control variables used in our main analysis. All variables are defined in Appendix A.</w:t>
      </w:r>
    </w:p>
    <w:p w14:paraId="7BBD2E7E" w14:textId="77777777" w:rsidR="00016D40" w:rsidRPr="00CA1166" w:rsidRDefault="00016D40" w:rsidP="00016D40">
      <w:r w:rsidRPr="00CA1166">
        <w:rPr>
          <w:b/>
        </w:rPr>
        <w:lastRenderedPageBreak/>
        <w:t>Table 2.</w:t>
      </w:r>
      <w:r w:rsidRPr="00CA1166">
        <w:t xml:space="preserve"> The Impact of Accounting Comparability on Employment Decision</w:t>
      </w:r>
      <w:r>
        <w:t>-Making</w:t>
      </w:r>
    </w:p>
    <w:tbl>
      <w:tblPr>
        <w:tblW w:w="5298" w:type="pct"/>
        <w:jc w:val="center"/>
        <w:tblLook w:val="04A0" w:firstRow="1" w:lastRow="0" w:firstColumn="1" w:lastColumn="0" w:noHBand="0" w:noVBand="1"/>
      </w:tblPr>
      <w:tblGrid>
        <w:gridCol w:w="1943"/>
        <w:gridCol w:w="1033"/>
        <w:gridCol w:w="1033"/>
        <w:gridCol w:w="1033"/>
        <w:gridCol w:w="1033"/>
        <w:gridCol w:w="1033"/>
        <w:gridCol w:w="1033"/>
        <w:gridCol w:w="1033"/>
        <w:gridCol w:w="1033"/>
      </w:tblGrid>
      <w:tr w:rsidR="00016D40" w:rsidRPr="00CA1166" w14:paraId="46353027" w14:textId="77777777" w:rsidTr="00CD1FDD">
        <w:trPr>
          <w:trHeight w:val="228"/>
          <w:jc w:val="center"/>
        </w:trPr>
        <w:tc>
          <w:tcPr>
            <w:tcW w:w="946" w:type="pct"/>
            <w:tcBorders>
              <w:top w:val="single" w:sz="18" w:space="0" w:color="auto"/>
              <w:left w:val="nil"/>
              <w:bottom w:val="single" w:sz="4" w:space="0" w:color="auto"/>
              <w:right w:val="nil"/>
            </w:tcBorders>
            <w:shd w:val="clear" w:color="auto" w:fill="auto"/>
            <w:noWrap/>
            <w:vAlign w:val="bottom"/>
            <w:hideMark/>
          </w:tcPr>
          <w:p w14:paraId="23ADA251"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507" w:type="pct"/>
            <w:tcBorders>
              <w:top w:val="single" w:sz="18" w:space="0" w:color="auto"/>
              <w:left w:val="nil"/>
              <w:bottom w:val="single" w:sz="4" w:space="0" w:color="auto"/>
              <w:right w:val="nil"/>
            </w:tcBorders>
            <w:shd w:val="clear" w:color="auto" w:fill="auto"/>
            <w:noWrap/>
            <w:vAlign w:val="center"/>
            <w:hideMark/>
          </w:tcPr>
          <w:p w14:paraId="5738D1B8"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w:t>
            </w:r>
          </w:p>
        </w:tc>
        <w:tc>
          <w:tcPr>
            <w:tcW w:w="507" w:type="pct"/>
            <w:tcBorders>
              <w:top w:val="single" w:sz="18" w:space="0" w:color="auto"/>
              <w:left w:val="nil"/>
              <w:bottom w:val="single" w:sz="4" w:space="0" w:color="auto"/>
              <w:right w:val="nil"/>
            </w:tcBorders>
            <w:shd w:val="clear" w:color="auto" w:fill="auto"/>
            <w:noWrap/>
            <w:vAlign w:val="center"/>
            <w:hideMark/>
          </w:tcPr>
          <w:p w14:paraId="39D266F2"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(2)</w:t>
            </w:r>
          </w:p>
        </w:tc>
        <w:tc>
          <w:tcPr>
            <w:tcW w:w="507" w:type="pct"/>
            <w:tcBorders>
              <w:top w:val="single" w:sz="18" w:space="0" w:color="auto"/>
              <w:left w:val="nil"/>
              <w:bottom w:val="single" w:sz="4" w:space="0" w:color="auto"/>
              <w:right w:val="nil"/>
            </w:tcBorders>
            <w:shd w:val="clear" w:color="auto" w:fill="auto"/>
            <w:noWrap/>
            <w:vAlign w:val="center"/>
            <w:hideMark/>
          </w:tcPr>
          <w:p w14:paraId="57C4295B"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(3)</w:t>
            </w:r>
          </w:p>
        </w:tc>
        <w:tc>
          <w:tcPr>
            <w:tcW w:w="507" w:type="pct"/>
            <w:tcBorders>
              <w:top w:val="single" w:sz="18" w:space="0" w:color="auto"/>
              <w:left w:val="nil"/>
              <w:bottom w:val="single" w:sz="4" w:space="0" w:color="auto"/>
              <w:right w:val="nil"/>
            </w:tcBorders>
            <w:shd w:val="clear" w:color="auto" w:fill="auto"/>
            <w:noWrap/>
            <w:vAlign w:val="center"/>
            <w:hideMark/>
          </w:tcPr>
          <w:p w14:paraId="1B7360ED"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(4)</w:t>
            </w:r>
          </w:p>
        </w:tc>
        <w:tc>
          <w:tcPr>
            <w:tcW w:w="507" w:type="pct"/>
            <w:tcBorders>
              <w:top w:val="single" w:sz="18" w:space="0" w:color="auto"/>
              <w:left w:val="nil"/>
              <w:bottom w:val="single" w:sz="4" w:space="0" w:color="auto"/>
              <w:right w:val="nil"/>
            </w:tcBorders>
            <w:shd w:val="clear" w:color="auto" w:fill="auto"/>
            <w:noWrap/>
            <w:vAlign w:val="center"/>
            <w:hideMark/>
          </w:tcPr>
          <w:p w14:paraId="345A27E9"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(5)</w:t>
            </w:r>
          </w:p>
        </w:tc>
        <w:tc>
          <w:tcPr>
            <w:tcW w:w="507" w:type="pct"/>
            <w:tcBorders>
              <w:top w:val="single" w:sz="18" w:space="0" w:color="auto"/>
              <w:left w:val="nil"/>
              <w:bottom w:val="single" w:sz="4" w:space="0" w:color="auto"/>
              <w:right w:val="nil"/>
            </w:tcBorders>
            <w:shd w:val="clear" w:color="auto" w:fill="auto"/>
            <w:noWrap/>
            <w:vAlign w:val="center"/>
            <w:hideMark/>
          </w:tcPr>
          <w:p w14:paraId="01B9D7E3"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(6)</w:t>
            </w:r>
          </w:p>
        </w:tc>
        <w:tc>
          <w:tcPr>
            <w:tcW w:w="507" w:type="pct"/>
            <w:tcBorders>
              <w:top w:val="single" w:sz="18" w:space="0" w:color="auto"/>
              <w:left w:val="nil"/>
              <w:bottom w:val="single" w:sz="4" w:space="0" w:color="auto"/>
              <w:right w:val="nil"/>
            </w:tcBorders>
            <w:shd w:val="clear" w:color="auto" w:fill="auto"/>
            <w:noWrap/>
            <w:vAlign w:val="center"/>
            <w:hideMark/>
          </w:tcPr>
          <w:p w14:paraId="519BC275"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(7)</w:t>
            </w:r>
          </w:p>
        </w:tc>
        <w:tc>
          <w:tcPr>
            <w:tcW w:w="507" w:type="pct"/>
            <w:tcBorders>
              <w:top w:val="single" w:sz="18" w:space="0" w:color="auto"/>
              <w:left w:val="nil"/>
              <w:bottom w:val="single" w:sz="4" w:space="0" w:color="auto"/>
              <w:right w:val="nil"/>
            </w:tcBorders>
            <w:shd w:val="clear" w:color="auto" w:fill="auto"/>
            <w:noWrap/>
            <w:vAlign w:val="center"/>
            <w:hideMark/>
          </w:tcPr>
          <w:p w14:paraId="5F7FD5AD"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(8)</w:t>
            </w:r>
          </w:p>
        </w:tc>
      </w:tr>
      <w:tr w:rsidR="00016D40" w:rsidRPr="00CA1166" w14:paraId="50D743A8" w14:textId="77777777" w:rsidTr="00CD1FDD">
        <w:trPr>
          <w:trHeight w:val="228"/>
          <w:jc w:val="center"/>
        </w:trPr>
        <w:tc>
          <w:tcPr>
            <w:tcW w:w="946" w:type="pct"/>
            <w:tcBorders>
              <w:top w:val="single" w:sz="4" w:space="0" w:color="auto"/>
              <w:left w:val="nil"/>
              <w:bottom w:val="nil"/>
              <w:right w:val="nil"/>
            </w:tcBorders>
            <w:shd w:val="clear" w:color="auto" w:fill="auto"/>
            <w:noWrap/>
            <w:vAlign w:val="center"/>
            <w:hideMark/>
          </w:tcPr>
          <w:p w14:paraId="01852E00"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507" w:type="pct"/>
            <w:tcBorders>
              <w:top w:val="single" w:sz="4" w:space="0" w:color="auto"/>
              <w:left w:val="nil"/>
              <w:bottom w:val="nil"/>
              <w:right w:val="nil"/>
            </w:tcBorders>
            <w:shd w:val="clear" w:color="auto" w:fill="auto"/>
            <w:noWrap/>
            <w:vAlign w:val="center"/>
            <w:hideMark/>
          </w:tcPr>
          <w:p w14:paraId="6D4263B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-0.379***</w:t>
            </w:r>
          </w:p>
        </w:tc>
        <w:tc>
          <w:tcPr>
            <w:tcW w:w="507" w:type="pct"/>
            <w:tcBorders>
              <w:top w:val="single" w:sz="4" w:space="0" w:color="auto"/>
              <w:left w:val="nil"/>
              <w:bottom w:val="nil"/>
              <w:right w:val="nil"/>
            </w:tcBorders>
            <w:shd w:val="clear" w:color="auto" w:fill="auto"/>
            <w:noWrap/>
            <w:vAlign w:val="center"/>
            <w:hideMark/>
          </w:tcPr>
          <w:p w14:paraId="26F7E8F4"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single" w:sz="4" w:space="0" w:color="auto"/>
              <w:left w:val="nil"/>
              <w:bottom w:val="nil"/>
              <w:right w:val="nil"/>
            </w:tcBorders>
            <w:shd w:val="clear" w:color="auto" w:fill="auto"/>
            <w:noWrap/>
            <w:vAlign w:val="center"/>
            <w:hideMark/>
          </w:tcPr>
          <w:p w14:paraId="0FB0A1B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single" w:sz="4" w:space="0" w:color="auto"/>
              <w:left w:val="nil"/>
              <w:bottom w:val="nil"/>
              <w:right w:val="nil"/>
            </w:tcBorders>
            <w:shd w:val="clear" w:color="auto" w:fill="auto"/>
            <w:noWrap/>
            <w:vAlign w:val="center"/>
            <w:hideMark/>
          </w:tcPr>
          <w:p w14:paraId="0638075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single" w:sz="4" w:space="0" w:color="auto"/>
              <w:left w:val="nil"/>
              <w:bottom w:val="nil"/>
              <w:right w:val="nil"/>
            </w:tcBorders>
            <w:shd w:val="clear" w:color="auto" w:fill="auto"/>
            <w:noWrap/>
            <w:vAlign w:val="center"/>
            <w:hideMark/>
          </w:tcPr>
          <w:p w14:paraId="2E7DD6F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-0.302***</w:t>
            </w:r>
          </w:p>
        </w:tc>
        <w:tc>
          <w:tcPr>
            <w:tcW w:w="507" w:type="pct"/>
            <w:tcBorders>
              <w:top w:val="single" w:sz="4" w:space="0" w:color="auto"/>
              <w:left w:val="nil"/>
              <w:bottom w:val="nil"/>
              <w:right w:val="nil"/>
            </w:tcBorders>
            <w:shd w:val="clear" w:color="auto" w:fill="auto"/>
            <w:noWrap/>
            <w:vAlign w:val="center"/>
            <w:hideMark/>
          </w:tcPr>
          <w:p w14:paraId="2CABA296"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single" w:sz="4" w:space="0" w:color="auto"/>
              <w:left w:val="nil"/>
              <w:bottom w:val="nil"/>
              <w:right w:val="nil"/>
            </w:tcBorders>
            <w:shd w:val="clear" w:color="auto" w:fill="auto"/>
            <w:noWrap/>
            <w:vAlign w:val="center"/>
            <w:hideMark/>
          </w:tcPr>
          <w:p w14:paraId="4F890F7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single" w:sz="4" w:space="0" w:color="auto"/>
              <w:left w:val="nil"/>
              <w:bottom w:val="nil"/>
              <w:right w:val="nil"/>
            </w:tcBorders>
            <w:shd w:val="clear" w:color="auto" w:fill="auto"/>
            <w:noWrap/>
            <w:vAlign w:val="center"/>
            <w:hideMark/>
          </w:tcPr>
          <w:p w14:paraId="5822F9D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53650BC7"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6D4B77B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33CB91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(-5.78)</w:t>
            </w:r>
          </w:p>
        </w:tc>
        <w:tc>
          <w:tcPr>
            <w:tcW w:w="507" w:type="pct"/>
            <w:tcBorders>
              <w:top w:val="nil"/>
              <w:left w:val="nil"/>
              <w:bottom w:val="nil"/>
              <w:right w:val="nil"/>
            </w:tcBorders>
            <w:shd w:val="clear" w:color="auto" w:fill="auto"/>
            <w:noWrap/>
            <w:vAlign w:val="center"/>
            <w:hideMark/>
          </w:tcPr>
          <w:p w14:paraId="4B949851"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1EA43EC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1E0969F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A3293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(-5.38)</w:t>
            </w:r>
          </w:p>
        </w:tc>
        <w:tc>
          <w:tcPr>
            <w:tcW w:w="507" w:type="pct"/>
            <w:tcBorders>
              <w:top w:val="nil"/>
              <w:left w:val="nil"/>
              <w:bottom w:val="nil"/>
              <w:right w:val="nil"/>
            </w:tcBorders>
            <w:shd w:val="clear" w:color="auto" w:fill="auto"/>
            <w:noWrap/>
            <w:vAlign w:val="center"/>
            <w:hideMark/>
          </w:tcPr>
          <w:p w14:paraId="31582C1D"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1EA12D5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2854AC5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3FACFF75"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6681C0A2"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1AC803E9" w14:textId="77777777" w:rsidR="00016D40" w:rsidRPr="00CA1166" w:rsidRDefault="00016D40" w:rsidP="00CD1FDD">
            <w:pPr>
              <w:spacing w:after="0" w:line="240" w:lineRule="auto"/>
              <w:rPr>
                <w:rFonts w:eastAsia="Times New Roman" w:cs="Calibri"/>
                <w:i/>
                <w:iCs/>
                <w:color w:val="000000"/>
                <w:sz w:val="20"/>
                <w:szCs w:val="20"/>
              </w:rPr>
            </w:pPr>
          </w:p>
        </w:tc>
        <w:tc>
          <w:tcPr>
            <w:tcW w:w="507" w:type="pct"/>
            <w:tcBorders>
              <w:top w:val="nil"/>
              <w:left w:val="nil"/>
              <w:bottom w:val="nil"/>
              <w:right w:val="nil"/>
            </w:tcBorders>
            <w:shd w:val="clear" w:color="auto" w:fill="auto"/>
            <w:noWrap/>
            <w:vAlign w:val="center"/>
            <w:hideMark/>
          </w:tcPr>
          <w:p w14:paraId="064ABB3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-0.411***</w:t>
            </w:r>
          </w:p>
        </w:tc>
        <w:tc>
          <w:tcPr>
            <w:tcW w:w="507" w:type="pct"/>
            <w:tcBorders>
              <w:top w:val="nil"/>
              <w:left w:val="nil"/>
              <w:bottom w:val="nil"/>
              <w:right w:val="nil"/>
            </w:tcBorders>
            <w:shd w:val="clear" w:color="auto" w:fill="auto"/>
            <w:noWrap/>
            <w:vAlign w:val="center"/>
            <w:hideMark/>
          </w:tcPr>
          <w:p w14:paraId="7BFC0D74"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F9D265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1AD55DC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67B8AA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-0.376***</w:t>
            </w:r>
          </w:p>
        </w:tc>
        <w:tc>
          <w:tcPr>
            <w:tcW w:w="507" w:type="pct"/>
            <w:tcBorders>
              <w:top w:val="nil"/>
              <w:left w:val="nil"/>
              <w:bottom w:val="nil"/>
              <w:right w:val="nil"/>
            </w:tcBorders>
            <w:shd w:val="clear" w:color="auto" w:fill="auto"/>
            <w:noWrap/>
            <w:vAlign w:val="center"/>
            <w:hideMark/>
          </w:tcPr>
          <w:p w14:paraId="4C8265E8"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418C553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237D079C"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6AD1105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716D5FA1"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BFA84F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(-4.06)</w:t>
            </w:r>
          </w:p>
        </w:tc>
        <w:tc>
          <w:tcPr>
            <w:tcW w:w="507" w:type="pct"/>
            <w:tcBorders>
              <w:top w:val="nil"/>
              <w:left w:val="nil"/>
              <w:bottom w:val="nil"/>
              <w:right w:val="nil"/>
            </w:tcBorders>
            <w:shd w:val="clear" w:color="auto" w:fill="auto"/>
            <w:noWrap/>
            <w:vAlign w:val="center"/>
            <w:hideMark/>
          </w:tcPr>
          <w:p w14:paraId="24CC0413"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41C5088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3EE5ACD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C238C1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(-4.25)</w:t>
            </w:r>
          </w:p>
        </w:tc>
        <w:tc>
          <w:tcPr>
            <w:tcW w:w="507" w:type="pct"/>
            <w:tcBorders>
              <w:top w:val="nil"/>
              <w:left w:val="nil"/>
              <w:bottom w:val="nil"/>
              <w:right w:val="nil"/>
            </w:tcBorders>
            <w:shd w:val="clear" w:color="auto" w:fill="auto"/>
            <w:noWrap/>
            <w:vAlign w:val="center"/>
            <w:hideMark/>
          </w:tcPr>
          <w:p w14:paraId="4AC32B99"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C6C581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363281B"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0E99B28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3963C4FB" w14:textId="77777777" w:rsidR="00016D40" w:rsidRPr="00CA1166" w:rsidRDefault="00016D40" w:rsidP="00CD1FDD">
            <w:pPr>
              <w:spacing w:after="0" w:line="240" w:lineRule="auto"/>
              <w:rPr>
                <w:rFonts w:eastAsia="Times New Roman" w:cs="Calibri"/>
                <w:i/>
                <w:iCs/>
                <w:color w:val="000000"/>
                <w:sz w:val="20"/>
                <w:szCs w:val="20"/>
              </w:rPr>
            </w:pPr>
          </w:p>
        </w:tc>
        <w:tc>
          <w:tcPr>
            <w:tcW w:w="507" w:type="pct"/>
            <w:tcBorders>
              <w:top w:val="nil"/>
              <w:left w:val="nil"/>
              <w:bottom w:val="nil"/>
              <w:right w:val="nil"/>
            </w:tcBorders>
            <w:shd w:val="clear" w:color="auto" w:fill="auto"/>
            <w:noWrap/>
            <w:vAlign w:val="center"/>
            <w:hideMark/>
          </w:tcPr>
          <w:p w14:paraId="4388B16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E0A2B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-0.352***</w:t>
            </w:r>
          </w:p>
        </w:tc>
        <w:tc>
          <w:tcPr>
            <w:tcW w:w="507" w:type="pct"/>
            <w:tcBorders>
              <w:top w:val="nil"/>
              <w:left w:val="nil"/>
              <w:bottom w:val="nil"/>
              <w:right w:val="nil"/>
            </w:tcBorders>
            <w:shd w:val="clear" w:color="auto" w:fill="auto"/>
            <w:noWrap/>
            <w:vAlign w:val="center"/>
            <w:hideMark/>
          </w:tcPr>
          <w:p w14:paraId="17416B4B"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43BDE41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6E49AB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B0FBC6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-0.278***</w:t>
            </w:r>
          </w:p>
        </w:tc>
        <w:tc>
          <w:tcPr>
            <w:tcW w:w="507" w:type="pct"/>
            <w:tcBorders>
              <w:top w:val="nil"/>
              <w:left w:val="nil"/>
              <w:bottom w:val="nil"/>
              <w:right w:val="nil"/>
            </w:tcBorders>
            <w:shd w:val="clear" w:color="auto" w:fill="auto"/>
            <w:noWrap/>
            <w:vAlign w:val="center"/>
            <w:hideMark/>
          </w:tcPr>
          <w:p w14:paraId="55BB095D"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69A4B0D3"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0E0635D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1F4BCB54"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39C409A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30B3A8C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(-5.02)</w:t>
            </w:r>
          </w:p>
        </w:tc>
        <w:tc>
          <w:tcPr>
            <w:tcW w:w="507" w:type="pct"/>
            <w:tcBorders>
              <w:top w:val="nil"/>
              <w:left w:val="nil"/>
              <w:bottom w:val="nil"/>
              <w:right w:val="nil"/>
            </w:tcBorders>
            <w:shd w:val="clear" w:color="auto" w:fill="auto"/>
            <w:noWrap/>
            <w:vAlign w:val="center"/>
            <w:hideMark/>
          </w:tcPr>
          <w:p w14:paraId="775EDB51"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D10AA6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53656A7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74B20A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(-4.54)</w:t>
            </w:r>
          </w:p>
        </w:tc>
        <w:tc>
          <w:tcPr>
            <w:tcW w:w="507" w:type="pct"/>
            <w:tcBorders>
              <w:top w:val="nil"/>
              <w:left w:val="nil"/>
              <w:bottom w:val="nil"/>
              <w:right w:val="nil"/>
            </w:tcBorders>
            <w:shd w:val="clear" w:color="auto" w:fill="auto"/>
            <w:noWrap/>
            <w:vAlign w:val="center"/>
            <w:hideMark/>
          </w:tcPr>
          <w:p w14:paraId="6D3D7454"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724689F8"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6E2087A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710145A5" w14:textId="77777777" w:rsidR="00016D40" w:rsidRPr="00CA1166" w:rsidRDefault="00016D40" w:rsidP="00CD1FDD">
            <w:pPr>
              <w:spacing w:after="0" w:line="240" w:lineRule="auto"/>
              <w:rPr>
                <w:rFonts w:eastAsia="Times New Roman" w:cs="Calibri"/>
                <w:i/>
                <w:iCs/>
                <w:color w:val="000000"/>
                <w:sz w:val="20"/>
                <w:szCs w:val="20"/>
              </w:rPr>
            </w:pPr>
          </w:p>
        </w:tc>
        <w:tc>
          <w:tcPr>
            <w:tcW w:w="507" w:type="pct"/>
            <w:tcBorders>
              <w:top w:val="nil"/>
              <w:left w:val="nil"/>
              <w:bottom w:val="nil"/>
              <w:right w:val="nil"/>
            </w:tcBorders>
            <w:shd w:val="clear" w:color="auto" w:fill="auto"/>
            <w:noWrap/>
            <w:vAlign w:val="center"/>
            <w:hideMark/>
          </w:tcPr>
          <w:p w14:paraId="58D9B07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3253CA3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5381FCB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-0.411***</w:t>
            </w:r>
          </w:p>
        </w:tc>
        <w:tc>
          <w:tcPr>
            <w:tcW w:w="507" w:type="pct"/>
            <w:tcBorders>
              <w:top w:val="nil"/>
              <w:left w:val="nil"/>
              <w:bottom w:val="nil"/>
              <w:right w:val="nil"/>
            </w:tcBorders>
            <w:shd w:val="clear" w:color="auto" w:fill="auto"/>
            <w:noWrap/>
            <w:vAlign w:val="center"/>
            <w:hideMark/>
          </w:tcPr>
          <w:p w14:paraId="3CC8FD07"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59FDBC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0BDFEE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73E9FAC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-0.341***</w:t>
            </w:r>
          </w:p>
        </w:tc>
      </w:tr>
      <w:tr w:rsidR="00016D40" w:rsidRPr="00CA1166" w14:paraId="471A2A2D"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1727DBAB"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6F22EA3D"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29810C1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56B89CD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36625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(-5.19)</w:t>
            </w:r>
          </w:p>
        </w:tc>
        <w:tc>
          <w:tcPr>
            <w:tcW w:w="507" w:type="pct"/>
            <w:tcBorders>
              <w:top w:val="nil"/>
              <w:left w:val="nil"/>
              <w:bottom w:val="nil"/>
              <w:right w:val="nil"/>
            </w:tcBorders>
            <w:shd w:val="clear" w:color="auto" w:fill="auto"/>
            <w:noWrap/>
            <w:vAlign w:val="center"/>
            <w:hideMark/>
          </w:tcPr>
          <w:p w14:paraId="00B0AC40"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14CCC11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E1908F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7178EC9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(-4.96)</w:t>
            </w:r>
          </w:p>
        </w:tc>
      </w:tr>
      <w:tr w:rsidR="00016D40" w:rsidRPr="00CA1166" w14:paraId="38A5AC17"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51D0C834"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MTBV</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519D542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0.045*</w:t>
            </w:r>
          </w:p>
        </w:tc>
        <w:tc>
          <w:tcPr>
            <w:tcW w:w="507" w:type="pct"/>
            <w:tcBorders>
              <w:top w:val="nil"/>
              <w:left w:val="nil"/>
              <w:bottom w:val="nil"/>
              <w:right w:val="nil"/>
            </w:tcBorders>
            <w:shd w:val="clear" w:color="auto" w:fill="auto"/>
            <w:noWrap/>
            <w:vAlign w:val="center"/>
            <w:hideMark/>
          </w:tcPr>
          <w:p w14:paraId="1BB206C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0.046*</w:t>
            </w:r>
          </w:p>
        </w:tc>
        <w:tc>
          <w:tcPr>
            <w:tcW w:w="507" w:type="pct"/>
            <w:tcBorders>
              <w:top w:val="nil"/>
              <w:left w:val="nil"/>
              <w:bottom w:val="nil"/>
              <w:right w:val="nil"/>
            </w:tcBorders>
            <w:shd w:val="clear" w:color="auto" w:fill="auto"/>
            <w:noWrap/>
            <w:vAlign w:val="center"/>
            <w:hideMark/>
          </w:tcPr>
          <w:p w14:paraId="17BBCDE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0.029</w:t>
            </w:r>
          </w:p>
        </w:tc>
        <w:tc>
          <w:tcPr>
            <w:tcW w:w="507" w:type="pct"/>
            <w:tcBorders>
              <w:top w:val="nil"/>
              <w:left w:val="nil"/>
              <w:bottom w:val="nil"/>
              <w:right w:val="nil"/>
            </w:tcBorders>
            <w:shd w:val="clear" w:color="auto" w:fill="auto"/>
            <w:noWrap/>
            <w:vAlign w:val="center"/>
            <w:hideMark/>
          </w:tcPr>
          <w:p w14:paraId="1AD5D7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0.025</w:t>
            </w:r>
          </w:p>
        </w:tc>
        <w:tc>
          <w:tcPr>
            <w:tcW w:w="507" w:type="pct"/>
            <w:tcBorders>
              <w:top w:val="nil"/>
              <w:left w:val="nil"/>
              <w:bottom w:val="nil"/>
              <w:right w:val="nil"/>
            </w:tcBorders>
            <w:shd w:val="clear" w:color="auto" w:fill="auto"/>
            <w:noWrap/>
            <w:vAlign w:val="center"/>
            <w:hideMark/>
          </w:tcPr>
          <w:p w14:paraId="18B279E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0.046***</w:t>
            </w:r>
          </w:p>
        </w:tc>
        <w:tc>
          <w:tcPr>
            <w:tcW w:w="507" w:type="pct"/>
            <w:tcBorders>
              <w:top w:val="nil"/>
              <w:left w:val="nil"/>
              <w:bottom w:val="nil"/>
              <w:right w:val="nil"/>
            </w:tcBorders>
            <w:shd w:val="clear" w:color="auto" w:fill="auto"/>
            <w:noWrap/>
            <w:vAlign w:val="center"/>
            <w:hideMark/>
          </w:tcPr>
          <w:p w14:paraId="11FB31D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0.047***</w:t>
            </w:r>
          </w:p>
        </w:tc>
        <w:tc>
          <w:tcPr>
            <w:tcW w:w="507" w:type="pct"/>
            <w:tcBorders>
              <w:top w:val="nil"/>
              <w:left w:val="nil"/>
              <w:bottom w:val="nil"/>
              <w:right w:val="nil"/>
            </w:tcBorders>
            <w:shd w:val="clear" w:color="auto" w:fill="auto"/>
            <w:noWrap/>
            <w:vAlign w:val="center"/>
            <w:hideMark/>
          </w:tcPr>
          <w:p w14:paraId="6CB4C5C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0.029*</w:t>
            </w:r>
          </w:p>
        </w:tc>
        <w:tc>
          <w:tcPr>
            <w:tcW w:w="507" w:type="pct"/>
            <w:tcBorders>
              <w:top w:val="nil"/>
              <w:left w:val="nil"/>
              <w:bottom w:val="nil"/>
              <w:right w:val="nil"/>
            </w:tcBorders>
            <w:shd w:val="clear" w:color="auto" w:fill="auto"/>
            <w:noWrap/>
            <w:vAlign w:val="center"/>
            <w:hideMark/>
          </w:tcPr>
          <w:p w14:paraId="6E150D2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0.031*</w:t>
            </w:r>
          </w:p>
        </w:tc>
      </w:tr>
      <w:tr w:rsidR="00016D40" w:rsidRPr="00CA1166" w14:paraId="7B86BDA2"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6C7C6FF"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7929F9E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(1.88)</w:t>
            </w:r>
          </w:p>
        </w:tc>
        <w:tc>
          <w:tcPr>
            <w:tcW w:w="507" w:type="pct"/>
            <w:tcBorders>
              <w:top w:val="nil"/>
              <w:left w:val="nil"/>
              <w:bottom w:val="nil"/>
              <w:right w:val="nil"/>
            </w:tcBorders>
            <w:shd w:val="clear" w:color="auto" w:fill="auto"/>
            <w:noWrap/>
            <w:vAlign w:val="center"/>
            <w:hideMark/>
          </w:tcPr>
          <w:p w14:paraId="5A6507E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(1.92)</w:t>
            </w:r>
          </w:p>
        </w:tc>
        <w:tc>
          <w:tcPr>
            <w:tcW w:w="507" w:type="pct"/>
            <w:tcBorders>
              <w:top w:val="nil"/>
              <w:left w:val="nil"/>
              <w:bottom w:val="nil"/>
              <w:right w:val="nil"/>
            </w:tcBorders>
            <w:shd w:val="clear" w:color="auto" w:fill="auto"/>
            <w:noWrap/>
            <w:vAlign w:val="center"/>
            <w:hideMark/>
          </w:tcPr>
          <w:p w14:paraId="70EC31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(1.24)</w:t>
            </w:r>
          </w:p>
        </w:tc>
        <w:tc>
          <w:tcPr>
            <w:tcW w:w="507" w:type="pct"/>
            <w:tcBorders>
              <w:top w:val="nil"/>
              <w:left w:val="nil"/>
              <w:bottom w:val="nil"/>
              <w:right w:val="nil"/>
            </w:tcBorders>
            <w:shd w:val="clear" w:color="auto" w:fill="auto"/>
            <w:noWrap/>
            <w:vAlign w:val="center"/>
            <w:hideMark/>
          </w:tcPr>
          <w:p w14:paraId="3030477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(0.98)</w:t>
            </w:r>
          </w:p>
        </w:tc>
        <w:tc>
          <w:tcPr>
            <w:tcW w:w="507" w:type="pct"/>
            <w:tcBorders>
              <w:top w:val="nil"/>
              <w:left w:val="nil"/>
              <w:bottom w:val="nil"/>
              <w:right w:val="nil"/>
            </w:tcBorders>
            <w:shd w:val="clear" w:color="auto" w:fill="auto"/>
            <w:noWrap/>
            <w:vAlign w:val="center"/>
            <w:hideMark/>
          </w:tcPr>
          <w:p w14:paraId="47333EA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(2.77)</w:t>
            </w:r>
          </w:p>
        </w:tc>
        <w:tc>
          <w:tcPr>
            <w:tcW w:w="507" w:type="pct"/>
            <w:tcBorders>
              <w:top w:val="nil"/>
              <w:left w:val="nil"/>
              <w:bottom w:val="nil"/>
              <w:right w:val="nil"/>
            </w:tcBorders>
            <w:shd w:val="clear" w:color="auto" w:fill="auto"/>
            <w:noWrap/>
            <w:vAlign w:val="center"/>
            <w:hideMark/>
          </w:tcPr>
          <w:p w14:paraId="13F882D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(2.83)</w:t>
            </w:r>
          </w:p>
        </w:tc>
        <w:tc>
          <w:tcPr>
            <w:tcW w:w="507" w:type="pct"/>
            <w:tcBorders>
              <w:top w:val="nil"/>
              <w:left w:val="nil"/>
              <w:bottom w:val="nil"/>
              <w:right w:val="nil"/>
            </w:tcBorders>
            <w:shd w:val="clear" w:color="auto" w:fill="auto"/>
            <w:noWrap/>
            <w:vAlign w:val="center"/>
            <w:hideMark/>
          </w:tcPr>
          <w:p w14:paraId="3FC110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(1.72)</w:t>
            </w:r>
          </w:p>
        </w:tc>
        <w:tc>
          <w:tcPr>
            <w:tcW w:w="507" w:type="pct"/>
            <w:tcBorders>
              <w:top w:val="nil"/>
              <w:left w:val="nil"/>
              <w:bottom w:val="nil"/>
              <w:right w:val="nil"/>
            </w:tcBorders>
            <w:shd w:val="clear" w:color="auto" w:fill="auto"/>
            <w:noWrap/>
            <w:vAlign w:val="center"/>
            <w:hideMark/>
          </w:tcPr>
          <w:p w14:paraId="6C93C20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(1.80)</w:t>
            </w:r>
          </w:p>
        </w:tc>
      </w:tr>
      <w:tr w:rsidR="00016D40" w:rsidRPr="00CA1166" w14:paraId="02F311F4"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7B25FA3E"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Size</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7AFE093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507" w:type="pct"/>
            <w:tcBorders>
              <w:top w:val="nil"/>
              <w:left w:val="nil"/>
              <w:bottom w:val="nil"/>
              <w:right w:val="nil"/>
            </w:tcBorders>
            <w:shd w:val="clear" w:color="auto" w:fill="auto"/>
            <w:noWrap/>
            <w:vAlign w:val="center"/>
            <w:hideMark/>
          </w:tcPr>
          <w:p w14:paraId="7EB57EF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507" w:type="pct"/>
            <w:tcBorders>
              <w:top w:val="nil"/>
              <w:left w:val="nil"/>
              <w:bottom w:val="nil"/>
              <w:right w:val="nil"/>
            </w:tcBorders>
            <w:shd w:val="clear" w:color="auto" w:fill="auto"/>
            <w:noWrap/>
            <w:vAlign w:val="center"/>
            <w:hideMark/>
          </w:tcPr>
          <w:p w14:paraId="13D3C14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3DAAF05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c>
          <w:tcPr>
            <w:tcW w:w="507" w:type="pct"/>
            <w:tcBorders>
              <w:top w:val="nil"/>
              <w:left w:val="nil"/>
              <w:bottom w:val="nil"/>
              <w:right w:val="nil"/>
            </w:tcBorders>
            <w:shd w:val="clear" w:color="auto" w:fill="auto"/>
            <w:noWrap/>
            <w:vAlign w:val="center"/>
            <w:hideMark/>
          </w:tcPr>
          <w:p w14:paraId="61D3769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-0.052***</w:t>
            </w:r>
          </w:p>
        </w:tc>
        <w:tc>
          <w:tcPr>
            <w:tcW w:w="507" w:type="pct"/>
            <w:tcBorders>
              <w:top w:val="nil"/>
              <w:left w:val="nil"/>
              <w:bottom w:val="nil"/>
              <w:right w:val="nil"/>
            </w:tcBorders>
            <w:shd w:val="clear" w:color="auto" w:fill="auto"/>
            <w:noWrap/>
            <w:vAlign w:val="center"/>
            <w:hideMark/>
          </w:tcPr>
          <w:p w14:paraId="0878C2F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-0.054***</w:t>
            </w:r>
          </w:p>
        </w:tc>
        <w:tc>
          <w:tcPr>
            <w:tcW w:w="507" w:type="pct"/>
            <w:tcBorders>
              <w:top w:val="nil"/>
              <w:left w:val="nil"/>
              <w:bottom w:val="nil"/>
              <w:right w:val="nil"/>
            </w:tcBorders>
            <w:shd w:val="clear" w:color="auto" w:fill="auto"/>
            <w:noWrap/>
            <w:vAlign w:val="center"/>
            <w:hideMark/>
          </w:tcPr>
          <w:p w14:paraId="1BDD38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-0.050***</w:t>
            </w:r>
          </w:p>
        </w:tc>
        <w:tc>
          <w:tcPr>
            <w:tcW w:w="507" w:type="pct"/>
            <w:tcBorders>
              <w:top w:val="nil"/>
              <w:left w:val="nil"/>
              <w:bottom w:val="nil"/>
              <w:right w:val="nil"/>
            </w:tcBorders>
            <w:shd w:val="clear" w:color="auto" w:fill="auto"/>
            <w:noWrap/>
            <w:vAlign w:val="center"/>
            <w:hideMark/>
          </w:tcPr>
          <w:p w14:paraId="10D629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-0.048***</w:t>
            </w:r>
          </w:p>
        </w:tc>
      </w:tr>
      <w:tr w:rsidR="00016D40" w:rsidRPr="00CA1166" w14:paraId="637D05D3"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20472C4"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FB39AB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(-0.99)</w:t>
            </w:r>
          </w:p>
        </w:tc>
        <w:tc>
          <w:tcPr>
            <w:tcW w:w="507" w:type="pct"/>
            <w:tcBorders>
              <w:top w:val="nil"/>
              <w:left w:val="nil"/>
              <w:bottom w:val="nil"/>
              <w:right w:val="nil"/>
            </w:tcBorders>
            <w:shd w:val="clear" w:color="auto" w:fill="auto"/>
            <w:noWrap/>
            <w:vAlign w:val="center"/>
            <w:hideMark/>
          </w:tcPr>
          <w:p w14:paraId="6843B4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(-1.23)</w:t>
            </w:r>
          </w:p>
        </w:tc>
        <w:tc>
          <w:tcPr>
            <w:tcW w:w="507" w:type="pct"/>
            <w:tcBorders>
              <w:top w:val="nil"/>
              <w:left w:val="nil"/>
              <w:bottom w:val="nil"/>
              <w:right w:val="nil"/>
            </w:tcBorders>
            <w:shd w:val="clear" w:color="auto" w:fill="auto"/>
            <w:noWrap/>
            <w:vAlign w:val="center"/>
            <w:hideMark/>
          </w:tcPr>
          <w:p w14:paraId="085E3DF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(-0.52)</w:t>
            </w:r>
          </w:p>
        </w:tc>
        <w:tc>
          <w:tcPr>
            <w:tcW w:w="507" w:type="pct"/>
            <w:tcBorders>
              <w:top w:val="nil"/>
              <w:left w:val="nil"/>
              <w:bottom w:val="nil"/>
              <w:right w:val="nil"/>
            </w:tcBorders>
            <w:shd w:val="clear" w:color="auto" w:fill="auto"/>
            <w:noWrap/>
            <w:vAlign w:val="center"/>
            <w:hideMark/>
          </w:tcPr>
          <w:p w14:paraId="227B38B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(-0.65)</w:t>
            </w:r>
          </w:p>
        </w:tc>
        <w:tc>
          <w:tcPr>
            <w:tcW w:w="507" w:type="pct"/>
            <w:tcBorders>
              <w:top w:val="nil"/>
              <w:left w:val="nil"/>
              <w:bottom w:val="nil"/>
              <w:right w:val="nil"/>
            </w:tcBorders>
            <w:shd w:val="clear" w:color="auto" w:fill="auto"/>
            <w:noWrap/>
            <w:vAlign w:val="center"/>
            <w:hideMark/>
          </w:tcPr>
          <w:p w14:paraId="6C3CA3F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(-5.93)</w:t>
            </w:r>
          </w:p>
        </w:tc>
        <w:tc>
          <w:tcPr>
            <w:tcW w:w="507" w:type="pct"/>
            <w:tcBorders>
              <w:top w:val="nil"/>
              <w:left w:val="nil"/>
              <w:bottom w:val="nil"/>
              <w:right w:val="nil"/>
            </w:tcBorders>
            <w:shd w:val="clear" w:color="auto" w:fill="auto"/>
            <w:noWrap/>
            <w:vAlign w:val="center"/>
            <w:hideMark/>
          </w:tcPr>
          <w:p w14:paraId="6D6B3DD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(-6.17)</w:t>
            </w:r>
          </w:p>
        </w:tc>
        <w:tc>
          <w:tcPr>
            <w:tcW w:w="507" w:type="pct"/>
            <w:tcBorders>
              <w:top w:val="nil"/>
              <w:left w:val="nil"/>
              <w:bottom w:val="nil"/>
              <w:right w:val="nil"/>
            </w:tcBorders>
            <w:shd w:val="clear" w:color="auto" w:fill="auto"/>
            <w:noWrap/>
            <w:vAlign w:val="center"/>
            <w:hideMark/>
          </w:tcPr>
          <w:p w14:paraId="4630CF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(-5.67)</w:t>
            </w:r>
          </w:p>
        </w:tc>
        <w:tc>
          <w:tcPr>
            <w:tcW w:w="507" w:type="pct"/>
            <w:tcBorders>
              <w:top w:val="nil"/>
              <w:left w:val="nil"/>
              <w:bottom w:val="nil"/>
              <w:right w:val="nil"/>
            </w:tcBorders>
            <w:shd w:val="clear" w:color="auto" w:fill="auto"/>
            <w:noWrap/>
            <w:vAlign w:val="center"/>
            <w:hideMark/>
          </w:tcPr>
          <w:p w14:paraId="5999271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(-5.49)</w:t>
            </w:r>
          </w:p>
        </w:tc>
      </w:tr>
      <w:tr w:rsidR="00016D40" w:rsidRPr="00CA1166" w14:paraId="18749A0E"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4E556E8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Quick</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3E7D388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64EF9CC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575EDF3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6DA698D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2B42A2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c>
          <w:tcPr>
            <w:tcW w:w="507" w:type="pct"/>
            <w:tcBorders>
              <w:top w:val="nil"/>
              <w:left w:val="nil"/>
              <w:bottom w:val="nil"/>
              <w:right w:val="nil"/>
            </w:tcBorders>
            <w:shd w:val="clear" w:color="auto" w:fill="auto"/>
            <w:noWrap/>
            <w:vAlign w:val="center"/>
            <w:hideMark/>
          </w:tcPr>
          <w:p w14:paraId="365E61D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c>
          <w:tcPr>
            <w:tcW w:w="507" w:type="pct"/>
            <w:tcBorders>
              <w:top w:val="nil"/>
              <w:left w:val="nil"/>
              <w:bottom w:val="nil"/>
              <w:right w:val="nil"/>
            </w:tcBorders>
            <w:shd w:val="clear" w:color="auto" w:fill="auto"/>
            <w:noWrap/>
            <w:vAlign w:val="center"/>
            <w:hideMark/>
          </w:tcPr>
          <w:p w14:paraId="5DDCC6C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c>
          <w:tcPr>
            <w:tcW w:w="507" w:type="pct"/>
            <w:tcBorders>
              <w:top w:val="nil"/>
              <w:left w:val="nil"/>
              <w:bottom w:val="nil"/>
              <w:right w:val="nil"/>
            </w:tcBorders>
            <w:shd w:val="clear" w:color="auto" w:fill="auto"/>
            <w:noWrap/>
            <w:vAlign w:val="center"/>
            <w:hideMark/>
          </w:tcPr>
          <w:p w14:paraId="79C1BCC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r>
      <w:tr w:rsidR="00016D40" w:rsidRPr="00CA1166" w14:paraId="09FF846D"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C46CA8D"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52D5574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(9.57)</w:t>
            </w:r>
          </w:p>
        </w:tc>
        <w:tc>
          <w:tcPr>
            <w:tcW w:w="507" w:type="pct"/>
            <w:tcBorders>
              <w:top w:val="nil"/>
              <w:left w:val="nil"/>
              <w:bottom w:val="nil"/>
              <w:right w:val="nil"/>
            </w:tcBorders>
            <w:shd w:val="clear" w:color="auto" w:fill="auto"/>
            <w:noWrap/>
            <w:vAlign w:val="center"/>
            <w:hideMark/>
          </w:tcPr>
          <w:p w14:paraId="5D82AA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(9.51)</w:t>
            </w:r>
          </w:p>
        </w:tc>
        <w:tc>
          <w:tcPr>
            <w:tcW w:w="507" w:type="pct"/>
            <w:tcBorders>
              <w:top w:val="nil"/>
              <w:left w:val="nil"/>
              <w:bottom w:val="nil"/>
              <w:right w:val="nil"/>
            </w:tcBorders>
            <w:shd w:val="clear" w:color="auto" w:fill="auto"/>
            <w:noWrap/>
            <w:vAlign w:val="center"/>
            <w:hideMark/>
          </w:tcPr>
          <w:p w14:paraId="78D194D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(9.50)</w:t>
            </w:r>
          </w:p>
        </w:tc>
        <w:tc>
          <w:tcPr>
            <w:tcW w:w="507" w:type="pct"/>
            <w:tcBorders>
              <w:top w:val="nil"/>
              <w:left w:val="nil"/>
              <w:bottom w:val="nil"/>
              <w:right w:val="nil"/>
            </w:tcBorders>
            <w:shd w:val="clear" w:color="auto" w:fill="auto"/>
            <w:noWrap/>
            <w:vAlign w:val="center"/>
            <w:hideMark/>
          </w:tcPr>
          <w:p w14:paraId="1B486D4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(9.32)</w:t>
            </w:r>
          </w:p>
        </w:tc>
        <w:tc>
          <w:tcPr>
            <w:tcW w:w="507" w:type="pct"/>
            <w:tcBorders>
              <w:top w:val="nil"/>
              <w:left w:val="nil"/>
              <w:bottom w:val="nil"/>
              <w:right w:val="nil"/>
            </w:tcBorders>
            <w:shd w:val="clear" w:color="auto" w:fill="auto"/>
            <w:noWrap/>
            <w:vAlign w:val="center"/>
            <w:hideMark/>
          </w:tcPr>
          <w:p w14:paraId="4495F16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(13.23)</w:t>
            </w:r>
          </w:p>
        </w:tc>
        <w:tc>
          <w:tcPr>
            <w:tcW w:w="507" w:type="pct"/>
            <w:tcBorders>
              <w:top w:val="nil"/>
              <w:left w:val="nil"/>
              <w:bottom w:val="nil"/>
              <w:right w:val="nil"/>
            </w:tcBorders>
            <w:shd w:val="clear" w:color="auto" w:fill="auto"/>
            <w:noWrap/>
            <w:vAlign w:val="center"/>
            <w:hideMark/>
          </w:tcPr>
          <w:p w14:paraId="475B9CE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(13.20)</w:t>
            </w:r>
          </w:p>
        </w:tc>
        <w:tc>
          <w:tcPr>
            <w:tcW w:w="507" w:type="pct"/>
            <w:tcBorders>
              <w:top w:val="nil"/>
              <w:left w:val="nil"/>
              <w:bottom w:val="nil"/>
              <w:right w:val="nil"/>
            </w:tcBorders>
            <w:shd w:val="clear" w:color="auto" w:fill="auto"/>
            <w:noWrap/>
            <w:vAlign w:val="center"/>
            <w:hideMark/>
          </w:tcPr>
          <w:p w14:paraId="209EBC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(13.90)</w:t>
            </w:r>
          </w:p>
        </w:tc>
        <w:tc>
          <w:tcPr>
            <w:tcW w:w="507" w:type="pct"/>
            <w:tcBorders>
              <w:top w:val="nil"/>
              <w:left w:val="nil"/>
              <w:bottom w:val="nil"/>
              <w:right w:val="nil"/>
            </w:tcBorders>
            <w:shd w:val="clear" w:color="auto" w:fill="auto"/>
            <w:noWrap/>
            <w:vAlign w:val="center"/>
            <w:hideMark/>
          </w:tcPr>
          <w:p w14:paraId="04BE0CD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(13.67)</w:t>
            </w:r>
          </w:p>
        </w:tc>
      </w:tr>
      <w:tr w:rsidR="00016D40" w:rsidRPr="00CA1166" w14:paraId="21A066F0"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2A8807CA"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Lev</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3F9FA11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c>
          <w:tcPr>
            <w:tcW w:w="507" w:type="pct"/>
            <w:tcBorders>
              <w:top w:val="nil"/>
              <w:left w:val="nil"/>
              <w:bottom w:val="nil"/>
              <w:right w:val="nil"/>
            </w:tcBorders>
            <w:shd w:val="clear" w:color="auto" w:fill="auto"/>
            <w:noWrap/>
            <w:vAlign w:val="center"/>
            <w:hideMark/>
          </w:tcPr>
          <w:p w14:paraId="69F36E2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c>
          <w:tcPr>
            <w:tcW w:w="507" w:type="pct"/>
            <w:tcBorders>
              <w:top w:val="nil"/>
              <w:left w:val="nil"/>
              <w:bottom w:val="nil"/>
              <w:right w:val="nil"/>
            </w:tcBorders>
            <w:shd w:val="clear" w:color="auto" w:fill="auto"/>
            <w:noWrap/>
            <w:vAlign w:val="center"/>
            <w:hideMark/>
          </w:tcPr>
          <w:p w14:paraId="3AD5D1F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37E4DDF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0.003</w:t>
            </w:r>
          </w:p>
        </w:tc>
        <w:tc>
          <w:tcPr>
            <w:tcW w:w="507" w:type="pct"/>
            <w:tcBorders>
              <w:top w:val="nil"/>
              <w:left w:val="nil"/>
              <w:bottom w:val="nil"/>
              <w:right w:val="nil"/>
            </w:tcBorders>
            <w:shd w:val="clear" w:color="auto" w:fill="auto"/>
            <w:noWrap/>
            <w:vAlign w:val="center"/>
            <w:hideMark/>
          </w:tcPr>
          <w:p w14:paraId="6224933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-0.016**</w:t>
            </w:r>
          </w:p>
        </w:tc>
        <w:tc>
          <w:tcPr>
            <w:tcW w:w="507" w:type="pct"/>
            <w:tcBorders>
              <w:top w:val="nil"/>
              <w:left w:val="nil"/>
              <w:bottom w:val="nil"/>
              <w:right w:val="nil"/>
            </w:tcBorders>
            <w:shd w:val="clear" w:color="auto" w:fill="auto"/>
            <w:noWrap/>
            <w:vAlign w:val="center"/>
            <w:hideMark/>
          </w:tcPr>
          <w:p w14:paraId="3030853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-0.016**</w:t>
            </w:r>
          </w:p>
        </w:tc>
        <w:tc>
          <w:tcPr>
            <w:tcW w:w="507" w:type="pct"/>
            <w:tcBorders>
              <w:top w:val="nil"/>
              <w:left w:val="nil"/>
              <w:bottom w:val="nil"/>
              <w:right w:val="nil"/>
            </w:tcBorders>
            <w:shd w:val="clear" w:color="auto" w:fill="auto"/>
            <w:noWrap/>
            <w:vAlign w:val="center"/>
            <w:hideMark/>
          </w:tcPr>
          <w:p w14:paraId="507264F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-0.012*</w:t>
            </w:r>
          </w:p>
        </w:tc>
        <w:tc>
          <w:tcPr>
            <w:tcW w:w="507" w:type="pct"/>
            <w:tcBorders>
              <w:top w:val="nil"/>
              <w:left w:val="nil"/>
              <w:bottom w:val="nil"/>
              <w:right w:val="nil"/>
            </w:tcBorders>
            <w:shd w:val="clear" w:color="auto" w:fill="auto"/>
            <w:noWrap/>
            <w:vAlign w:val="center"/>
            <w:hideMark/>
          </w:tcPr>
          <w:p w14:paraId="4F98527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-0.021***</w:t>
            </w:r>
          </w:p>
        </w:tc>
      </w:tr>
      <w:tr w:rsidR="00016D40" w:rsidRPr="00CA1166" w14:paraId="2C86E5BC"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2199D883"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2613CC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(0.52)</w:t>
            </w:r>
          </w:p>
        </w:tc>
        <w:tc>
          <w:tcPr>
            <w:tcW w:w="507" w:type="pct"/>
            <w:tcBorders>
              <w:top w:val="nil"/>
              <w:left w:val="nil"/>
              <w:bottom w:val="nil"/>
              <w:right w:val="nil"/>
            </w:tcBorders>
            <w:shd w:val="clear" w:color="auto" w:fill="auto"/>
            <w:noWrap/>
            <w:vAlign w:val="center"/>
            <w:hideMark/>
          </w:tcPr>
          <w:p w14:paraId="6097D7E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(0.68)</w:t>
            </w:r>
          </w:p>
        </w:tc>
        <w:tc>
          <w:tcPr>
            <w:tcW w:w="507" w:type="pct"/>
            <w:tcBorders>
              <w:top w:val="nil"/>
              <w:left w:val="nil"/>
              <w:bottom w:val="nil"/>
              <w:right w:val="nil"/>
            </w:tcBorders>
            <w:shd w:val="clear" w:color="auto" w:fill="auto"/>
            <w:noWrap/>
            <w:vAlign w:val="center"/>
            <w:hideMark/>
          </w:tcPr>
          <w:p w14:paraId="3C41CD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(0.85)</w:t>
            </w:r>
          </w:p>
        </w:tc>
        <w:tc>
          <w:tcPr>
            <w:tcW w:w="507" w:type="pct"/>
            <w:tcBorders>
              <w:top w:val="nil"/>
              <w:left w:val="nil"/>
              <w:bottom w:val="nil"/>
              <w:right w:val="nil"/>
            </w:tcBorders>
            <w:shd w:val="clear" w:color="auto" w:fill="auto"/>
            <w:noWrap/>
            <w:vAlign w:val="center"/>
            <w:hideMark/>
          </w:tcPr>
          <w:p w14:paraId="4366034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(0.31)</w:t>
            </w:r>
          </w:p>
        </w:tc>
        <w:tc>
          <w:tcPr>
            <w:tcW w:w="507" w:type="pct"/>
            <w:tcBorders>
              <w:top w:val="nil"/>
              <w:left w:val="nil"/>
              <w:bottom w:val="nil"/>
              <w:right w:val="nil"/>
            </w:tcBorders>
            <w:shd w:val="clear" w:color="auto" w:fill="auto"/>
            <w:noWrap/>
            <w:vAlign w:val="center"/>
            <w:hideMark/>
          </w:tcPr>
          <w:p w14:paraId="3B99D5A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(-2.35)</w:t>
            </w:r>
          </w:p>
        </w:tc>
        <w:tc>
          <w:tcPr>
            <w:tcW w:w="507" w:type="pct"/>
            <w:tcBorders>
              <w:top w:val="nil"/>
              <w:left w:val="nil"/>
              <w:bottom w:val="nil"/>
              <w:right w:val="nil"/>
            </w:tcBorders>
            <w:shd w:val="clear" w:color="auto" w:fill="auto"/>
            <w:noWrap/>
            <w:vAlign w:val="center"/>
            <w:hideMark/>
          </w:tcPr>
          <w:p w14:paraId="17A5327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(-2.24)</w:t>
            </w:r>
          </w:p>
        </w:tc>
        <w:tc>
          <w:tcPr>
            <w:tcW w:w="507" w:type="pct"/>
            <w:tcBorders>
              <w:top w:val="nil"/>
              <w:left w:val="nil"/>
              <w:bottom w:val="nil"/>
              <w:right w:val="nil"/>
            </w:tcBorders>
            <w:shd w:val="clear" w:color="auto" w:fill="auto"/>
            <w:noWrap/>
            <w:vAlign w:val="center"/>
            <w:hideMark/>
          </w:tcPr>
          <w:p w14:paraId="378EDD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(-1.72)</w:t>
            </w:r>
          </w:p>
        </w:tc>
        <w:tc>
          <w:tcPr>
            <w:tcW w:w="507" w:type="pct"/>
            <w:tcBorders>
              <w:top w:val="nil"/>
              <w:left w:val="nil"/>
              <w:bottom w:val="nil"/>
              <w:right w:val="nil"/>
            </w:tcBorders>
            <w:shd w:val="clear" w:color="auto" w:fill="auto"/>
            <w:noWrap/>
            <w:vAlign w:val="center"/>
            <w:hideMark/>
          </w:tcPr>
          <w:p w14:paraId="7EDAD76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(-2.84)</w:t>
            </w:r>
          </w:p>
        </w:tc>
      </w:tr>
      <w:tr w:rsidR="00016D40" w:rsidRPr="00CA1166" w14:paraId="1FA66727"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4E282A3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Div_Payer</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75E9A1A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-0.017***</w:t>
            </w:r>
          </w:p>
        </w:tc>
        <w:tc>
          <w:tcPr>
            <w:tcW w:w="507" w:type="pct"/>
            <w:tcBorders>
              <w:top w:val="nil"/>
              <w:left w:val="nil"/>
              <w:bottom w:val="nil"/>
              <w:right w:val="nil"/>
            </w:tcBorders>
            <w:shd w:val="clear" w:color="auto" w:fill="auto"/>
            <w:noWrap/>
            <w:vAlign w:val="center"/>
            <w:hideMark/>
          </w:tcPr>
          <w:p w14:paraId="1EEA892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-0.017***</w:t>
            </w:r>
          </w:p>
        </w:tc>
        <w:tc>
          <w:tcPr>
            <w:tcW w:w="507" w:type="pct"/>
            <w:tcBorders>
              <w:top w:val="nil"/>
              <w:left w:val="nil"/>
              <w:bottom w:val="nil"/>
              <w:right w:val="nil"/>
            </w:tcBorders>
            <w:shd w:val="clear" w:color="auto" w:fill="auto"/>
            <w:noWrap/>
            <w:vAlign w:val="center"/>
            <w:hideMark/>
          </w:tcPr>
          <w:p w14:paraId="269CC47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-0.017***</w:t>
            </w:r>
          </w:p>
        </w:tc>
        <w:tc>
          <w:tcPr>
            <w:tcW w:w="507" w:type="pct"/>
            <w:tcBorders>
              <w:top w:val="nil"/>
              <w:left w:val="nil"/>
              <w:bottom w:val="nil"/>
              <w:right w:val="nil"/>
            </w:tcBorders>
            <w:shd w:val="clear" w:color="auto" w:fill="auto"/>
            <w:noWrap/>
            <w:vAlign w:val="center"/>
            <w:hideMark/>
          </w:tcPr>
          <w:p w14:paraId="672A93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-0.015***</w:t>
            </w:r>
          </w:p>
        </w:tc>
        <w:tc>
          <w:tcPr>
            <w:tcW w:w="507" w:type="pct"/>
            <w:tcBorders>
              <w:top w:val="nil"/>
              <w:left w:val="nil"/>
              <w:bottom w:val="nil"/>
              <w:right w:val="nil"/>
            </w:tcBorders>
            <w:shd w:val="clear" w:color="auto" w:fill="auto"/>
            <w:noWrap/>
            <w:vAlign w:val="center"/>
            <w:hideMark/>
          </w:tcPr>
          <w:p w14:paraId="67702A6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-0.009***</w:t>
            </w:r>
          </w:p>
        </w:tc>
        <w:tc>
          <w:tcPr>
            <w:tcW w:w="507" w:type="pct"/>
            <w:tcBorders>
              <w:top w:val="nil"/>
              <w:left w:val="nil"/>
              <w:bottom w:val="nil"/>
              <w:right w:val="nil"/>
            </w:tcBorders>
            <w:shd w:val="clear" w:color="auto" w:fill="auto"/>
            <w:noWrap/>
            <w:vAlign w:val="center"/>
            <w:hideMark/>
          </w:tcPr>
          <w:p w14:paraId="5517104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507" w:type="pct"/>
            <w:tcBorders>
              <w:top w:val="nil"/>
              <w:left w:val="nil"/>
              <w:bottom w:val="nil"/>
              <w:right w:val="nil"/>
            </w:tcBorders>
            <w:shd w:val="clear" w:color="auto" w:fill="auto"/>
            <w:noWrap/>
            <w:vAlign w:val="center"/>
            <w:hideMark/>
          </w:tcPr>
          <w:p w14:paraId="70D928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-0.009**</w:t>
            </w:r>
          </w:p>
        </w:tc>
        <w:tc>
          <w:tcPr>
            <w:tcW w:w="507" w:type="pct"/>
            <w:tcBorders>
              <w:top w:val="nil"/>
              <w:left w:val="nil"/>
              <w:bottom w:val="nil"/>
              <w:right w:val="nil"/>
            </w:tcBorders>
            <w:shd w:val="clear" w:color="auto" w:fill="auto"/>
            <w:noWrap/>
            <w:vAlign w:val="center"/>
            <w:hideMark/>
          </w:tcPr>
          <w:p w14:paraId="5601D71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r>
      <w:tr w:rsidR="00016D40" w:rsidRPr="00CA1166" w14:paraId="714AC152"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DD0010F"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FC577A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(-4.92)</w:t>
            </w:r>
          </w:p>
        </w:tc>
        <w:tc>
          <w:tcPr>
            <w:tcW w:w="507" w:type="pct"/>
            <w:tcBorders>
              <w:top w:val="nil"/>
              <w:left w:val="nil"/>
              <w:bottom w:val="nil"/>
              <w:right w:val="nil"/>
            </w:tcBorders>
            <w:shd w:val="clear" w:color="auto" w:fill="auto"/>
            <w:noWrap/>
            <w:vAlign w:val="center"/>
            <w:hideMark/>
          </w:tcPr>
          <w:p w14:paraId="158B843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(-5.02)</w:t>
            </w:r>
          </w:p>
        </w:tc>
        <w:tc>
          <w:tcPr>
            <w:tcW w:w="507" w:type="pct"/>
            <w:tcBorders>
              <w:top w:val="nil"/>
              <w:left w:val="nil"/>
              <w:bottom w:val="nil"/>
              <w:right w:val="nil"/>
            </w:tcBorders>
            <w:shd w:val="clear" w:color="auto" w:fill="auto"/>
            <w:noWrap/>
            <w:vAlign w:val="center"/>
            <w:hideMark/>
          </w:tcPr>
          <w:p w14:paraId="245C810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(-5.02)</w:t>
            </w:r>
          </w:p>
        </w:tc>
        <w:tc>
          <w:tcPr>
            <w:tcW w:w="507" w:type="pct"/>
            <w:tcBorders>
              <w:top w:val="nil"/>
              <w:left w:val="nil"/>
              <w:bottom w:val="nil"/>
              <w:right w:val="nil"/>
            </w:tcBorders>
            <w:shd w:val="clear" w:color="auto" w:fill="auto"/>
            <w:noWrap/>
            <w:vAlign w:val="center"/>
            <w:hideMark/>
          </w:tcPr>
          <w:p w14:paraId="0BCDFEB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(-4.49)</w:t>
            </w:r>
          </w:p>
        </w:tc>
        <w:tc>
          <w:tcPr>
            <w:tcW w:w="507" w:type="pct"/>
            <w:tcBorders>
              <w:top w:val="nil"/>
              <w:left w:val="nil"/>
              <w:bottom w:val="nil"/>
              <w:right w:val="nil"/>
            </w:tcBorders>
            <w:shd w:val="clear" w:color="auto" w:fill="auto"/>
            <w:noWrap/>
            <w:vAlign w:val="center"/>
            <w:hideMark/>
          </w:tcPr>
          <w:p w14:paraId="78B0CBC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(-2.61)</w:t>
            </w:r>
          </w:p>
        </w:tc>
        <w:tc>
          <w:tcPr>
            <w:tcW w:w="507" w:type="pct"/>
            <w:tcBorders>
              <w:top w:val="nil"/>
              <w:left w:val="nil"/>
              <w:bottom w:val="nil"/>
              <w:right w:val="nil"/>
            </w:tcBorders>
            <w:shd w:val="clear" w:color="auto" w:fill="auto"/>
            <w:noWrap/>
            <w:vAlign w:val="center"/>
            <w:hideMark/>
          </w:tcPr>
          <w:p w14:paraId="318583D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(-2.70)</w:t>
            </w:r>
          </w:p>
        </w:tc>
        <w:tc>
          <w:tcPr>
            <w:tcW w:w="507" w:type="pct"/>
            <w:tcBorders>
              <w:top w:val="nil"/>
              <w:left w:val="nil"/>
              <w:bottom w:val="nil"/>
              <w:right w:val="nil"/>
            </w:tcBorders>
            <w:shd w:val="clear" w:color="auto" w:fill="auto"/>
            <w:noWrap/>
            <w:vAlign w:val="center"/>
            <w:hideMark/>
          </w:tcPr>
          <w:p w14:paraId="6A1F38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(-2.42)</w:t>
            </w:r>
          </w:p>
        </w:tc>
        <w:tc>
          <w:tcPr>
            <w:tcW w:w="507" w:type="pct"/>
            <w:tcBorders>
              <w:top w:val="nil"/>
              <w:left w:val="nil"/>
              <w:bottom w:val="nil"/>
              <w:right w:val="nil"/>
            </w:tcBorders>
            <w:shd w:val="clear" w:color="auto" w:fill="auto"/>
            <w:noWrap/>
            <w:vAlign w:val="center"/>
            <w:hideMark/>
          </w:tcPr>
          <w:p w14:paraId="4ABDE0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(-2.30)</w:t>
            </w:r>
          </w:p>
        </w:tc>
      </w:tr>
      <w:tr w:rsidR="00016D40" w:rsidRPr="00CA1166" w14:paraId="5FFA4D05"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5BE7675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Tangible</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57754F4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-0.057***</w:t>
            </w:r>
          </w:p>
        </w:tc>
        <w:tc>
          <w:tcPr>
            <w:tcW w:w="507" w:type="pct"/>
            <w:tcBorders>
              <w:top w:val="nil"/>
              <w:left w:val="nil"/>
              <w:bottom w:val="nil"/>
              <w:right w:val="nil"/>
            </w:tcBorders>
            <w:shd w:val="clear" w:color="auto" w:fill="auto"/>
            <w:noWrap/>
            <w:vAlign w:val="center"/>
            <w:hideMark/>
          </w:tcPr>
          <w:p w14:paraId="4A7001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-0.057***</w:t>
            </w:r>
          </w:p>
        </w:tc>
        <w:tc>
          <w:tcPr>
            <w:tcW w:w="507" w:type="pct"/>
            <w:tcBorders>
              <w:top w:val="nil"/>
              <w:left w:val="nil"/>
              <w:bottom w:val="nil"/>
              <w:right w:val="nil"/>
            </w:tcBorders>
            <w:shd w:val="clear" w:color="auto" w:fill="auto"/>
            <w:noWrap/>
            <w:vAlign w:val="center"/>
            <w:hideMark/>
          </w:tcPr>
          <w:p w14:paraId="46003F9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-0.060***</w:t>
            </w:r>
          </w:p>
        </w:tc>
        <w:tc>
          <w:tcPr>
            <w:tcW w:w="507" w:type="pct"/>
            <w:tcBorders>
              <w:top w:val="nil"/>
              <w:left w:val="nil"/>
              <w:bottom w:val="nil"/>
              <w:right w:val="nil"/>
            </w:tcBorders>
            <w:shd w:val="clear" w:color="auto" w:fill="auto"/>
            <w:noWrap/>
            <w:vAlign w:val="center"/>
            <w:hideMark/>
          </w:tcPr>
          <w:p w14:paraId="1293CAE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-0.054***</w:t>
            </w:r>
          </w:p>
        </w:tc>
        <w:tc>
          <w:tcPr>
            <w:tcW w:w="507" w:type="pct"/>
            <w:tcBorders>
              <w:top w:val="nil"/>
              <w:left w:val="nil"/>
              <w:bottom w:val="nil"/>
              <w:right w:val="nil"/>
            </w:tcBorders>
            <w:shd w:val="clear" w:color="auto" w:fill="auto"/>
            <w:noWrap/>
            <w:vAlign w:val="center"/>
            <w:hideMark/>
          </w:tcPr>
          <w:p w14:paraId="4ADC24A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7A7837D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-0.013</w:t>
            </w:r>
          </w:p>
        </w:tc>
        <w:tc>
          <w:tcPr>
            <w:tcW w:w="507" w:type="pct"/>
            <w:tcBorders>
              <w:top w:val="nil"/>
              <w:left w:val="nil"/>
              <w:bottom w:val="nil"/>
              <w:right w:val="nil"/>
            </w:tcBorders>
            <w:shd w:val="clear" w:color="auto" w:fill="auto"/>
            <w:noWrap/>
            <w:vAlign w:val="center"/>
            <w:hideMark/>
          </w:tcPr>
          <w:p w14:paraId="710262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-0.014</w:t>
            </w:r>
          </w:p>
        </w:tc>
        <w:tc>
          <w:tcPr>
            <w:tcW w:w="507" w:type="pct"/>
            <w:tcBorders>
              <w:top w:val="nil"/>
              <w:left w:val="nil"/>
              <w:bottom w:val="nil"/>
              <w:right w:val="nil"/>
            </w:tcBorders>
            <w:shd w:val="clear" w:color="auto" w:fill="auto"/>
            <w:noWrap/>
            <w:vAlign w:val="center"/>
            <w:hideMark/>
          </w:tcPr>
          <w:p w14:paraId="0397573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r>
      <w:tr w:rsidR="00016D40" w:rsidRPr="00CA1166" w14:paraId="2F90CFE3"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2069A9CF"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10A440B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(-4.95)</w:t>
            </w:r>
          </w:p>
        </w:tc>
        <w:tc>
          <w:tcPr>
            <w:tcW w:w="507" w:type="pct"/>
            <w:tcBorders>
              <w:top w:val="nil"/>
              <w:left w:val="nil"/>
              <w:bottom w:val="nil"/>
              <w:right w:val="nil"/>
            </w:tcBorders>
            <w:shd w:val="clear" w:color="auto" w:fill="auto"/>
            <w:noWrap/>
            <w:vAlign w:val="center"/>
            <w:hideMark/>
          </w:tcPr>
          <w:p w14:paraId="08548B0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(-4.99)</w:t>
            </w:r>
          </w:p>
        </w:tc>
        <w:tc>
          <w:tcPr>
            <w:tcW w:w="507" w:type="pct"/>
            <w:tcBorders>
              <w:top w:val="nil"/>
              <w:left w:val="nil"/>
              <w:bottom w:val="nil"/>
              <w:right w:val="nil"/>
            </w:tcBorders>
            <w:shd w:val="clear" w:color="auto" w:fill="auto"/>
            <w:noWrap/>
            <w:vAlign w:val="center"/>
            <w:hideMark/>
          </w:tcPr>
          <w:p w14:paraId="2E65278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(-5.22)</w:t>
            </w:r>
          </w:p>
        </w:tc>
        <w:tc>
          <w:tcPr>
            <w:tcW w:w="507" w:type="pct"/>
            <w:tcBorders>
              <w:top w:val="nil"/>
              <w:left w:val="nil"/>
              <w:bottom w:val="nil"/>
              <w:right w:val="nil"/>
            </w:tcBorders>
            <w:shd w:val="clear" w:color="auto" w:fill="auto"/>
            <w:noWrap/>
            <w:vAlign w:val="center"/>
            <w:hideMark/>
          </w:tcPr>
          <w:p w14:paraId="79AA96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(-4.66)</w:t>
            </w:r>
          </w:p>
        </w:tc>
        <w:tc>
          <w:tcPr>
            <w:tcW w:w="507" w:type="pct"/>
            <w:tcBorders>
              <w:top w:val="nil"/>
              <w:left w:val="nil"/>
              <w:bottom w:val="nil"/>
              <w:right w:val="nil"/>
            </w:tcBorders>
            <w:shd w:val="clear" w:color="auto" w:fill="auto"/>
            <w:noWrap/>
            <w:vAlign w:val="center"/>
            <w:hideMark/>
          </w:tcPr>
          <w:p w14:paraId="206ADCA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(-1.30)</w:t>
            </w:r>
          </w:p>
        </w:tc>
        <w:tc>
          <w:tcPr>
            <w:tcW w:w="507" w:type="pct"/>
            <w:tcBorders>
              <w:top w:val="nil"/>
              <w:left w:val="nil"/>
              <w:bottom w:val="nil"/>
              <w:right w:val="nil"/>
            </w:tcBorders>
            <w:shd w:val="clear" w:color="auto" w:fill="auto"/>
            <w:noWrap/>
            <w:vAlign w:val="center"/>
            <w:hideMark/>
          </w:tcPr>
          <w:p w14:paraId="3E9ECA7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(-1.48)</w:t>
            </w:r>
          </w:p>
        </w:tc>
        <w:tc>
          <w:tcPr>
            <w:tcW w:w="507" w:type="pct"/>
            <w:tcBorders>
              <w:top w:val="nil"/>
              <w:left w:val="nil"/>
              <w:bottom w:val="nil"/>
              <w:right w:val="nil"/>
            </w:tcBorders>
            <w:shd w:val="clear" w:color="auto" w:fill="auto"/>
            <w:noWrap/>
            <w:vAlign w:val="center"/>
            <w:hideMark/>
          </w:tcPr>
          <w:p w14:paraId="6CC9A64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(-1.61)</w:t>
            </w:r>
          </w:p>
        </w:tc>
        <w:tc>
          <w:tcPr>
            <w:tcW w:w="507" w:type="pct"/>
            <w:tcBorders>
              <w:top w:val="nil"/>
              <w:left w:val="nil"/>
              <w:bottom w:val="nil"/>
              <w:right w:val="nil"/>
            </w:tcBorders>
            <w:shd w:val="clear" w:color="auto" w:fill="auto"/>
            <w:noWrap/>
            <w:vAlign w:val="center"/>
            <w:hideMark/>
          </w:tcPr>
          <w:p w14:paraId="0EFD898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(-0.82)</w:t>
            </w:r>
          </w:p>
        </w:tc>
      </w:tr>
      <w:tr w:rsidR="00016D40" w:rsidRPr="00CA1166" w14:paraId="61DBFE2A"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61840FE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Loss</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226211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0.024***</w:t>
            </w:r>
          </w:p>
        </w:tc>
        <w:tc>
          <w:tcPr>
            <w:tcW w:w="507" w:type="pct"/>
            <w:tcBorders>
              <w:top w:val="nil"/>
              <w:left w:val="nil"/>
              <w:bottom w:val="nil"/>
              <w:right w:val="nil"/>
            </w:tcBorders>
            <w:shd w:val="clear" w:color="auto" w:fill="auto"/>
            <w:noWrap/>
            <w:vAlign w:val="center"/>
            <w:hideMark/>
          </w:tcPr>
          <w:p w14:paraId="2744DD3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0.027***</w:t>
            </w:r>
          </w:p>
        </w:tc>
        <w:tc>
          <w:tcPr>
            <w:tcW w:w="507" w:type="pct"/>
            <w:tcBorders>
              <w:top w:val="nil"/>
              <w:left w:val="nil"/>
              <w:bottom w:val="nil"/>
              <w:right w:val="nil"/>
            </w:tcBorders>
            <w:shd w:val="clear" w:color="auto" w:fill="auto"/>
            <w:noWrap/>
            <w:vAlign w:val="center"/>
            <w:hideMark/>
          </w:tcPr>
          <w:p w14:paraId="17E68E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0.027***</w:t>
            </w:r>
          </w:p>
        </w:tc>
        <w:tc>
          <w:tcPr>
            <w:tcW w:w="507" w:type="pct"/>
            <w:tcBorders>
              <w:top w:val="nil"/>
              <w:left w:val="nil"/>
              <w:bottom w:val="nil"/>
              <w:right w:val="nil"/>
            </w:tcBorders>
            <w:shd w:val="clear" w:color="auto" w:fill="auto"/>
            <w:noWrap/>
            <w:vAlign w:val="center"/>
            <w:hideMark/>
          </w:tcPr>
          <w:p w14:paraId="02ECD55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0.024***</w:t>
            </w:r>
          </w:p>
        </w:tc>
        <w:tc>
          <w:tcPr>
            <w:tcW w:w="507" w:type="pct"/>
            <w:tcBorders>
              <w:top w:val="nil"/>
              <w:left w:val="nil"/>
              <w:bottom w:val="nil"/>
              <w:right w:val="nil"/>
            </w:tcBorders>
            <w:shd w:val="clear" w:color="auto" w:fill="auto"/>
            <w:noWrap/>
            <w:vAlign w:val="center"/>
            <w:hideMark/>
          </w:tcPr>
          <w:p w14:paraId="52C24AF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02C3D5E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0.012***</w:t>
            </w:r>
          </w:p>
        </w:tc>
        <w:tc>
          <w:tcPr>
            <w:tcW w:w="507" w:type="pct"/>
            <w:tcBorders>
              <w:top w:val="nil"/>
              <w:left w:val="nil"/>
              <w:bottom w:val="nil"/>
              <w:right w:val="nil"/>
            </w:tcBorders>
            <w:shd w:val="clear" w:color="auto" w:fill="auto"/>
            <w:noWrap/>
            <w:vAlign w:val="center"/>
            <w:hideMark/>
          </w:tcPr>
          <w:p w14:paraId="2DF2EC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0.012***</w:t>
            </w:r>
          </w:p>
        </w:tc>
        <w:tc>
          <w:tcPr>
            <w:tcW w:w="507" w:type="pct"/>
            <w:tcBorders>
              <w:top w:val="nil"/>
              <w:left w:val="nil"/>
              <w:bottom w:val="nil"/>
              <w:right w:val="nil"/>
            </w:tcBorders>
            <w:shd w:val="clear" w:color="auto" w:fill="auto"/>
            <w:noWrap/>
            <w:vAlign w:val="center"/>
            <w:hideMark/>
          </w:tcPr>
          <w:p w14:paraId="5B5EE09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r>
      <w:tr w:rsidR="00016D40" w:rsidRPr="00CA1166" w14:paraId="4752B0B7"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FB27942"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CE2B75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(6.80)</w:t>
            </w:r>
          </w:p>
        </w:tc>
        <w:tc>
          <w:tcPr>
            <w:tcW w:w="507" w:type="pct"/>
            <w:tcBorders>
              <w:top w:val="nil"/>
              <w:left w:val="nil"/>
              <w:bottom w:val="nil"/>
              <w:right w:val="nil"/>
            </w:tcBorders>
            <w:shd w:val="clear" w:color="auto" w:fill="auto"/>
            <w:noWrap/>
            <w:vAlign w:val="center"/>
            <w:hideMark/>
          </w:tcPr>
          <w:p w14:paraId="709F45D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(7.37)</w:t>
            </w:r>
          </w:p>
        </w:tc>
        <w:tc>
          <w:tcPr>
            <w:tcW w:w="507" w:type="pct"/>
            <w:tcBorders>
              <w:top w:val="nil"/>
              <w:left w:val="nil"/>
              <w:bottom w:val="nil"/>
              <w:right w:val="nil"/>
            </w:tcBorders>
            <w:shd w:val="clear" w:color="auto" w:fill="auto"/>
            <w:noWrap/>
            <w:vAlign w:val="center"/>
            <w:hideMark/>
          </w:tcPr>
          <w:p w14:paraId="2947116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(7.41)</w:t>
            </w:r>
          </w:p>
        </w:tc>
        <w:tc>
          <w:tcPr>
            <w:tcW w:w="507" w:type="pct"/>
            <w:tcBorders>
              <w:top w:val="nil"/>
              <w:left w:val="nil"/>
              <w:bottom w:val="nil"/>
              <w:right w:val="nil"/>
            </w:tcBorders>
            <w:shd w:val="clear" w:color="auto" w:fill="auto"/>
            <w:noWrap/>
            <w:vAlign w:val="center"/>
            <w:hideMark/>
          </w:tcPr>
          <w:p w14:paraId="2673CDE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(6.69)</w:t>
            </w:r>
          </w:p>
        </w:tc>
        <w:tc>
          <w:tcPr>
            <w:tcW w:w="507" w:type="pct"/>
            <w:tcBorders>
              <w:top w:val="nil"/>
              <w:left w:val="nil"/>
              <w:bottom w:val="nil"/>
              <w:right w:val="nil"/>
            </w:tcBorders>
            <w:shd w:val="clear" w:color="auto" w:fill="auto"/>
            <w:noWrap/>
            <w:vAlign w:val="center"/>
            <w:hideMark/>
          </w:tcPr>
          <w:p w14:paraId="43AFBC5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(3.51)</w:t>
            </w:r>
          </w:p>
        </w:tc>
        <w:tc>
          <w:tcPr>
            <w:tcW w:w="507" w:type="pct"/>
            <w:tcBorders>
              <w:top w:val="nil"/>
              <w:left w:val="nil"/>
              <w:bottom w:val="nil"/>
              <w:right w:val="nil"/>
            </w:tcBorders>
            <w:shd w:val="clear" w:color="auto" w:fill="auto"/>
            <w:noWrap/>
            <w:vAlign w:val="center"/>
            <w:hideMark/>
          </w:tcPr>
          <w:p w14:paraId="47D914C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(4.00)</w:t>
            </w:r>
          </w:p>
        </w:tc>
        <w:tc>
          <w:tcPr>
            <w:tcW w:w="507" w:type="pct"/>
            <w:tcBorders>
              <w:top w:val="nil"/>
              <w:left w:val="nil"/>
              <w:bottom w:val="nil"/>
              <w:right w:val="nil"/>
            </w:tcBorders>
            <w:shd w:val="clear" w:color="auto" w:fill="auto"/>
            <w:noWrap/>
            <w:vAlign w:val="center"/>
            <w:hideMark/>
          </w:tcPr>
          <w:p w14:paraId="6DFEA8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(4.07)</w:t>
            </w:r>
          </w:p>
        </w:tc>
        <w:tc>
          <w:tcPr>
            <w:tcW w:w="507" w:type="pct"/>
            <w:tcBorders>
              <w:top w:val="nil"/>
              <w:left w:val="nil"/>
              <w:bottom w:val="nil"/>
              <w:right w:val="nil"/>
            </w:tcBorders>
            <w:shd w:val="clear" w:color="auto" w:fill="auto"/>
            <w:noWrap/>
            <w:vAlign w:val="center"/>
            <w:hideMark/>
          </w:tcPr>
          <w:p w14:paraId="5D84B6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(3.75)</w:t>
            </w:r>
          </w:p>
        </w:tc>
      </w:tr>
      <w:tr w:rsidR="00016D40" w:rsidRPr="00CA1166" w14:paraId="5628E1E6"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4A52494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CFO_Vol</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51D1F8B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0.066**</w:t>
            </w:r>
          </w:p>
        </w:tc>
        <w:tc>
          <w:tcPr>
            <w:tcW w:w="507" w:type="pct"/>
            <w:tcBorders>
              <w:top w:val="nil"/>
              <w:left w:val="nil"/>
              <w:bottom w:val="nil"/>
              <w:right w:val="nil"/>
            </w:tcBorders>
            <w:shd w:val="clear" w:color="auto" w:fill="auto"/>
            <w:noWrap/>
            <w:vAlign w:val="center"/>
            <w:hideMark/>
          </w:tcPr>
          <w:p w14:paraId="7F40639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0.069**</w:t>
            </w:r>
          </w:p>
        </w:tc>
        <w:tc>
          <w:tcPr>
            <w:tcW w:w="507" w:type="pct"/>
            <w:tcBorders>
              <w:top w:val="nil"/>
              <w:left w:val="nil"/>
              <w:bottom w:val="nil"/>
              <w:right w:val="nil"/>
            </w:tcBorders>
            <w:shd w:val="clear" w:color="auto" w:fill="auto"/>
            <w:noWrap/>
            <w:vAlign w:val="center"/>
            <w:hideMark/>
          </w:tcPr>
          <w:p w14:paraId="64399E8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0.067**</w:t>
            </w:r>
          </w:p>
        </w:tc>
        <w:tc>
          <w:tcPr>
            <w:tcW w:w="507" w:type="pct"/>
            <w:tcBorders>
              <w:top w:val="nil"/>
              <w:left w:val="nil"/>
              <w:bottom w:val="nil"/>
              <w:right w:val="nil"/>
            </w:tcBorders>
            <w:shd w:val="clear" w:color="auto" w:fill="auto"/>
            <w:noWrap/>
            <w:vAlign w:val="center"/>
            <w:hideMark/>
          </w:tcPr>
          <w:p w14:paraId="11827E1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0.043</w:t>
            </w:r>
          </w:p>
        </w:tc>
        <w:tc>
          <w:tcPr>
            <w:tcW w:w="507" w:type="pct"/>
            <w:tcBorders>
              <w:top w:val="nil"/>
              <w:left w:val="nil"/>
              <w:bottom w:val="nil"/>
              <w:right w:val="nil"/>
            </w:tcBorders>
            <w:shd w:val="clear" w:color="auto" w:fill="auto"/>
            <w:noWrap/>
            <w:vAlign w:val="center"/>
            <w:hideMark/>
          </w:tcPr>
          <w:p w14:paraId="562B761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0.066***</w:t>
            </w:r>
          </w:p>
        </w:tc>
        <w:tc>
          <w:tcPr>
            <w:tcW w:w="507" w:type="pct"/>
            <w:tcBorders>
              <w:top w:val="nil"/>
              <w:left w:val="nil"/>
              <w:bottom w:val="nil"/>
              <w:right w:val="nil"/>
            </w:tcBorders>
            <w:shd w:val="clear" w:color="auto" w:fill="auto"/>
            <w:noWrap/>
            <w:vAlign w:val="center"/>
            <w:hideMark/>
          </w:tcPr>
          <w:p w14:paraId="5C5F473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0.069***</w:t>
            </w:r>
          </w:p>
        </w:tc>
        <w:tc>
          <w:tcPr>
            <w:tcW w:w="507" w:type="pct"/>
            <w:tcBorders>
              <w:top w:val="nil"/>
              <w:left w:val="nil"/>
              <w:bottom w:val="nil"/>
              <w:right w:val="nil"/>
            </w:tcBorders>
            <w:shd w:val="clear" w:color="auto" w:fill="auto"/>
            <w:noWrap/>
            <w:vAlign w:val="center"/>
            <w:hideMark/>
          </w:tcPr>
          <w:p w14:paraId="4E3C25E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0.069***</w:t>
            </w:r>
          </w:p>
        </w:tc>
        <w:tc>
          <w:tcPr>
            <w:tcW w:w="507" w:type="pct"/>
            <w:tcBorders>
              <w:top w:val="nil"/>
              <w:left w:val="nil"/>
              <w:bottom w:val="nil"/>
              <w:right w:val="nil"/>
            </w:tcBorders>
            <w:shd w:val="clear" w:color="auto" w:fill="auto"/>
            <w:noWrap/>
            <w:vAlign w:val="center"/>
            <w:hideMark/>
          </w:tcPr>
          <w:p w14:paraId="7486103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0.047***</w:t>
            </w:r>
          </w:p>
        </w:tc>
      </w:tr>
      <w:tr w:rsidR="00016D40" w:rsidRPr="00CA1166" w14:paraId="4E114F92"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796F1F2D"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70BED6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(2.35)</w:t>
            </w:r>
          </w:p>
        </w:tc>
        <w:tc>
          <w:tcPr>
            <w:tcW w:w="507" w:type="pct"/>
            <w:tcBorders>
              <w:top w:val="nil"/>
              <w:left w:val="nil"/>
              <w:bottom w:val="nil"/>
              <w:right w:val="nil"/>
            </w:tcBorders>
            <w:shd w:val="clear" w:color="auto" w:fill="auto"/>
            <w:noWrap/>
            <w:vAlign w:val="center"/>
            <w:hideMark/>
          </w:tcPr>
          <w:p w14:paraId="5F9F12D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(2.49)</w:t>
            </w:r>
          </w:p>
        </w:tc>
        <w:tc>
          <w:tcPr>
            <w:tcW w:w="507" w:type="pct"/>
            <w:tcBorders>
              <w:top w:val="nil"/>
              <w:left w:val="nil"/>
              <w:bottom w:val="nil"/>
              <w:right w:val="nil"/>
            </w:tcBorders>
            <w:shd w:val="clear" w:color="auto" w:fill="auto"/>
            <w:noWrap/>
            <w:vAlign w:val="center"/>
            <w:hideMark/>
          </w:tcPr>
          <w:p w14:paraId="74A258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(2.40)</w:t>
            </w:r>
          </w:p>
        </w:tc>
        <w:tc>
          <w:tcPr>
            <w:tcW w:w="507" w:type="pct"/>
            <w:tcBorders>
              <w:top w:val="nil"/>
              <w:left w:val="nil"/>
              <w:bottom w:val="nil"/>
              <w:right w:val="nil"/>
            </w:tcBorders>
            <w:shd w:val="clear" w:color="auto" w:fill="auto"/>
            <w:noWrap/>
            <w:vAlign w:val="center"/>
            <w:hideMark/>
          </w:tcPr>
          <w:p w14:paraId="1332F8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(1.33)</w:t>
            </w:r>
          </w:p>
        </w:tc>
        <w:tc>
          <w:tcPr>
            <w:tcW w:w="507" w:type="pct"/>
            <w:tcBorders>
              <w:top w:val="nil"/>
              <w:left w:val="nil"/>
              <w:bottom w:val="nil"/>
              <w:right w:val="nil"/>
            </w:tcBorders>
            <w:shd w:val="clear" w:color="auto" w:fill="auto"/>
            <w:noWrap/>
            <w:vAlign w:val="center"/>
            <w:hideMark/>
          </w:tcPr>
          <w:p w14:paraId="2577A0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(8.45)</w:t>
            </w:r>
          </w:p>
        </w:tc>
        <w:tc>
          <w:tcPr>
            <w:tcW w:w="507" w:type="pct"/>
            <w:tcBorders>
              <w:top w:val="nil"/>
              <w:left w:val="nil"/>
              <w:bottom w:val="nil"/>
              <w:right w:val="nil"/>
            </w:tcBorders>
            <w:shd w:val="clear" w:color="auto" w:fill="auto"/>
            <w:noWrap/>
            <w:vAlign w:val="center"/>
            <w:hideMark/>
          </w:tcPr>
          <w:p w14:paraId="7943315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(8.81)</w:t>
            </w:r>
          </w:p>
        </w:tc>
        <w:tc>
          <w:tcPr>
            <w:tcW w:w="507" w:type="pct"/>
            <w:tcBorders>
              <w:top w:val="nil"/>
              <w:left w:val="nil"/>
              <w:bottom w:val="nil"/>
              <w:right w:val="nil"/>
            </w:tcBorders>
            <w:shd w:val="clear" w:color="auto" w:fill="auto"/>
            <w:noWrap/>
            <w:vAlign w:val="center"/>
            <w:hideMark/>
          </w:tcPr>
          <w:p w14:paraId="21C7C52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(8.71)</w:t>
            </w:r>
          </w:p>
        </w:tc>
        <w:tc>
          <w:tcPr>
            <w:tcW w:w="507" w:type="pct"/>
            <w:tcBorders>
              <w:top w:val="nil"/>
              <w:left w:val="nil"/>
              <w:bottom w:val="nil"/>
              <w:right w:val="nil"/>
            </w:tcBorders>
            <w:shd w:val="clear" w:color="auto" w:fill="auto"/>
            <w:noWrap/>
            <w:vAlign w:val="center"/>
            <w:hideMark/>
          </w:tcPr>
          <w:p w14:paraId="07E3ED3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(5.58)</w:t>
            </w:r>
          </w:p>
        </w:tc>
      </w:tr>
      <w:tr w:rsidR="00016D40" w:rsidRPr="00CA1166" w14:paraId="5EEA3979"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09266B0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Sales_Vol</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21E4E7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-0.001</w:t>
            </w:r>
          </w:p>
        </w:tc>
        <w:tc>
          <w:tcPr>
            <w:tcW w:w="507" w:type="pct"/>
            <w:tcBorders>
              <w:top w:val="nil"/>
              <w:left w:val="nil"/>
              <w:bottom w:val="nil"/>
              <w:right w:val="nil"/>
            </w:tcBorders>
            <w:shd w:val="clear" w:color="auto" w:fill="auto"/>
            <w:noWrap/>
            <w:vAlign w:val="center"/>
            <w:hideMark/>
          </w:tcPr>
          <w:p w14:paraId="658B37B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0.001</w:t>
            </w:r>
          </w:p>
        </w:tc>
        <w:tc>
          <w:tcPr>
            <w:tcW w:w="507" w:type="pct"/>
            <w:tcBorders>
              <w:top w:val="nil"/>
              <w:left w:val="nil"/>
              <w:bottom w:val="nil"/>
              <w:right w:val="nil"/>
            </w:tcBorders>
            <w:shd w:val="clear" w:color="auto" w:fill="auto"/>
            <w:noWrap/>
            <w:vAlign w:val="center"/>
            <w:hideMark/>
          </w:tcPr>
          <w:p w14:paraId="28E4414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507" w:type="pct"/>
            <w:tcBorders>
              <w:top w:val="nil"/>
              <w:left w:val="nil"/>
              <w:bottom w:val="nil"/>
              <w:right w:val="nil"/>
            </w:tcBorders>
            <w:shd w:val="clear" w:color="auto" w:fill="auto"/>
            <w:noWrap/>
            <w:vAlign w:val="center"/>
            <w:hideMark/>
          </w:tcPr>
          <w:p w14:paraId="57A9925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0.002</w:t>
            </w:r>
          </w:p>
        </w:tc>
        <w:tc>
          <w:tcPr>
            <w:tcW w:w="507" w:type="pct"/>
            <w:tcBorders>
              <w:top w:val="nil"/>
              <w:left w:val="nil"/>
              <w:bottom w:val="nil"/>
              <w:right w:val="nil"/>
            </w:tcBorders>
            <w:shd w:val="clear" w:color="auto" w:fill="auto"/>
            <w:noWrap/>
            <w:vAlign w:val="center"/>
            <w:hideMark/>
          </w:tcPr>
          <w:p w14:paraId="1F60FBD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-0.040**</w:t>
            </w:r>
          </w:p>
        </w:tc>
        <w:tc>
          <w:tcPr>
            <w:tcW w:w="507" w:type="pct"/>
            <w:tcBorders>
              <w:top w:val="nil"/>
              <w:left w:val="nil"/>
              <w:bottom w:val="nil"/>
              <w:right w:val="nil"/>
            </w:tcBorders>
            <w:shd w:val="clear" w:color="auto" w:fill="auto"/>
            <w:noWrap/>
            <w:vAlign w:val="center"/>
            <w:hideMark/>
          </w:tcPr>
          <w:p w14:paraId="66AB0D5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-0.039**</w:t>
            </w:r>
          </w:p>
        </w:tc>
        <w:tc>
          <w:tcPr>
            <w:tcW w:w="507" w:type="pct"/>
            <w:tcBorders>
              <w:top w:val="nil"/>
              <w:left w:val="nil"/>
              <w:bottom w:val="nil"/>
              <w:right w:val="nil"/>
            </w:tcBorders>
            <w:shd w:val="clear" w:color="auto" w:fill="auto"/>
            <w:noWrap/>
            <w:vAlign w:val="center"/>
            <w:hideMark/>
          </w:tcPr>
          <w:p w14:paraId="4B2BF4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-0.041**</w:t>
            </w:r>
          </w:p>
        </w:tc>
        <w:tc>
          <w:tcPr>
            <w:tcW w:w="507" w:type="pct"/>
            <w:tcBorders>
              <w:top w:val="nil"/>
              <w:left w:val="nil"/>
              <w:bottom w:val="nil"/>
              <w:right w:val="nil"/>
            </w:tcBorders>
            <w:shd w:val="clear" w:color="auto" w:fill="auto"/>
            <w:noWrap/>
            <w:vAlign w:val="center"/>
            <w:hideMark/>
          </w:tcPr>
          <w:p w14:paraId="705A9A9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-0.034**</w:t>
            </w:r>
          </w:p>
        </w:tc>
      </w:tr>
      <w:tr w:rsidR="00016D40" w:rsidRPr="00CA1166" w14:paraId="236B0BA2"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5AABB8E3"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8E0C5D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(-0.09)</w:t>
            </w:r>
          </w:p>
        </w:tc>
        <w:tc>
          <w:tcPr>
            <w:tcW w:w="507" w:type="pct"/>
            <w:tcBorders>
              <w:top w:val="nil"/>
              <w:left w:val="nil"/>
              <w:bottom w:val="nil"/>
              <w:right w:val="nil"/>
            </w:tcBorders>
            <w:shd w:val="clear" w:color="auto" w:fill="auto"/>
            <w:noWrap/>
            <w:vAlign w:val="center"/>
            <w:hideMark/>
          </w:tcPr>
          <w:p w14:paraId="3211A53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w:t>
            </w:r>
          </w:p>
        </w:tc>
        <w:tc>
          <w:tcPr>
            <w:tcW w:w="507" w:type="pct"/>
            <w:tcBorders>
              <w:top w:val="nil"/>
              <w:left w:val="nil"/>
              <w:bottom w:val="nil"/>
              <w:right w:val="nil"/>
            </w:tcBorders>
            <w:shd w:val="clear" w:color="auto" w:fill="auto"/>
            <w:noWrap/>
            <w:vAlign w:val="center"/>
            <w:hideMark/>
          </w:tcPr>
          <w:p w14:paraId="69FCE57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w:t>
            </w:r>
          </w:p>
        </w:tc>
        <w:tc>
          <w:tcPr>
            <w:tcW w:w="507" w:type="pct"/>
            <w:tcBorders>
              <w:top w:val="nil"/>
              <w:left w:val="nil"/>
              <w:bottom w:val="nil"/>
              <w:right w:val="nil"/>
            </w:tcBorders>
            <w:shd w:val="clear" w:color="auto" w:fill="auto"/>
            <w:noWrap/>
            <w:vAlign w:val="center"/>
            <w:hideMark/>
          </w:tcPr>
          <w:p w14:paraId="25FC95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w:t>
            </w:r>
          </w:p>
        </w:tc>
        <w:tc>
          <w:tcPr>
            <w:tcW w:w="507" w:type="pct"/>
            <w:tcBorders>
              <w:top w:val="nil"/>
              <w:left w:val="nil"/>
              <w:bottom w:val="nil"/>
              <w:right w:val="nil"/>
            </w:tcBorders>
            <w:shd w:val="clear" w:color="auto" w:fill="auto"/>
            <w:noWrap/>
            <w:vAlign w:val="center"/>
            <w:hideMark/>
          </w:tcPr>
          <w:p w14:paraId="65F0AB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(-2.49)</w:t>
            </w:r>
          </w:p>
        </w:tc>
        <w:tc>
          <w:tcPr>
            <w:tcW w:w="507" w:type="pct"/>
            <w:tcBorders>
              <w:top w:val="nil"/>
              <w:left w:val="nil"/>
              <w:bottom w:val="nil"/>
              <w:right w:val="nil"/>
            </w:tcBorders>
            <w:shd w:val="clear" w:color="auto" w:fill="auto"/>
            <w:noWrap/>
            <w:vAlign w:val="center"/>
            <w:hideMark/>
          </w:tcPr>
          <w:p w14:paraId="5CFA1CD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(-2.46)</w:t>
            </w:r>
          </w:p>
        </w:tc>
        <w:tc>
          <w:tcPr>
            <w:tcW w:w="507" w:type="pct"/>
            <w:tcBorders>
              <w:top w:val="nil"/>
              <w:left w:val="nil"/>
              <w:bottom w:val="nil"/>
              <w:right w:val="nil"/>
            </w:tcBorders>
            <w:shd w:val="clear" w:color="auto" w:fill="auto"/>
            <w:noWrap/>
            <w:vAlign w:val="center"/>
            <w:hideMark/>
          </w:tcPr>
          <w:p w14:paraId="023195D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(-2.55)</w:t>
            </w:r>
          </w:p>
        </w:tc>
        <w:tc>
          <w:tcPr>
            <w:tcW w:w="507" w:type="pct"/>
            <w:tcBorders>
              <w:top w:val="nil"/>
              <w:left w:val="nil"/>
              <w:bottom w:val="nil"/>
              <w:right w:val="nil"/>
            </w:tcBorders>
            <w:shd w:val="clear" w:color="auto" w:fill="auto"/>
            <w:noWrap/>
            <w:vAlign w:val="center"/>
            <w:hideMark/>
          </w:tcPr>
          <w:p w14:paraId="434E06E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(-2.15)</w:t>
            </w:r>
          </w:p>
        </w:tc>
      </w:tr>
      <w:tr w:rsidR="00016D40" w:rsidRPr="00CA1166" w14:paraId="305175BA"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5CAA162C"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IO</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04218B6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-0.036***</w:t>
            </w:r>
          </w:p>
        </w:tc>
        <w:tc>
          <w:tcPr>
            <w:tcW w:w="507" w:type="pct"/>
            <w:tcBorders>
              <w:top w:val="nil"/>
              <w:left w:val="nil"/>
              <w:bottom w:val="nil"/>
              <w:right w:val="nil"/>
            </w:tcBorders>
            <w:shd w:val="clear" w:color="auto" w:fill="auto"/>
            <w:noWrap/>
            <w:vAlign w:val="center"/>
            <w:hideMark/>
          </w:tcPr>
          <w:p w14:paraId="15ED93B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-0.038***</w:t>
            </w:r>
          </w:p>
        </w:tc>
        <w:tc>
          <w:tcPr>
            <w:tcW w:w="507" w:type="pct"/>
            <w:tcBorders>
              <w:top w:val="nil"/>
              <w:left w:val="nil"/>
              <w:bottom w:val="nil"/>
              <w:right w:val="nil"/>
            </w:tcBorders>
            <w:shd w:val="clear" w:color="auto" w:fill="auto"/>
            <w:noWrap/>
            <w:vAlign w:val="center"/>
            <w:hideMark/>
          </w:tcPr>
          <w:p w14:paraId="564958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-0.038***</w:t>
            </w:r>
          </w:p>
        </w:tc>
        <w:tc>
          <w:tcPr>
            <w:tcW w:w="507" w:type="pct"/>
            <w:tcBorders>
              <w:top w:val="nil"/>
              <w:left w:val="nil"/>
              <w:bottom w:val="nil"/>
              <w:right w:val="nil"/>
            </w:tcBorders>
            <w:shd w:val="clear" w:color="auto" w:fill="auto"/>
            <w:noWrap/>
            <w:vAlign w:val="center"/>
            <w:hideMark/>
          </w:tcPr>
          <w:p w14:paraId="56CD8D5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-0.038***</w:t>
            </w:r>
          </w:p>
        </w:tc>
        <w:tc>
          <w:tcPr>
            <w:tcW w:w="507" w:type="pct"/>
            <w:tcBorders>
              <w:top w:val="nil"/>
              <w:left w:val="nil"/>
              <w:bottom w:val="nil"/>
              <w:right w:val="nil"/>
            </w:tcBorders>
            <w:shd w:val="clear" w:color="auto" w:fill="auto"/>
            <w:noWrap/>
            <w:vAlign w:val="center"/>
            <w:hideMark/>
          </w:tcPr>
          <w:p w14:paraId="26B416C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-0.050***</w:t>
            </w:r>
          </w:p>
        </w:tc>
        <w:tc>
          <w:tcPr>
            <w:tcW w:w="507" w:type="pct"/>
            <w:tcBorders>
              <w:top w:val="nil"/>
              <w:left w:val="nil"/>
              <w:bottom w:val="nil"/>
              <w:right w:val="nil"/>
            </w:tcBorders>
            <w:shd w:val="clear" w:color="auto" w:fill="auto"/>
            <w:noWrap/>
            <w:vAlign w:val="center"/>
            <w:hideMark/>
          </w:tcPr>
          <w:p w14:paraId="65D99CE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-0.052***</w:t>
            </w:r>
          </w:p>
        </w:tc>
        <w:tc>
          <w:tcPr>
            <w:tcW w:w="507" w:type="pct"/>
            <w:tcBorders>
              <w:top w:val="nil"/>
              <w:left w:val="nil"/>
              <w:bottom w:val="nil"/>
              <w:right w:val="nil"/>
            </w:tcBorders>
            <w:shd w:val="clear" w:color="auto" w:fill="auto"/>
            <w:noWrap/>
            <w:vAlign w:val="center"/>
            <w:hideMark/>
          </w:tcPr>
          <w:p w14:paraId="68659CB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-0.053***</w:t>
            </w:r>
          </w:p>
        </w:tc>
        <w:tc>
          <w:tcPr>
            <w:tcW w:w="507" w:type="pct"/>
            <w:tcBorders>
              <w:top w:val="nil"/>
              <w:left w:val="nil"/>
              <w:bottom w:val="nil"/>
              <w:right w:val="nil"/>
            </w:tcBorders>
            <w:shd w:val="clear" w:color="auto" w:fill="auto"/>
            <w:noWrap/>
            <w:vAlign w:val="center"/>
            <w:hideMark/>
          </w:tcPr>
          <w:p w14:paraId="1D390A6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-0.052***</w:t>
            </w:r>
          </w:p>
        </w:tc>
      </w:tr>
      <w:tr w:rsidR="00016D40" w:rsidRPr="00CA1166" w14:paraId="54FDF241"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01E25A8"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5F9763A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(-7.06)</w:t>
            </w:r>
          </w:p>
        </w:tc>
        <w:tc>
          <w:tcPr>
            <w:tcW w:w="507" w:type="pct"/>
            <w:tcBorders>
              <w:top w:val="nil"/>
              <w:left w:val="nil"/>
              <w:bottom w:val="nil"/>
              <w:right w:val="nil"/>
            </w:tcBorders>
            <w:shd w:val="clear" w:color="auto" w:fill="auto"/>
            <w:noWrap/>
            <w:vAlign w:val="center"/>
            <w:hideMark/>
          </w:tcPr>
          <w:p w14:paraId="4DD65A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(-7.44)</w:t>
            </w:r>
          </w:p>
        </w:tc>
        <w:tc>
          <w:tcPr>
            <w:tcW w:w="507" w:type="pct"/>
            <w:tcBorders>
              <w:top w:val="nil"/>
              <w:left w:val="nil"/>
              <w:bottom w:val="nil"/>
              <w:right w:val="nil"/>
            </w:tcBorders>
            <w:shd w:val="clear" w:color="auto" w:fill="auto"/>
            <w:noWrap/>
            <w:vAlign w:val="center"/>
            <w:hideMark/>
          </w:tcPr>
          <w:p w14:paraId="335E9F7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(-7.53)</w:t>
            </w:r>
          </w:p>
        </w:tc>
        <w:tc>
          <w:tcPr>
            <w:tcW w:w="507" w:type="pct"/>
            <w:tcBorders>
              <w:top w:val="nil"/>
              <w:left w:val="nil"/>
              <w:bottom w:val="nil"/>
              <w:right w:val="nil"/>
            </w:tcBorders>
            <w:shd w:val="clear" w:color="auto" w:fill="auto"/>
            <w:noWrap/>
            <w:vAlign w:val="center"/>
            <w:hideMark/>
          </w:tcPr>
          <w:p w14:paraId="5019343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(-7.39)</w:t>
            </w:r>
          </w:p>
        </w:tc>
        <w:tc>
          <w:tcPr>
            <w:tcW w:w="507" w:type="pct"/>
            <w:tcBorders>
              <w:top w:val="nil"/>
              <w:left w:val="nil"/>
              <w:bottom w:val="nil"/>
              <w:right w:val="nil"/>
            </w:tcBorders>
            <w:shd w:val="clear" w:color="auto" w:fill="auto"/>
            <w:noWrap/>
            <w:vAlign w:val="center"/>
            <w:hideMark/>
          </w:tcPr>
          <w:p w14:paraId="71F4BF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(-7.99)</w:t>
            </w:r>
          </w:p>
        </w:tc>
        <w:tc>
          <w:tcPr>
            <w:tcW w:w="507" w:type="pct"/>
            <w:tcBorders>
              <w:top w:val="nil"/>
              <w:left w:val="nil"/>
              <w:bottom w:val="nil"/>
              <w:right w:val="nil"/>
            </w:tcBorders>
            <w:shd w:val="clear" w:color="auto" w:fill="auto"/>
            <w:noWrap/>
            <w:vAlign w:val="center"/>
            <w:hideMark/>
          </w:tcPr>
          <w:p w14:paraId="555521B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(-8.25)</w:t>
            </w:r>
          </w:p>
        </w:tc>
        <w:tc>
          <w:tcPr>
            <w:tcW w:w="507" w:type="pct"/>
            <w:tcBorders>
              <w:top w:val="nil"/>
              <w:left w:val="nil"/>
              <w:bottom w:val="nil"/>
              <w:right w:val="nil"/>
            </w:tcBorders>
            <w:shd w:val="clear" w:color="auto" w:fill="auto"/>
            <w:noWrap/>
            <w:vAlign w:val="center"/>
            <w:hideMark/>
          </w:tcPr>
          <w:p w14:paraId="3DFB435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(-8.39)</w:t>
            </w:r>
          </w:p>
        </w:tc>
        <w:tc>
          <w:tcPr>
            <w:tcW w:w="507" w:type="pct"/>
            <w:tcBorders>
              <w:top w:val="nil"/>
              <w:left w:val="nil"/>
              <w:bottom w:val="nil"/>
              <w:right w:val="nil"/>
            </w:tcBorders>
            <w:shd w:val="clear" w:color="auto" w:fill="auto"/>
            <w:noWrap/>
            <w:vAlign w:val="center"/>
            <w:hideMark/>
          </w:tcPr>
          <w:p w14:paraId="6B52727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(-8.37)</w:t>
            </w:r>
          </w:p>
        </w:tc>
      </w:tr>
      <w:tr w:rsidR="00016D40" w:rsidRPr="00CA1166" w14:paraId="7D4D5C83"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2D439C4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Stock_Cov</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15CF228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-0.057**</w:t>
            </w:r>
          </w:p>
        </w:tc>
        <w:tc>
          <w:tcPr>
            <w:tcW w:w="507" w:type="pct"/>
            <w:tcBorders>
              <w:top w:val="nil"/>
              <w:left w:val="nil"/>
              <w:bottom w:val="nil"/>
              <w:right w:val="nil"/>
            </w:tcBorders>
            <w:shd w:val="clear" w:color="auto" w:fill="auto"/>
            <w:noWrap/>
            <w:vAlign w:val="center"/>
            <w:hideMark/>
          </w:tcPr>
          <w:p w14:paraId="466BE9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-0.060**</w:t>
            </w:r>
          </w:p>
        </w:tc>
        <w:tc>
          <w:tcPr>
            <w:tcW w:w="507" w:type="pct"/>
            <w:tcBorders>
              <w:top w:val="nil"/>
              <w:left w:val="nil"/>
              <w:bottom w:val="nil"/>
              <w:right w:val="nil"/>
            </w:tcBorders>
            <w:shd w:val="clear" w:color="auto" w:fill="auto"/>
            <w:noWrap/>
            <w:vAlign w:val="center"/>
            <w:hideMark/>
          </w:tcPr>
          <w:p w14:paraId="34F58B7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-0.056**</w:t>
            </w:r>
          </w:p>
        </w:tc>
        <w:tc>
          <w:tcPr>
            <w:tcW w:w="507" w:type="pct"/>
            <w:tcBorders>
              <w:top w:val="nil"/>
              <w:left w:val="nil"/>
              <w:bottom w:val="nil"/>
              <w:right w:val="nil"/>
            </w:tcBorders>
            <w:shd w:val="clear" w:color="auto" w:fill="auto"/>
            <w:noWrap/>
            <w:vAlign w:val="center"/>
            <w:hideMark/>
          </w:tcPr>
          <w:p w14:paraId="4AF3D88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-0.052*</w:t>
            </w:r>
          </w:p>
        </w:tc>
        <w:tc>
          <w:tcPr>
            <w:tcW w:w="507" w:type="pct"/>
            <w:tcBorders>
              <w:top w:val="nil"/>
              <w:left w:val="nil"/>
              <w:bottom w:val="nil"/>
              <w:right w:val="nil"/>
            </w:tcBorders>
            <w:shd w:val="clear" w:color="auto" w:fill="auto"/>
            <w:noWrap/>
            <w:vAlign w:val="center"/>
            <w:hideMark/>
          </w:tcPr>
          <w:p w14:paraId="07C58DE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40E1A3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-0.006</w:t>
            </w:r>
          </w:p>
        </w:tc>
        <w:tc>
          <w:tcPr>
            <w:tcW w:w="507" w:type="pct"/>
            <w:tcBorders>
              <w:top w:val="nil"/>
              <w:left w:val="nil"/>
              <w:bottom w:val="nil"/>
              <w:right w:val="nil"/>
            </w:tcBorders>
            <w:shd w:val="clear" w:color="auto" w:fill="auto"/>
            <w:noWrap/>
            <w:vAlign w:val="center"/>
            <w:hideMark/>
          </w:tcPr>
          <w:p w14:paraId="2B586A6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507" w:type="pct"/>
            <w:tcBorders>
              <w:top w:val="nil"/>
              <w:left w:val="nil"/>
              <w:bottom w:val="nil"/>
              <w:right w:val="nil"/>
            </w:tcBorders>
            <w:shd w:val="clear" w:color="auto" w:fill="auto"/>
            <w:noWrap/>
            <w:vAlign w:val="center"/>
            <w:hideMark/>
          </w:tcPr>
          <w:p w14:paraId="79F669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0.012</w:t>
            </w:r>
          </w:p>
        </w:tc>
      </w:tr>
      <w:tr w:rsidR="00016D40" w:rsidRPr="00CA1166" w14:paraId="5787922E"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1BE2F79E"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6D421CC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(-2.10)</w:t>
            </w:r>
          </w:p>
        </w:tc>
        <w:tc>
          <w:tcPr>
            <w:tcW w:w="507" w:type="pct"/>
            <w:tcBorders>
              <w:top w:val="nil"/>
              <w:left w:val="nil"/>
              <w:bottom w:val="nil"/>
              <w:right w:val="nil"/>
            </w:tcBorders>
            <w:shd w:val="clear" w:color="auto" w:fill="auto"/>
            <w:noWrap/>
            <w:vAlign w:val="center"/>
            <w:hideMark/>
          </w:tcPr>
          <w:p w14:paraId="1C56B07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(-2.19)</w:t>
            </w:r>
          </w:p>
        </w:tc>
        <w:tc>
          <w:tcPr>
            <w:tcW w:w="507" w:type="pct"/>
            <w:tcBorders>
              <w:top w:val="nil"/>
              <w:left w:val="nil"/>
              <w:bottom w:val="nil"/>
              <w:right w:val="nil"/>
            </w:tcBorders>
            <w:shd w:val="clear" w:color="auto" w:fill="auto"/>
            <w:noWrap/>
            <w:vAlign w:val="center"/>
            <w:hideMark/>
          </w:tcPr>
          <w:p w14:paraId="44BDC69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(-2.01)</w:t>
            </w:r>
          </w:p>
        </w:tc>
        <w:tc>
          <w:tcPr>
            <w:tcW w:w="507" w:type="pct"/>
            <w:tcBorders>
              <w:top w:val="nil"/>
              <w:left w:val="nil"/>
              <w:bottom w:val="nil"/>
              <w:right w:val="nil"/>
            </w:tcBorders>
            <w:shd w:val="clear" w:color="auto" w:fill="auto"/>
            <w:noWrap/>
            <w:vAlign w:val="center"/>
            <w:hideMark/>
          </w:tcPr>
          <w:p w14:paraId="3F78492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(-1.88)</w:t>
            </w:r>
          </w:p>
        </w:tc>
        <w:tc>
          <w:tcPr>
            <w:tcW w:w="507" w:type="pct"/>
            <w:tcBorders>
              <w:top w:val="nil"/>
              <w:left w:val="nil"/>
              <w:bottom w:val="nil"/>
              <w:right w:val="nil"/>
            </w:tcBorders>
            <w:shd w:val="clear" w:color="auto" w:fill="auto"/>
            <w:noWrap/>
            <w:vAlign w:val="center"/>
            <w:hideMark/>
          </w:tcPr>
          <w:p w14:paraId="049B1C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w:t>
            </w:r>
          </w:p>
        </w:tc>
        <w:tc>
          <w:tcPr>
            <w:tcW w:w="507" w:type="pct"/>
            <w:tcBorders>
              <w:top w:val="nil"/>
              <w:left w:val="nil"/>
              <w:bottom w:val="nil"/>
              <w:right w:val="nil"/>
            </w:tcBorders>
            <w:shd w:val="clear" w:color="auto" w:fill="auto"/>
            <w:noWrap/>
            <w:vAlign w:val="center"/>
            <w:hideMark/>
          </w:tcPr>
          <w:p w14:paraId="4DAC06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(-0.20)</w:t>
            </w:r>
          </w:p>
        </w:tc>
        <w:tc>
          <w:tcPr>
            <w:tcW w:w="507" w:type="pct"/>
            <w:tcBorders>
              <w:top w:val="nil"/>
              <w:left w:val="nil"/>
              <w:bottom w:val="nil"/>
              <w:right w:val="nil"/>
            </w:tcBorders>
            <w:shd w:val="clear" w:color="auto" w:fill="auto"/>
            <w:noWrap/>
            <w:vAlign w:val="center"/>
            <w:hideMark/>
          </w:tcPr>
          <w:p w14:paraId="5B8871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(-0.27)</w:t>
            </w:r>
          </w:p>
        </w:tc>
        <w:tc>
          <w:tcPr>
            <w:tcW w:w="507" w:type="pct"/>
            <w:tcBorders>
              <w:top w:val="nil"/>
              <w:left w:val="nil"/>
              <w:bottom w:val="nil"/>
              <w:right w:val="nil"/>
            </w:tcBorders>
            <w:shd w:val="clear" w:color="auto" w:fill="auto"/>
            <w:noWrap/>
            <w:vAlign w:val="center"/>
            <w:hideMark/>
          </w:tcPr>
          <w:p w14:paraId="1C7F37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(0.39)</w:t>
            </w:r>
          </w:p>
        </w:tc>
      </w:tr>
      <w:tr w:rsidR="00016D40" w:rsidRPr="00CA1166" w14:paraId="5B815E21"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06FFE09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HHI</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2158516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0.049*</w:t>
            </w:r>
          </w:p>
        </w:tc>
        <w:tc>
          <w:tcPr>
            <w:tcW w:w="507" w:type="pct"/>
            <w:tcBorders>
              <w:top w:val="nil"/>
              <w:left w:val="nil"/>
              <w:bottom w:val="nil"/>
              <w:right w:val="nil"/>
            </w:tcBorders>
            <w:shd w:val="clear" w:color="auto" w:fill="auto"/>
            <w:noWrap/>
            <w:vAlign w:val="center"/>
            <w:hideMark/>
          </w:tcPr>
          <w:p w14:paraId="5436E37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0.049*</w:t>
            </w:r>
          </w:p>
        </w:tc>
        <w:tc>
          <w:tcPr>
            <w:tcW w:w="507" w:type="pct"/>
            <w:tcBorders>
              <w:top w:val="nil"/>
              <w:left w:val="nil"/>
              <w:bottom w:val="nil"/>
              <w:right w:val="nil"/>
            </w:tcBorders>
            <w:shd w:val="clear" w:color="auto" w:fill="auto"/>
            <w:noWrap/>
            <w:vAlign w:val="center"/>
            <w:hideMark/>
          </w:tcPr>
          <w:p w14:paraId="58C1DF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0.045*</w:t>
            </w:r>
          </w:p>
        </w:tc>
        <w:tc>
          <w:tcPr>
            <w:tcW w:w="507" w:type="pct"/>
            <w:tcBorders>
              <w:top w:val="nil"/>
              <w:left w:val="nil"/>
              <w:bottom w:val="nil"/>
              <w:right w:val="nil"/>
            </w:tcBorders>
            <w:shd w:val="clear" w:color="auto" w:fill="auto"/>
            <w:noWrap/>
            <w:vAlign w:val="center"/>
            <w:hideMark/>
          </w:tcPr>
          <w:p w14:paraId="20A5D24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0.039</w:t>
            </w:r>
          </w:p>
        </w:tc>
        <w:tc>
          <w:tcPr>
            <w:tcW w:w="507" w:type="pct"/>
            <w:tcBorders>
              <w:top w:val="nil"/>
              <w:left w:val="nil"/>
              <w:bottom w:val="nil"/>
              <w:right w:val="nil"/>
            </w:tcBorders>
            <w:shd w:val="clear" w:color="auto" w:fill="auto"/>
            <w:noWrap/>
            <w:vAlign w:val="center"/>
            <w:hideMark/>
          </w:tcPr>
          <w:p w14:paraId="1480108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0.043</w:t>
            </w:r>
          </w:p>
        </w:tc>
        <w:tc>
          <w:tcPr>
            <w:tcW w:w="507" w:type="pct"/>
            <w:tcBorders>
              <w:top w:val="nil"/>
              <w:left w:val="nil"/>
              <w:bottom w:val="nil"/>
              <w:right w:val="nil"/>
            </w:tcBorders>
            <w:shd w:val="clear" w:color="auto" w:fill="auto"/>
            <w:noWrap/>
            <w:vAlign w:val="center"/>
            <w:hideMark/>
          </w:tcPr>
          <w:p w14:paraId="10061F9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0.039</w:t>
            </w:r>
          </w:p>
        </w:tc>
        <w:tc>
          <w:tcPr>
            <w:tcW w:w="507" w:type="pct"/>
            <w:tcBorders>
              <w:top w:val="nil"/>
              <w:left w:val="nil"/>
              <w:bottom w:val="nil"/>
              <w:right w:val="nil"/>
            </w:tcBorders>
            <w:shd w:val="clear" w:color="auto" w:fill="auto"/>
            <w:noWrap/>
            <w:vAlign w:val="center"/>
            <w:hideMark/>
          </w:tcPr>
          <w:p w14:paraId="55F6F84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0.038</w:t>
            </w:r>
          </w:p>
        </w:tc>
        <w:tc>
          <w:tcPr>
            <w:tcW w:w="507" w:type="pct"/>
            <w:tcBorders>
              <w:top w:val="nil"/>
              <w:left w:val="nil"/>
              <w:bottom w:val="nil"/>
              <w:right w:val="nil"/>
            </w:tcBorders>
            <w:shd w:val="clear" w:color="auto" w:fill="auto"/>
            <w:noWrap/>
            <w:vAlign w:val="center"/>
            <w:hideMark/>
          </w:tcPr>
          <w:p w14:paraId="7EA002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0.039</w:t>
            </w:r>
          </w:p>
        </w:tc>
      </w:tr>
      <w:tr w:rsidR="00016D40" w:rsidRPr="00CA1166" w14:paraId="0E888256"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0D04FEB8"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13AC8D7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(1.88)</w:t>
            </w:r>
          </w:p>
        </w:tc>
        <w:tc>
          <w:tcPr>
            <w:tcW w:w="507" w:type="pct"/>
            <w:tcBorders>
              <w:top w:val="nil"/>
              <w:left w:val="nil"/>
              <w:bottom w:val="nil"/>
              <w:right w:val="nil"/>
            </w:tcBorders>
            <w:shd w:val="clear" w:color="auto" w:fill="auto"/>
            <w:noWrap/>
            <w:vAlign w:val="center"/>
            <w:hideMark/>
          </w:tcPr>
          <w:p w14:paraId="5DBB15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(1.88)</w:t>
            </w:r>
          </w:p>
        </w:tc>
        <w:tc>
          <w:tcPr>
            <w:tcW w:w="507" w:type="pct"/>
            <w:tcBorders>
              <w:top w:val="nil"/>
              <w:left w:val="nil"/>
              <w:bottom w:val="nil"/>
              <w:right w:val="nil"/>
            </w:tcBorders>
            <w:shd w:val="clear" w:color="auto" w:fill="auto"/>
            <w:noWrap/>
            <w:vAlign w:val="center"/>
            <w:hideMark/>
          </w:tcPr>
          <w:p w14:paraId="6D35779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(1.78)</w:t>
            </w:r>
          </w:p>
        </w:tc>
        <w:tc>
          <w:tcPr>
            <w:tcW w:w="507" w:type="pct"/>
            <w:tcBorders>
              <w:top w:val="nil"/>
              <w:left w:val="nil"/>
              <w:bottom w:val="nil"/>
              <w:right w:val="nil"/>
            </w:tcBorders>
            <w:shd w:val="clear" w:color="auto" w:fill="auto"/>
            <w:noWrap/>
            <w:vAlign w:val="center"/>
            <w:hideMark/>
          </w:tcPr>
          <w:p w14:paraId="373ABC3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(1.57)</w:t>
            </w:r>
          </w:p>
        </w:tc>
        <w:tc>
          <w:tcPr>
            <w:tcW w:w="507" w:type="pct"/>
            <w:tcBorders>
              <w:top w:val="nil"/>
              <w:left w:val="nil"/>
              <w:bottom w:val="nil"/>
              <w:right w:val="nil"/>
            </w:tcBorders>
            <w:shd w:val="clear" w:color="auto" w:fill="auto"/>
            <w:noWrap/>
            <w:vAlign w:val="center"/>
            <w:hideMark/>
          </w:tcPr>
          <w:p w14:paraId="63547A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(1.19)</w:t>
            </w:r>
          </w:p>
        </w:tc>
        <w:tc>
          <w:tcPr>
            <w:tcW w:w="507" w:type="pct"/>
            <w:tcBorders>
              <w:top w:val="nil"/>
              <w:left w:val="nil"/>
              <w:bottom w:val="nil"/>
              <w:right w:val="nil"/>
            </w:tcBorders>
            <w:shd w:val="clear" w:color="auto" w:fill="auto"/>
            <w:noWrap/>
            <w:vAlign w:val="center"/>
            <w:hideMark/>
          </w:tcPr>
          <w:p w14:paraId="3AE2E06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(1.09)</w:t>
            </w:r>
          </w:p>
        </w:tc>
        <w:tc>
          <w:tcPr>
            <w:tcW w:w="507" w:type="pct"/>
            <w:tcBorders>
              <w:top w:val="nil"/>
              <w:left w:val="nil"/>
              <w:bottom w:val="nil"/>
              <w:right w:val="nil"/>
            </w:tcBorders>
            <w:shd w:val="clear" w:color="auto" w:fill="auto"/>
            <w:noWrap/>
            <w:vAlign w:val="center"/>
            <w:hideMark/>
          </w:tcPr>
          <w:p w14:paraId="2CC7087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(1.04)</w:t>
            </w:r>
          </w:p>
        </w:tc>
        <w:tc>
          <w:tcPr>
            <w:tcW w:w="507" w:type="pct"/>
            <w:tcBorders>
              <w:top w:val="nil"/>
              <w:left w:val="nil"/>
              <w:bottom w:val="nil"/>
              <w:right w:val="nil"/>
            </w:tcBorders>
            <w:shd w:val="clear" w:color="auto" w:fill="auto"/>
            <w:noWrap/>
            <w:vAlign w:val="center"/>
            <w:hideMark/>
          </w:tcPr>
          <w:p w14:paraId="6A9C70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(1.09)</w:t>
            </w:r>
          </w:p>
        </w:tc>
      </w:tr>
      <w:tr w:rsidR="00016D40" w:rsidRPr="00CA1166" w14:paraId="2F34434B"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25FCC6C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AQ</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6D61A5B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-0.190***</w:t>
            </w:r>
          </w:p>
        </w:tc>
        <w:tc>
          <w:tcPr>
            <w:tcW w:w="507" w:type="pct"/>
            <w:tcBorders>
              <w:top w:val="nil"/>
              <w:left w:val="nil"/>
              <w:bottom w:val="nil"/>
              <w:right w:val="nil"/>
            </w:tcBorders>
            <w:shd w:val="clear" w:color="auto" w:fill="auto"/>
            <w:noWrap/>
            <w:vAlign w:val="center"/>
            <w:hideMark/>
          </w:tcPr>
          <w:p w14:paraId="561F41E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-0.192***</w:t>
            </w:r>
          </w:p>
        </w:tc>
        <w:tc>
          <w:tcPr>
            <w:tcW w:w="507" w:type="pct"/>
            <w:tcBorders>
              <w:top w:val="nil"/>
              <w:left w:val="nil"/>
              <w:bottom w:val="nil"/>
              <w:right w:val="nil"/>
            </w:tcBorders>
            <w:shd w:val="clear" w:color="auto" w:fill="auto"/>
            <w:noWrap/>
            <w:vAlign w:val="center"/>
            <w:hideMark/>
          </w:tcPr>
          <w:p w14:paraId="082F643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-0.198***</w:t>
            </w:r>
          </w:p>
        </w:tc>
        <w:tc>
          <w:tcPr>
            <w:tcW w:w="507" w:type="pct"/>
            <w:tcBorders>
              <w:top w:val="nil"/>
              <w:left w:val="nil"/>
              <w:bottom w:val="nil"/>
              <w:right w:val="nil"/>
            </w:tcBorders>
            <w:shd w:val="clear" w:color="auto" w:fill="auto"/>
            <w:noWrap/>
            <w:vAlign w:val="center"/>
            <w:hideMark/>
          </w:tcPr>
          <w:p w14:paraId="1D24D8D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-0.198***</w:t>
            </w:r>
          </w:p>
        </w:tc>
        <w:tc>
          <w:tcPr>
            <w:tcW w:w="507" w:type="pct"/>
            <w:tcBorders>
              <w:top w:val="nil"/>
              <w:left w:val="nil"/>
              <w:bottom w:val="nil"/>
              <w:right w:val="nil"/>
            </w:tcBorders>
            <w:shd w:val="clear" w:color="auto" w:fill="auto"/>
            <w:noWrap/>
            <w:vAlign w:val="center"/>
            <w:hideMark/>
          </w:tcPr>
          <w:p w14:paraId="299F8C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-0.135***</w:t>
            </w:r>
          </w:p>
        </w:tc>
        <w:tc>
          <w:tcPr>
            <w:tcW w:w="507" w:type="pct"/>
            <w:tcBorders>
              <w:top w:val="nil"/>
              <w:left w:val="nil"/>
              <w:bottom w:val="nil"/>
              <w:right w:val="nil"/>
            </w:tcBorders>
            <w:shd w:val="clear" w:color="auto" w:fill="auto"/>
            <w:noWrap/>
            <w:vAlign w:val="center"/>
            <w:hideMark/>
          </w:tcPr>
          <w:p w14:paraId="68E915A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-0.136***</w:t>
            </w:r>
          </w:p>
        </w:tc>
        <w:tc>
          <w:tcPr>
            <w:tcW w:w="507" w:type="pct"/>
            <w:tcBorders>
              <w:top w:val="nil"/>
              <w:left w:val="nil"/>
              <w:bottom w:val="nil"/>
              <w:right w:val="nil"/>
            </w:tcBorders>
            <w:shd w:val="clear" w:color="auto" w:fill="auto"/>
            <w:noWrap/>
            <w:vAlign w:val="center"/>
            <w:hideMark/>
          </w:tcPr>
          <w:p w14:paraId="50F13DB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-0.134***</w:t>
            </w:r>
          </w:p>
        </w:tc>
        <w:tc>
          <w:tcPr>
            <w:tcW w:w="507" w:type="pct"/>
            <w:tcBorders>
              <w:top w:val="nil"/>
              <w:left w:val="nil"/>
              <w:bottom w:val="nil"/>
              <w:right w:val="nil"/>
            </w:tcBorders>
            <w:shd w:val="clear" w:color="auto" w:fill="auto"/>
            <w:noWrap/>
            <w:vAlign w:val="center"/>
            <w:hideMark/>
          </w:tcPr>
          <w:p w14:paraId="51D9E50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-0.132***</w:t>
            </w:r>
          </w:p>
        </w:tc>
      </w:tr>
      <w:tr w:rsidR="00016D40" w:rsidRPr="00CA1166" w14:paraId="70CF150C"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0306507E"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244AA6C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(-5.38)</w:t>
            </w:r>
          </w:p>
        </w:tc>
        <w:tc>
          <w:tcPr>
            <w:tcW w:w="507" w:type="pct"/>
            <w:tcBorders>
              <w:top w:val="nil"/>
              <w:left w:val="nil"/>
              <w:bottom w:val="nil"/>
              <w:right w:val="nil"/>
            </w:tcBorders>
            <w:shd w:val="clear" w:color="auto" w:fill="auto"/>
            <w:noWrap/>
            <w:vAlign w:val="center"/>
            <w:hideMark/>
          </w:tcPr>
          <w:p w14:paraId="5EEBD75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(-5.43)</w:t>
            </w:r>
          </w:p>
        </w:tc>
        <w:tc>
          <w:tcPr>
            <w:tcW w:w="507" w:type="pct"/>
            <w:tcBorders>
              <w:top w:val="nil"/>
              <w:left w:val="nil"/>
              <w:bottom w:val="nil"/>
              <w:right w:val="nil"/>
            </w:tcBorders>
            <w:shd w:val="clear" w:color="auto" w:fill="auto"/>
            <w:noWrap/>
            <w:vAlign w:val="center"/>
            <w:hideMark/>
          </w:tcPr>
          <w:p w14:paraId="18B0E8F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(-5.57)</w:t>
            </w:r>
          </w:p>
        </w:tc>
        <w:tc>
          <w:tcPr>
            <w:tcW w:w="507" w:type="pct"/>
            <w:tcBorders>
              <w:top w:val="nil"/>
              <w:left w:val="nil"/>
              <w:bottom w:val="nil"/>
              <w:right w:val="nil"/>
            </w:tcBorders>
            <w:shd w:val="clear" w:color="auto" w:fill="auto"/>
            <w:noWrap/>
            <w:vAlign w:val="center"/>
            <w:hideMark/>
          </w:tcPr>
          <w:p w14:paraId="55E5323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(-5.19)</w:t>
            </w:r>
          </w:p>
        </w:tc>
        <w:tc>
          <w:tcPr>
            <w:tcW w:w="507" w:type="pct"/>
            <w:tcBorders>
              <w:top w:val="nil"/>
              <w:left w:val="nil"/>
              <w:bottom w:val="nil"/>
              <w:right w:val="nil"/>
            </w:tcBorders>
            <w:shd w:val="clear" w:color="auto" w:fill="auto"/>
            <w:noWrap/>
            <w:vAlign w:val="center"/>
            <w:hideMark/>
          </w:tcPr>
          <w:p w14:paraId="54C3C7C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(-7.64)</w:t>
            </w:r>
          </w:p>
        </w:tc>
        <w:tc>
          <w:tcPr>
            <w:tcW w:w="507" w:type="pct"/>
            <w:tcBorders>
              <w:top w:val="nil"/>
              <w:left w:val="nil"/>
              <w:bottom w:val="nil"/>
              <w:right w:val="nil"/>
            </w:tcBorders>
            <w:shd w:val="clear" w:color="auto" w:fill="auto"/>
            <w:noWrap/>
            <w:vAlign w:val="center"/>
            <w:hideMark/>
          </w:tcPr>
          <w:p w14:paraId="75D359A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(-7.69)</w:t>
            </w:r>
          </w:p>
        </w:tc>
        <w:tc>
          <w:tcPr>
            <w:tcW w:w="507" w:type="pct"/>
            <w:tcBorders>
              <w:top w:val="nil"/>
              <w:left w:val="nil"/>
              <w:bottom w:val="nil"/>
              <w:right w:val="nil"/>
            </w:tcBorders>
            <w:shd w:val="clear" w:color="auto" w:fill="auto"/>
            <w:noWrap/>
            <w:vAlign w:val="center"/>
            <w:hideMark/>
          </w:tcPr>
          <w:p w14:paraId="482274D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(-7.49)</w:t>
            </w:r>
          </w:p>
        </w:tc>
        <w:tc>
          <w:tcPr>
            <w:tcW w:w="507" w:type="pct"/>
            <w:tcBorders>
              <w:top w:val="nil"/>
              <w:left w:val="nil"/>
              <w:bottom w:val="nil"/>
              <w:right w:val="nil"/>
            </w:tcBorders>
            <w:shd w:val="clear" w:color="auto" w:fill="auto"/>
            <w:noWrap/>
            <w:vAlign w:val="center"/>
            <w:hideMark/>
          </w:tcPr>
          <w:p w14:paraId="6CEA3A6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(-7.14)</w:t>
            </w:r>
          </w:p>
        </w:tc>
      </w:tr>
      <w:tr w:rsidR="00016D40" w:rsidRPr="00CA1166" w14:paraId="3AEF672E"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53675DFA"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Pop</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3F8D19F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0.003***</w:t>
            </w:r>
          </w:p>
        </w:tc>
        <w:tc>
          <w:tcPr>
            <w:tcW w:w="507" w:type="pct"/>
            <w:tcBorders>
              <w:top w:val="nil"/>
              <w:left w:val="nil"/>
              <w:bottom w:val="nil"/>
              <w:right w:val="nil"/>
            </w:tcBorders>
            <w:shd w:val="clear" w:color="auto" w:fill="auto"/>
            <w:noWrap/>
            <w:vAlign w:val="center"/>
            <w:hideMark/>
          </w:tcPr>
          <w:p w14:paraId="2329B98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12C01F2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0.003***</w:t>
            </w:r>
          </w:p>
        </w:tc>
        <w:tc>
          <w:tcPr>
            <w:tcW w:w="507" w:type="pct"/>
            <w:tcBorders>
              <w:top w:val="nil"/>
              <w:left w:val="nil"/>
              <w:bottom w:val="nil"/>
              <w:right w:val="nil"/>
            </w:tcBorders>
            <w:shd w:val="clear" w:color="auto" w:fill="auto"/>
            <w:noWrap/>
            <w:vAlign w:val="center"/>
            <w:hideMark/>
          </w:tcPr>
          <w:p w14:paraId="6F7704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43FC9E2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4D4BDE2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7296BA3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0.007***</w:t>
            </w:r>
          </w:p>
        </w:tc>
        <w:tc>
          <w:tcPr>
            <w:tcW w:w="507" w:type="pct"/>
            <w:tcBorders>
              <w:top w:val="nil"/>
              <w:left w:val="nil"/>
              <w:bottom w:val="nil"/>
              <w:right w:val="nil"/>
            </w:tcBorders>
            <w:shd w:val="clear" w:color="auto" w:fill="auto"/>
            <w:noWrap/>
            <w:vAlign w:val="center"/>
            <w:hideMark/>
          </w:tcPr>
          <w:p w14:paraId="1B738C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r>
      <w:tr w:rsidR="00016D40" w:rsidRPr="00CA1166" w14:paraId="1367B1B4"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0D561D57"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BB04CF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(2.75)</w:t>
            </w:r>
          </w:p>
        </w:tc>
        <w:tc>
          <w:tcPr>
            <w:tcW w:w="507" w:type="pct"/>
            <w:tcBorders>
              <w:top w:val="nil"/>
              <w:left w:val="nil"/>
              <w:bottom w:val="nil"/>
              <w:right w:val="nil"/>
            </w:tcBorders>
            <w:shd w:val="clear" w:color="auto" w:fill="auto"/>
            <w:noWrap/>
            <w:vAlign w:val="center"/>
            <w:hideMark/>
          </w:tcPr>
          <w:p w14:paraId="7585D96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(2.78)</w:t>
            </w:r>
          </w:p>
        </w:tc>
        <w:tc>
          <w:tcPr>
            <w:tcW w:w="507" w:type="pct"/>
            <w:tcBorders>
              <w:top w:val="nil"/>
              <w:left w:val="nil"/>
              <w:bottom w:val="nil"/>
              <w:right w:val="nil"/>
            </w:tcBorders>
            <w:shd w:val="clear" w:color="auto" w:fill="auto"/>
            <w:noWrap/>
            <w:vAlign w:val="center"/>
            <w:hideMark/>
          </w:tcPr>
          <w:p w14:paraId="2AF222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(2.72)</w:t>
            </w:r>
          </w:p>
        </w:tc>
        <w:tc>
          <w:tcPr>
            <w:tcW w:w="507" w:type="pct"/>
            <w:tcBorders>
              <w:top w:val="nil"/>
              <w:left w:val="nil"/>
              <w:bottom w:val="nil"/>
              <w:right w:val="nil"/>
            </w:tcBorders>
            <w:shd w:val="clear" w:color="auto" w:fill="auto"/>
            <w:noWrap/>
            <w:vAlign w:val="center"/>
            <w:hideMark/>
          </w:tcPr>
          <w:p w14:paraId="261AD4B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(2.87)</w:t>
            </w:r>
          </w:p>
        </w:tc>
        <w:tc>
          <w:tcPr>
            <w:tcW w:w="507" w:type="pct"/>
            <w:tcBorders>
              <w:top w:val="nil"/>
              <w:left w:val="nil"/>
              <w:bottom w:val="nil"/>
              <w:right w:val="nil"/>
            </w:tcBorders>
            <w:shd w:val="clear" w:color="auto" w:fill="auto"/>
            <w:noWrap/>
            <w:vAlign w:val="center"/>
            <w:hideMark/>
          </w:tcPr>
          <w:p w14:paraId="6E603EA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(3.49)</w:t>
            </w:r>
          </w:p>
        </w:tc>
        <w:tc>
          <w:tcPr>
            <w:tcW w:w="507" w:type="pct"/>
            <w:tcBorders>
              <w:top w:val="nil"/>
              <w:left w:val="nil"/>
              <w:bottom w:val="nil"/>
              <w:right w:val="nil"/>
            </w:tcBorders>
            <w:shd w:val="clear" w:color="auto" w:fill="auto"/>
            <w:noWrap/>
            <w:vAlign w:val="center"/>
            <w:hideMark/>
          </w:tcPr>
          <w:p w14:paraId="7D50B7B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(3.55)</w:t>
            </w:r>
          </w:p>
        </w:tc>
        <w:tc>
          <w:tcPr>
            <w:tcW w:w="507" w:type="pct"/>
            <w:tcBorders>
              <w:top w:val="nil"/>
              <w:left w:val="nil"/>
              <w:bottom w:val="nil"/>
              <w:right w:val="nil"/>
            </w:tcBorders>
            <w:shd w:val="clear" w:color="auto" w:fill="auto"/>
            <w:noWrap/>
            <w:vAlign w:val="center"/>
            <w:hideMark/>
          </w:tcPr>
          <w:p w14:paraId="1CA54E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(3.27)</w:t>
            </w:r>
          </w:p>
        </w:tc>
        <w:tc>
          <w:tcPr>
            <w:tcW w:w="507" w:type="pct"/>
            <w:tcBorders>
              <w:top w:val="nil"/>
              <w:left w:val="nil"/>
              <w:bottom w:val="nil"/>
              <w:right w:val="nil"/>
            </w:tcBorders>
            <w:shd w:val="clear" w:color="auto" w:fill="auto"/>
            <w:noWrap/>
            <w:vAlign w:val="center"/>
            <w:hideMark/>
          </w:tcPr>
          <w:p w14:paraId="0CCC445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(3.72)</w:t>
            </w:r>
          </w:p>
        </w:tc>
      </w:tr>
      <w:tr w:rsidR="00016D40" w:rsidRPr="00CA1166" w14:paraId="71BB54BA"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0C18FAE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Central</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355EC98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0.009**</w:t>
            </w:r>
          </w:p>
        </w:tc>
        <w:tc>
          <w:tcPr>
            <w:tcW w:w="507" w:type="pct"/>
            <w:tcBorders>
              <w:top w:val="nil"/>
              <w:left w:val="nil"/>
              <w:bottom w:val="nil"/>
              <w:right w:val="nil"/>
            </w:tcBorders>
            <w:shd w:val="clear" w:color="auto" w:fill="auto"/>
            <w:noWrap/>
            <w:vAlign w:val="center"/>
            <w:hideMark/>
          </w:tcPr>
          <w:p w14:paraId="10656CA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507" w:type="pct"/>
            <w:tcBorders>
              <w:top w:val="nil"/>
              <w:left w:val="nil"/>
              <w:bottom w:val="nil"/>
              <w:right w:val="nil"/>
            </w:tcBorders>
            <w:shd w:val="clear" w:color="auto" w:fill="auto"/>
            <w:noWrap/>
            <w:vAlign w:val="center"/>
            <w:hideMark/>
          </w:tcPr>
          <w:p w14:paraId="1E05EFC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0.010***</w:t>
            </w:r>
          </w:p>
        </w:tc>
        <w:tc>
          <w:tcPr>
            <w:tcW w:w="507" w:type="pct"/>
            <w:tcBorders>
              <w:top w:val="nil"/>
              <w:left w:val="nil"/>
              <w:bottom w:val="nil"/>
              <w:right w:val="nil"/>
            </w:tcBorders>
            <w:shd w:val="clear" w:color="auto" w:fill="auto"/>
            <w:noWrap/>
            <w:vAlign w:val="center"/>
            <w:hideMark/>
          </w:tcPr>
          <w:p w14:paraId="64CC66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507" w:type="pct"/>
            <w:tcBorders>
              <w:top w:val="nil"/>
              <w:left w:val="nil"/>
              <w:bottom w:val="nil"/>
              <w:right w:val="nil"/>
            </w:tcBorders>
            <w:shd w:val="clear" w:color="auto" w:fill="auto"/>
            <w:noWrap/>
            <w:vAlign w:val="center"/>
            <w:hideMark/>
          </w:tcPr>
          <w:p w14:paraId="1075F83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c>
          <w:tcPr>
            <w:tcW w:w="507" w:type="pct"/>
            <w:tcBorders>
              <w:top w:val="nil"/>
              <w:left w:val="nil"/>
              <w:bottom w:val="nil"/>
              <w:right w:val="nil"/>
            </w:tcBorders>
            <w:shd w:val="clear" w:color="auto" w:fill="auto"/>
            <w:noWrap/>
            <w:vAlign w:val="center"/>
            <w:hideMark/>
          </w:tcPr>
          <w:p w14:paraId="18C051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c>
          <w:tcPr>
            <w:tcW w:w="507" w:type="pct"/>
            <w:tcBorders>
              <w:top w:val="nil"/>
              <w:left w:val="nil"/>
              <w:bottom w:val="nil"/>
              <w:right w:val="nil"/>
            </w:tcBorders>
            <w:shd w:val="clear" w:color="auto" w:fill="auto"/>
            <w:noWrap/>
            <w:vAlign w:val="center"/>
            <w:hideMark/>
          </w:tcPr>
          <w:p w14:paraId="24F3A3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0.008</w:t>
            </w:r>
          </w:p>
        </w:tc>
        <w:tc>
          <w:tcPr>
            <w:tcW w:w="507" w:type="pct"/>
            <w:tcBorders>
              <w:top w:val="nil"/>
              <w:left w:val="nil"/>
              <w:bottom w:val="nil"/>
              <w:right w:val="nil"/>
            </w:tcBorders>
            <w:shd w:val="clear" w:color="auto" w:fill="auto"/>
            <w:noWrap/>
            <w:vAlign w:val="center"/>
            <w:hideMark/>
          </w:tcPr>
          <w:p w14:paraId="31D5CA3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0.005</w:t>
            </w:r>
          </w:p>
        </w:tc>
      </w:tr>
      <w:tr w:rsidR="00016D40" w:rsidRPr="00CA1166" w14:paraId="393AB3EE"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3AAE5EFA"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4E7E7CF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(2.49)</w:t>
            </w:r>
          </w:p>
        </w:tc>
        <w:tc>
          <w:tcPr>
            <w:tcW w:w="507" w:type="pct"/>
            <w:tcBorders>
              <w:top w:val="nil"/>
              <w:left w:val="nil"/>
              <w:bottom w:val="nil"/>
              <w:right w:val="nil"/>
            </w:tcBorders>
            <w:shd w:val="clear" w:color="auto" w:fill="auto"/>
            <w:noWrap/>
            <w:vAlign w:val="center"/>
            <w:hideMark/>
          </w:tcPr>
          <w:p w14:paraId="658C78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(2.35)</w:t>
            </w:r>
          </w:p>
        </w:tc>
        <w:tc>
          <w:tcPr>
            <w:tcW w:w="507" w:type="pct"/>
            <w:tcBorders>
              <w:top w:val="nil"/>
              <w:left w:val="nil"/>
              <w:bottom w:val="nil"/>
              <w:right w:val="nil"/>
            </w:tcBorders>
            <w:shd w:val="clear" w:color="auto" w:fill="auto"/>
            <w:noWrap/>
            <w:vAlign w:val="center"/>
            <w:hideMark/>
          </w:tcPr>
          <w:p w14:paraId="58EC3B6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(2.88)</w:t>
            </w:r>
          </w:p>
        </w:tc>
        <w:tc>
          <w:tcPr>
            <w:tcW w:w="507" w:type="pct"/>
            <w:tcBorders>
              <w:top w:val="nil"/>
              <w:left w:val="nil"/>
              <w:bottom w:val="nil"/>
              <w:right w:val="nil"/>
            </w:tcBorders>
            <w:shd w:val="clear" w:color="auto" w:fill="auto"/>
            <w:noWrap/>
            <w:vAlign w:val="center"/>
            <w:hideMark/>
          </w:tcPr>
          <w:p w14:paraId="79AEE5E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(2.23)</w:t>
            </w:r>
          </w:p>
        </w:tc>
        <w:tc>
          <w:tcPr>
            <w:tcW w:w="507" w:type="pct"/>
            <w:tcBorders>
              <w:top w:val="nil"/>
              <w:left w:val="nil"/>
              <w:bottom w:val="nil"/>
              <w:right w:val="nil"/>
            </w:tcBorders>
            <w:shd w:val="clear" w:color="auto" w:fill="auto"/>
            <w:noWrap/>
            <w:vAlign w:val="center"/>
            <w:hideMark/>
          </w:tcPr>
          <w:p w14:paraId="45B7D8A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(0.77)</w:t>
            </w:r>
          </w:p>
        </w:tc>
        <w:tc>
          <w:tcPr>
            <w:tcW w:w="507" w:type="pct"/>
            <w:tcBorders>
              <w:top w:val="nil"/>
              <w:left w:val="nil"/>
              <w:bottom w:val="nil"/>
              <w:right w:val="nil"/>
            </w:tcBorders>
            <w:shd w:val="clear" w:color="auto" w:fill="auto"/>
            <w:noWrap/>
            <w:vAlign w:val="center"/>
            <w:hideMark/>
          </w:tcPr>
          <w:p w14:paraId="38FFDFA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(0.73)</w:t>
            </w:r>
          </w:p>
        </w:tc>
        <w:tc>
          <w:tcPr>
            <w:tcW w:w="507" w:type="pct"/>
            <w:tcBorders>
              <w:top w:val="nil"/>
              <w:left w:val="nil"/>
              <w:bottom w:val="nil"/>
              <w:right w:val="nil"/>
            </w:tcBorders>
            <w:shd w:val="clear" w:color="auto" w:fill="auto"/>
            <w:noWrap/>
            <w:vAlign w:val="center"/>
            <w:hideMark/>
          </w:tcPr>
          <w:p w14:paraId="4B34DB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(1.16)</w:t>
            </w:r>
          </w:p>
        </w:tc>
        <w:tc>
          <w:tcPr>
            <w:tcW w:w="507" w:type="pct"/>
            <w:tcBorders>
              <w:top w:val="nil"/>
              <w:left w:val="nil"/>
              <w:bottom w:val="nil"/>
              <w:right w:val="nil"/>
            </w:tcBorders>
            <w:shd w:val="clear" w:color="auto" w:fill="auto"/>
            <w:noWrap/>
            <w:vAlign w:val="center"/>
            <w:hideMark/>
          </w:tcPr>
          <w:p w14:paraId="45D937B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(0.69)</w:t>
            </w:r>
          </w:p>
        </w:tc>
      </w:tr>
      <w:tr w:rsidR="00016D40" w:rsidRPr="00CA1166" w14:paraId="4C59CF40"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1C158C80"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Net_Hiring_Vol</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01BBD89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1E70639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58A91F5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6B24907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0.011***</w:t>
            </w:r>
          </w:p>
        </w:tc>
        <w:tc>
          <w:tcPr>
            <w:tcW w:w="507" w:type="pct"/>
            <w:tcBorders>
              <w:top w:val="nil"/>
              <w:left w:val="nil"/>
              <w:bottom w:val="nil"/>
              <w:right w:val="nil"/>
            </w:tcBorders>
            <w:shd w:val="clear" w:color="auto" w:fill="auto"/>
            <w:noWrap/>
            <w:vAlign w:val="center"/>
            <w:hideMark/>
          </w:tcPr>
          <w:p w14:paraId="74C71E1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15DA31B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6EB33AA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c>
          <w:tcPr>
            <w:tcW w:w="507" w:type="pct"/>
            <w:tcBorders>
              <w:top w:val="nil"/>
              <w:left w:val="nil"/>
              <w:bottom w:val="nil"/>
              <w:right w:val="nil"/>
            </w:tcBorders>
            <w:shd w:val="clear" w:color="auto" w:fill="auto"/>
            <w:noWrap/>
            <w:vAlign w:val="center"/>
            <w:hideMark/>
          </w:tcPr>
          <w:p w14:paraId="6CDF44A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-0.004***</w:t>
            </w:r>
          </w:p>
        </w:tc>
      </w:tr>
      <w:tr w:rsidR="00016D40" w:rsidRPr="00CA1166" w14:paraId="7CB9BB99"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2C70AB95"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79734B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(3.70)</w:t>
            </w:r>
          </w:p>
        </w:tc>
        <w:tc>
          <w:tcPr>
            <w:tcW w:w="507" w:type="pct"/>
            <w:tcBorders>
              <w:top w:val="nil"/>
              <w:left w:val="nil"/>
              <w:bottom w:val="nil"/>
              <w:right w:val="nil"/>
            </w:tcBorders>
            <w:shd w:val="clear" w:color="auto" w:fill="auto"/>
            <w:noWrap/>
            <w:vAlign w:val="center"/>
            <w:hideMark/>
          </w:tcPr>
          <w:p w14:paraId="5714BA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(3.72)</w:t>
            </w:r>
          </w:p>
        </w:tc>
        <w:tc>
          <w:tcPr>
            <w:tcW w:w="507" w:type="pct"/>
            <w:tcBorders>
              <w:top w:val="nil"/>
              <w:left w:val="nil"/>
              <w:bottom w:val="nil"/>
              <w:right w:val="nil"/>
            </w:tcBorders>
            <w:shd w:val="clear" w:color="auto" w:fill="auto"/>
            <w:noWrap/>
            <w:vAlign w:val="center"/>
            <w:hideMark/>
          </w:tcPr>
          <w:p w14:paraId="5156BC6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(3.69)</w:t>
            </w:r>
          </w:p>
        </w:tc>
        <w:tc>
          <w:tcPr>
            <w:tcW w:w="507" w:type="pct"/>
            <w:tcBorders>
              <w:top w:val="nil"/>
              <w:left w:val="nil"/>
              <w:bottom w:val="nil"/>
              <w:right w:val="nil"/>
            </w:tcBorders>
            <w:shd w:val="clear" w:color="auto" w:fill="auto"/>
            <w:noWrap/>
            <w:vAlign w:val="center"/>
            <w:hideMark/>
          </w:tcPr>
          <w:p w14:paraId="078687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(3.85)</w:t>
            </w:r>
          </w:p>
        </w:tc>
        <w:tc>
          <w:tcPr>
            <w:tcW w:w="507" w:type="pct"/>
            <w:tcBorders>
              <w:top w:val="nil"/>
              <w:left w:val="nil"/>
              <w:bottom w:val="nil"/>
              <w:right w:val="nil"/>
            </w:tcBorders>
            <w:shd w:val="clear" w:color="auto" w:fill="auto"/>
            <w:noWrap/>
            <w:vAlign w:val="center"/>
            <w:hideMark/>
          </w:tcPr>
          <w:p w14:paraId="4EFF4ED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(-3.05)</w:t>
            </w:r>
          </w:p>
        </w:tc>
        <w:tc>
          <w:tcPr>
            <w:tcW w:w="507" w:type="pct"/>
            <w:tcBorders>
              <w:top w:val="nil"/>
              <w:left w:val="nil"/>
              <w:bottom w:val="nil"/>
              <w:right w:val="nil"/>
            </w:tcBorders>
            <w:shd w:val="clear" w:color="auto" w:fill="auto"/>
            <w:noWrap/>
            <w:vAlign w:val="center"/>
            <w:hideMark/>
          </w:tcPr>
          <w:p w14:paraId="33801E2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(-3.06)</w:t>
            </w:r>
          </w:p>
        </w:tc>
        <w:tc>
          <w:tcPr>
            <w:tcW w:w="507" w:type="pct"/>
            <w:tcBorders>
              <w:top w:val="nil"/>
              <w:left w:val="nil"/>
              <w:bottom w:val="nil"/>
              <w:right w:val="nil"/>
            </w:tcBorders>
            <w:shd w:val="clear" w:color="auto" w:fill="auto"/>
            <w:noWrap/>
            <w:vAlign w:val="center"/>
            <w:hideMark/>
          </w:tcPr>
          <w:p w14:paraId="55111FF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(-2.77)</w:t>
            </w:r>
          </w:p>
        </w:tc>
        <w:tc>
          <w:tcPr>
            <w:tcW w:w="507" w:type="pct"/>
            <w:tcBorders>
              <w:top w:val="nil"/>
              <w:left w:val="nil"/>
              <w:bottom w:val="nil"/>
              <w:right w:val="nil"/>
            </w:tcBorders>
            <w:shd w:val="clear" w:color="auto" w:fill="auto"/>
            <w:noWrap/>
            <w:vAlign w:val="center"/>
            <w:hideMark/>
          </w:tcPr>
          <w:p w14:paraId="0D04659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(-2.75)</w:t>
            </w:r>
          </w:p>
        </w:tc>
      </w:tr>
      <w:tr w:rsidR="00016D40" w:rsidRPr="00CA1166" w14:paraId="5A835B8B"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7C5EDECE" w14:textId="77777777" w:rsidR="00016D40" w:rsidRPr="00CA1166" w:rsidRDefault="00016D40" w:rsidP="00CD1FDD">
            <w:pPr>
              <w:spacing w:after="0" w:line="240" w:lineRule="auto"/>
              <w:rPr>
                <w:rFonts w:eastAsia="Times New Roman" w:cs="Calibri"/>
                <w:i/>
                <w:iCs/>
                <w:color w:val="000000"/>
                <w:sz w:val="20"/>
                <w:szCs w:val="20"/>
              </w:rPr>
            </w:pPr>
            <w:r>
              <w:rPr>
                <w:rFonts w:eastAsia="Times New Roman" w:cs="Calibri"/>
                <w:i/>
                <w:iCs/>
                <w:color w:val="000000"/>
                <w:sz w:val="20"/>
                <w:szCs w:val="20"/>
              </w:rPr>
              <w:t>Labour</w:t>
            </w:r>
            <w:r w:rsidRPr="00CA1166">
              <w:rPr>
                <w:rFonts w:eastAsia="Times New Roman" w:cs="Calibri"/>
                <w:i/>
                <w:iCs/>
                <w:color w:val="000000"/>
                <w:sz w:val="20"/>
                <w:szCs w:val="20"/>
              </w:rPr>
              <w:t>_Intensity</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5E96795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-0.788***</w:t>
            </w:r>
          </w:p>
        </w:tc>
        <w:tc>
          <w:tcPr>
            <w:tcW w:w="507" w:type="pct"/>
            <w:tcBorders>
              <w:top w:val="nil"/>
              <w:left w:val="nil"/>
              <w:bottom w:val="nil"/>
              <w:right w:val="nil"/>
            </w:tcBorders>
            <w:shd w:val="clear" w:color="auto" w:fill="auto"/>
            <w:noWrap/>
            <w:vAlign w:val="center"/>
            <w:hideMark/>
          </w:tcPr>
          <w:p w14:paraId="4DBA368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-0.801***</w:t>
            </w:r>
          </w:p>
        </w:tc>
        <w:tc>
          <w:tcPr>
            <w:tcW w:w="507" w:type="pct"/>
            <w:tcBorders>
              <w:top w:val="nil"/>
              <w:left w:val="nil"/>
              <w:bottom w:val="nil"/>
              <w:right w:val="nil"/>
            </w:tcBorders>
            <w:shd w:val="clear" w:color="auto" w:fill="auto"/>
            <w:noWrap/>
            <w:vAlign w:val="center"/>
            <w:hideMark/>
          </w:tcPr>
          <w:p w14:paraId="7BCBBCA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-0.825***</w:t>
            </w:r>
          </w:p>
        </w:tc>
        <w:tc>
          <w:tcPr>
            <w:tcW w:w="507" w:type="pct"/>
            <w:tcBorders>
              <w:top w:val="nil"/>
              <w:left w:val="nil"/>
              <w:bottom w:val="nil"/>
              <w:right w:val="nil"/>
            </w:tcBorders>
            <w:shd w:val="clear" w:color="auto" w:fill="auto"/>
            <w:noWrap/>
            <w:vAlign w:val="center"/>
            <w:hideMark/>
          </w:tcPr>
          <w:p w14:paraId="52112F0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-0.698***</w:t>
            </w:r>
          </w:p>
        </w:tc>
        <w:tc>
          <w:tcPr>
            <w:tcW w:w="507" w:type="pct"/>
            <w:tcBorders>
              <w:top w:val="nil"/>
              <w:left w:val="nil"/>
              <w:bottom w:val="nil"/>
              <w:right w:val="nil"/>
            </w:tcBorders>
            <w:shd w:val="clear" w:color="auto" w:fill="auto"/>
            <w:noWrap/>
            <w:vAlign w:val="center"/>
            <w:hideMark/>
          </w:tcPr>
          <w:p w14:paraId="7847049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-1.483***</w:t>
            </w:r>
          </w:p>
        </w:tc>
        <w:tc>
          <w:tcPr>
            <w:tcW w:w="507" w:type="pct"/>
            <w:tcBorders>
              <w:top w:val="nil"/>
              <w:left w:val="nil"/>
              <w:bottom w:val="nil"/>
              <w:right w:val="nil"/>
            </w:tcBorders>
            <w:shd w:val="clear" w:color="auto" w:fill="auto"/>
            <w:noWrap/>
            <w:vAlign w:val="center"/>
            <w:hideMark/>
          </w:tcPr>
          <w:p w14:paraId="578769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-1.509***</w:t>
            </w:r>
          </w:p>
        </w:tc>
        <w:tc>
          <w:tcPr>
            <w:tcW w:w="507" w:type="pct"/>
            <w:tcBorders>
              <w:top w:val="nil"/>
              <w:left w:val="nil"/>
              <w:bottom w:val="nil"/>
              <w:right w:val="nil"/>
            </w:tcBorders>
            <w:shd w:val="clear" w:color="auto" w:fill="auto"/>
            <w:noWrap/>
            <w:vAlign w:val="center"/>
            <w:hideMark/>
          </w:tcPr>
          <w:p w14:paraId="00D7BAE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-1.503***</w:t>
            </w:r>
          </w:p>
        </w:tc>
        <w:tc>
          <w:tcPr>
            <w:tcW w:w="507" w:type="pct"/>
            <w:tcBorders>
              <w:top w:val="nil"/>
              <w:left w:val="nil"/>
              <w:bottom w:val="nil"/>
              <w:right w:val="nil"/>
            </w:tcBorders>
            <w:shd w:val="clear" w:color="auto" w:fill="auto"/>
            <w:noWrap/>
            <w:vAlign w:val="center"/>
            <w:hideMark/>
          </w:tcPr>
          <w:p w14:paraId="6F2ADD9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-1.360***</w:t>
            </w:r>
          </w:p>
        </w:tc>
      </w:tr>
      <w:tr w:rsidR="00016D40" w:rsidRPr="00CA1166" w14:paraId="728765D7"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7C5BD4B6"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69FC359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(-5.10)</w:t>
            </w:r>
          </w:p>
        </w:tc>
        <w:tc>
          <w:tcPr>
            <w:tcW w:w="507" w:type="pct"/>
            <w:tcBorders>
              <w:top w:val="nil"/>
              <w:left w:val="nil"/>
              <w:bottom w:val="nil"/>
              <w:right w:val="nil"/>
            </w:tcBorders>
            <w:shd w:val="clear" w:color="auto" w:fill="auto"/>
            <w:noWrap/>
            <w:vAlign w:val="center"/>
            <w:hideMark/>
          </w:tcPr>
          <w:p w14:paraId="0B9FC1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(-5.16)</w:t>
            </w:r>
          </w:p>
        </w:tc>
        <w:tc>
          <w:tcPr>
            <w:tcW w:w="507" w:type="pct"/>
            <w:tcBorders>
              <w:top w:val="nil"/>
              <w:left w:val="nil"/>
              <w:bottom w:val="nil"/>
              <w:right w:val="nil"/>
            </w:tcBorders>
            <w:shd w:val="clear" w:color="auto" w:fill="auto"/>
            <w:noWrap/>
            <w:vAlign w:val="center"/>
            <w:hideMark/>
          </w:tcPr>
          <w:p w14:paraId="0ACC9D4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(-5.54)</w:t>
            </w:r>
          </w:p>
        </w:tc>
        <w:tc>
          <w:tcPr>
            <w:tcW w:w="507" w:type="pct"/>
            <w:tcBorders>
              <w:top w:val="nil"/>
              <w:left w:val="nil"/>
              <w:bottom w:val="nil"/>
              <w:right w:val="nil"/>
            </w:tcBorders>
            <w:shd w:val="clear" w:color="auto" w:fill="auto"/>
            <w:noWrap/>
            <w:vAlign w:val="center"/>
            <w:hideMark/>
          </w:tcPr>
          <w:p w14:paraId="66BACAD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(-4.65)</w:t>
            </w:r>
          </w:p>
        </w:tc>
        <w:tc>
          <w:tcPr>
            <w:tcW w:w="507" w:type="pct"/>
            <w:tcBorders>
              <w:top w:val="nil"/>
              <w:left w:val="nil"/>
              <w:bottom w:val="nil"/>
              <w:right w:val="nil"/>
            </w:tcBorders>
            <w:shd w:val="clear" w:color="auto" w:fill="auto"/>
            <w:noWrap/>
            <w:vAlign w:val="center"/>
            <w:hideMark/>
          </w:tcPr>
          <w:p w14:paraId="270390D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(-9.80)</w:t>
            </w:r>
          </w:p>
        </w:tc>
        <w:tc>
          <w:tcPr>
            <w:tcW w:w="507" w:type="pct"/>
            <w:tcBorders>
              <w:top w:val="nil"/>
              <w:left w:val="nil"/>
              <w:bottom w:val="nil"/>
              <w:right w:val="nil"/>
            </w:tcBorders>
            <w:shd w:val="clear" w:color="auto" w:fill="auto"/>
            <w:noWrap/>
            <w:vAlign w:val="center"/>
            <w:hideMark/>
          </w:tcPr>
          <w:p w14:paraId="4ED8449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(-9.96)</w:t>
            </w:r>
          </w:p>
        </w:tc>
        <w:tc>
          <w:tcPr>
            <w:tcW w:w="507" w:type="pct"/>
            <w:tcBorders>
              <w:top w:val="nil"/>
              <w:left w:val="nil"/>
              <w:bottom w:val="nil"/>
              <w:right w:val="nil"/>
            </w:tcBorders>
            <w:shd w:val="clear" w:color="auto" w:fill="auto"/>
            <w:noWrap/>
            <w:vAlign w:val="center"/>
            <w:hideMark/>
          </w:tcPr>
          <w:p w14:paraId="59CB854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(-9.83)</w:t>
            </w:r>
          </w:p>
        </w:tc>
        <w:tc>
          <w:tcPr>
            <w:tcW w:w="507" w:type="pct"/>
            <w:tcBorders>
              <w:top w:val="nil"/>
              <w:left w:val="nil"/>
              <w:bottom w:val="nil"/>
              <w:right w:val="nil"/>
            </w:tcBorders>
            <w:shd w:val="clear" w:color="auto" w:fill="auto"/>
            <w:noWrap/>
            <w:vAlign w:val="center"/>
            <w:hideMark/>
          </w:tcPr>
          <w:p w14:paraId="6FC4F8B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(-9.00)</w:t>
            </w:r>
          </w:p>
        </w:tc>
      </w:tr>
      <w:tr w:rsidR="00016D40" w:rsidRPr="00CA1166" w14:paraId="63524415"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4F5ADA9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Union</w:t>
            </w:r>
            <w:r w:rsidRPr="00CA1166">
              <w:rPr>
                <w:rFonts w:eastAsia="Times New Roman" w:cs="Calibri"/>
                <w:i/>
                <w:iCs/>
                <w:color w:val="000000"/>
                <w:sz w:val="20"/>
                <w:szCs w:val="20"/>
                <w:vertAlign w:val="subscript"/>
              </w:rPr>
              <w:t>i,t-1</w:t>
            </w:r>
          </w:p>
        </w:tc>
        <w:tc>
          <w:tcPr>
            <w:tcW w:w="507" w:type="pct"/>
            <w:tcBorders>
              <w:top w:val="nil"/>
              <w:left w:val="nil"/>
              <w:bottom w:val="nil"/>
              <w:right w:val="nil"/>
            </w:tcBorders>
            <w:shd w:val="clear" w:color="auto" w:fill="auto"/>
            <w:noWrap/>
            <w:vAlign w:val="center"/>
            <w:hideMark/>
          </w:tcPr>
          <w:p w14:paraId="6B81E6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0.034</w:t>
            </w:r>
          </w:p>
        </w:tc>
        <w:tc>
          <w:tcPr>
            <w:tcW w:w="507" w:type="pct"/>
            <w:tcBorders>
              <w:top w:val="nil"/>
              <w:left w:val="nil"/>
              <w:bottom w:val="nil"/>
              <w:right w:val="nil"/>
            </w:tcBorders>
            <w:shd w:val="clear" w:color="auto" w:fill="auto"/>
            <w:noWrap/>
            <w:vAlign w:val="center"/>
            <w:hideMark/>
          </w:tcPr>
          <w:p w14:paraId="717FDC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0.034</w:t>
            </w:r>
          </w:p>
        </w:tc>
        <w:tc>
          <w:tcPr>
            <w:tcW w:w="507" w:type="pct"/>
            <w:tcBorders>
              <w:top w:val="nil"/>
              <w:left w:val="nil"/>
              <w:bottom w:val="nil"/>
              <w:right w:val="nil"/>
            </w:tcBorders>
            <w:shd w:val="clear" w:color="auto" w:fill="auto"/>
            <w:noWrap/>
            <w:vAlign w:val="center"/>
            <w:hideMark/>
          </w:tcPr>
          <w:p w14:paraId="512F84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0.032</w:t>
            </w:r>
          </w:p>
        </w:tc>
        <w:tc>
          <w:tcPr>
            <w:tcW w:w="507" w:type="pct"/>
            <w:tcBorders>
              <w:top w:val="nil"/>
              <w:left w:val="nil"/>
              <w:bottom w:val="nil"/>
              <w:right w:val="nil"/>
            </w:tcBorders>
            <w:shd w:val="clear" w:color="auto" w:fill="auto"/>
            <w:noWrap/>
            <w:vAlign w:val="center"/>
            <w:hideMark/>
          </w:tcPr>
          <w:p w14:paraId="26F8BCE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0.037</w:t>
            </w:r>
          </w:p>
        </w:tc>
        <w:tc>
          <w:tcPr>
            <w:tcW w:w="507" w:type="pct"/>
            <w:tcBorders>
              <w:top w:val="nil"/>
              <w:left w:val="nil"/>
              <w:bottom w:val="nil"/>
              <w:right w:val="nil"/>
            </w:tcBorders>
            <w:shd w:val="clear" w:color="auto" w:fill="auto"/>
            <w:noWrap/>
            <w:vAlign w:val="center"/>
            <w:hideMark/>
          </w:tcPr>
          <w:p w14:paraId="2F73488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-0.023</w:t>
            </w:r>
          </w:p>
        </w:tc>
        <w:tc>
          <w:tcPr>
            <w:tcW w:w="507" w:type="pct"/>
            <w:tcBorders>
              <w:top w:val="nil"/>
              <w:left w:val="nil"/>
              <w:bottom w:val="nil"/>
              <w:right w:val="nil"/>
            </w:tcBorders>
            <w:shd w:val="clear" w:color="auto" w:fill="auto"/>
            <w:noWrap/>
            <w:vAlign w:val="center"/>
            <w:hideMark/>
          </w:tcPr>
          <w:p w14:paraId="74B12FE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-0.026</w:t>
            </w:r>
          </w:p>
        </w:tc>
        <w:tc>
          <w:tcPr>
            <w:tcW w:w="507" w:type="pct"/>
            <w:tcBorders>
              <w:top w:val="nil"/>
              <w:left w:val="nil"/>
              <w:bottom w:val="nil"/>
              <w:right w:val="nil"/>
            </w:tcBorders>
            <w:shd w:val="clear" w:color="auto" w:fill="auto"/>
            <w:noWrap/>
            <w:vAlign w:val="center"/>
            <w:hideMark/>
          </w:tcPr>
          <w:p w14:paraId="4C870C0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-0.027</w:t>
            </w:r>
          </w:p>
        </w:tc>
        <w:tc>
          <w:tcPr>
            <w:tcW w:w="507" w:type="pct"/>
            <w:tcBorders>
              <w:top w:val="nil"/>
              <w:left w:val="nil"/>
              <w:bottom w:val="nil"/>
              <w:right w:val="nil"/>
            </w:tcBorders>
            <w:shd w:val="clear" w:color="auto" w:fill="auto"/>
            <w:noWrap/>
            <w:vAlign w:val="center"/>
            <w:hideMark/>
          </w:tcPr>
          <w:p w14:paraId="73E640D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-0.026</w:t>
            </w:r>
          </w:p>
        </w:tc>
      </w:tr>
      <w:tr w:rsidR="00016D40" w:rsidRPr="00CA1166" w14:paraId="5D1CBB47"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660ABAA9"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44A7C7D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(1.58)</w:t>
            </w:r>
          </w:p>
        </w:tc>
        <w:tc>
          <w:tcPr>
            <w:tcW w:w="507" w:type="pct"/>
            <w:tcBorders>
              <w:top w:val="nil"/>
              <w:left w:val="nil"/>
              <w:bottom w:val="nil"/>
              <w:right w:val="nil"/>
            </w:tcBorders>
            <w:shd w:val="clear" w:color="auto" w:fill="auto"/>
            <w:noWrap/>
            <w:vAlign w:val="center"/>
            <w:hideMark/>
          </w:tcPr>
          <w:p w14:paraId="73AAC3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(1.57)</w:t>
            </w:r>
          </w:p>
        </w:tc>
        <w:tc>
          <w:tcPr>
            <w:tcW w:w="507" w:type="pct"/>
            <w:tcBorders>
              <w:top w:val="nil"/>
              <w:left w:val="nil"/>
              <w:bottom w:val="nil"/>
              <w:right w:val="nil"/>
            </w:tcBorders>
            <w:shd w:val="clear" w:color="auto" w:fill="auto"/>
            <w:noWrap/>
            <w:vAlign w:val="center"/>
            <w:hideMark/>
          </w:tcPr>
          <w:p w14:paraId="791E90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(1.47)</w:t>
            </w:r>
          </w:p>
        </w:tc>
        <w:tc>
          <w:tcPr>
            <w:tcW w:w="507" w:type="pct"/>
            <w:tcBorders>
              <w:top w:val="nil"/>
              <w:left w:val="nil"/>
              <w:bottom w:val="nil"/>
              <w:right w:val="nil"/>
            </w:tcBorders>
            <w:shd w:val="clear" w:color="auto" w:fill="auto"/>
            <w:noWrap/>
            <w:vAlign w:val="center"/>
            <w:hideMark/>
          </w:tcPr>
          <w:p w14:paraId="2496DF1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(1.63)</w:t>
            </w:r>
          </w:p>
        </w:tc>
        <w:tc>
          <w:tcPr>
            <w:tcW w:w="507" w:type="pct"/>
            <w:tcBorders>
              <w:top w:val="nil"/>
              <w:left w:val="nil"/>
              <w:bottom w:val="nil"/>
              <w:right w:val="nil"/>
            </w:tcBorders>
            <w:shd w:val="clear" w:color="auto" w:fill="auto"/>
            <w:noWrap/>
            <w:vAlign w:val="center"/>
            <w:hideMark/>
          </w:tcPr>
          <w:p w14:paraId="4AF9523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(-1.26)</w:t>
            </w:r>
          </w:p>
        </w:tc>
        <w:tc>
          <w:tcPr>
            <w:tcW w:w="507" w:type="pct"/>
            <w:tcBorders>
              <w:top w:val="nil"/>
              <w:left w:val="nil"/>
              <w:bottom w:val="nil"/>
              <w:right w:val="nil"/>
            </w:tcBorders>
            <w:shd w:val="clear" w:color="auto" w:fill="auto"/>
            <w:noWrap/>
            <w:vAlign w:val="center"/>
            <w:hideMark/>
          </w:tcPr>
          <w:p w14:paraId="59D2FD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(-1.44)</w:t>
            </w:r>
          </w:p>
        </w:tc>
        <w:tc>
          <w:tcPr>
            <w:tcW w:w="507" w:type="pct"/>
            <w:tcBorders>
              <w:top w:val="nil"/>
              <w:left w:val="nil"/>
              <w:bottom w:val="nil"/>
              <w:right w:val="nil"/>
            </w:tcBorders>
            <w:shd w:val="clear" w:color="auto" w:fill="auto"/>
            <w:noWrap/>
            <w:vAlign w:val="center"/>
            <w:hideMark/>
          </w:tcPr>
          <w:p w14:paraId="0E5A30C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(-1.48)</w:t>
            </w:r>
          </w:p>
        </w:tc>
        <w:tc>
          <w:tcPr>
            <w:tcW w:w="507" w:type="pct"/>
            <w:tcBorders>
              <w:top w:val="nil"/>
              <w:left w:val="nil"/>
              <w:bottom w:val="nil"/>
              <w:right w:val="nil"/>
            </w:tcBorders>
            <w:shd w:val="clear" w:color="auto" w:fill="auto"/>
            <w:noWrap/>
            <w:vAlign w:val="center"/>
            <w:hideMark/>
          </w:tcPr>
          <w:p w14:paraId="350D5FB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(-1.43)</w:t>
            </w:r>
          </w:p>
        </w:tc>
      </w:tr>
      <w:tr w:rsidR="00016D40" w:rsidRPr="00CA1166" w14:paraId="1BC2A956"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3249728D"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w:t>
            </w:r>
            <w:r w:rsidRPr="00CA1166">
              <w:rPr>
                <w:rFonts w:eastAsia="Times New Roman" w:cs="Calibri"/>
                <w:i/>
                <w:iCs/>
                <w:color w:val="000000"/>
                <w:sz w:val="20"/>
                <w:szCs w:val="20"/>
              </w:rPr>
              <w:t>Ab_Other_Invest</w:t>
            </w:r>
            <w:r w:rsidRPr="00CA1166">
              <w:rPr>
                <w:rFonts w:eastAsia="Times New Roman" w:cs="Calibri"/>
                <w:color w:val="000000"/>
                <w:sz w:val="20"/>
                <w:szCs w:val="20"/>
              </w:rPr>
              <w:t>|</w:t>
            </w:r>
            <w:r w:rsidRPr="00CA1166">
              <w:rPr>
                <w:rFonts w:eastAsia="Times New Roman" w:cs="Calibri"/>
                <w:i/>
                <w:iCs/>
                <w:color w:val="000000"/>
                <w:sz w:val="20"/>
                <w:szCs w:val="20"/>
                <w:vertAlign w:val="subscript"/>
              </w:rPr>
              <w:t>i,t</w:t>
            </w:r>
          </w:p>
        </w:tc>
        <w:tc>
          <w:tcPr>
            <w:tcW w:w="507" w:type="pct"/>
            <w:tcBorders>
              <w:top w:val="nil"/>
              <w:left w:val="nil"/>
              <w:bottom w:val="nil"/>
              <w:right w:val="nil"/>
            </w:tcBorders>
            <w:shd w:val="clear" w:color="auto" w:fill="auto"/>
            <w:noWrap/>
            <w:vAlign w:val="center"/>
            <w:hideMark/>
          </w:tcPr>
          <w:p w14:paraId="46BC6A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0.171***</w:t>
            </w:r>
          </w:p>
        </w:tc>
        <w:tc>
          <w:tcPr>
            <w:tcW w:w="507" w:type="pct"/>
            <w:tcBorders>
              <w:top w:val="nil"/>
              <w:left w:val="nil"/>
              <w:bottom w:val="nil"/>
              <w:right w:val="nil"/>
            </w:tcBorders>
            <w:shd w:val="clear" w:color="auto" w:fill="auto"/>
            <w:noWrap/>
            <w:vAlign w:val="center"/>
            <w:hideMark/>
          </w:tcPr>
          <w:p w14:paraId="45471F6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0.173***</w:t>
            </w:r>
          </w:p>
        </w:tc>
        <w:tc>
          <w:tcPr>
            <w:tcW w:w="507" w:type="pct"/>
            <w:tcBorders>
              <w:top w:val="nil"/>
              <w:left w:val="nil"/>
              <w:bottom w:val="nil"/>
              <w:right w:val="nil"/>
            </w:tcBorders>
            <w:shd w:val="clear" w:color="auto" w:fill="auto"/>
            <w:noWrap/>
            <w:vAlign w:val="center"/>
            <w:hideMark/>
          </w:tcPr>
          <w:p w14:paraId="548DAAC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0.163***</w:t>
            </w:r>
          </w:p>
        </w:tc>
        <w:tc>
          <w:tcPr>
            <w:tcW w:w="507" w:type="pct"/>
            <w:tcBorders>
              <w:top w:val="nil"/>
              <w:left w:val="nil"/>
              <w:bottom w:val="nil"/>
              <w:right w:val="nil"/>
            </w:tcBorders>
            <w:shd w:val="clear" w:color="auto" w:fill="auto"/>
            <w:noWrap/>
            <w:vAlign w:val="center"/>
            <w:hideMark/>
          </w:tcPr>
          <w:p w14:paraId="59DDA3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0.182***</w:t>
            </w:r>
          </w:p>
        </w:tc>
        <w:tc>
          <w:tcPr>
            <w:tcW w:w="507" w:type="pct"/>
            <w:tcBorders>
              <w:top w:val="nil"/>
              <w:left w:val="nil"/>
              <w:bottom w:val="nil"/>
              <w:right w:val="nil"/>
            </w:tcBorders>
            <w:shd w:val="clear" w:color="auto" w:fill="auto"/>
            <w:noWrap/>
            <w:vAlign w:val="center"/>
            <w:hideMark/>
          </w:tcPr>
          <w:p w14:paraId="26C7249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0.196***</w:t>
            </w:r>
          </w:p>
        </w:tc>
        <w:tc>
          <w:tcPr>
            <w:tcW w:w="507" w:type="pct"/>
            <w:tcBorders>
              <w:top w:val="nil"/>
              <w:left w:val="nil"/>
              <w:bottom w:val="nil"/>
              <w:right w:val="nil"/>
            </w:tcBorders>
            <w:shd w:val="clear" w:color="auto" w:fill="auto"/>
            <w:noWrap/>
            <w:vAlign w:val="center"/>
            <w:hideMark/>
          </w:tcPr>
          <w:p w14:paraId="40D390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0.198***</w:t>
            </w:r>
          </w:p>
        </w:tc>
        <w:tc>
          <w:tcPr>
            <w:tcW w:w="507" w:type="pct"/>
            <w:tcBorders>
              <w:top w:val="nil"/>
              <w:left w:val="nil"/>
              <w:bottom w:val="nil"/>
              <w:right w:val="nil"/>
            </w:tcBorders>
            <w:shd w:val="clear" w:color="auto" w:fill="auto"/>
            <w:noWrap/>
            <w:vAlign w:val="center"/>
            <w:hideMark/>
          </w:tcPr>
          <w:p w14:paraId="0F5271A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0.186***</w:t>
            </w:r>
          </w:p>
        </w:tc>
        <w:tc>
          <w:tcPr>
            <w:tcW w:w="507" w:type="pct"/>
            <w:tcBorders>
              <w:top w:val="nil"/>
              <w:left w:val="nil"/>
              <w:bottom w:val="nil"/>
              <w:right w:val="nil"/>
            </w:tcBorders>
            <w:shd w:val="clear" w:color="auto" w:fill="auto"/>
            <w:noWrap/>
            <w:vAlign w:val="center"/>
            <w:hideMark/>
          </w:tcPr>
          <w:p w14:paraId="68DDB05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0.211***</w:t>
            </w:r>
          </w:p>
        </w:tc>
      </w:tr>
      <w:tr w:rsidR="00016D40" w:rsidRPr="00CA1166" w14:paraId="783EEF6A"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15E716C5"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5D6144D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(5.62)</w:t>
            </w:r>
          </w:p>
        </w:tc>
        <w:tc>
          <w:tcPr>
            <w:tcW w:w="507" w:type="pct"/>
            <w:tcBorders>
              <w:top w:val="nil"/>
              <w:left w:val="nil"/>
              <w:bottom w:val="nil"/>
              <w:right w:val="nil"/>
            </w:tcBorders>
            <w:shd w:val="clear" w:color="auto" w:fill="auto"/>
            <w:noWrap/>
            <w:vAlign w:val="center"/>
            <w:hideMark/>
          </w:tcPr>
          <w:p w14:paraId="779A5AD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(5.64)</w:t>
            </w:r>
          </w:p>
        </w:tc>
        <w:tc>
          <w:tcPr>
            <w:tcW w:w="507" w:type="pct"/>
            <w:tcBorders>
              <w:top w:val="nil"/>
              <w:left w:val="nil"/>
              <w:bottom w:val="nil"/>
              <w:right w:val="nil"/>
            </w:tcBorders>
            <w:shd w:val="clear" w:color="auto" w:fill="auto"/>
            <w:noWrap/>
            <w:vAlign w:val="center"/>
            <w:hideMark/>
          </w:tcPr>
          <w:p w14:paraId="779CFF6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(5.53)</w:t>
            </w:r>
          </w:p>
        </w:tc>
        <w:tc>
          <w:tcPr>
            <w:tcW w:w="507" w:type="pct"/>
            <w:tcBorders>
              <w:top w:val="nil"/>
              <w:left w:val="nil"/>
              <w:bottom w:val="nil"/>
              <w:right w:val="nil"/>
            </w:tcBorders>
            <w:shd w:val="clear" w:color="auto" w:fill="auto"/>
            <w:noWrap/>
            <w:vAlign w:val="center"/>
            <w:hideMark/>
          </w:tcPr>
          <w:p w14:paraId="5CFE8C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(5.50)</w:t>
            </w:r>
          </w:p>
        </w:tc>
        <w:tc>
          <w:tcPr>
            <w:tcW w:w="507" w:type="pct"/>
            <w:tcBorders>
              <w:top w:val="nil"/>
              <w:left w:val="nil"/>
              <w:bottom w:val="nil"/>
              <w:right w:val="nil"/>
            </w:tcBorders>
            <w:shd w:val="clear" w:color="auto" w:fill="auto"/>
            <w:noWrap/>
            <w:vAlign w:val="center"/>
            <w:hideMark/>
          </w:tcPr>
          <w:p w14:paraId="2C5557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(19.46)</w:t>
            </w:r>
          </w:p>
        </w:tc>
        <w:tc>
          <w:tcPr>
            <w:tcW w:w="507" w:type="pct"/>
            <w:tcBorders>
              <w:top w:val="nil"/>
              <w:left w:val="nil"/>
              <w:bottom w:val="nil"/>
              <w:right w:val="nil"/>
            </w:tcBorders>
            <w:shd w:val="clear" w:color="auto" w:fill="auto"/>
            <w:noWrap/>
            <w:vAlign w:val="center"/>
            <w:hideMark/>
          </w:tcPr>
          <w:p w14:paraId="610B5EB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(19.65)</w:t>
            </w:r>
          </w:p>
        </w:tc>
        <w:tc>
          <w:tcPr>
            <w:tcW w:w="507" w:type="pct"/>
            <w:tcBorders>
              <w:top w:val="nil"/>
              <w:left w:val="nil"/>
              <w:bottom w:val="nil"/>
              <w:right w:val="nil"/>
            </w:tcBorders>
            <w:shd w:val="clear" w:color="auto" w:fill="auto"/>
            <w:noWrap/>
            <w:vAlign w:val="center"/>
            <w:hideMark/>
          </w:tcPr>
          <w:p w14:paraId="0C3E2ED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(18.74)</w:t>
            </w:r>
          </w:p>
        </w:tc>
        <w:tc>
          <w:tcPr>
            <w:tcW w:w="507" w:type="pct"/>
            <w:tcBorders>
              <w:top w:val="nil"/>
              <w:left w:val="nil"/>
              <w:bottom w:val="nil"/>
              <w:right w:val="nil"/>
            </w:tcBorders>
            <w:shd w:val="clear" w:color="auto" w:fill="auto"/>
            <w:noWrap/>
            <w:vAlign w:val="center"/>
            <w:hideMark/>
          </w:tcPr>
          <w:p w14:paraId="489787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(20.42)</w:t>
            </w:r>
          </w:p>
        </w:tc>
      </w:tr>
      <w:tr w:rsidR="00016D40" w:rsidRPr="00CA1166" w14:paraId="085F07E6"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2173B79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Intercept</w:t>
            </w:r>
          </w:p>
        </w:tc>
        <w:tc>
          <w:tcPr>
            <w:tcW w:w="507" w:type="pct"/>
            <w:tcBorders>
              <w:top w:val="nil"/>
              <w:left w:val="nil"/>
              <w:bottom w:val="nil"/>
              <w:right w:val="nil"/>
            </w:tcBorders>
            <w:shd w:val="clear" w:color="auto" w:fill="auto"/>
            <w:noWrap/>
            <w:vAlign w:val="center"/>
            <w:hideMark/>
          </w:tcPr>
          <w:p w14:paraId="6F56B58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0.211</w:t>
            </w:r>
          </w:p>
        </w:tc>
        <w:tc>
          <w:tcPr>
            <w:tcW w:w="507" w:type="pct"/>
            <w:tcBorders>
              <w:top w:val="nil"/>
              <w:left w:val="nil"/>
              <w:bottom w:val="nil"/>
              <w:right w:val="nil"/>
            </w:tcBorders>
            <w:shd w:val="clear" w:color="auto" w:fill="auto"/>
            <w:noWrap/>
            <w:vAlign w:val="center"/>
            <w:hideMark/>
          </w:tcPr>
          <w:p w14:paraId="6C7FEE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0.215</w:t>
            </w:r>
          </w:p>
        </w:tc>
        <w:tc>
          <w:tcPr>
            <w:tcW w:w="507" w:type="pct"/>
            <w:tcBorders>
              <w:top w:val="nil"/>
              <w:left w:val="nil"/>
              <w:bottom w:val="nil"/>
              <w:right w:val="nil"/>
            </w:tcBorders>
            <w:shd w:val="clear" w:color="auto" w:fill="auto"/>
            <w:noWrap/>
            <w:vAlign w:val="center"/>
            <w:hideMark/>
          </w:tcPr>
          <w:p w14:paraId="02DBCD6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0.209</w:t>
            </w:r>
          </w:p>
        </w:tc>
        <w:tc>
          <w:tcPr>
            <w:tcW w:w="507" w:type="pct"/>
            <w:tcBorders>
              <w:top w:val="nil"/>
              <w:left w:val="nil"/>
              <w:bottom w:val="nil"/>
              <w:right w:val="nil"/>
            </w:tcBorders>
            <w:shd w:val="clear" w:color="auto" w:fill="auto"/>
            <w:noWrap/>
            <w:vAlign w:val="center"/>
            <w:hideMark/>
          </w:tcPr>
          <w:p w14:paraId="4562AA5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0.206</w:t>
            </w:r>
          </w:p>
        </w:tc>
        <w:tc>
          <w:tcPr>
            <w:tcW w:w="507" w:type="pct"/>
            <w:tcBorders>
              <w:top w:val="nil"/>
              <w:left w:val="nil"/>
              <w:bottom w:val="nil"/>
              <w:right w:val="nil"/>
            </w:tcBorders>
            <w:shd w:val="clear" w:color="auto" w:fill="auto"/>
            <w:noWrap/>
            <w:vAlign w:val="center"/>
            <w:hideMark/>
          </w:tcPr>
          <w:p w14:paraId="752D12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0.059*</w:t>
            </w:r>
          </w:p>
        </w:tc>
        <w:tc>
          <w:tcPr>
            <w:tcW w:w="507" w:type="pct"/>
            <w:tcBorders>
              <w:top w:val="nil"/>
              <w:left w:val="nil"/>
              <w:bottom w:val="nil"/>
              <w:right w:val="nil"/>
            </w:tcBorders>
            <w:shd w:val="clear" w:color="auto" w:fill="auto"/>
            <w:noWrap/>
            <w:vAlign w:val="center"/>
            <w:hideMark/>
          </w:tcPr>
          <w:p w14:paraId="5D378C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0.063**</w:t>
            </w:r>
          </w:p>
        </w:tc>
        <w:tc>
          <w:tcPr>
            <w:tcW w:w="507" w:type="pct"/>
            <w:tcBorders>
              <w:top w:val="nil"/>
              <w:left w:val="nil"/>
              <w:bottom w:val="nil"/>
              <w:right w:val="nil"/>
            </w:tcBorders>
            <w:shd w:val="clear" w:color="auto" w:fill="auto"/>
            <w:noWrap/>
            <w:vAlign w:val="center"/>
            <w:hideMark/>
          </w:tcPr>
          <w:p w14:paraId="370999A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0.064**</w:t>
            </w:r>
          </w:p>
        </w:tc>
        <w:tc>
          <w:tcPr>
            <w:tcW w:w="507" w:type="pct"/>
            <w:tcBorders>
              <w:top w:val="nil"/>
              <w:left w:val="nil"/>
              <w:bottom w:val="nil"/>
              <w:right w:val="nil"/>
            </w:tcBorders>
            <w:shd w:val="clear" w:color="auto" w:fill="auto"/>
            <w:noWrap/>
            <w:vAlign w:val="center"/>
            <w:hideMark/>
          </w:tcPr>
          <w:p w14:paraId="0658667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0.045</w:t>
            </w:r>
          </w:p>
        </w:tc>
      </w:tr>
      <w:tr w:rsidR="00016D40" w:rsidRPr="00CA1166" w14:paraId="003ABCAF" w14:textId="77777777" w:rsidTr="00CD1FDD">
        <w:trPr>
          <w:trHeight w:val="228"/>
          <w:jc w:val="center"/>
        </w:trPr>
        <w:tc>
          <w:tcPr>
            <w:tcW w:w="946" w:type="pct"/>
            <w:tcBorders>
              <w:top w:val="nil"/>
              <w:left w:val="nil"/>
              <w:bottom w:val="nil"/>
              <w:right w:val="nil"/>
            </w:tcBorders>
            <w:shd w:val="clear" w:color="auto" w:fill="auto"/>
            <w:noWrap/>
            <w:vAlign w:val="bottom"/>
            <w:hideMark/>
          </w:tcPr>
          <w:p w14:paraId="40BEA5EC"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6CF01E6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(0.94)</w:t>
            </w:r>
          </w:p>
        </w:tc>
        <w:tc>
          <w:tcPr>
            <w:tcW w:w="507" w:type="pct"/>
            <w:tcBorders>
              <w:top w:val="nil"/>
              <w:left w:val="nil"/>
              <w:bottom w:val="nil"/>
              <w:right w:val="nil"/>
            </w:tcBorders>
            <w:shd w:val="clear" w:color="auto" w:fill="auto"/>
            <w:noWrap/>
            <w:vAlign w:val="center"/>
            <w:hideMark/>
          </w:tcPr>
          <w:p w14:paraId="52CA72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(0.95)</w:t>
            </w:r>
          </w:p>
        </w:tc>
        <w:tc>
          <w:tcPr>
            <w:tcW w:w="507" w:type="pct"/>
            <w:tcBorders>
              <w:top w:val="nil"/>
              <w:left w:val="nil"/>
              <w:bottom w:val="nil"/>
              <w:right w:val="nil"/>
            </w:tcBorders>
            <w:shd w:val="clear" w:color="auto" w:fill="auto"/>
            <w:noWrap/>
            <w:vAlign w:val="center"/>
            <w:hideMark/>
          </w:tcPr>
          <w:p w14:paraId="3B9DAE5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(0.93)</w:t>
            </w:r>
          </w:p>
        </w:tc>
        <w:tc>
          <w:tcPr>
            <w:tcW w:w="507" w:type="pct"/>
            <w:tcBorders>
              <w:top w:val="nil"/>
              <w:left w:val="nil"/>
              <w:bottom w:val="nil"/>
              <w:right w:val="nil"/>
            </w:tcBorders>
            <w:shd w:val="clear" w:color="auto" w:fill="auto"/>
            <w:noWrap/>
            <w:vAlign w:val="center"/>
            <w:hideMark/>
          </w:tcPr>
          <w:p w14:paraId="2B3502A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(0.92)</w:t>
            </w:r>
          </w:p>
        </w:tc>
        <w:tc>
          <w:tcPr>
            <w:tcW w:w="507" w:type="pct"/>
            <w:tcBorders>
              <w:top w:val="nil"/>
              <w:left w:val="nil"/>
              <w:bottom w:val="nil"/>
              <w:right w:val="nil"/>
            </w:tcBorders>
            <w:shd w:val="clear" w:color="auto" w:fill="auto"/>
            <w:noWrap/>
            <w:vAlign w:val="center"/>
            <w:hideMark/>
          </w:tcPr>
          <w:p w14:paraId="2BB2FD4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(1.93)</w:t>
            </w:r>
          </w:p>
        </w:tc>
        <w:tc>
          <w:tcPr>
            <w:tcW w:w="507" w:type="pct"/>
            <w:tcBorders>
              <w:top w:val="nil"/>
              <w:left w:val="nil"/>
              <w:bottom w:val="nil"/>
              <w:right w:val="nil"/>
            </w:tcBorders>
            <w:shd w:val="clear" w:color="auto" w:fill="auto"/>
            <w:noWrap/>
            <w:vAlign w:val="center"/>
            <w:hideMark/>
          </w:tcPr>
          <w:p w14:paraId="0CAC8E3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(2.06)</w:t>
            </w:r>
          </w:p>
        </w:tc>
        <w:tc>
          <w:tcPr>
            <w:tcW w:w="507" w:type="pct"/>
            <w:tcBorders>
              <w:top w:val="nil"/>
              <w:left w:val="nil"/>
              <w:bottom w:val="nil"/>
              <w:right w:val="nil"/>
            </w:tcBorders>
            <w:shd w:val="clear" w:color="auto" w:fill="auto"/>
            <w:noWrap/>
            <w:vAlign w:val="center"/>
            <w:hideMark/>
          </w:tcPr>
          <w:p w14:paraId="52D9085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(2.07)</w:t>
            </w:r>
          </w:p>
        </w:tc>
        <w:tc>
          <w:tcPr>
            <w:tcW w:w="507" w:type="pct"/>
            <w:tcBorders>
              <w:top w:val="nil"/>
              <w:left w:val="nil"/>
              <w:bottom w:val="nil"/>
              <w:right w:val="nil"/>
            </w:tcBorders>
            <w:shd w:val="clear" w:color="auto" w:fill="auto"/>
            <w:noWrap/>
            <w:vAlign w:val="center"/>
            <w:hideMark/>
          </w:tcPr>
          <w:p w14:paraId="6B2186B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(1.49)</w:t>
            </w:r>
          </w:p>
        </w:tc>
      </w:tr>
      <w:tr w:rsidR="00016D40" w:rsidRPr="00CA1166" w14:paraId="7A3DF07E"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686525B7"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507" w:type="pct"/>
            <w:tcBorders>
              <w:top w:val="nil"/>
              <w:left w:val="nil"/>
              <w:bottom w:val="nil"/>
              <w:right w:val="nil"/>
            </w:tcBorders>
            <w:shd w:val="clear" w:color="auto" w:fill="auto"/>
            <w:noWrap/>
            <w:vAlign w:val="center"/>
            <w:hideMark/>
          </w:tcPr>
          <w:p w14:paraId="0B64DAC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372947A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45AF93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7BC27B1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6EFA0B1B" w14:textId="77777777" w:rsidR="00016D40" w:rsidRPr="00CA1166" w:rsidRDefault="00016D40" w:rsidP="00CD1FDD">
            <w:pPr>
              <w:spacing w:after="0" w:line="240" w:lineRule="auto"/>
              <w:jc w:val="center"/>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0989098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693EC66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284F034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343CC91F"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353FFDF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Firm fixed</w:t>
            </w:r>
            <w:r>
              <w:rPr>
                <w:rFonts w:eastAsia="Times New Roman" w:cs="Calibri"/>
                <w:color w:val="000000"/>
                <w:sz w:val="20"/>
                <w:szCs w:val="20"/>
              </w:rPr>
              <w:t>-</w:t>
            </w:r>
            <w:r w:rsidRPr="00CA1166">
              <w:rPr>
                <w:rFonts w:eastAsia="Times New Roman" w:cs="Calibri"/>
                <w:color w:val="000000"/>
                <w:sz w:val="20"/>
                <w:szCs w:val="20"/>
              </w:rPr>
              <w:t>effects</w:t>
            </w:r>
          </w:p>
        </w:tc>
        <w:tc>
          <w:tcPr>
            <w:tcW w:w="507" w:type="pct"/>
            <w:tcBorders>
              <w:top w:val="nil"/>
              <w:left w:val="nil"/>
              <w:bottom w:val="nil"/>
              <w:right w:val="nil"/>
            </w:tcBorders>
            <w:shd w:val="clear" w:color="auto" w:fill="auto"/>
            <w:noWrap/>
            <w:vAlign w:val="center"/>
            <w:hideMark/>
          </w:tcPr>
          <w:p w14:paraId="72FEF805" w14:textId="77777777" w:rsidR="00016D40" w:rsidRPr="00CA1166" w:rsidRDefault="00016D40" w:rsidP="00CD1FDD">
            <w:pPr>
              <w:spacing w:after="0" w:line="240" w:lineRule="auto"/>
              <w:rPr>
                <w:rFonts w:eastAsia="Times New Roman" w:cs="Calibri"/>
                <w:color w:val="000000"/>
                <w:sz w:val="20"/>
                <w:szCs w:val="20"/>
              </w:rPr>
            </w:pPr>
          </w:p>
        </w:tc>
        <w:tc>
          <w:tcPr>
            <w:tcW w:w="507" w:type="pct"/>
            <w:tcBorders>
              <w:top w:val="nil"/>
              <w:left w:val="nil"/>
              <w:bottom w:val="nil"/>
              <w:right w:val="nil"/>
            </w:tcBorders>
            <w:shd w:val="clear" w:color="auto" w:fill="auto"/>
            <w:noWrap/>
            <w:vAlign w:val="center"/>
            <w:hideMark/>
          </w:tcPr>
          <w:p w14:paraId="3A7DCB5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06EF3F7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2363B20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noWrap/>
            <w:vAlign w:val="center"/>
            <w:hideMark/>
          </w:tcPr>
          <w:p w14:paraId="42B13D3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248620D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48A6212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2853DC7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4029609"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1AFC7D9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507" w:type="pct"/>
            <w:tcBorders>
              <w:top w:val="nil"/>
              <w:left w:val="nil"/>
              <w:bottom w:val="nil"/>
              <w:right w:val="nil"/>
            </w:tcBorders>
            <w:shd w:val="clear" w:color="auto" w:fill="auto"/>
            <w:noWrap/>
            <w:vAlign w:val="center"/>
            <w:hideMark/>
          </w:tcPr>
          <w:p w14:paraId="636A965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0B177AC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1ECEDE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01396CD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13109C3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7F45C15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321750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507" w:type="pct"/>
            <w:tcBorders>
              <w:top w:val="nil"/>
              <w:left w:val="nil"/>
              <w:bottom w:val="nil"/>
              <w:right w:val="nil"/>
            </w:tcBorders>
            <w:shd w:val="clear" w:color="auto" w:fill="auto"/>
            <w:noWrap/>
            <w:vAlign w:val="center"/>
            <w:hideMark/>
          </w:tcPr>
          <w:p w14:paraId="4380ECA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11857688" w14:textId="77777777" w:rsidTr="00CD1FDD">
        <w:trPr>
          <w:trHeight w:val="228"/>
          <w:jc w:val="center"/>
        </w:trPr>
        <w:tc>
          <w:tcPr>
            <w:tcW w:w="946" w:type="pct"/>
            <w:tcBorders>
              <w:top w:val="nil"/>
              <w:left w:val="nil"/>
              <w:bottom w:val="nil"/>
              <w:right w:val="nil"/>
            </w:tcBorders>
            <w:shd w:val="clear" w:color="auto" w:fill="auto"/>
            <w:noWrap/>
            <w:vAlign w:val="center"/>
            <w:hideMark/>
          </w:tcPr>
          <w:p w14:paraId="32429DEE"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507" w:type="pct"/>
            <w:tcBorders>
              <w:top w:val="nil"/>
              <w:left w:val="nil"/>
              <w:bottom w:val="nil"/>
              <w:right w:val="nil"/>
            </w:tcBorders>
            <w:shd w:val="clear" w:color="auto" w:fill="auto"/>
            <w:noWrap/>
            <w:vAlign w:val="center"/>
            <w:hideMark/>
          </w:tcPr>
          <w:p w14:paraId="40B171F4" w14:textId="77777777" w:rsidR="00016D40" w:rsidRPr="00CA1166" w:rsidRDefault="00016D40" w:rsidP="00CD1FDD">
            <w:pPr>
              <w:spacing w:after="0" w:line="240" w:lineRule="auto"/>
              <w:jc w:val="center"/>
              <w:rPr>
                <w:rFonts w:asciiTheme="minorHAnsi" w:eastAsia="Times New Roman" w:hAnsiTheme="minorHAnsi" w:cstheme="minorHAnsi"/>
                <w:color w:val="000000"/>
                <w:sz w:val="20"/>
                <w:szCs w:val="20"/>
              </w:rPr>
            </w:pPr>
            <w:r w:rsidRPr="00CA1166">
              <w:rPr>
                <w:rFonts w:asciiTheme="minorHAnsi" w:eastAsia="Times New Roman" w:hAnsiTheme="minorHAnsi" w:cstheme="minorHAnsi"/>
                <w:color w:val="000000"/>
                <w:sz w:val="20"/>
                <w:szCs w:val="20"/>
              </w:rPr>
              <w:t>0.077</w:t>
            </w:r>
          </w:p>
        </w:tc>
        <w:tc>
          <w:tcPr>
            <w:tcW w:w="507" w:type="pct"/>
            <w:tcBorders>
              <w:top w:val="nil"/>
              <w:left w:val="nil"/>
              <w:bottom w:val="nil"/>
              <w:right w:val="nil"/>
            </w:tcBorders>
            <w:shd w:val="clear" w:color="auto" w:fill="auto"/>
            <w:noWrap/>
            <w:vAlign w:val="center"/>
            <w:hideMark/>
          </w:tcPr>
          <w:p w14:paraId="726D63D8" w14:textId="77777777" w:rsidR="00016D40" w:rsidRPr="00CA1166" w:rsidRDefault="00016D40" w:rsidP="00CD1FDD">
            <w:pPr>
              <w:spacing w:after="0" w:line="240" w:lineRule="auto"/>
              <w:jc w:val="center"/>
              <w:rPr>
                <w:rFonts w:asciiTheme="minorHAnsi" w:eastAsia="Times New Roman" w:hAnsiTheme="minorHAnsi" w:cstheme="minorHAnsi"/>
                <w:color w:val="000000"/>
                <w:sz w:val="20"/>
                <w:szCs w:val="20"/>
              </w:rPr>
            </w:pPr>
            <w:r w:rsidRPr="00CA1166">
              <w:rPr>
                <w:rFonts w:asciiTheme="minorHAnsi" w:eastAsia="Times New Roman" w:hAnsiTheme="minorHAnsi" w:cstheme="minorHAnsi"/>
                <w:color w:val="000000"/>
                <w:sz w:val="20"/>
                <w:szCs w:val="20"/>
              </w:rPr>
              <w:t>0.076</w:t>
            </w:r>
          </w:p>
        </w:tc>
        <w:tc>
          <w:tcPr>
            <w:tcW w:w="507" w:type="pct"/>
            <w:tcBorders>
              <w:top w:val="nil"/>
              <w:left w:val="nil"/>
              <w:bottom w:val="nil"/>
              <w:right w:val="nil"/>
            </w:tcBorders>
            <w:shd w:val="clear" w:color="auto" w:fill="auto"/>
            <w:noWrap/>
            <w:vAlign w:val="center"/>
            <w:hideMark/>
          </w:tcPr>
          <w:p w14:paraId="699C5D3D" w14:textId="77777777" w:rsidR="00016D40" w:rsidRPr="00CA1166" w:rsidRDefault="00016D40" w:rsidP="00CD1FDD">
            <w:pPr>
              <w:spacing w:after="0" w:line="240" w:lineRule="auto"/>
              <w:jc w:val="center"/>
              <w:rPr>
                <w:rFonts w:asciiTheme="minorHAnsi" w:eastAsia="Times New Roman" w:hAnsiTheme="minorHAnsi" w:cstheme="minorHAnsi"/>
                <w:color w:val="000000"/>
                <w:sz w:val="20"/>
                <w:szCs w:val="20"/>
              </w:rPr>
            </w:pPr>
            <w:r w:rsidRPr="00CA1166">
              <w:rPr>
                <w:rFonts w:asciiTheme="minorHAnsi" w:eastAsia="Times New Roman" w:hAnsiTheme="minorHAnsi" w:cstheme="minorHAnsi"/>
                <w:color w:val="000000"/>
                <w:sz w:val="20"/>
                <w:szCs w:val="20"/>
              </w:rPr>
              <w:t>0.077</w:t>
            </w:r>
          </w:p>
        </w:tc>
        <w:tc>
          <w:tcPr>
            <w:tcW w:w="507" w:type="pct"/>
            <w:tcBorders>
              <w:top w:val="nil"/>
              <w:left w:val="nil"/>
              <w:bottom w:val="nil"/>
              <w:right w:val="nil"/>
            </w:tcBorders>
            <w:shd w:val="clear" w:color="auto" w:fill="auto"/>
            <w:noWrap/>
            <w:vAlign w:val="center"/>
            <w:hideMark/>
          </w:tcPr>
          <w:p w14:paraId="2EB1CC18" w14:textId="77777777" w:rsidR="00016D40" w:rsidRPr="00CA1166" w:rsidRDefault="00016D40" w:rsidP="00CD1FDD">
            <w:pPr>
              <w:spacing w:after="0" w:line="240" w:lineRule="auto"/>
              <w:jc w:val="center"/>
              <w:rPr>
                <w:rFonts w:asciiTheme="minorHAnsi" w:eastAsia="Times New Roman" w:hAnsiTheme="minorHAnsi" w:cstheme="minorHAnsi"/>
                <w:color w:val="000000"/>
                <w:sz w:val="20"/>
                <w:szCs w:val="20"/>
              </w:rPr>
            </w:pPr>
            <w:r w:rsidRPr="00CA1166">
              <w:rPr>
                <w:rFonts w:asciiTheme="minorHAnsi" w:eastAsia="Times New Roman" w:hAnsiTheme="minorHAnsi" w:cstheme="minorHAnsi"/>
                <w:color w:val="000000"/>
                <w:sz w:val="20"/>
                <w:szCs w:val="20"/>
              </w:rPr>
              <w:t>0.075</w:t>
            </w:r>
          </w:p>
        </w:tc>
        <w:tc>
          <w:tcPr>
            <w:tcW w:w="507" w:type="pct"/>
            <w:tcBorders>
              <w:top w:val="nil"/>
              <w:left w:val="nil"/>
              <w:bottom w:val="nil"/>
              <w:right w:val="nil"/>
            </w:tcBorders>
            <w:shd w:val="clear" w:color="auto" w:fill="auto"/>
            <w:noWrap/>
            <w:vAlign w:val="center"/>
            <w:hideMark/>
          </w:tcPr>
          <w:p w14:paraId="75EF93E0" w14:textId="77777777" w:rsidR="00016D40" w:rsidRPr="00AA631F" w:rsidRDefault="00016D40" w:rsidP="00CD1FDD">
            <w:pPr>
              <w:spacing w:after="0" w:line="240" w:lineRule="auto"/>
              <w:jc w:val="center"/>
              <w:rPr>
                <w:rFonts w:asciiTheme="minorHAnsi" w:eastAsia="Times New Roman" w:hAnsiTheme="minorHAnsi" w:cstheme="minorHAnsi"/>
                <w:color w:val="000000"/>
                <w:sz w:val="20"/>
                <w:szCs w:val="20"/>
              </w:rPr>
            </w:pPr>
            <w:r w:rsidRPr="00AA631F">
              <w:rPr>
                <w:rFonts w:asciiTheme="minorHAnsi" w:eastAsia="Times New Roman" w:hAnsiTheme="minorHAnsi" w:cstheme="minorHAnsi"/>
                <w:color w:val="000000"/>
                <w:sz w:val="20"/>
                <w:szCs w:val="20"/>
              </w:rPr>
              <w:t>0.059</w:t>
            </w:r>
          </w:p>
        </w:tc>
        <w:tc>
          <w:tcPr>
            <w:tcW w:w="507" w:type="pct"/>
            <w:tcBorders>
              <w:top w:val="nil"/>
              <w:left w:val="nil"/>
              <w:bottom w:val="nil"/>
              <w:right w:val="nil"/>
            </w:tcBorders>
            <w:shd w:val="clear" w:color="auto" w:fill="auto"/>
            <w:noWrap/>
            <w:vAlign w:val="center"/>
            <w:hideMark/>
          </w:tcPr>
          <w:p w14:paraId="0308EC71" w14:textId="77777777" w:rsidR="00016D40" w:rsidRPr="00FB7EFA" w:rsidRDefault="00016D40" w:rsidP="00CD1FDD">
            <w:pPr>
              <w:spacing w:after="0" w:line="240" w:lineRule="auto"/>
              <w:jc w:val="center"/>
              <w:rPr>
                <w:rFonts w:asciiTheme="minorHAnsi" w:eastAsia="Times New Roman" w:hAnsiTheme="minorHAnsi" w:cstheme="minorHAnsi"/>
                <w:color w:val="000000"/>
                <w:sz w:val="20"/>
                <w:szCs w:val="20"/>
              </w:rPr>
            </w:pPr>
            <w:r w:rsidRPr="00FB7EFA">
              <w:rPr>
                <w:rFonts w:asciiTheme="minorHAnsi" w:eastAsia="Times New Roman" w:hAnsiTheme="minorHAnsi" w:cstheme="minorHAnsi"/>
                <w:color w:val="000000"/>
                <w:sz w:val="20"/>
                <w:szCs w:val="20"/>
              </w:rPr>
              <w:t>0.05</w:t>
            </w:r>
            <w:r w:rsidRPr="00FB7EFA">
              <w:rPr>
                <w:rFonts w:asciiTheme="minorHAnsi" w:eastAsia="Times New Roman" w:hAnsiTheme="minorHAnsi" w:cstheme="minorHAnsi" w:hint="eastAsia"/>
                <w:color w:val="000000"/>
                <w:sz w:val="20"/>
                <w:szCs w:val="20"/>
              </w:rPr>
              <w:t>9</w:t>
            </w:r>
          </w:p>
        </w:tc>
        <w:tc>
          <w:tcPr>
            <w:tcW w:w="507" w:type="pct"/>
            <w:tcBorders>
              <w:top w:val="nil"/>
              <w:left w:val="nil"/>
              <w:bottom w:val="nil"/>
              <w:right w:val="nil"/>
            </w:tcBorders>
            <w:shd w:val="clear" w:color="auto" w:fill="auto"/>
            <w:noWrap/>
            <w:vAlign w:val="center"/>
            <w:hideMark/>
          </w:tcPr>
          <w:p w14:paraId="08636C78" w14:textId="77777777" w:rsidR="00016D40" w:rsidRPr="00FB7EFA" w:rsidRDefault="00016D40" w:rsidP="00CD1FDD">
            <w:pPr>
              <w:spacing w:after="0" w:line="240" w:lineRule="auto"/>
              <w:jc w:val="center"/>
              <w:rPr>
                <w:rFonts w:asciiTheme="minorHAnsi" w:eastAsia="Times New Roman" w:hAnsiTheme="minorHAnsi" w:cstheme="minorHAnsi"/>
                <w:color w:val="000000"/>
                <w:sz w:val="20"/>
                <w:szCs w:val="20"/>
              </w:rPr>
            </w:pPr>
            <w:r w:rsidRPr="00FB7EFA">
              <w:rPr>
                <w:rFonts w:asciiTheme="minorHAnsi" w:eastAsia="Times New Roman" w:hAnsiTheme="minorHAnsi" w:cstheme="minorHAnsi"/>
                <w:color w:val="000000"/>
                <w:sz w:val="20"/>
                <w:szCs w:val="20"/>
              </w:rPr>
              <w:t>0.0</w:t>
            </w:r>
            <w:r w:rsidRPr="00FB7EFA">
              <w:rPr>
                <w:rFonts w:asciiTheme="minorHAnsi" w:eastAsia="Times New Roman" w:hAnsiTheme="minorHAnsi" w:cstheme="minorHAnsi" w:hint="eastAsia"/>
                <w:color w:val="000000"/>
                <w:sz w:val="20"/>
                <w:szCs w:val="20"/>
              </w:rPr>
              <w:t>60</w:t>
            </w:r>
          </w:p>
        </w:tc>
        <w:tc>
          <w:tcPr>
            <w:tcW w:w="507" w:type="pct"/>
            <w:tcBorders>
              <w:top w:val="nil"/>
              <w:left w:val="nil"/>
              <w:bottom w:val="nil"/>
              <w:right w:val="nil"/>
            </w:tcBorders>
            <w:shd w:val="clear" w:color="auto" w:fill="auto"/>
            <w:noWrap/>
            <w:vAlign w:val="center"/>
            <w:hideMark/>
          </w:tcPr>
          <w:p w14:paraId="6944DAA9" w14:textId="77777777" w:rsidR="00016D40" w:rsidRPr="00FB7EFA" w:rsidRDefault="00016D40" w:rsidP="00CD1FDD">
            <w:pPr>
              <w:spacing w:after="0" w:line="240" w:lineRule="auto"/>
              <w:jc w:val="center"/>
              <w:rPr>
                <w:rFonts w:asciiTheme="minorHAnsi" w:eastAsia="Times New Roman" w:hAnsiTheme="minorHAnsi" w:cstheme="minorHAnsi"/>
                <w:color w:val="000000"/>
                <w:sz w:val="20"/>
                <w:szCs w:val="20"/>
              </w:rPr>
            </w:pPr>
            <w:r w:rsidRPr="00FB7EFA">
              <w:rPr>
                <w:rFonts w:asciiTheme="minorHAnsi" w:eastAsia="Times New Roman" w:hAnsiTheme="minorHAnsi" w:cstheme="minorHAnsi"/>
                <w:color w:val="000000"/>
                <w:sz w:val="20"/>
                <w:szCs w:val="20"/>
              </w:rPr>
              <w:t>0.057</w:t>
            </w:r>
          </w:p>
        </w:tc>
      </w:tr>
      <w:tr w:rsidR="00016D40" w:rsidRPr="00CA1166" w14:paraId="39094ECB" w14:textId="77777777" w:rsidTr="00CD1FDD">
        <w:trPr>
          <w:trHeight w:val="228"/>
          <w:jc w:val="center"/>
        </w:trPr>
        <w:tc>
          <w:tcPr>
            <w:tcW w:w="946" w:type="pct"/>
            <w:tcBorders>
              <w:top w:val="nil"/>
              <w:left w:val="nil"/>
              <w:bottom w:val="single" w:sz="18" w:space="0" w:color="auto"/>
              <w:right w:val="nil"/>
            </w:tcBorders>
            <w:shd w:val="clear" w:color="auto" w:fill="auto"/>
            <w:noWrap/>
            <w:vAlign w:val="center"/>
            <w:hideMark/>
          </w:tcPr>
          <w:p w14:paraId="4820EE3C"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507" w:type="pct"/>
            <w:tcBorders>
              <w:top w:val="nil"/>
              <w:left w:val="nil"/>
              <w:bottom w:val="single" w:sz="18" w:space="0" w:color="auto"/>
              <w:right w:val="nil"/>
            </w:tcBorders>
            <w:shd w:val="clear" w:color="auto" w:fill="auto"/>
            <w:noWrap/>
            <w:vAlign w:val="center"/>
            <w:hideMark/>
          </w:tcPr>
          <w:p w14:paraId="326061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07" w:type="pct"/>
            <w:tcBorders>
              <w:top w:val="nil"/>
              <w:left w:val="nil"/>
              <w:bottom w:val="single" w:sz="18" w:space="0" w:color="auto"/>
              <w:right w:val="nil"/>
            </w:tcBorders>
            <w:shd w:val="clear" w:color="auto" w:fill="auto"/>
            <w:noWrap/>
            <w:vAlign w:val="center"/>
            <w:hideMark/>
          </w:tcPr>
          <w:p w14:paraId="369475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07" w:type="pct"/>
            <w:tcBorders>
              <w:top w:val="nil"/>
              <w:left w:val="nil"/>
              <w:bottom w:val="single" w:sz="18" w:space="0" w:color="auto"/>
              <w:right w:val="nil"/>
            </w:tcBorders>
            <w:shd w:val="clear" w:color="auto" w:fill="auto"/>
            <w:noWrap/>
            <w:vAlign w:val="center"/>
            <w:hideMark/>
          </w:tcPr>
          <w:p w14:paraId="785D1D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53881</w:t>
            </w:r>
          </w:p>
        </w:tc>
        <w:tc>
          <w:tcPr>
            <w:tcW w:w="507" w:type="pct"/>
            <w:tcBorders>
              <w:top w:val="nil"/>
              <w:left w:val="nil"/>
              <w:bottom w:val="single" w:sz="18" w:space="0" w:color="auto"/>
              <w:right w:val="nil"/>
            </w:tcBorders>
            <w:shd w:val="clear" w:color="auto" w:fill="auto"/>
            <w:noWrap/>
            <w:vAlign w:val="center"/>
            <w:hideMark/>
          </w:tcPr>
          <w:p w14:paraId="273F5E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51339</w:t>
            </w:r>
          </w:p>
        </w:tc>
        <w:tc>
          <w:tcPr>
            <w:tcW w:w="507" w:type="pct"/>
            <w:tcBorders>
              <w:top w:val="nil"/>
              <w:left w:val="nil"/>
              <w:bottom w:val="single" w:sz="18" w:space="0" w:color="auto"/>
              <w:right w:val="nil"/>
            </w:tcBorders>
            <w:shd w:val="clear" w:color="auto" w:fill="auto"/>
            <w:noWrap/>
            <w:vAlign w:val="center"/>
            <w:hideMark/>
          </w:tcPr>
          <w:p w14:paraId="451294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07" w:type="pct"/>
            <w:tcBorders>
              <w:top w:val="nil"/>
              <w:left w:val="nil"/>
              <w:bottom w:val="single" w:sz="18" w:space="0" w:color="auto"/>
              <w:right w:val="nil"/>
            </w:tcBorders>
            <w:shd w:val="clear" w:color="auto" w:fill="auto"/>
            <w:noWrap/>
            <w:vAlign w:val="center"/>
            <w:hideMark/>
          </w:tcPr>
          <w:p w14:paraId="74C8B69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54601</w:t>
            </w:r>
          </w:p>
        </w:tc>
        <w:tc>
          <w:tcPr>
            <w:tcW w:w="507" w:type="pct"/>
            <w:tcBorders>
              <w:top w:val="nil"/>
              <w:left w:val="nil"/>
              <w:bottom w:val="single" w:sz="18" w:space="0" w:color="auto"/>
              <w:right w:val="nil"/>
            </w:tcBorders>
            <w:shd w:val="clear" w:color="auto" w:fill="auto"/>
            <w:noWrap/>
            <w:vAlign w:val="center"/>
            <w:hideMark/>
          </w:tcPr>
          <w:p w14:paraId="5312609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53881</w:t>
            </w:r>
          </w:p>
        </w:tc>
        <w:tc>
          <w:tcPr>
            <w:tcW w:w="507" w:type="pct"/>
            <w:tcBorders>
              <w:top w:val="nil"/>
              <w:left w:val="nil"/>
              <w:bottom w:val="single" w:sz="18" w:space="0" w:color="auto"/>
              <w:right w:val="nil"/>
            </w:tcBorders>
            <w:shd w:val="clear" w:color="auto" w:fill="auto"/>
            <w:noWrap/>
            <w:vAlign w:val="center"/>
            <w:hideMark/>
          </w:tcPr>
          <w:p w14:paraId="0310DD6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51339</w:t>
            </w:r>
          </w:p>
        </w:tc>
      </w:tr>
    </w:tbl>
    <w:p w14:paraId="35208DF4" w14:textId="77777777" w:rsidR="00016D40" w:rsidRPr="00CA1166" w:rsidRDefault="00016D40" w:rsidP="00016D40">
      <w:pPr>
        <w:jc w:val="both"/>
        <w:sectPr w:rsidR="00016D40" w:rsidRPr="00CA1166" w:rsidSect="00F02BF8">
          <w:pgSz w:w="11906" w:h="16838"/>
          <w:pgMar w:top="1440" w:right="1800" w:bottom="1440" w:left="1800" w:header="708" w:footer="708" w:gutter="0"/>
          <w:cols w:space="708"/>
          <w:docGrid w:linePitch="360"/>
        </w:sectPr>
      </w:pPr>
      <w:r w:rsidRPr="00CA1166">
        <w:lastRenderedPageBreak/>
        <w:t>Note: This table presents the results from the regressions of labo</w:t>
      </w:r>
      <w:r>
        <w:t>u</w:t>
      </w:r>
      <w:r w:rsidRPr="00CA1166">
        <w:t>r investment inefficiency on accounting comparability and control variables. In Models (1)</w:t>
      </w:r>
      <w:r>
        <w:t xml:space="preserve"> to </w:t>
      </w:r>
      <w:r w:rsidRPr="00CA1166">
        <w:t>(4), we control for industry and year fixed</w:t>
      </w:r>
      <w:r>
        <w:t>-</w:t>
      </w:r>
      <w:r w:rsidRPr="00CA1166">
        <w:t>effects. In Models (5)</w:t>
      </w:r>
      <w:r>
        <w:t xml:space="preserve"> to </w:t>
      </w:r>
      <w:r w:rsidRPr="00CA1166">
        <w:t>(6), we control for firm and year fixed</w:t>
      </w:r>
      <w:r>
        <w:t>-</w:t>
      </w:r>
      <w:r w:rsidRPr="00CA1166">
        <w:t xml:space="preserve">effects. All variables are defined in Appendix A. The </w:t>
      </w:r>
      <w:r w:rsidRPr="002E7D97">
        <w:rPr>
          <w:i/>
        </w:rPr>
        <w:t>t</w:t>
      </w:r>
      <w:r w:rsidRPr="00CA1166">
        <w:t>-statistics are computed based on the heteroscedasticity-robust standard errors clustered by firm and reported in parentheses. *, ** and *** indicate statistical significance at the 0.10, 0.05, and 0.01 levels, respecti</w:t>
      </w:r>
      <w:r>
        <w:t>vely, based on two-tailed tests.</w:t>
      </w:r>
    </w:p>
    <w:p w14:paraId="3CF289B4" w14:textId="77777777" w:rsidR="00016D40" w:rsidRPr="00CA1166" w:rsidRDefault="00016D40" w:rsidP="00016D40">
      <w:r w:rsidRPr="00CA1166">
        <w:rPr>
          <w:b/>
        </w:rPr>
        <w:lastRenderedPageBreak/>
        <w:t>Table 3</w:t>
      </w:r>
      <w:r w:rsidRPr="00CA1166">
        <w:t xml:space="preserve">. The Impact of Accounting Comparability on Specific Types of </w:t>
      </w:r>
      <w:r>
        <w:t>Labour</w:t>
      </w:r>
      <w:r w:rsidRPr="00CA1166">
        <w:t xml:space="preserve"> Investment Inefficiency</w:t>
      </w:r>
    </w:p>
    <w:p w14:paraId="3F99A3D8" w14:textId="77777777" w:rsidR="00016D40" w:rsidRPr="00CA1166" w:rsidRDefault="00016D40" w:rsidP="00016D40">
      <w:r w:rsidRPr="00CA1166">
        <w:rPr>
          <w:b/>
        </w:rPr>
        <w:t>Panel A:</w:t>
      </w:r>
      <w:r w:rsidRPr="00CA1166">
        <w:t xml:space="preserve"> The Impact of Accounting Comparability on Over-investment in Labo</w:t>
      </w:r>
      <w:r>
        <w:t>u</w:t>
      </w:r>
      <w:r w:rsidRPr="00CA1166">
        <w:t>r</w:t>
      </w:r>
    </w:p>
    <w:p w14:paraId="042F6D10" w14:textId="77777777" w:rsidR="00016D40" w:rsidRPr="00CA1166" w:rsidRDefault="00016D40" w:rsidP="00016D40">
      <w:pPr>
        <w:spacing w:after="0"/>
      </w:pPr>
    </w:p>
    <w:tbl>
      <w:tblPr>
        <w:tblW w:w="5000" w:type="pct"/>
        <w:jc w:val="center"/>
        <w:tblLook w:val="04A0" w:firstRow="1" w:lastRow="0" w:firstColumn="1" w:lastColumn="0" w:noHBand="0" w:noVBand="1"/>
      </w:tblPr>
      <w:tblGrid>
        <w:gridCol w:w="1955"/>
        <w:gridCol w:w="947"/>
        <w:gridCol w:w="947"/>
        <w:gridCol w:w="946"/>
        <w:gridCol w:w="946"/>
        <w:gridCol w:w="226"/>
        <w:gridCol w:w="946"/>
        <w:gridCol w:w="946"/>
        <w:gridCol w:w="946"/>
        <w:gridCol w:w="946"/>
        <w:gridCol w:w="226"/>
        <w:gridCol w:w="1047"/>
        <w:gridCol w:w="946"/>
        <w:gridCol w:w="1047"/>
        <w:gridCol w:w="941"/>
      </w:tblGrid>
      <w:tr w:rsidR="00016D40" w:rsidRPr="00CA1166" w14:paraId="57D76C31" w14:textId="77777777" w:rsidTr="00CD1FDD">
        <w:trPr>
          <w:trHeight w:val="255"/>
          <w:jc w:val="center"/>
        </w:trPr>
        <w:tc>
          <w:tcPr>
            <w:tcW w:w="700" w:type="pct"/>
            <w:tcBorders>
              <w:top w:val="single" w:sz="18" w:space="0" w:color="auto"/>
              <w:left w:val="nil"/>
              <w:bottom w:val="nil"/>
              <w:right w:val="nil"/>
            </w:tcBorders>
            <w:shd w:val="clear" w:color="auto" w:fill="auto"/>
            <w:noWrap/>
            <w:vAlign w:val="center"/>
            <w:hideMark/>
          </w:tcPr>
          <w:p w14:paraId="2A77BF41"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1355" w:type="pct"/>
            <w:gridSpan w:val="4"/>
            <w:tcBorders>
              <w:top w:val="single" w:sz="18" w:space="0" w:color="auto"/>
              <w:left w:val="nil"/>
              <w:bottom w:val="single" w:sz="4" w:space="0" w:color="auto"/>
              <w:right w:val="nil"/>
            </w:tcBorders>
            <w:shd w:val="clear" w:color="auto" w:fill="auto"/>
            <w:noWrap/>
            <w:vAlign w:val="center"/>
            <w:hideMark/>
          </w:tcPr>
          <w:p w14:paraId="4EF0DC2E"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Over-investment</w:t>
            </w:r>
          </w:p>
        </w:tc>
        <w:tc>
          <w:tcPr>
            <w:tcW w:w="81" w:type="pct"/>
            <w:tcBorders>
              <w:top w:val="single" w:sz="18" w:space="0" w:color="auto"/>
              <w:left w:val="nil"/>
              <w:bottom w:val="nil"/>
              <w:right w:val="nil"/>
            </w:tcBorders>
            <w:shd w:val="clear" w:color="auto" w:fill="auto"/>
            <w:noWrap/>
            <w:vAlign w:val="center"/>
            <w:hideMark/>
          </w:tcPr>
          <w:p w14:paraId="093BBA10"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1355" w:type="pct"/>
            <w:gridSpan w:val="4"/>
            <w:tcBorders>
              <w:top w:val="single" w:sz="18" w:space="0" w:color="auto"/>
              <w:left w:val="nil"/>
              <w:bottom w:val="single" w:sz="4" w:space="0" w:color="auto"/>
              <w:right w:val="nil"/>
            </w:tcBorders>
            <w:shd w:val="clear" w:color="auto" w:fill="auto"/>
            <w:noWrap/>
            <w:vAlign w:val="center"/>
            <w:hideMark/>
          </w:tcPr>
          <w:p w14:paraId="535DBA20"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Over-hiring</w:t>
            </w:r>
          </w:p>
        </w:tc>
        <w:tc>
          <w:tcPr>
            <w:tcW w:w="81" w:type="pct"/>
            <w:tcBorders>
              <w:top w:val="single" w:sz="18" w:space="0" w:color="auto"/>
              <w:left w:val="nil"/>
              <w:bottom w:val="nil"/>
              <w:right w:val="nil"/>
            </w:tcBorders>
            <w:shd w:val="clear" w:color="auto" w:fill="auto"/>
            <w:noWrap/>
            <w:vAlign w:val="center"/>
            <w:hideMark/>
          </w:tcPr>
          <w:p w14:paraId="4DBA2DF3"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1428" w:type="pct"/>
            <w:gridSpan w:val="4"/>
            <w:tcBorders>
              <w:top w:val="single" w:sz="18" w:space="0" w:color="auto"/>
              <w:left w:val="nil"/>
              <w:bottom w:val="single" w:sz="4" w:space="0" w:color="auto"/>
              <w:right w:val="nil"/>
            </w:tcBorders>
            <w:shd w:val="clear" w:color="auto" w:fill="auto"/>
            <w:noWrap/>
            <w:vAlign w:val="center"/>
            <w:hideMark/>
          </w:tcPr>
          <w:p w14:paraId="7A819253"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Under-firing</w:t>
            </w:r>
          </w:p>
        </w:tc>
      </w:tr>
      <w:tr w:rsidR="00016D40" w:rsidRPr="00CA1166" w14:paraId="261E5300" w14:textId="77777777" w:rsidTr="00CD1FDD">
        <w:trPr>
          <w:trHeight w:val="255"/>
          <w:jc w:val="center"/>
        </w:trPr>
        <w:tc>
          <w:tcPr>
            <w:tcW w:w="700" w:type="pct"/>
            <w:tcBorders>
              <w:top w:val="nil"/>
              <w:left w:val="nil"/>
              <w:bottom w:val="single" w:sz="4" w:space="0" w:color="auto"/>
              <w:right w:val="nil"/>
            </w:tcBorders>
            <w:shd w:val="clear" w:color="auto" w:fill="auto"/>
            <w:noWrap/>
            <w:vAlign w:val="center"/>
            <w:hideMark/>
          </w:tcPr>
          <w:p w14:paraId="7E5E7F52"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39" w:type="pct"/>
            <w:tcBorders>
              <w:top w:val="single" w:sz="4" w:space="0" w:color="auto"/>
              <w:left w:val="nil"/>
              <w:bottom w:val="single" w:sz="4" w:space="0" w:color="auto"/>
              <w:right w:val="nil"/>
            </w:tcBorders>
            <w:shd w:val="clear" w:color="auto" w:fill="auto"/>
            <w:noWrap/>
            <w:vAlign w:val="center"/>
            <w:hideMark/>
          </w:tcPr>
          <w:p w14:paraId="0A475FBC"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w:t>
            </w:r>
          </w:p>
        </w:tc>
        <w:tc>
          <w:tcPr>
            <w:tcW w:w="339" w:type="pct"/>
            <w:tcBorders>
              <w:top w:val="single" w:sz="4" w:space="0" w:color="auto"/>
              <w:left w:val="nil"/>
              <w:bottom w:val="single" w:sz="4" w:space="0" w:color="auto"/>
              <w:right w:val="nil"/>
            </w:tcBorders>
            <w:shd w:val="clear" w:color="auto" w:fill="auto"/>
            <w:noWrap/>
            <w:vAlign w:val="center"/>
            <w:hideMark/>
          </w:tcPr>
          <w:p w14:paraId="6F3054FC"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(2)</w:t>
            </w:r>
          </w:p>
        </w:tc>
        <w:tc>
          <w:tcPr>
            <w:tcW w:w="339" w:type="pct"/>
            <w:tcBorders>
              <w:top w:val="single" w:sz="4" w:space="0" w:color="auto"/>
              <w:left w:val="nil"/>
              <w:bottom w:val="single" w:sz="4" w:space="0" w:color="auto"/>
              <w:right w:val="nil"/>
            </w:tcBorders>
            <w:shd w:val="clear" w:color="auto" w:fill="auto"/>
            <w:noWrap/>
            <w:vAlign w:val="center"/>
            <w:hideMark/>
          </w:tcPr>
          <w:p w14:paraId="2C392F66"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(3)</w:t>
            </w:r>
          </w:p>
        </w:tc>
        <w:tc>
          <w:tcPr>
            <w:tcW w:w="339" w:type="pct"/>
            <w:tcBorders>
              <w:top w:val="single" w:sz="4" w:space="0" w:color="auto"/>
              <w:left w:val="nil"/>
              <w:bottom w:val="single" w:sz="4" w:space="0" w:color="auto"/>
              <w:right w:val="nil"/>
            </w:tcBorders>
            <w:shd w:val="clear" w:color="auto" w:fill="auto"/>
            <w:noWrap/>
            <w:vAlign w:val="center"/>
            <w:hideMark/>
          </w:tcPr>
          <w:p w14:paraId="28DC2C9B"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(4)</w:t>
            </w:r>
          </w:p>
        </w:tc>
        <w:tc>
          <w:tcPr>
            <w:tcW w:w="81" w:type="pct"/>
            <w:tcBorders>
              <w:top w:val="nil"/>
              <w:left w:val="nil"/>
              <w:bottom w:val="single" w:sz="4" w:space="0" w:color="auto"/>
              <w:right w:val="nil"/>
            </w:tcBorders>
            <w:shd w:val="clear" w:color="auto" w:fill="auto"/>
            <w:noWrap/>
            <w:vAlign w:val="center"/>
            <w:hideMark/>
          </w:tcPr>
          <w:p w14:paraId="21A7F3E7"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39" w:type="pct"/>
            <w:tcBorders>
              <w:top w:val="single" w:sz="4" w:space="0" w:color="auto"/>
              <w:left w:val="nil"/>
              <w:bottom w:val="single" w:sz="4" w:space="0" w:color="auto"/>
              <w:right w:val="nil"/>
            </w:tcBorders>
            <w:shd w:val="clear" w:color="auto" w:fill="auto"/>
            <w:noWrap/>
            <w:vAlign w:val="center"/>
            <w:hideMark/>
          </w:tcPr>
          <w:p w14:paraId="4344A43C"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(5)</w:t>
            </w:r>
          </w:p>
        </w:tc>
        <w:tc>
          <w:tcPr>
            <w:tcW w:w="339" w:type="pct"/>
            <w:tcBorders>
              <w:top w:val="single" w:sz="4" w:space="0" w:color="auto"/>
              <w:left w:val="nil"/>
              <w:bottom w:val="single" w:sz="4" w:space="0" w:color="auto"/>
              <w:right w:val="nil"/>
            </w:tcBorders>
            <w:shd w:val="clear" w:color="auto" w:fill="auto"/>
            <w:noWrap/>
            <w:vAlign w:val="center"/>
            <w:hideMark/>
          </w:tcPr>
          <w:p w14:paraId="3B5D57EE"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(6)</w:t>
            </w:r>
          </w:p>
        </w:tc>
        <w:tc>
          <w:tcPr>
            <w:tcW w:w="339" w:type="pct"/>
            <w:tcBorders>
              <w:top w:val="single" w:sz="4" w:space="0" w:color="auto"/>
              <w:left w:val="nil"/>
              <w:bottom w:val="single" w:sz="4" w:space="0" w:color="auto"/>
              <w:right w:val="nil"/>
            </w:tcBorders>
            <w:shd w:val="clear" w:color="auto" w:fill="auto"/>
            <w:noWrap/>
            <w:vAlign w:val="center"/>
            <w:hideMark/>
          </w:tcPr>
          <w:p w14:paraId="07031FE7"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(7)</w:t>
            </w:r>
          </w:p>
        </w:tc>
        <w:tc>
          <w:tcPr>
            <w:tcW w:w="339" w:type="pct"/>
            <w:tcBorders>
              <w:top w:val="single" w:sz="4" w:space="0" w:color="auto"/>
              <w:left w:val="nil"/>
              <w:bottom w:val="single" w:sz="4" w:space="0" w:color="auto"/>
              <w:right w:val="nil"/>
            </w:tcBorders>
            <w:shd w:val="clear" w:color="auto" w:fill="auto"/>
            <w:noWrap/>
            <w:vAlign w:val="center"/>
            <w:hideMark/>
          </w:tcPr>
          <w:p w14:paraId="1DEB9D9D"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(8)</w:t>
            </w:r>
          </w:p>
        </w:tc>
        <w:tc>
          <w:tcPr>
            <w:tcW w:w="81" w:type="pct"/>
            <w:tcBorders>
              <w:top w:val="nil"/>
              <w:left w:val="nil"/>
              <w:bottom w:val="single" w:sz="4" w:space="0" w:color="auto"/>
              <w:right w:val="nil"/>
            </w:tcBorders>
            <w:shd w:val="clear" w:color="auto" w:fill="auto"/>
            <w:noWrap/>
            <w:vAlign w:val="center"/>
            <w:hideMark/>
          </w:tcPr>
          <w:p w14:paraId="730A4874"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75" w:type="pct"/>
            <w:tcBorders>
              <w:top w:val="single" w:sz="4" w:space="0" w:color="auto"/>
              <w:left w:val="nil"/>
              <w:bottom w:val="single" w:sz="4" w:space="0" w:color="auto"/>
              <w:right w:val="nil"/>
            </w:tcBorders>
            <w:shd w:val="clear" w:color="auto" w:fill="auto"/>
            <w:noWrap/>
            <w:vAlign w:val="center"/>
            <w:hideMark/>
          </w:tcPr>
          <w:p w14:paraId="6C8A81B9"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(9)</w:t>
            </w:r>
          </w:p>
        </w:tc>
        <w:tc>
          <w:tcPr>
            <w:tcW w:w="339" w:type="pct"/>
            <w:tcBorders>
              <w:top w:val="single" w:sz="4" w:space="0" w:color="auto"/>
              <w:left w:val="nil"/>
              <w:bottom w:val="single" w:sz="4" w:space="0" w:color="auto"/>
              <w:right w:val="nil"/>
            </w:tcBorders>
            <w:shd w:val="clear" w:color="auto" w:fill="auto"/>
            <w:noWrap/>
            <w:vAlign w:val="center"/>
            <w:hideMark/>
          </w:tcPr>
          <w:p w14:paraId="189F9284"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(10)</w:t>
            </w:r>
          </w:p>
        </w:tc>
        <w:tc>
          <w:tcPr>
            <w:tcW w:w="375" w:type="pct"/>
            <w:tcBorders>
              <w:top w:val="single" w:sz="4" w:space="0" w:color="auto"/>
              <w:left w:val="nil"/>
              <w:bottom w:val="single" w:sz="4" w:space="0" w:color="auto"/>
              <w:right w:val="nil"/>
            </w:tcBorders>
            <w:shd w:val="clear" w:color="auto" w:fill="auto"/>
            <w:noWrap/>
            <w:vAlign w:val="center"/>
            <w:hideMark/>
          </w:tcPr>
          <w:p w14:paraId="3CC4929E"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(11)</w:t>
            </w:r>
          </w:p>
        </w:tc>
        <w:tc>
          <w:tcPr>
            <w:tcW w:w="339" w:type="pct"/>
            <w:tcBorders>
              <w:top w:val="single" w:sz="4" w:space="0" w:color="auto"/>
              <w:left w:val="nil"/>
              <w:bottom w:val="single" w:sz="4" w:space="0" w:color="auto"/>
              <w:right w:val="nil"/>
            </w:tcBorders>
            <w:shd w:val="clear" w:color="auto" w:fill="auto"/>
            <w:noWrap/>
            <w:vAlign w:val="center"/>
            <w:hideMark/>
          </w:tcPr>
          <w:p w14:paraId="5C3987DF"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(12)</w:t>
            </w:r>
          </w:p>
        </w:tc>
      </w:tr>
      <w:tr w:rsidR="00016D40" w:rsidRPr="00CA1166" w14:paraId="11342D36" w14:textId="77777777" w:rsidTr="00CD1FDD">
        <w:trPr>
          <w:trHeight w:val="285"/>
          <w:jc w:val="center"/>
        </w:trPr>
        <w:tc>
          <w:tcPr>
            <w:tcW w:w="700" w:type="pct"/>
            <w:tcBorders>
              <w:top w:val="single" w:sz="4" w:space="0" w:color="auto"/>
              <w:left w:val="nil"/>
              <w:bottom w:val="nil"/>
              <w:right w:val="nil"/>
            </w:tcBorders>
            <w:shd w:val="clear" w:color="auto" w:fill="auto"/>
            <w:noWrap/>
            <w:vAlign w:val="center"/>
            <w:hideMark/>
          </w:tcPr>
          <w:p w14:paraId="7462EA6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339" w:type="pct"/>
            <w:tcBorders>
              <w:top w:val="single" w:sz="4" w:space="0" w:color="auto"/>
              <w:left w:val="nil"/>
              <w:bottom w:val="nil"/>
              <w:right w:val="nil"/>
            </w:tcBorders>
            <w:shd w:val="clear" w:color="auto" w:fill="auto"/>
            <w:noWrap/>
            <w:vAlign w:val="center"/>
            <w:hideMark/>
          </w:tcPr>
          <w:p w14:paraId="11C8907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-0.383**</w:t>
            </w:r>
          </w:p>
        </w:tc>
        <w:tc>
          <w:tcPr>
            <w:tcW w:w="339" w:type="pct"/>
            <w:tcBorders>
              <w:top w:val="single" w:sz="4" w:space="0" w:color="auto"/>
              <w:left w:val="nil"/>
              <w:bottom w:val="nil"/>
              <w:right w:val="nil"/>
            </w:tcBorders>
            <w:shd w:val="clear" w:color="auto" w:fill="auto"/>
            <w:noWrap/>
            <w:vAlign w:val="center"/>
            <w:hideMark/>
          </w:tcPr>
          <w:p w14:paraId="565A4373"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single" w:sz="4" w:space="0" w:color="auto"/>
              <w:left w:val="nil"/>
              <w:bottom w:val="nil"/>
              <w:right w:val="nil"/>
            </w:tcBorders>
            <w:shd w:val="clear" w:color="auto" w:fill="auto"/>
            <w:noWrap/>
            <w:vAlign w:val="center"/>
            <w:hideMark/>
          </w:tcPr>
          <w:p w14:paraId="5FDA6B0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single" w:sz="4" w:space="0" w:color="auto"/>
              <w:left w:val="nil"/>
              <w:bottom w:val="nil"/>
              <w:right w:val="nil"/>
            </w:tcBorders>
            <w:shd w:val="clear" w:color="auto" w:fill="auto"/>
            <w:noWrap/>
            <w:vAlign w:val="center"/>
            <w:hideMark/>
          </w:tcPr>
          <w:p w14:paraId="59495DC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single" w:sz="4" w:space="0" w:color="auto"/>
              <w:left w:val="nil"/>
              <w:bottom w:val="nil"/>
              <w:right w:val="nil"/>
            </w:tcBorders>
            <w:shd w:val="clear" w:color="auto" w:fill="auto"/>
            <w:noWrap/>
            <w:vAlign w:val="center"/>
            <w:hideMark/>
          </w:tcPr>
          <w:p w14:paraId="6E9FCB3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single" w:sz="4" w:space="0" w:color="auto"/>
              <w:left w:val="nil"/>
              <w:bottom w:val="nil"/>
              <w:right w:val="nil"/>
            </w:tcBorders>
            <w:shd w:val="clear" w:color="auto" w:fill="auto"/>
            <w:noWrap/>
            <w:vAlign w:val="center"/>
            <w:hideMark/>
          </w:tcPr>
          <w:p w14:paraId="0344366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-0.405**</w:t>
            </w:r>
          </w:p>
        </w:tc>
        <w:tc>
          <w:tcPr>
            <w:tcW w:w="339" w:type="pct"/>
            <w:tcBorders>
              <w:top w:val="single" w:sz="4" w:space="0" w:color="auto"/>
              <w:left w:val="nil"/>
              <w:bottom w:val="nil"/>
              <w:right w:val="nil"/>
            </w:tcBorders>
            <w:shd w:val="clear" w:color="auto" w:fill="auto"/>
            <w:noWrap/>
            <w:vAlign w:val="center"/>
            <w:hideMark/>
          </w:tcPr>
          <w:p w14:paraId="6AE8E304"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single" w:sz="4" w:space="0" w:color="auto"/>
              <w:left w:val="nil"/>
              <w:bottom w:val="nil"/>
              <w:right w:val="nil"/>
            </w:tcBorders>
            <w:shd w:val="clear" w:color="auto" w:fill="auto"/>
            <w:noWrap/>
            <w:vAlign w:val="center"/>
            <w:hideMark/>
          </w:tcPr>
          <w:p w14:paraId="0359EE1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single" w:sz="4" w:space="0" w:color="auto"/>
              <w:left w:val="nil"/>
              <w:bottom w:val="nil"/>
              <w:right w:val="nil"/>
            </w:tcBorders>
            <w:shd w:val="clear" w:color="auto" w:fill="auto"/>
            <w:noWrap/>
            <w:vAlign w:val="center"/>
            <w:hideMark/>
          </w:tcPr>
          <w:p w14:paraId="2C10C16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single" w:sz="4" w:space="0" w:color="auto"/>
              <w:left w:val="nil"/>
              <w:bottom w:val="nil"/>
              <w:right w:val="nil"/>
            </w:tcBorders>
            <w:shd w:val="clear" w:color="auto" w:fill="auto"/>
            <w:noWrap/>
            <w:vAlign w:val="center"/>
            <w:hideMark/>
          </w:tcPr>
          <w:p w14:paraId="19D8515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single" w:sz="4" w:space="0" w:color="auto"/>
              <w:left w:val="nil"/>
              <w:bottom w:val="nil"/>
              <w:right w:val="nil"/>
            </w:tcBorders>
            <w:shd w:val="clear" w:color="auto" w:fill="auto"/>
            <w:noWrap/>
            <w:vAlign w:val="center"/>
            <w:hideMark/>
          </w:tcPr>
          <w:p w14:paraId="1AB5C7B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-0.611***</w:t>
            </w:r>
          </w:p>
        </w:tc>
        <w:tc>
          <w:tcPr>
            <w:tcW w:w="339" w:type="pct"/>
            <w:tcBorders>
              <w:top w:val="single" w:sz="4" w:space="0" w:color="auto"/>
              <w:left w:val="nil"/>
              <w:bottom w:val="nil"/>
              <w:right w:val="nil"/>
            </w:tcBorders>
            <w:shd w:val="clear" w:color="auto" w:fill="auto"/>
            <w:noWrap/>
            <w:vAlign w:val="center"/>
            <w:hideMark/>
          </w:tcPr>
          <w:p w14:paraId="4ABC2933"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single" w:sz="4" w:space="0" w:color="auto"/>
              <w:left w:val="nil"/>
              <w:bottom w:val="nil"/>
              <w:right w:val="nil"/>
            </w:tcBorders>
            <w:shd w:val="clear" w:color="auto" w:fill="auto"/>
            <w:noWrap/>
            <w:vAlign w:val="center"/>
            <w:hideMark/>
          </w:tcPr>
          <w:p w14:paraId="2F85625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single" w:sz="4" w:space="0" w:color="auto"/>
              <w:left w:val="nil"/>
              <w:bottom w:val="nil"/>
              <w:right w:val="nil"/>
            </w:tcBorders>
            <w:shd w:val="clear" w:color="auto" w:fill="auto"/>
            <w:noWrap/>
            <w:vAlign w:val="center"/>
            <w:hideMark/>
          </w:tcPr>
          <w:p w14:paraId="2B19A0A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1A248428"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19B7399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2529794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(-2.45)</w:t>
            </w:r>
          </w:p>
        </w:tc>
        <w:tc>
          <w:tcPr>
            <w:tcW w:w="339" w:type="pct"/>
            <w:tcBorders>
              <w:top w:val="nil"/>
              <w:left w:val="nil"/>
              <w:bottom w:val="nil"/>
              <w:right w:val="nil"/>
            </w:tcBorders>
            <w:shd w:val="clear" w:color="auto" w:fill="auto"/>
            <w:noWrap/>
            <w:vAlign w:val="center"/>
            <w:hideMark/>
          </w:tcPr>
          <w:p w14:paraId="431E5257"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7D499A4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BAFE13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755F018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58CA3A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(-2.12)</w:t>
            </w:r>
          </w:p>
        </w:tc>
        <w:tc>
          <w:tcPr>
            <w:tcW w:w="339" w:type="pct"/>
            <w:tcBorders>
              <w:top w:val="nil"/>
              <w:left w:val="nil"/>
              <w:bottom w:val="nil"/>
              <w:right w:val="nil"/>
            </w:tcBorders>
            <w:shd w:val="clear" w:color="auto" w:fill="auto"/>
            <w:noWrap/>
            <w:vAlign w:val="center"/>
            <w:hideMark/>
          </w:tcPr>
          <w:p w14:paraId="61393C3C"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6BC8B7A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E39F35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6039CFB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24E34BC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(-2.90)</w:t>
            </w:r>
          </w:p>
        </w:tc>
        <w:tc>
          <w:tcPr>
            <w:tcW w:w="339" w:type="pct"/>
            <w:tcBorders>
              <w:top w:val="nil"/>
              <w:left w:val="nil"/>
              <w:bottom w:val="nil"/>
              <w:right w:val="nil"/>
            </w:tcBorders>
            <w:shd w:val="clear" w:color="auto" w:fill="auto"/>
            <w:noWrap/>
            <w:vAlign w:val="center"/>
            <w:hideMark/>
          </w:tcPr>
          <w:p w14:paraId="3EDF852F"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20053F2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453B3C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25A8E84F" w14:textId="77777777" w:rsidTr="00CD1FDD">
        <w:trPr>
          <w:trHeight w:val="285"/>
          <w:jc w:val="center"/>
        </w:trPr>
        <w:tc>
          <w:tcPr>
            <w:tcW w:w="700" w:type="pct"/>
            <w:tcBorders>
              <w:top w:val="nil"/>
              <w:left w:val="nil"/>
              <w:bottom w:val="nil"/>
              <w:right w:val="nil"/>
            </w:tcBorders>
            <w:shd w:val="clear" w:color="auto" w:fill="auto"/>
            <w:noWrap/>
            <w:vAlign w:val="center"/>
            <w:hideMark/>
          </w:tcPr>
          <w:p w14:paraId="05EEA21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339" w:type="pct"/>
            <w:tcBorders>
              <w:top w:val="nil"/>
              <w:left w:val="nil"/>
              <w:bottom w:val="nil"/>
              <w:right w:val="nil"/>
            </w:tcBorders>
            <w:shd w:val="clear" w:color="auto" w:fill="auto"/>
            <w:noWrap/>
            <w:vAlign w:val="center"/>
            <w:hideMark/>
          </w:tcPr>
          <w:p w14:paraId="2ECDF320" w14:textId="77777777" w:rsidR="00016D40" w:rsidRPr="00CA1166" w:rsidRDefault="00016D40" w:rsidP="00CD1FDD">
            <w:pPr>
              <w:spacing w:after="0" w:line="240" w:lineRule="auto"/>
              <w:rPr>
                <w:rFonts w:eastAsia="Times New Roman" w:cs="Calibri"/>
                <w:i/>
                <w:iCs/>
                <w:color w:val="000000"/>
                <w:sz w:val="20"/>
                <w:szCs w:val="20"/>
              </w:rPr>
            </w:pPr>
          </w:p>
        </w:tc>
        <w:tc>
          <w:tcPr>
            <w:tcW w:w="339" w:type="pct"/>
            <w:tcBorders>
              <w:top w:val="nil"/>
              <w:left w:val="nil"/>
              <w:bottom w:val="nil"/>
              <w:right w:val="nil"/>
            </w:tcBorders>
            <w:shd w:val="clear" w:color="auto" w:fill="auto"/>
            <w:noWrap/>
            <w:vAlign w:val="center"/>
            <w:hideMark/>
          </w:tcPr>
          <w:p w14:paraId="2DF4DC2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-0.618**</w:t>
            </w:r>
          </w:p>
        </w:tc>
        <w:tc>
          <w:tcPr>
            <w:tcW w:w="339" w:type="pct"/>
            <w:tcBorders>
              <w:top w:val="nil"/>
              <w:left w:val="nil"/>
              <w:bottom w:val="nil"/>
              <w:right w:val="nil"/>
            </w:tcBorders>
            <w:shd w:val="clear" w:color="auto" w:fill="auto"/>
            <w:noWrap/>
            <w:vAlign w:val="center"/>
            <w:hideMark/>
          </w:tcPr>
          <w:p w14:paraId="25ADBF19"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1588E52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3FCB85B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DD5D66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F8F499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-0.762**</w:t>
            </w:r>
          </w:p>
        </w:tc>
        <w:tc>
          <w:tcPr>
            <w:tcW w:w="339" w:type="pct"/>
            <w:tcBorders>
              <w:top w:val="nil"/>
              <w:left w:val="nil"/>
              <w:bottom w:val="nil"/>
              <w:right w:val="nil"/>
            </w:tcBorders>
            <w:shd w:val="clear" w:color="auto" w:fill="auto"/>
            <w:noWrap/>
            <w:vAlign w:val="center"/>
            <w:hideMark/>
          </w:tcPr>
          <w:p w14:paraId="07062E33"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13270AE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5BDB335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034D532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487B71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-0.719**</w:t>
            </w:r>
          </w:p>
        </w:tc>
        <w:tc>
          <w:tcPr>
            <w:tcW w:w="375" w:type="pct"/>
            <w:tcBorders>
              <w:top w:val="nil"/>
              <w:left w:val="nil"/>
              <w:bottom w:val="nil"/>
              <w:right w:val="nil"/>
            </w:tcBorders>
            <w:shd w:val="clear" w:color="auto" w:fill="auto"/>
            <w:noWrap/>
            <w:vAlign w:val="center"/>
            <w:hideMark/>
          </w:tcPr>
          <w:p w14:paraId="42B6A663"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741A07C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F0FB622"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5BE4ED2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86AAB76"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2F40B3D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(-2.48)</w:t>
            </w:r>
          </w:p>
        </w:tc>
        <w:tc>
          <w:tcPr>
            <w:tcW w:w="339" w:type="pct"/>
            <w:tcBorders>
              <w:top w:val="nil"/>
              <w:left w:val="nil"/>
              <w:bottom w:val="nil"/>
              <w:right w:val="nil"/>
            </w:tcBorders>
            <w:shd w:val="clear" w:color="auto" w:fill="auto"/>
            <w:noWrap/>
            <w:vAlign w:val="center"/>
            <w:hideMark/>
          </w:tcPr>
          <w:p w14:paraId="6040478C"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1D05BD2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003614E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35CBA67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60BD51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(-2.43)</w:t>
            </w:r>
          </w:p>
        </w:tc>
        <w:tc>
          <w:tcPr>
            <w:tcW w:w="339" w:type="pct"/>
            <w:tcBorders>
              <w:top w:val="nil"/>
              <w:left w:val="nil"/>
              <w:bottom w:val="nil"/>
              <w:right w:val="nil"/>
            </w:tcBorders>
            <w:shd w:val="clear" w:color="auto" w:fill="auto"/>
            <w:noWrap/>
            <w:vAlign w:val="center"/>
            <w:hideMark/>
          </w:tcPr>
          <w:p w14:paraId="59F7633C"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02A6DF2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81" w:type="pct"/>
            <w:tcBorders>
              <w:top w:val="nil"/>
              <w:left w:val="nil"/>
              <w:bottom w:val="nil"/>
              <w:right w:val="nil"/>
            </w:tcBorders>
            <w:shd w:val="clear" w:color="auto" w:fill="auto"/>
            <w:noWrap/>
            <w:vAlign w:val="center"/>
            <w:hideMark/>
          </w:tcPr>
          <w:p w14:paraId="56CA786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307B21C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ECCA06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(-2.35)</w:t>
            </w:r>
          </w:p>
        </w:tc>
        <w:tc>
          <w:tcPr>
            <w:tcW w:w="375" w:type="pct"/>
            <w:tcBorders>
              <w:top w:val="nil"/>
              <w:left w:val="nil"/>
              <w:bottom w:val="nil"/>
              <w:right w:val="nil"/>
            </w:tcBorders>
            <w:shd w:val="clear" w:color="auto" w:fill="auto"/>
            <w:noWrap/>
            <w:vAlign w:val="center"/>
            <w:hideMark/>
          </w:tcPr>
          <w:p w14:paraId="0B322440"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1DA571E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12965AFC" w14:textId="77777777" w:rsidTr="00CD1FDD">
        <w:trPr>
          <w:trHeight w:val="285"/>
          <w:jc w:val="center"/>
        </w:trPr>
        <w:tc>
          <w:tcPr>
            <w:tcW w:w="700" w:type="pct"/>
            <w:tcBorders>
              <w:top w:val="nil"/>
              <w:left w:val="nil"/>
              <w:bottom w:val="nil"/>
              <w:right w:val="nil"/>
            </w:tcBorders>
            <w:shd w:val="clear" w:color="auto" w:fill="auto"/>
            <w:noWrap/>
            <w:vAlign w:val="center"/>
            <w:hideMark/>
          </w:tcPr>
          <w:p w14:paraId="48CB22EC"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339" w:type="pct"/>
            <w:tcBorders>
              <w:top w:val="nil"/>
              <w:left w:val="nil"/>
              <w:bottom w:val="nil"/>
              <w:right w:val="nil"/>
            </w:tcBorders>
            <w:shd w:val="clear" w:color="auto" w:fill="auto"/>
            <w:noWrap/>
            <w:vAlign w:val="center"/>
            <w:hideMark/>
          </w:tcPr>
          <w:p w14:paraId="34079938" w14:textId="77777777" w:rsidR="00016D40" w:rsidRPr="00CA1166" w:rsidRDefault="00016D40" w:rsidP="00CD1FDD">
            <w:pPr>
              <w:spacing w:after="0" w:line="240" w:lineRule="auto"/>
              <w:rPr>
                <w:rFonts w:eastAsia="Times New Roman" w:cs="Calibri"/>
                <w:i/>
                <w:iCs/>
                <w:color w:val="000000"/>
                <w:sz w:val="20"/>
                <w:szCs w:val="20"/>
              </w:rPr>
            </w:pPr>
          </w:p>
        </w:tc>
        <w:tc>
          <w:tcPr>
            <w:tcW w:w="339" w:type="pct"/>
            <w:tcBorders>
              <w:top w:val="nil"/>
              <w:left w:val="nil"/>
              <w:bottom w:val="nil"/>
              <w:right w:val="nil"/>
            </w:tcBorders>
            <w:shd w:val="clear" w:color="auto" w:fill="auto"/>
            <w:noWrap/>
            <w:vAlign w:val="center"/>
            <w:hideMark/>
          </w:tcPr>
          <w:p w14:paraId="228DB8E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31FA912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-0.422**</w:t>
            </w:r>
          </w:p>
        </w:tc>
        <w:tc>
          <w:tcPr>
            <w:tcW w:w="339" w:type="pct"/>
            <w:tcBorders>
              <w:top w:val="nil"/>
              <w:left w:val="nil"/>
              <w:bottom w:val="nil"/>
              <w:right w:val="nil"/>
            </w:tcBorders>
            <w:shd w:val="clear" w:color="auto" w:fill="auto"/>
            <w:noWrap/>
            <w:vAlign w:val="center"/>
            <w:hideMark/>
          </w:tcPr>
          <w:p w14:paraId="749EE027" w14:textId="77777777" w:rsidR="00016D40" w:rsidRPr="00CA1166" w:rsidRDefault="00016D40" w:rsidP="00CD1FDD">
            <w:pPr>
              <w:spacing w:after="0" w:line="240" w:lineRule="auto"/>
              <w:jc w:val="center"/>
              <w:rPr>
                <w:rFonts w:eastAsia="Times New Roman" w:cs="Calibri"/>
                <w:color w:val="000000"/>
                <w:sz w:val="20"/>
                <w:szCs w:val="20"/>
              </w:rPr>
            </w:pPr>
          </w:p>
        </w:tc>
        <w:tc>
          <w:tcPr>
            <w:tcW w:w="81" w:type="pct"/>
            <w:tcBorders>
              <w:top w:val="nil"/>
              <w:left w:val="nil"/>
              <w:bottom w:val="nil"/>
              <w:right w:val="nil"/>
            </w:tcBorders>
            <w:shd w:val="clear" w:color="auto" w:fill="auto"/>
            <w:noWrap/>
            <w:vAlign w:val="center"/>
            <w:hideMark/>
          </w:tcPr>
          <w:p w14:paraId="0E0A1C5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34EE56A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367E1F3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1F80CB8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-0.456**</w:t>
            </w:r>
          </w:p>
        </w:tc>
        <w:tc>
          <w:tcPr>
            <w:tcW w:w="339" w:type="pct"/>
            <w:tcBorders>
              <w:top w:val="nil"/>
              <w:left w:val="nil"/>
              <w:bottom w:val="nil"/>
              <w:right w:val="nil"/>
            </w:tcBorders>
            <w:shd w:val="clear" w:color="auto" w:fill="auto"/>
            <w:noWrap/>
            <w:vAlign w:val="center"/>
            <w:hideMark/>
          </w:tcPr>
          <w:p w14:paraId="2B0C3975" w14:textId="77777777" w:rsidR="00016D40" w:rsidRPr="00CA1166" w:rsidRDefault="00016D40" w:rsidP="00CD1FDD">
            <w:pPr>
              <w:spacing w:after="0" w:line="240" w:lineRule="auto"/>
              <w:jc w:val="center"/>
              <w:rPr>
                <w:rFonts w:eastAsia="Times New Roman" w:cs="Calibri"/>
                <w:color w:val="000000"/>
                <w:sz w:val="20"/>
                <w:szCs w:val="20"/>
              </w:rPr>
            </w:pPr>
          </w:p>
        </w:tc>
        <w:tc>
          <w:tcPr>
            <w:tcW w:w="81" w:type="pct"/>
            <w:tcBorders>
              <w:top w:val="nil"/>
              <w:left w:val="nil"/>
              <w:bottom w:val="nil"/>
              <w:right w:val="nil"/>
            </w:tcBorders>
            <w:shd w:val="clear" w:color="auto" w:fill="auto"/>
            <w:noWrap/>
            <w:vAlign w:val="center"/>
            <w:hideMark/>
          </w:tcPr>
          <w:p w14:paraId="0F05015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4E1042A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60DA3D1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2F6754B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-0.773***</w:t>
            </w:r>
          </w:p>
        </w:tc>
        <w:tc>
          <w:tcPr>
            <w:tcW w:w="339" w:type="pct"/>
            <w:tcBorders>
              <w:top w:val="nil"/>
              <w:left w:val="nil"/>
              <w:bottom w:val="nil"/>
              <w:right w:val="nil"/>
            </w:tcBorders>
            <w:shd w:val="clear" w:color="auto" w:fill="auto"/>
            <w:noWrap/>
            <w:vAlign w:val="center"/>
            <w:hideMark/>
          </w:tcPr>
          <w:p w14:paraId="2A296F0F"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6F9A1359"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2D2D226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378EA83C"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6D8CA3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5D226D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(-2.42)</w:t>
            </w:r>
          </w:p>
        </w:tc>
        <w:tc>
          <w:tcPr>
            <w:tcW w:w="339" w:type="pct"/>
            <w:tcBorders>
              <w:top w:val="nil"/>
              <w:left w:val="nil"/>
              <w:bottom w:val="nil"/>
              <w:right w:val="nil"/>
            </w:tcBorders>
            <w:shd w:val="clear" w:color="auto" w:fill="auto"/>
            <w:noWrap/>
            <w:vAlign w:val="center"/>
            <w:hideMark/>
          </w:tcPr>
          <w:p w14:paraId="1A2A2E21" w14:textId="77777777" w:rsidR="00016D40" w:rsidRPr="00CA1166" w:rsidRDefault="00016D40" w:rsidP="00CD1FDD">
            <w:pPr>
              <w:spacing w:after="0" w:line="240" w:lineRule="auto"/>
              <w:jc w:val="center"/>
              <w:rPr>
                <w:rFonts w:eastAsia="Times New Roman" w:cs="Calibri"/>
                <w:color w:val="000000"/>
                <w:sz w:val="20"/>
                <w:szCs w:val="20"/>
              </w:rPr>
            </w:pPr>
          </w:p>
        </w:tc>
        <w:tc>
          <w:tcPr>
            <w:tcW w:w="81" w:type="pct"/>
            <w:tcBorders>
              <w:top w:val="nil"/>
              <w:left w:val="nil"/>
              <w:bottom w:val="nil"/>
              <w:right w:val="nil"/>
            </w:tcBorders>
            <w:shd w:val="clear" w:color="auto" w:fill="auto"/>
            <w:noWrap/>
            <w:vAlign w:val="center"/>
            <w:hideMark/>
          </w:tcPr>
          <w:p w14:paraId="5F3857D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F8FBC1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18305D8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1281F33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(-2.22)</w:t>
            </w:r>
          </w:p>
        </w:tc>
        <w:tc>
          <w:tcPr>
            <w:tcW w:w="339" w:type="pct"/>
            <w:tcBorders>
              <w:top w:val="nil"/>
              <w:left w:val="nil"/>
              <w:bottom w:val="nil"/>
              <w:right w:val="nil"/>
            </w:tcBorders>
            <w:shd w:val="clear" w:color="auto" w:fill="auto"/>
            <w:noWrap/>
            <w:vAlign w:val="center"/>
            <w:hideMark/>
          </w:tcPr>
          <w:p w14:paraId="1E5B7A24" w14:textId="77777777" w:rsidR="00016D40" w:rsidRPr="00CA1166" w:rsidRDefault="00016D40" w:rsidP="00CD1FDD">
            <w:pPr>
              <w:spacing w:after="0" w:line="240" w:lineRule="auto"/>
              <w:jc w:val="center"/>
              <w:rPr>
                <w:rFonts w:eastAsia="Times New Roman" w:cs="Calibri"/>
                <w:color w:val="000000"/>
                <w:sz w:val="20"/>
                <w:szCs w:val="20"/>
              </w:rPr>
            </w:pPr>
          </w:p>
        </w:tc>
        <w:tc>
          <w:tcPr>
            <w:tcW w:w="81" w:type="pct"/>
            <w:tcBorders>
              <w:top w:val="nil"/>
              <w:left w:val="nil"/>
              <w:bottom w:val="nil"/>
              <w:right w:val="nil"/>
            </w:tcBorders>
            <w:shd w:val="clear" w:color="auto" w:fill="auto"/>
            <w:noWrap/>
            <w:vAlign w:val="center"/>
            <w:hideMark/>
          </w:tcPr>
          <w:p w14:paraId="36697AA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07939F7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4558FAD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019C9BF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(-2.95)</w:t>
            </w:r>
          </w:p>
        </w:tc>
        <w:tc>
          <w:tcPr>
            <w:tcW w:w="339" w:type="pct"/>
            <w:tcBorders>
              <w:top w:val="nil"/>
              <w:left w:val="nil"/>
              <w:bottom w:val="nil"/>
              <w:right w:val="nil"/>
            </w:tcBorders>
            <w:shd w:val="clear" w:color="auto" w:fill="auto"/>
            <w:noWrap/>
            <w:vAlign w:val="center"/>
            <w:hideMark/>
          </w:tcPr>
          <w:p w14:paraId="70184EF5"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769782B3" w14:textId="77777777" w:rsidTr="00CD1FDD">
        <w:trPr>
          <w:trHeight w:val="285"/>
          <w:jc w:val="center"/>
        </w:trPr>
        <w:tc>
          <w:tcPr>
            <w:tcW w:w="700" w:type="pct"/>
            <w:tcBorders>
              <w:top w:val="nil"/>
              <w:left w:val="nil"/>
              <w:bottom w:val="nil"/>
              <w:right w:val="nil"/>
            </w:tcBorders>
            <w:shd w:val="clear" w:color="auto" w:fill="auto"/>
            <w:noWrap/>
            <w:vAlign w:val="center"/>
            <w:hideMark/>
          </w:tcPr>
          <w:p w14:paraId="04E53CF0"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339" w:type="pct"/>
            <w:tcBorders>
              <w:top w:val="nil"/>
              <w:left w:val="nil"/>
              <w:bottom w:val="nil"/>
              <w:right w:val="nil"/>
            </w:tcBorders>
            <w:shd w:val="clear" w:color="auto" w:fill="auto"/>
            <w:noWrap/>
            <w:vAlign w:val="center"/>
            <w:hideMark/>
          </w:tcPr>
          <w:p w14:paraId="695F838C" w14:textId="77777777" w:rsidR="00016D40" w:rsidRPr="00CA1166" w:rsidRDefault="00016D40" w:rsidP="00CD1FDD">
            <w:pPr>
              <w:spacing w:after="0" w:line="240" w:lineRule="auto"/>
              <w:rPr>
                <w:rFonts w:eastAsia="Times New Roman" w:cs="Calibri"/>
                <w:i/>
                <w:iCs/>
                <w:color w:val="000000"/>
                <w:sz w:val="20"/>
                <w:szCs w:val="20"/>
              </w:rPr>
            </w:pPr>
          </w:p>
        </w:tc>
        <w:tc>
          <w:tcPr>
            <w:tcW w:w="339" w:type="pct"/>
            <w:tcBorders>
              <w:top w:val="nil"/>
              <w:left w:val="nil"/>
              <w:bottom w:val="nil"/>
              <w:right w:val="nil"/>
            </w:tcBorders>
            <w:shd w:val="clear" w:color="auto" w:fill="auto"/>
            <w:noWrap/>
            <w:vAlign w:val="center"/>
            <w:hideMark/>
          </w:tcPr>
          <w:p w14:paraId="1046933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E895F8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7233F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-0.403**</w:t>
            </w:r>
          </w:p>
        </w:tc>
        <w:tc>
          <w:tcPr>
            <w:tcW w:w="81" w:type="pct"/>
            <w:tcBorders>
              <w:top w:val="nil"/>
              <w:left w:val="nil"/>
              <w:bottom w:val="nil"/>
              <w:right w:val="nil"/>
            </w:tcBorders>
            <w:shd w:val="clear" w:color="auto" w:fill="auto"/>
            <w:noWrap/>
            <w:vAlign w:val="center"/>
            <w:hideMark/>
          </w:tcPr>
          <w:p w14:paraId="1E5348F5"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7C229C5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56D5B94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6031F82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80A4A8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-0.524**</w:t>
            </w:r>
          </w:p>
        </w:tc>
        <w:tc>
          <w:tcPr>
            <w:tcW w:w="81" w:type="pct"/>
            <w:tcBorders>
              <w:top w:val="nil"/>
              <w:left w:val="nil"/>
              <w:bottom w:val="nil"/>
              <w:right w:val="nil"/>
            </w:tcBorders>
            <w:shd w:val="clear" w:color="auto" w:fill="auto"/>
            <w:noWrap/>
            <w:vAlign w:val="center"/>
            <w:hideMark/>
          </w:tcPr>
          <w:p w14:paraId="3DD9429B"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52DD050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415E94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57A2400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067FF99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-0.477**</w:t>
            </w:r>
          </w:p>
        </w:tc>
      </w:tr>
      <w:tr w:rsidR="00016D40" w:rsidRPr="00CA1166" w14:paraId="72E83E12"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2D7E139A"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58C2B71D"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40F7A7E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7F136F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BD75B3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(-2.11)</w:t>
            </w:r>
          </w:p>
        </w:tc>
        <w:tc>
          <w:tcPr>
            <w:tcW w:w="81" w:type="pct"/>
            <w:tcBorders>
              <w:top w:val="nil"/>
              <w:left w:val="nil"/>
              <w:bottom w:val="nil"/>
              <w:right w:val="nil"/>
            </w:tcBorders>
            <w:shd w:val="clear" w:color="auto" w:fill="auto"/>
            <w:noWrap/>
            <w:vAlign w:val="center"/>
            <w:hideMark/>
          </w:tcPr>
          <w:p w14:paraId="0FD3BFAD"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496D103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813C29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291C953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4896072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(-2.22)</w:t>
            </w:r>
          </w:p>
        </w:tc>
        <w:tc>
          <w:tcPr>
            <w:tcW w:w="81" w:type="pct"/>
            <w:tcBorders>
              <w:top w:val="nil"/>
              <w:left w:val="nil"/>
              <w:bottom w:val="nil"/>
              <w:right w:val="nil"/>
            </w:tcBorders>
            <w:shd w:val="clear" w:color="auto" w:fill="auto"/>
            <w:noWrap/>
            <w:vAlign w:val="center"/>
            <w:hideMark/>
          </w:tcPr>
          <w:p w14:paraId="3E9DFDCC"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4E1E5AA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D88361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75" w:type="pct"/>
            <w:tcBorders>
              <w:top w:val="nil"/>
              <w:left w:val="nil"/>
              <w:bottom w:val="nil"/>
              <w:right w:val="nil"/>
            </w:tcBorders>
            <w:shd w:val="clear" w:color="auto" w:fill="auto"/>
            <w:noWrap/>
            <w:vAlign w:val="center"/>
            <w:hideMark/>
          </w:tcPr>
          <w:p w14:paraId="6D91165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39" w:type="pct"/>
            <w:tcBorders>
              <w:top w:val="nil"/>
              <w:left w:val="nil"/>
              <w:bottom w:val="nil"/>
              <w:right w:val="nil"/>
            </w:tcBorders>
            <w:shd w:val="clear" w:color="auto" w:fill="auto"/>
            <w:noWrap/>
            <w:vAlign w:val="center"/>
            <w:hideMark/>
          </w:tcPr>
          <w:p w14:paraId="72138BD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(-2.21)</w:t>
            </w:r>
          </w:p>
        </w:tc>
      </w:tr>
      <w:tr w:rsidR="00016D40" w:rsidRPr="00CA1166" w14:paraId="025E9B15"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52A234B2"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339" w:type="pct"/>
            <w:tcBorders>
              <w:top w:val="nil"/>
              <w:left w:val="nil"/>
              <w:bottom w:val="nil"/>
              <w:right w:val="nil"/>
            </w:tcBorders>
            <w:shd w:val="clear" w:color="auto" w:fill="auto"/>
            <w:noWrap/>
            <w:vAlign w:val="center"/>
            <w:hideMark/>
          </w:tcPr>
          <w:p w14:paraId="33CC69C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4401E9D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874464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3FB7F61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0F68BF54"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4080AD5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2387BD4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2975F7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2DAE9D9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1EDFF0EA"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1029F2B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34500DD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75" w:type="pct"/>
            <w:tcBorders>
              <w:top w:val="nil"/>
              <w:left w:val="nil"/>
              <w:bottom w:val="nil"/>
              <w:right w:val="nil"/>
            </w:tcBorders>
            <w:shd w:val="clear" w:color="auto" w:fill="auto"/>
            <w:noWrap/>
            <w:vAlign w:val="center"/>
            <w:hideMark/>
          </w:tcPr>
          <w:p w14:paraId="7E2F20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710C5D2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67ECC597"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02701620"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339" w:type="pct"/>
            <w:tcBorders>
              <w:top w:val="nil"/>
              <w:left w:val="nil"/>
              <w:bottom w:val="nil"/>
              <w:right w:val="nil"/>
            </w:tcBorders>
            <w:shd w:val="clear" w:color="auto" w:fill="auto"/>
            <w:noWrap/>
            <w:vAlign w:val="center"/>
            <w:hideMark/>
          </w:tcPr>
          <w:p w14:paraId="210D848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EA1CA5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3FDB35C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57AA0D0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31C265D7"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09C9A79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82F5E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6C544CC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7912C05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5F68C2A8"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5100A22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2059034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75" w:type="pct"/>
            <w:tcBorders>
              <w:top w:val="nil"/>
              <w:left w:val="nil"/>
              <w:bottom w:val="nil"/>
              <w:right w:val="nil"/>
            </w:tcBorders>
            <w:shd w:val="clear" w:color="auto" w:fill="auto"/>
            <w:noWrap/>
            <w:vAlign w:val="center"/>
            <w:hideMark/>
          </w:tcPr>
          <w:p w14:paraId="11DF066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340611F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1015110F" w14:textId="77777777" w:rsidTr="00CD1FDD">
        <w:trPr>
          <w:trHeight w:val="255"/>
          <w:jc w:val="center"/>
        </w:trPr>
        <w:tc>
          <w:tcPr>
            <w:tcW w:w="700" w:type="pct"/>
            <w:tcBorders>
              <w:top w:val="nil"/>
              <w:left w:val="nil"/>
              <w:bottom w:val="nil"/>
              <w:right w:val="nil"/>
            </w:tcBorders>
            <w:shd w:val="clear" w:color="auto" w:fill="auto"/>
            <w:noWrap/>
            <w:vAlign w:val="center"/>
            <w:hideMark/>
          </w:tcPr>
          <w:p w14:paraId="016511EB"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339" w:type="pct"/>
            <w:tcBorders>
              <w:top w:val="nil"/>
              <w:left w:val="nil"/>
              <w:bottom w:val="nil"/>
              <w:right w:val="nil"/>
            </w:tcBorders>
            <w:shd w:val="clear" w:color="auto" w:fill="auto"/>
            <w:noWrap/>
            <w:vAlign w:val="center"/>
            <w:hideMark/>
          </w:tcPr>
          <w:p w14:paraId="1D6D129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7C6F7A8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5BBD92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2A688E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19DF000E"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1B11CF6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54EBD1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08B831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D5AA21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81" w:type="pct"/>
            <w:tcBorders>
              <w:top w:val="nil"/>
              <w:left w:val="nil"/>
              <w:bottom w:val="nil"/>
              <w:right w:val="nil"/>
            </w:tcBorders>
            <w:shd w:val="clear" w:color="auto" w:fill="auto"/>
            <w:noWrap/>
            <w:vAlign w:val="center"/>
            <w:hideMark/>
          </w:tcPr>
          <w:p w14:paraId="390A3848"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581E04C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12A988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75" w:type="pct"/>
            <w:tcBorders>
              <w:top w:val="nil"/>
              <w:left w:val="nil"/>
              <w:bottom w:val="nil"/>
              <w:right w:val="nil"/>
            </w:tcBorders>
            <w:shd w:val="clear" w:color="auto" w:fill="auto"/>
            <w:noWrap/>
            <w:vAlign w:val="center"/>
            <w:hideMark/>
          </w:tcPr>
          <w:p w14:paraId="0CDA104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39" w:type="pct"/>
            <w:tcBorders>
              <w:top w:val="nil"/>
              <w:left w:val="nil"/>
              <w:bottom w:val="nil"/>
              <w:right w:val="nil"/>
            </w:tcBorders>
            <w:shd w:val="clear" w:color="auto" w:fill="auto"/>
            <w:noWrap/>
            <w:vAlign w:val="center"/>
            <w:hideMark/>
          </w:tcPr>
          <w:p w14:paraId="24B007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1C9D2B6" w14:textId="77777777" w:rsidTr="00CD1FDD">
        <w:trPr>
          <w:trHeight w:val="300"/>
          <w:jc w:val="center"/>
        </w:trPr>
        <w:tc>
          <w:tcPr>
            <w:tcW w:w="700" w:type="pct"/>
            <w:tcBorders>
              <w:top w:val="nil"/>
              <w:left w:val="nil"/>
              <w:bottom w:val="nil"/>
              <w:right w:val="nil"/>
            </w:tcBorders>
            <w:shd w:val="clear" w:color="auto" w:fill="auto"/>
            <w:noWrap/>
            <w:vAlign w:val="center"/>
            <w:hideMark/>
          </w:tcPr>
          <w:p w14:paraId="133C1823"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339" w:type="pct"/>
            <w:tcBorders>
              <w:top w:val="nil"/>
              <w:left w:val="nil"/>
              <w:bottom w:val="nil"/>
              <w:right w:val="nil"/>
            </w:tcBorders>
            <w:shd w:val="clear" w:color="auto" w:fill="auto"/>
            <w:noWrap/>
            <w:vAlign w:val="center"/>
            <w:hideMark/>
          </w:tcPr>
          <w:p w14:paraId="0376A63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0.070</w:t>
            </w:r>
          </w:p>
        </w:tc>
        <w:tc>
          <w:tcPr>
            <w:tcW w:w="339" w:type="pct"/>
            <w:tcBorders>
              <w:top w:val="nil"/>
              <w:left w:val="nil"/>
              <w:bottom w:val="nil"/>
              <w:right w:val="nil"/>
            </w:tcBorders>
            <w:shd w:val="clear" w:color="auto" w:fill="auto"/>
            <w:noWrap/>
            <w:vAlign w:val="center"/>
            <w:hideMark/>
          </w:tcPr>
          <w:p w14:paraId="79D3925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0.071</w:t>
            </w:r>
          </w:p>
        </w:tc>
        <w:tc>
          <w:tcPr>
            <w:tcW w:w="339" w:type="pct"/>
            <w:tcBorders>
              <w:top w:val="nil"/>
              <w:left w:val="nil"/>
              <w:bottom w:val="nil"/>
              <w:right w:val="nil"/>
            </w:tcBorders>
            <w:shd w:val="clear" w:color="auto" w:fill="auto"/>
            <w:noWrap/>
            <w:vAlign w:val="center"/>
            <w:hideMark/>
          </w:tcPr>
          <w:p w14:paraId="44A16E2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0.071</w:t>
            </w:r>
          </w:p>
        </w:tc>
        <w:tc>
          <w:tcPr>
            <w:tcW w:w="339" w:type="pct"/>
            <w:tcBorders>
              <w:top w:val="nil"/>
              <w:left w:val="nil"/>
              <w:bottom w:val="nil"/>
              <w:right w:val="nil"/>
            </w:tcBorders>
            <w:shd w:val="clear" w:color="auto" w:fill="auto"/>
            <w:noWrap/>
            <w:vAlign w:val="center"/>
            <w:hideMark/>
          </w:tcPr>
          <w:p w14:paraId="000B3BD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0.071</w:t>
            </w:r>
          </w:p>
        </w:tc>
        <w:tc>
          <w:tcPr>
            <w:tcW w:w="81" w:type="pct"/>
            <w:tcBorders>
              <w:top w:val="nil"/>
              <w:left w:val="nil"/>
              <w:bottom w:val="nil"/>
              <w:right w:val="nil"/>
            </w:tcBorders>
            <w:shd w:val="clear" w:color="auto" w:fill="auto"/>
            <w:noWrap/>
            <w:vAlign w:val="center"/>
            <w:hideMark/>
          </w:tcPr>
          <w:p w14:paraId="4A026125"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nil"/>
              <w:right w:val="nil"/>
            </w:tcBorders>
            <w:shd w:val="clear" w:color="auto" w:fill="auto"/>
            <w:noWrap/>
            <w:vAlign w:val="center"/>
            <w:hideMark/>
          </w:tcPr>
          <w:p w14:paraId="5855A6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0.081</w:t>
            </w:r>
          </w:p>
        </w:tc>
        <w:tc>
          <w:tcPr>
            <w:tcW w:w="339" w:type="pct"/>
            <w:tcBorders>
              <w:top w:val="nil"/>
              <w:left w:val="nil"/>
              <w:bottom w:val="nil"/>
              <w:right w:val="nil"/>
            </w:tcBorders>
            <w:shd w:val="clear" w:color="auto" w:fill="auto"/>
            <w:noWrap/>
            <w:vAlign w:val="center"/>
            <w:hideMark/>
          </w:tcPr>
          <w:p w14:paraId="68DABC7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0.081</w:t>
            </w:r>
          </w:p>
        </w:tc>
        <w:tc>
          <w:tcPr>
            <w:tcW w:w="339" w:type="pct"/>
            <w:tcBorders>
              <w:top w:val="nil"/>
              <w:left w:val="nil"/>
              <w:bottom w:val="nil"/>
              <w:right w:val="nil"/>
            </w:tcBorders>
            <w:shd w:val="clear" w:color="auto" w:fill="auto"/>
            <w:noWrap/>
            <w:vAlign w:val="center"/>
            <w:hideMark/>
          </w:tcPr>
          <w:p w14:paraId="2A7D9DF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0.081</w:t>
            </w:r>
          </w:p>
        </w:tc>
        <w:tc>
          <w:tcPr>
            <w:tcW w:w="339" w:type="pct"/>
            <w:tcBorders>
              <w:top w:val="nil"/>
              <w:left w:val="nil"/>
              <w:bottom w:val="nil"/>
              <w:right w:val="nil"/>
            </w:tcBorders>
            <w:shd w:val="clear" w:color="auto" w:fill="auto"/>
            <w:noWrap/>
            <w:vAlign w:val="center"/>
            <w:hideMark/>
          </w:tcPr>
          <w:p w14:paraId="3021DA0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0.082</w:t>
            </w:r>
          </w:p>
        </w:tc>
        <w:tc>
          <w:tcPr>
            <w:tcW w:w="81" w:type="pct"/>
            <w:tcBorders>
              <w:top w:val="nil"/>
              <w:left w:val="nil"/>
              <w:bottom w:val="nil"/>
              <w:right w:val="nil"/>
            </w:tcBorders>
            <w:shd w:val="clear" w:color="auto" w:fill="auto"/>
            <w:noWrap/>
            <w:vAlign w:val="center"/>
            <w:hideMark/>
          </w:tcPr>
          <w:p w14:paraId="1DB73650"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nil"/>
              <w:right w:val="nil"/>
            </w:tcBorders>
            <w:shd w:val="clear" w:color="auto" w:fill="auto"/>
            <w:noWrap/>
            <w:vAlign w:val="center"/>
            <w:hideMark/>
          </w:tcPr>
          <w:p w14:paraId="18AB4BC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0.061</w:t>
            </w:r>
          </w:p>
        </w:tc>
        <w:tc>
          <w:tcPr>
            <w:tcW w:w="339" w:type="pct"/>
            <w:tcBorders>
              <w:top w:val="nil"/>
              <w:left w:val="nil"/>
              <w:bottom w:val="nil"/>
              <w:right w:val="nil"/>
            </w:tcBorders>
            <w:shd w:val="clear" w:color="auto" w:fill="auto"/>
            <w:noWrap/>
            <w:vAlign w:val="center"/>
            <w:hideMark/>
          </w:tcPr>
          <w:p w14:paraId="7E867A9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0.060</w:t>
            </w:r>
          </w:p>
        </w:tc>
        <w:tc>
          <w:tcPr>
            <w:tcW w:w="375" w:type="pct"/>
            <w:tcBorders>
              <w:top w:val="nil"/>
              <w:left w:val="nil"/>
              <w:bottom w:val="nil"/>
              <w:right w:val="nil"/>
            </w:tcBorders>
            <w:shd w:val="clear" w:color="auto" w:fill="auto"/>
            <w:noWrap/>
            <w:vAlign w:val="center"/>
            <w:hideMark/>
          </w:tcPr>
          <w:p w14:paraId="0819CB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0.058</w:t>
            </w:r>
          </w:p>
        </w:tc>
        <w:tc>
          <w:tcPr>
            <w:tcW w:w="339" w:type="pct"/>
            <w:tcBorders>
              <w:top w:val="nil"/>
              <w:left w:val="nil"/>
              <w:bottom w:val="nil"/>
              <w:right w:val="nil"/>
            </w:tcBorders>
            <w:shd w:val="clear" w:color="auto" w:fill="auto"/>
            <w:noWrap/>
            <w:vAlign w:val="center"/>
            <w:hideMark/>
          </w:tcPr>
          <w:p w14:paraId="6097FCC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0.064</w:t>
            </w:r>
          </w:p>
        </w:tc>
      </w:tr>
      <w:tr w:rsidR="00016D40" w:rsidRPr="00CA1166" w14:paraId="59E3686A" w14:textId="77777777" w:rsidTr="00CD1FDD">
        <w:trPr>
          <w:trHeight w:val="255"/>
          <w:jc w:val="center"/>
        </w:trPr>
        <w:tc>
          <w:tcPr>
            <w:tcW w:w="700" w:type="pct"/>
            <w:tcBorders>
              <w:top w:val="nil"/>
              <w:left w:val="nil"/>
              <w:bottom w:val="single" w:sz="18" w:space="0" w:color="auto"/>
              <w:right w:val="nil"/>
            </w:tcBorders>
            <w:shd w:val="clear" w:color="auto" w:fill="auto"/>
            <w:noWrap/>
            <w:vAlign w:val="center"/>
            <w:hideMark/>
          </w:tcPr>
          <w:p w14:paraId="76A5573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339" w:type="pct"/>
            <w:tcBorders>
              <w:top w:val="nil"/>
              <w:left w:val="nil"/>
              <w:bottom w:val="single" w:sz="18" w:space="0" w:color="auto"/>
              <w:right w:val="nil"/>
            </w:tcBorders>
            <w:shd w:val="clear" w:color="auto" w:fill="auto"/>
            <w:noWrap/>
            <w:vAlign w:val="center"/>
            <w:hideMark/>
          </w:tcPr>
          <w:p w14:paraId="40100E0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18594</w:t>
            </w:r>
          </w:p>
        </w:tc>
        <w:tc>
          <w:tcPr>
            <w:tcW w:w="339" w:type="pct"/>
            <w:tcBorders>
              <w:top w:val="nil"/>
              <w:left w:val="nil"/>
              <w:bottom w:val="single" w:sz="18" w:space="0" w:color="auto"/>
              <w:right w:val="nil"/>
            </w:tcBorders>
            <w:shd w:val="clear" w:color="auto" w:fill="auto"/>
            <w:noWrap/>
            <w:vAlign w:val="center"/>
            <w:hideMark/>
          </w:tcPr>
          <w:p w14:paraId="42F6369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18594</w:t>
            </w:r>
          </w:p>
        </w:tc>
        <w:tc>
          <w:tcPr>
            <w:tcW w:w="339" w:type="pct"/>
            <w:tcBorders>
              <w:top w:val="nil"/>
              <w:left w:val="nil"/>
              <w:bottom w:val="single" w:sz="18" w:space="0" w:color="auto"/>
              <w:right w:val="nil"/>
            </w:tcBorders>
            <w:shd w:val="clear" w:color="auto" w:fill="auto"/>
            <w:noWrap/>
            <w:vAlign w:val="center"/>
            <w:hideMark/>
          </w:tcPr>
          <w:p w14:paraId="7A9862B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18328</w:t>
            </w:r>
          </w:p>
        </w:tc>
        <w:tc>
          <w:tcPr>
            <w:tcW w:w="339" w:type="pct"/>
            <w:tcBorders>
              <w:top w:val="nil"/>
              <w:left w:val="nil"/>
              <w:bottom w:val="single" w:sz="18" w:space="0" w:color="auto"/>
              <w:right w:val="nil"/>
            </w:tcBorders>
            <w:shd w:val="clear" w:color="auto" w:fill="auto"/>
            <w:noWrap/>
            <w:vAlign w:val="center"/>
            <w:hideMark/>
          </w:tcPr>
          <w:p w14:paraId="430F10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17299</w:t>
            </w:r>
          </w:p>
        </w:tc>
        <w:tc>
          <w:tcPr>
            <w:tcW w:w="81" w:type="pct"/>
            <w:tcBorders>
              <w:top w:val="nil"/>
              <w:left w:val="nil"/>
              <w:bottom w:val="single" w:sz="18" w:space="0" w:color="auto"/>
              <w:right w:val="nil"/>
            </w:tcBorders>
            <w:shd w:val="clear" w:color="auto" w:fill="auto"/>
            <w:noWrap/>
            <w:vAlign w:val="center"/>
            <w:hideMark/>
          </w:tcPr>
          <w:p w14:paraId="33F7A249" w14:textId="77777777" w:rsidR="00016D40" w:rsidRPr="00CA1166" w:rsidRDefault="00016D40" w:rsidP="00CD1FDD">
            <w:pPr>
              <w:spacing w:after="0" w:line="240" w:lineRule="auto"/>
              <w:jc w:val="center"/>
              <w:rPr>
                <w:rFonts w:eastAsia="Times New Roman" w:cs="Calibri"/>
                <w:color w:val="000000"/>
                <w:sz w:val="20"/>
                <w:szCs w:val="20"/>
              </w:rPr>
            </w:pPr>
          </w:p>
        </w:tc>
        <w:tc>
          <w:tcPr>
            <w:tcW w:w="339" w:type="pct"/>
            <w:tcBorders>
              <w:top w:val="nil"/>
              <w:left w:val="nil"/>
              <w:bottom w:val="single" w:sz="18" w:space="0" w:color="auto"/>
              <w:right w:val="nil"/>
            </w:tcBorders>
            <w:shd w:val="clear" w:color="auto" w:fill="auto"/>
            <w:noWrap/>
            <w:vAlign w:val="center"/>
            <w:hideMark/>
          </w:tcPr>
          <w:p w14:paraId="3E19AA6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15091</w:t>
            </w:r>
          </w:p>
        </w:tc>
        <w:tc>
          <w:tcPr>
            <w:tcW w:w="339" w:type="pct"/>
            <w:tcBorders>
              <w:top w:val="nil"/>
              <w:left w:val="nil"/>
              <w:bottom w:val="single" w:sz="18" w:space="0" w:color="auto"/>
              <w:right w:val="nil"/>
            </w:tcBorders>
            <w:shd w:val="clear" w:color="auto" w:fill="auto"/>
            <w:noWrap/>
            <w:vAlign w:val="center"/>
            <w:hideMark/>
          </w:tcPr>
          <w:p w14:paraId="79AC049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15091</w:t>
            </w:r>
          </w:p>
        </w:tc>
        <w:tc>
          <w:tcPr>
            <w:tcW w:w="339" w:type="pct"/>
            <w:tcBorders>
              <w:top w:val="nil"/>
              <w:left w:val="nil"/>
              <w:bottom w:val="single" w:sz="18" w:space="0" w:color="auto"/>
              <w:right w:val="nil"/>
            </w:tcBorders>
            <w:shd w:val="clear" w:color="auto" w:fill="auto"/>
            <w:noWrap/>
            <w:vAlign w:val="center"/>
            <w:hideMark/>
          </w:tcPr>
          <w:p w14:paraId="573A06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14907</w:t>
            </w:r>
          </w:p>
        </w:tc>
        <w:tc>
          <w:tcPr>
            <w:tcW w:w="339" w:type="pct"/>
            <w:tcBorders>
              <w:top w:val="nil"/>
              <w:left w:val="nil"/>
              <w:bottom w:val="single" w:sz="18" w:space="0" w:color="auto"/>
              <w:right w:val="nil"/>
            </w:tcBorders>
            <w:shd w:val="clear" w:color="auto" w:fill="auto"/>
            <w:noWrap/>
            <w:vAlign w:val="center"/>
            <w:hideMark/>
          </w:tcPr>
          <w:p w14:paraId="680EB1F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14122</w:t>
            </w:r>
          </w:p>
        </w:tc>
        <w:tc>
          <w:tcPr>
            <w:tcW w:w="81" w:type="pct"/>
            <w:tcBorders>
              <w:top w:val="nil"/>
              <w:left w:val="nil"/>
              <w:bottom w:val="single" w:sz="18" w:space="0" w:color="auto"/>
              <w:right w:val="nil"/>
            </w:tcBorders>
            <w:shd w:val="clear" w:color="auto" w:fill="auto"/>
            <w:noWrap/>
            <w:vAlign w:val="center"/>
            <w:hideMark/>
          </w:tcPr>
          <w:p w14:paraId="16CE6671" w14:textId="77777777" w:rsidR="00016D40" w:rsidRPr="00CA1166" w:rsidRDefault="00016D40" w:rsidP="00CD1FDD">
            <w:pPr>
              <w:spacing w:after="0" w:line="240" w:lineRule="auto"/>
              <w:jc w:val="center"/>
              <w:rPr>
                <w:rFonts w:eastAsia="Times New Roman" w:cs="Calibri"/>
                <w:color w:val="000000"/>
                <w:sz w:val="20"/>
                <w:szCs w:val="20"/>
              </w:rPr>
            </w:pPr>
          </w:p>
        </w:tc>
        <w:tc>
          <w:tcPr>
            <w:tcW w:w="375" w:type="pct"/>
            <w:tcBorders>
              <w:top w:val="nil"/>
              <w:left w:val="nil"/>
              <w:bottom w:val="single" w:sz="18" w:space="0" w:color="auto"/>
              <w:right w:val="nil"/>
            </w:tcBorders>
            <w:shd w:val="clear" w:color="auto" w:fill="auto"/>
            <w:noWrap/>
            <w:vAlign w:val="center"/>
            <w:hideMark/>
          </w:tcPr>
          <w:p w14:paraId="073CAD6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3503</w:t>
            </w:r>
          </w:p>
        </w:tc>
        <w:tc>
          <w:tcPr>
            <w:tcW w:w="339" w:type="pct"/>
            <w:tcBorders>
              <w:top w:val="nil"/>
              <w:left w:val="nil"/>
              <w:bottom w:val="single" w:sz="18" w:space="0" w:color="auto"/>
              <w:right w:val="nil"/>
            </w:tcBorders>
            <w:shd w:val="clear" w:color="auto" w:fill="auto"/>
            <w:noWrap/>
            <w:vAlign w:val="center"/>
            <w:hideMark/>
          </w:tcPr>
          <w:p w14:paraId="3DD4422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3503</w:t>
            </w:r>
          </w:p>
        </w:tc>
        <w:tc>
          <w:tcPr>
            <w:tcW w:w="375" w:type="pct"/>
            <w:tcBorders>
              <w:top w:val="nil"/>
              <w:left w:val="nil"/>
              <w:bottom w:val="single" w:sz="18" w:space="0" w:color="auto"/>
              <w:right w:val="nil"/>
            </w:tcBorders>
            <w:shd w:val="clear" w:color="auto" w:fill="auto"/>
            <w:noWrap/>
            <w:vAlign w:val="center"/>
            <w:hideMark/>
          </w:tcPr>
          <w:p w14:paraId="12FA727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3421</w:t>
            </w:r>
          </w:p>
        </w:tc>
        <w:tc>
          <w:tcPr>
            <w:tcW w:w="339" w:type="pct"/>
            <w:tcBorders>
              <w:top w:val="nil"/>
              <w:left w:val="nil"/>
              <w:bottom w:val="single" w:sz="18" w:space="0" w:color="auto"/>
              <w:right w:val="nil"/>
            </w:tcBorders>
            <w:shd w:val="clear" w:color="auto" w:fill="auto"/>
            <w:noWrap/>
            <w:vAlign w:val="center"/>
            <w:hideMark/>
          </w:tcPr>
          <w:p w14:paraId="2D05FDB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3177</w:t>
            </w:r>
          </w:p>
        </w:tc>
      </w:tr>
    </w:tbl>
    <w:p w14:paraId="04298BEB" w14:textId="77777777" w:rsidR="00016D40" w:rsidRPr="00CA1166" w:rsidRDefault="00016D40" w:rsidP="00016D40">
      <w:pPr>
        <w:sectPr w:rsidR="00016D40" w:rsidRPr="00CA1166" w:rsidSect="00B11701">
          <w:pgSz w:w="16838" w:h="11906" w:orient="landscape"/>
          <w:pgMar w:top="1800" w:right="1440" w:bottom="1800" w:left="1440" w:header="708" w:footer="708" w:gutter="0"/>
          <w:cols w:space="708"/>
          <w:docGrid w:linePitch="360"/>
        </w:sectPr>
      </w:pPr>
    </w:p>
    <w:p w14:paraId="48E96EF1" w14:textId="77777777" w:rsidR="00016D40" w:rsidRPr="00CA1166" w:rsidRDefault="00016D40" w:rsidP="00016D40">
      <w:r w:rsidRPr="00CA1166">
        <w:rPr>
          <w:b/>
        </w:rPr>
        <w:lastRenderedPageBreak/>
        <w:t>Panel B</w:t>
      </w:r>
      <w:r w:rsidRPr="00CA1166">
        <w:t>: The Impact of Accounting Comparability on Under-investment in Labo</w:t>
      </w:r>
      <w:r>
        <w:t>u</w:t>
      </w:r>
      <w:r w:rsidRPr="00CA1166">
        <w:t>r</w:t>
      </w:r>
    </w:p>
    <w:tbl>
      <w:tblPr>
        <w:tblW w:w="5042" w:type="pct"/>
        <w:jc w:val="center"/>
        <w:tblLook w:val="04A0" w:firstRow="1" w:lastRow="0" w:firstColumn="1" w:lastColumn="0" w:noHBand="0" w:noVBand="1"/>
      </w:tblPr>
      <w:tblGrid>
        <w:gridCol w:w="1943"/>
        <w:gridCol w:w="1033"/>
        <w:gridCol w:w="1033"/>
        <w:gridCol w:w="1033"/>
        <w:gridCol w:w="1033"/>
        <w:gridCol w:w="222"/>
        <w:gridCol w:w="1033"/>
        <w:gridCol w:w="1033"/>
        <w:gridCol w:w="1033"/>
        <w:gridCol w:w="1033"/>
        <w:gridCol w:w="222"/>
        <w:gridCol w:w="1033"/>
        <w:gridCol w:w="1033"/>
        <w:gridCol w:w="1033"/>
        <w:gridCol w:w="1033"/>
      </w:tblGrid>
      <w:tr w:rsidR="00016D40" w:rsidRPr="00CA1166" w14:paraId="7A69C1F9" w14:textId="77777777" w:rsidTr="00CD1FDD">
        <w:trPr>
          <w:trHeight w:val="205"/>
          <w:jc w:val="center"/>
        </w:trPr>
        <w:tc>
          <w:tcPr>
            <w:tcW w:w="647" w:type="pct"/>
            <w:tcBorders>
              <w:top w:val="single" w:sz="18" w:space="0" w:color="auto"/>
              <w:left w:val="nil"/>
              <w:bottom w:val="nil"/>
              <w:right w:val="nil"/>
            </w:tcBorders>
            <w:shd w:val="clear" w:color="auto" w:fill="auto"/>
            <w:noWrap/>
            <w:vAlign w:val="bottom"/>
            <w:hideMark/>
          </w:tcPr>
          <w:p w14:paraId="3E51F2B6"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1397" w:type="pct"/>
            <w:gridSpan w:val="4"/>
            <w:tcBorders>
              <w:top w:val="single" w:sz="18" w:space="0" w:color="auto"/>
              <w:left w:val="nil"/>
              <w:bottom w:val="nil"/>
              <w:right w:val="nil"/>
            </w:tcBorders>
            <w:shd w:val="clear" w:color="auto" w:fill="auto"/>
            <w:noWrap/>
            <w:vAlign w:val="center"/>
            <w:hideMark/>
          </w:tcPr>
          <w:p w14:paraId="68D8FDD1"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Under-investment</w:t>
            </w:r>
          </w:p>
        </w:tc>
        <w:tc>
          <w:tcPr>
            <w:tcW w:w="79" w:type="pct"/>
            <w:tcBorders>
              <w:top w:val="single" w:sz="18" w:space="0" w:color="auto"/>
              <w:left w:val="nil"/>
              <w:bottom w:val="nil"/>
              <w:right w:val="nil"/>
            </w:tcBorders>
            <w:shd w:val="clear" w:color="auto" w:fill="auto"/>
            <w:noWrap/>
            <w:vAlign w:val="center"/>
            <w:hideMark/>
          </w:tcPr>
          <w:p w14:paraId="678E22A0"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1399" w:type="pct"/>
            <w:gridSpan w:val="4"/>
            <w:tcBorders>
              <w:top w:val="single" w:sz="18" w:space="0" w:color="auto"/>
              <w:left w:val="nil"/>
              <w:bottom w:val="single" w:sz="4" w:space="0" w:color="auto"/>
              <w:right w:val="nil"/>
            </w:tcBorders>
            <w:shd w:val="clear" w:color="auto" w:fill="auto"/>
            <w:noWrap/>
            <w:vAlign w:val="center"/>
            <w:hideMark/>
          </w:tcPr>
          <w:p w14:paraId="52D33CF3"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Under-hiring</w:t>
            </w:r>
          </w:p>
        </w:tc>
        <w:tc>
          <w:tcPr>
            <w:tcW w:w="79" w:type="pct"/>
            <w:tcBorders>
              <w:top w:val="single" w:sz="18" w:space="0" w:color="auto"/>
              <w:left w:val="nil"/>
              <w:bottom w:val="nil"/>
              <w:right w:val="nil"/>
            </w:tcBorders>
            <w:shd w:val="clear" w:color="auto" w:fill="auto"/>
            <w:noWrap/>
            <w:vAlign w:val="center"/>
            <w:hideMark/>
          </w:tcPr>
          <w:p w14:paraId="0CD6148A"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1399" w:type="pct"/>
            <w:gridSpan w:val="4"/>
            <w:tcBorders>
              <w:top w:val="single" w:sz="18" w:space="0" w:color="auto"/>
              <w:left w:val="nil"/>
              <w:bottom w:val="single" w:sz="4" w:space="0" w:color="auto"/>
              <w:right w:val="nil"/>
            </w:tcBorders>
            <w:shd w:val="clear" w:color="auto" w:fill="auto"/>
            <w:noWrap/>
            <w:vAlign w:val="center"/>
            <w:hideMark/>
          </w:tcPr>
          <w:p w14:paraId="0BDEB8F2"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Over-firing</w:t>
            </w:r>
          </w:p>
        </w:tc>
      </w:tr>
      <w:tr w:rsidR="00016D40" w:rsidRPr="00CA1166" w14:paraId="5AA8E160" w14:textId="77777777" w:rsidTr="00CD1FDD">
        <w:trPr>
          <w:trHeight w:val="205"/>
          <w:jc w:val="center"/>
        </w:trPr>
        <w:tc>
          <w:tcPr>
            <w:tcW w:w="647" w:type="pct"/>
            <w:tcBorders>
              <w:top w:val="nil"/>
              <w:left w:val="nil"/>
              <w:bottom w:val="single" w:sz="4" w:space="0" w:color="auto"/>
              <w:right w:val="nil"/>
            </w:tcBorders>
            <w:shd w:val="clear" w:color="auto" w:fill="auto"/>
            <w:noWrap/>
            <w:vAlign w:val="bottom"/>
            <w:hideMark/>
          </w:tcPr>
          <w:p w14:paraId="46437826"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49" w:type="pct"/>
            <w:tcBorders>
              <w:top w:val="single" w:sz="4" w:space="0" w:color="auto"/>
              <w:left w:val="nil"/>
              <w:bottom w:val="single" w:sz="4" w:space="0" w:color="auto"/>
              <w:right w:val="nil"/>
            </w:tcBorders>
            <w:shd w:val="clear" w:color="auto" w:fill="auto"/>
            <w:noWrap/>
            <w:vAlign w:val="center"/>
            <w:hideMark/>
          </w:tcPr>
          <w:p w14:paraId="25652C0A"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w:t>
            </w:r>
          </w:p>
        </w:tc>
        <w:tc>
          <w:tcPr>
            <w:tcW w:w="349" w:type="pct"/>
            <w:tcBorders>
              <w:top w:val="single" w:sz="4" w:space="0" w:color="auto"/>
              <w:left w:val="nil"/>
              <w:bottom w:val="single" w:sz="4" w:space="0" w:color="auto"/>
              <w:right w:val="nil"/>
            </w:tcBorders>
            <w:shd w:val="clear" w:color="auto" w:fill="auto"/>
            <w:noWrap/>
            <w:vAlign w:val="center"/>
            <w:hideMark/>
          </w:tcPr>
          <w:p w14:paraId="35573421"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(2)</w:t>
            </w:r>
          </w:p>
        </w:tc>
        <w:tc>
          <w:tcPr>
            <w:tcW w:w="349" w:type="pct"/>
            <w:tcBorders>
              <w:top w:val="single" w:sz="4" w:space="0" w:color="auto"/>
              <w:left w:val="nil"/>
              <w:bottom w:val="single" w:sz="4" w:space="0" w:color="auto"/>
              <w:right w:val="nil"/>
            </w:tcBorders>
            <w:shd w:val="clear" w:color="auto" w:fill="auto"/>
            <w:noWrap/>
            <w:vAlign w:val="center"/>
            <w:hideMark/>
          </w:tcPr>
          <w:p w14:paraId="6D77AE2D"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(3)</w:t>
            </w:r>
          </w:p>
        </w:tc>
        <w:tc>
          <w:tcPr>
            <w:tcW w:w="349" w:type="pct"/>
            <w:tcBorders>
              <w:top w:val="single" w:sz="4" w:space="0" w:color="auto"/>
              <w:left w:val="nil"/>
              <w:bottom w:val="single" w:sz="4" w:space="0" w:color="auto"/>
              <w:right w:val="nil"/>
            </w:tcBorders>
            <w:shd w:val="clear" w:color="auto" w:fill="auto"/>
            <w:noWrap/>
            <w:vAlign w:val="center"/>
            <w:hideMark/>
          </w:tcPr>
          <w:p w14:paraId="2361EC89"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(4)</w:t>
            </w:r>
          </w:p>
        </w:tc>
        <w:tc>
          <w:tcPr>
            <w:tcW w:w="79" w:type="pct"/>
            <w:tcBorders>
              <w:top w:val="nil"/>
              <w:left w:val="nil"/>
              <w:bottom w:val="single" w:sz="4" w:space="0" w:color="auto"/>
              <w:right w:val="nil"/>
            </w:tcBorders>
            <w:shd w:val="clear" w:color="auto" w:fill="auto"/>
            <w:noWrap/>
            <w:vAlign w:val="center"/>
            <w:hideMark/>
          </w:tcPr>
          <w:p w14:paraId="7EBC04BB"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50" w:type="pct"/>
            <w:tcBorders>
              <w:top w:val="single" w:sz="4" w:space="0" w:color="auto"/>
              <w:left w:val="nil"/>
              <w:bottom w:val="single" w:sz="4" w:space="0" w:color="auto"/>
              <w:right w:val="nil"/>
            </w:tcBorders>
            <w:shd w:val="clear" w:color="auto" w:fill="auto"/>
            <w:noWrap/>
            <w:vAlign w:val="center"/>
            <w:hideMark/>
          </w:tcPr>
          <w:p w14:paraId="0E0E6649"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(5)</w:t>
            </w:r>
          </w:p>
        </w:tc>
        <w:tc>
          <w:tcPr>
            <w:tcW w:w="350" w:type="pct"/>
            <w:tcBorders>
              <w:top w:val="single" w:sz="4" w:space="0" w:color="auto"/>
              <w:left w:val="nil"/>
              <w:bottom w:val="single" w:sz="4" w:space="0" w:color="auto"/>
              <w:right w:val="nil"/>
            </w:tcBorders>
            <w:shd w:val="clear" w:color="auto" w:fill="auto"/>
            <w:noWrap/>
            <w:vAlign w:val="center"/>
            <w:hideMark/>
          </w:tcPr>
          <w:p w14:paraId="5976A4CF"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(6)</w:t>
            </w:r>
          </w:p>
        </w:tc>
        <w:tc>
          <w:tcPr>
            <w:tcW w:w="350" w:type="pct"/>
            <w:tcBorders>
              <w:top w:val="single" w:sz="4" w:space="0" w:color="auto"/>
              <w:left w:val="nil"/>
              <w:bottom w:val="single" w:sz="4" w:space="0" w:color="auto"/>
              <w:right w:val="nil"/>
            </w:tcBorders>
            <w:shd w:val="clear" w:color="auto" w:fill="auto"/>
            <w:noWrap/>
            <w:vAlign w:val="center"/>
            <w:hideMark/>
          </w:tcPr>
          <w:p w14:paraId="379D6C12"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(7)</w:t>
            </w:r>
          </w:p>
        </w:tc>
        <w:tc>
          <w:tcPr>
            <w:tcW w:w="350" w:type="pct"/>
            <w:tcBorders>
              <w:top w:val="single" w:sz="4" w:space="0" w:color="auto"/>
              <w:left w:val="nil"/>
              <w:bottom w:val="single" w:sz="4" w:space="0" w:color="auto"/>
              <w:right w:val="nil"/>
            </w:tcBorders>
            <w:shd w:val="clear" w:color="auto" w:fill="auto"/>
            <w:noWrap/>
            <w:vAlign w:val="center"/>
            <w:hideMark/>
          </w:tcPr>
          <w:p w14:paraId="2D47C455"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(8)</w:t>
            </w:r>
          </w:p>
        </w:tc>
        <w:tc>
          <w:tcPr>
            <w:tcW w:w="79" w:type="pct"/>
            <w:tcBorders>
              <w:top w:val="nil"/>
              <w:left w:val="nil"/>
              <w:bottom w:val="single" w:sz="4" w:space="0" w:color="auto"/>
              <w:right w:val="nil"/>
            </w:tcBorders>
            <w:shd w:val="clear" w:color="auto" w:fill="auto"/>
            <w:noWrap/>
            <w:vAlign w:val="center"/>
            <w:hideMark/>
          </w:tcPr>
          <w:p w14:paraId="3543C9E5" w14:textId="77777777" w:rsidR="00016D40" w:rsidRPr="00CA1166" w:rsidRDefault="00016D40" w:rsidP="00CD1FDD">
            <w:pPr>
              <w:spacing w:after="0" w:line="240" w:lineRule="auto"/>
              <w:jc w:val="center"/>
              <w:rPr>
                <w:rFonts w:eastAsia="Times New Roman" w:cs="Calibri"/>
                <w:b/>
                <w:bCs/>
                <w:color w:val="000000"/>
                <w:sz w:val="20"/>
                <w:szCs w:val="20"/>
              </w:rPr>
            </w:pPr>
          </w:p>
        </w:tc>
        <w:tc>
          <w:tcPr>
            <w:tcW w:w="350" w:type="pct"/>
            <w:tcBorders>
              <w:top w:val="single" w:sz="4" w:space="0" w:color="auto"/>
              <w:left w:val="nil"/>
              <w:bottom w:val="single" w:sz="4" w:space="0" w:color="auto"/>
              <w:right w:val="nil"/>
            </w:tcBorders>
            <w:shd w:val="clear" w:color="auto" w:fill="auto"/>
            <w:noWrap/>
            <w:vAlign w:val="center"/>
            <w:hideMark/>
          </w:tcPr>
          <w:p w14:paraId="04A527F1"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(9)</w:t>
            </w:r>
          </w:p>
        </w:tc>
        <w:tc>
          <w:tcPr>
            <w:tcW w:w="350" w:type="pct"/>
            <w:tcBorders>
              <w:top w:val="single" w:sz="4" w:space="0" w:color="auto"/>
              <w:left w:val="nil"/>
              <w:bottom w:val="single" w:sz="4" w:space="0" w:color="auto"/>
              <w:right w:val="nil"/>
            </w:tcBorders>
            <w:shd w:val="clear" w:color="auto" w:fill="auto"/>
            <w:noWrap/>
            <w:vAlign w:val="center"/>
            <w:hideMark/>
          </w:tcPr>
          <w:p w14:paraId="4EFA028B"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(10)</w:t>
            </w:r>
          </w:p>
        </w:tc>
        <w:tc>
          <w:tcPr>
            <w:tcW w:w="350" w:type="pct"/>
            <w:tcBorders>
              <w:top w:val="single" w:sz="4" w:space="0" w:color="auto"/>
              <w:left w:val="nil"/>
              <w:bottom w:val="single" w:sz="4" w:space="0" w:color="auto"/>
              <w:right w:val="nil"/>
            </w:tcBorders>
            <w:shd w:val="clear" w:color="auto" w:fill="auto"/>
            <w:noWrap/>
            <w:vAlign w:val="center"/>
            <w:hideMark/>
          </w:tcPr>
          <w:p w14:paraId="68407EF6"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(11)</w:t>
            </w:r>
          </w:p>
        </w:tc>
        <w:tc>
          <w:tcPr>
            <w:tcW w:w="350" w:type="pct"/>
            <w:tcBorders>
              <w:top w:val="single" w:sz="4" w:space="0" w:color="auto"/>
              <w:left w:val="nil"/>
              <w:bottom w:val="single" w:sz="4" w:space="0" w:color="auto"/>
              <w:right w:val="nil"/>
            </w:tcBorders>
            <w:shd w:val="clear" w:color="auto" w:fill="auto"/>
            <w:noWrap/>
            <w:vAlign w:val="center"/>
            <w:hideMark/>
          </w:tcPr>
          <w:p w14:paraId="0D5395DC"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(12)</w:t>
            </w:r>
          </w:p>
        </w:tc>
      </w:tr>
      <w:tr w:rsidR="00016D40" w:rsidRPr="00CA1166" w14:paraId="17B43729" w14:textId="77777777" w:rsidTr="00CD1FDD">
        <w:trPr>
          <w:trHeight w:val="229"/>
          <w:jc w:val="center"/>
        </w:trPr>
        <w:tc>
          <w:tcPr>
            <w:tcW w:w="647" w:type="pct"/>
            <w:tcBorders>
              <w:top w:val="single" w:sz="4" w:space="0" w:color="auto"/>
              <w:left w:val="nil"/>
              <w:bottom w:val="nil"/>
              <w:right w:val="nil"/>
            </w:tcBorders>
            <w:shd w:val="clear" w:color="auto" w:fill="auto"/>
            <w:noWrap/>
            <w:vAlign w:val="center"/>
            <w:hideMark/>
          </w:tcPr>
          <w:p w14:paraId="1BDB1285"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349" w:type="pct"/>
            <w:tcBorders>
              <w:top w:val="single" w:sz="4" w:space="0" w:color="auto"/>
              <w:left w:val="nil"/>
              <w:bottom w:val="nil"/>
              <w:right w:val="nil"/>
            </w:tcBorders>
            <w:shd w:val="clear" w:color="auto" w:fill="auto"/>
            <w:noWrap/>
            <w:vAlign w:val="center"/>
            <w:hideMark/>
          </w:tcPr>
          <w:p w14:paraId="3E62285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-0.381***</w:t>
            </w:r>
          </w:p>
        </w:tc>
        <w:tc>
          <w:tcPr>
            <w:tcW w:w="349" w:type="pct"/>
            <w:tcBorders>
              <w:top w:val="single" w:sz="4" w:space="0" w:color="auto"/>
              <w:left w:val="nil"/>
              <w:bottom w:val="nil"/>
              <w:right w:val="nil"/>
            </w:tcBorders>
            <w:shd w:val="clear" w:color="auto" w:fill="auto"/>
            <w:noWrap/>
            <w:vAlign w:val="center"/>
            <w:hideMark/>
          </w:tcPr>
          <w:p w14:paraId="56B2A25E" w14:textId="77777777" w:rsidR="00016D40" w:rsidRPr="00CA1166" w:rsidRDefault="00016D40" w:rsidP="00CD1FDD">
            <w:pPr>
              <w:spacing w:after="0" w:line="240" w:lineRule="auto"/>
              <w:jc w:val="center"/>
              <w:rPr>
                <w:rFonts w:eastAsia="Times New Roman" w:cs="Calibri"/>
                <w:color w:val="000000"/>
                <w:sz w:val="20"/>
                <w:szCs w:val="20"/>
              </w:rPr>
            </w:pPr>
          </w:p>
        </w:tc>
        <w:tc>
          <w:tcPr>
            <w:tcW w:w="349" w:type="pct"/>
            <w:tcBorders>
              <w:top w:val="single" w:sz="4" w:space="0" w:color="auto"/>
              <w:left w:val="nil"/>
              <w:bottom w:val="nil"/>
              <w:right w:val="nil"/>
            </w:tcBorders>
            <w:shd w:val="clear" w:color="auto" w:fill="auto"/>
            <w:noWrap/>
            <w:vAlign w:val="center"/>
            <w:hideMark/>
          </w:tcPr>
          <w:p w14:paraId="1E0BC74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single" w:sz="4" w:space="0" w:color="auto"/>
              <w:left w:val="nil"/>
              <w:bottom w:val="nil"/>
              <w:right w:val="nil"/>
            </w:tcBorders>
            <w:shd w:val="clear" w:color="auto" w:fill="auto"/>
            <w:noWrap/>
            <w:vAlign w:val="center"/>
            <w:hideMark/>
          </w:tcPr>
          <w:p w14:paraId="44E9453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single" w:sz="4" w:space="0" w:color="auto"/>
              <w:left w:val="nil"/>
              <w:bottom w:val="nil"/>
              <w:right w:val="nil"/>
            </w:tcBorders>
            <w:shd w:val="clear" w:color="auto" w:fill="auto"/>
            <w:noWrap/>
            <w:vAlign w:val="center"/>
            <w:hideMark/>
          </w:tcPr>
          <w:p w14:paraId="4412097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single" w:sz="4" w:space="0" w:color="auto"/>
              <w:left w:val="nil"/>
              <w:bottom w:val="nil"/>
              <w:right w:val="nil"/>
            </w:tcBorders>
            <w:shd w:val="clear" w:color="auto" w:fill="auto"/>
            <w:noWrap/>
            <w:vAlign w:val="center"/>
            <w:hideMark/>
          </w:tcPr>
          <w:p w14:paraId="03018E3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-0.338***</w:t>
            </w:r>
          </w:p>
        </w:tc>
        <w:tc>
          <w:tcPr>
            <w:tcW w:w="350" w:type="pct"/>
            <w:tcBorders>
              <w:top w:val="single" w:sz="4" w:space="0" w:color="auto"/>
              <w:left w:val="nil"/>
              <w:bottom w:val="nil"/>
              <w:right w:val="nil"/>
            </w:tcBorders>
            <w:shd w:val="clear" w:color="auto" w:fill="auto"/>
            <w:noWrap/>
            <w:vAlign w:val="center"/>
            <w:hideMark/>
          </w:tcPr>
          <w:p w14:paraId="6DBAB7F6"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single" w:sz="4" w:space="0" w:color="auto"/>
              <w:left w:val="nil"/>
              <w:bottom w:val="nil"/>
              <w:right w:val="nil"/>
            </w:tcBorders>
            <w:shd w:val="clear" w:color="auto" w:fill="auto"/>
            <w:noWrap/>
            <w:vAlign w:val="center"/>
            <w:hideMark/>
          </w:tcPr>
          <w:p w14:paraId="2F30579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single" w:sz="4" w:space="0" w:color="auto"/>
              <w:left w:val="nil"/>
              <w:bottom w:val="nil"/>
              <w:right w:val="nil"/>
            </w:tcBorders>
            <w:shd w:val="clear" w:color="auto" w:fill="auto"/>
            <w:noWrap/>
            <w:vAlign w:val="center"/>
            <w:hideMark/>
          </w:tcPr>
          <w:p w14:paraId="6C9D637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single" w:sz="4" w:space="0" w:color="auto"/>
              <w:left w:val="nil"/>
              <w:bottom w:val="nil"/>
              <w:right w:val="nil"/>
            </w:tcBorders>
            <w:shd w:val="clear" w:color="auto" w:fill="auto"/>
            <w:noWrap/>
            <w:vAlign w:val="center"/>
            <w:hideMark/>
          </w:tcPr>
          <w:p w14:paraId="6CFDD91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single" w:sz="4" w:space="0" w:color="auto"/>
              <w:left w:val="nil"/>
              <w:bottom w:val="nil"/>
              <w:right w:val="nil"/>
            </w:tcBorders>
            <w:shd w:val="clear" w:color="auto" w:fill="auto"/>
            <w:noWrap/>
            <w:vAlign w:val="center"/>
            <w:hideMark/>
          </w:tcPr>
          <w:p w14:paraId="617E5A2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-0.566***</w:t>
            </w:r>
          </w:p>
        </w:tc>
        <w:tc>
          <w:tcPr>
            <w:tcW w:w="350" w:type="pct"/>
            <w:tcBorders>
              <w:top w:val="single" w:sz="4" w:space="0" w:color="auto"/>
              <w:left w:val="nil"/>
              <w:bottom w:val="nil"/>
              <w:right w:val="nil"/>
            </w:tcBorders>
            <w:shd w:val="clear" w:color="auto" w:fill="auto"/>
            <w:noWrap/>
            <w:vAlign w:val="center"/>
            <w:hideMark/>
          </w:tcPr>
          <w:p w14:paraId="4754EAA0"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single" w:sz="4" w:space="0" w:color="auto"/>
              <w:left w:val="nil"/>
              <w:bottom w:val="nil"/>
              <w:right w:val="nil"/>
            </w:tcBorders>
            <w:shd w:val="clear" w:color="auto" w:fill="auto"/>
            <w:noWrap/>
            <w:vAlign w:val="center"/>
            <w:hideMark/>
          </w:tcPr>
          <w:p w14:paraId="1FB9C3E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single" w:sz="4" w:space="0" w:color="auto"/>
              <w:left w:val="nil"/>
              <w:bottom w:val="nil"/>
              <w:right w:val="nil"/>
            </w:tcBorders>
            <w:shd w:val="clear" w:color="auto" w:fill="auto"/>
            <w:noWrap/>
            <w:vAlign w:val="center"/>
            <w:hideMark/>
          </w:tcPr>
          <w:p w14:paraId="349D759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64330E3" w14:textId="77777777" w:rsidTr="00CD1FDD">
        <w:trPr>
          <w:trHeight w:val="205"/>
          <w:jc w:val="center"/>
        </w:trPr>
        <w:tc>
          <w:tcPr>
            <w:tcW w:w="647" w:type="pct"/>
            <w:tcBorders>
              <w:top w:val="nil"/>
              <w:left w:val="nil"/>
              <w:bottom w:val="nil"/>
              <w:right w:val="nil"/>
            </w:tcBorders>
            <w:shd w:val="clear" w:color="auto" w:fill="auto"/>
            <w:noWrap/>
            <w:vAlign w:val="bottom"/>
            <w:hideMark/>
          </w:tcPr>
          <w:p w14:paraId="77B4E08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71179E6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(-7.48)</w:t>
            </w:r>
          </w:p>
        </w:tc>
        <w:tc>
          <w:tcPr>
            <w:tcW w:w="349" w:type="pct"/>
            <w:tcBorders>
              <w:top w:val="nil"/>
              <w:left w:val="nil"/>
              <w:bottom w:val="nil"/>
              <w:right w:val="nil"/>
            </w:tcBorders>
            <w:shd w:val="clear" w:color="auto" w:fill="auto"/>
            <w:noWrap/>
            <w:vAlign w:val="center"/>
            <w:hideMark/>
          </w:tcPr>
          <w:p w14:paraId="3225725F" w14:textId="77777777" w:rsidR="00016D40" w:rsidRPr="00CA1166" w:rsidRDefault="00016D40" w:rsidP="00CD1FDD">
            <w:pPr>
              <w:spacing w:after="0" w:line="240" w:lineRule="auto"/>
              <w:jc w:val="center"/>
              <w:rPr>
                <w:rFonts w:eastAsia="Times New Roman" w:cs="Calibri"/>
                <w:color w:val="000000"/>
                <w:sz w:val="20"/>
                <w:szCs w:val="20"/>
              </w:rPr>
            </w:pPr>
          </w:p>
        </w:tc>
        <w:tc>
          <w:tcPr>
            <w:tcW w:w="349" w:type="pct"/>
            <w:tcBorders>
              <w:top w:val="nil"/>
              <w:left w:val="nil"/>
              <w:bottom w:val="nil"/>
              <w:right w:val="nil"/>
            </w:tcBorders>
            <w:shd w:val="clear" w:color="auto" w:fill="auto"/>
            <w:noWrap/>
            <w:vAlign w:val="center"/>
            <w:hideMark/>
          </w:tcPr>
          <w:p w14:paraId="61A177F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0A83DCD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7FBC71C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B65F6A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(-6.18)</w:t>
            </w:r>
          </w:p>
        </w:tc>
        <w:tc>
          <w:tcPr>
            <w:tcW w:w="350" w:type="pct"/>
            <w:tcBorders>
              <w:top w:val="nil"/>
              <w:left w:val="nil"/>
              <w:bottom w:val="nil"/>
              <w:right w:val="nil"/>
            </w:tcBorders>
            <w:shd w:val="clear" w:color="auto" w:fill="auto"/>
            <w:noWrap/>
            <w:vAlign w:val="center"/>
            <w:hideMark/>
          </w:tcPr>
          <w:p w14:paraId="11B414DA"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44909AE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A927F9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61363D4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8DA33F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(-4.95)</w:t>
            </w:r>
          </w:p>
        </w:tc>
        <w:tc>
          <w:tcPr>
            <w:tcW w:w="350" w:type="pct"/>
            <w:tcBorders>
              <w:top w:val="nil"/>
              <w:left w:val="nil"/>
              <w:bottom w:val="nil"/>
              <w:right w:val="nil"/>
            </w:tcBorders>
            <w:shd w:val="clear" w:color="auto" w:fill="auto"/>
            <w:noWrap/>
            <w:vAlign w:val="center"/>
            <w:hideMark/>
          </w:tcPr>
          <w:p w14:paraId="6607B29D"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505C19D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858EB2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7DACC926" w14:textId="77777777" w:rsidTr="00CD1FDD">
        <w:trPr>
          <w:trHeight w:val="229"/>
          <w:jc w:val="center"/>
        </w:trPr>
        <w:tc>
          <w:tcPr>
            <w:tcW w:w="647" w:type="pct"/>
            <w:tcBorders>
              <w:top w:val="nil"/>
              <w:left w:val="nil"/>
              <w:bottom w:val="nil"/>
              <w:right w:val="nil"/>
            </w:tcBorders>
            <w:shd w:val="clear" w:color="auto" w:fill="auto"/>
            <w:noWrap/>
            <w:vAlign w:val="center"/>
            <w:hideMark/>
          </w:tcPr>
          <w:p w14:paraId="5AB71A9A"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349" w:type="pct"/>
            <w:tcBorders>
              <w:top w:val="nil"/>
              <w:left w:val="nil"/>
              <w:bottom w:val="nil"/>
              <w:right w:val="nil"/>
            </w:tcBorders>
            <w:shd w:val="clear" w:color="auto" w:fill="auto"/>
            <w:noWrap/>
            <w:vAlign w:val="center"/>
            <w:hideMark/>
          </w:tcPr>
          <w:p w14:paraId="3D84713E" w14:textId="77777777" w:rsidR="00016D40" w:rsidRPr="00CA1166" w:rsidRDefault="00016D40" w:rsidP="00CD1FDD">
            <w:pPr>
              <w:spacing w:after="0" w:line="240" w:lineRule="auto"/>
              <w:rPr>
                <w:rFonts w:eastAsia="Times New Roman" w:cs="Calibri"/>
                <w:i/>
                <w:iCs/>
                <w:color w:val="000000"/>
                <w:sz w:val="20"/>
                <w:szCs w:val="20"/>
              </w:rPr>
            </w:pPr>
          </w:p>
        </w:tc>
        <w:tc>
          <w:tcPr>
            <w:tcW w:w="349" w:type="pct"/>
            <w:tcBorders>
              <w:top w:val="nil"/>
              <w:left w:val="nil"/>
              <w:bottom w:val="nil"/>
              <w:right w:val="nil"/>
            </w:tcBorders>
            <w:shd w:val="clear" w:color="auto" w:fill="auto"/>
            <w:noWrap/>
            <w:vAlign w:val="center"/>
            <w:hideMark/>
          </w:tcPr>
          <w:p w14:paraId="1CF9359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-0.320***</w:t>
            </w:r>
          </w:p>
        </w:tc>
        <w:tc>
          <w:tcPr>
            <w:tcW w:w="349" w:type="pct"/>
            <w:tcBorders>
              <w:top w:val="nil"/>
              <w:left w:val="nil"/>
              <w:bottom w:val="nil"/>
              <w:right w:val="nil"/>
            </w:tcBorders>
            <w:shd w:val="clear" w:color="auto" w:fill="auto"/>
            <w:noWrap/>
            <w:vAlign w:val="center"/>
            <w:hideMark/>
          </w:tcPr>
          <w:p w14:paraId="1F888738" w14:textId="77777777" w:rsidR="00016D40" w:rsidRPr="00CA1166" w:rsidRDefault="00016D40" w:rsidP="00CD1FDD">
            <w:pPr>
              <w:spacing w:after="0" w:line="240" w:lineRule="auto"/>
              <w:jc w:val="center"/>
              <w:rPr>
                <w:rFonts w:eastAsia="Times New Roman" w:cs="Calibri"/>
                <w:color w:val="000000"/>
                <w:sz w:val="20"/>
                <w:szCs w:val="20"/>
              </w:rPr>
            </w:pPr>
          </w:p>
        </w:tc>
        <w:tc>
          <w:tcPr>
            <w:tcW w:w="349" w:type="pct"/>
            <w:tcBorders>
              <w:top w:val="nil"/>
              <w:left w:val="nil"/>
              <w:bottom w:val="nil"/>
              <w:right w:val="nil"/>
            </w:tcBorders>
            <w:shd w:val="clear" w:color="auto" w:fill="auto"/>
            <w:noWrap/>
            <w:vAlign w:val="center"/>
            <w:hideMark/>
          </w:tcPr>
          <w:p w14:paraId="53B821C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59F465C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0FF1234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30E396D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-0.255***</w:t>
            </w:r>
          </w:p>
        </w:tc>
        <w:tc>
          <w:tcPr>
            <w:tcW w:w="350" w:type="pct"/>
            <w:tcBorders>
              <w:top w:val="nil"/>
              <w:left w:val="nil"/>
              <w:bottom w:val="nil"/>
              <w:right w:val="nil"/>
            </w:tcBorders>
            <w:shd w:val="clear" w:color="auto" w:fill="auto"/>
            <w:noWrap/>
            <w:vAlign w:val="center"/>
            <w:hideMark/>
          </w:tcPr>
          <w:p w14:paraId="261F72FB"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1F8AC0B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29108C9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AEE61B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62749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-0.593***</w:t>
            </w:r>
          </w:p>
        </w:tc>
        <w:tc>
          <w:tcPr>
            <w:tcW w:w="350" w:type="pct"/>
            <w:tcBorders>
              <w:top w:val="nil"/>
              <w:left w:val="nil"/>
              <w:bottom w:val="nil"/>
              <w:right w:val="nil"/>
            </w:tcBorders>
            <w:shd w:val="clear" w:color="auto" w:fill="auto"/>
            <w:noWrap/>
            <w:vAlign w:val="center"/>
            <w:hideMark/>
          </w:tcPr>
          <w:p w14:paraId="4C34D6A2"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221AEAC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52ACB3C7" w14:textId="77777777" w:rsidTr="00CD1FDD">
        <w:trPr>
          <w:trHeight w:val="205"/>
          <w:jc w:val="center"/>
        </w:trPr>
        <w:tc>
          <w:tcPr>
            <w:tcW w:w="647" w:type="pct"/>
            <w:tcBorders>
              <w:top w:val="nil"/>
              <w:left w:val="nil"/>
              <w:bottom w:val="nil"/>
              <w:right w:val="nil"/>
            </w:tcBorders>
            <w:shd w:val="clear" w:color="auto" w:fill="auto"/>
            <w:noWrap/>
            <w:vAlign w:val="bottom"/>
            <w:hideMark/>
          </w:tcPr>
          <w:p w14:paraId="68ADAB3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698F4DDA"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39AA865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(-4.32)</w:t>
            </w:r>
          </w:p>
        </w:tc>
        <w:tc>
          <w:tcPr>
            <w:tcW w:w="349" w:type="pct"/>
            <w:tcBorders>
              <w:top w:val="nil"/>
              <w:left w:val="nil"/>
              <w:bottom w:val="nil"/>
              <w:right w:val="nil"/>
            </w:tcBorders>
            <w:shd w:val="clear" w:color="auto" w:fill="auto"/>
            <w:noWrap/>
            <w:vAlign w:val="center"/>
            <w:hideMark/>
          </w:tcPr>
          <w:p w14:paraId="5DF10296" w14:textId="77777777" w:rsidR="00016D40" w:rsidRPr="00CA1166" w:rsidRDefault="00016D40" w:rsidP="00CD1FDD">
            <w:pPr>
              <w:spacing w:after="0" w:line="240" w:lineRule="auto"/>
              <w:jc w:val="center"/>
              <w:rPr>
                <w:rFonts w:eastAsia="Times New Roman" w:cs="Calibri"/>
                <w:color w:val="000000"/>
                <w:sz w:val="20"/>
                <w:szCs w:val="20"/>
              </w:rPr>
            </w:pPr>
          </w:p>
        </w:tc>
        <w:tc>
          <w:tcPr>
            <w:tcW w:w="349" w:type="pct"/>
            <w:tcBorders>
              <w:top w:val="nil"/>
              <w:left w:val="nil"/>
              <w:bottom w:val="nil"/>
              <w:right w:val="nil"/>
            </w:tcBorders>
            <w:shd w:val="clear" w:color="auto" w:fill="auto"/>
            <w:noWrap/>
            <w:vAlign w:val="center"/>
            <w:hideMark/>
          </w:tcPr>
          <w:p w14:paraId="01FD10C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647A804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4A98350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4C3658F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(-3.29)</w:t>
            </w:r>
          </w:p>
        </w:tc>
        <w:tc>
          <w:tcPr>
            <w:tcW w:w="350" w:type="pct"/>
            <w:tcBorders>
              <w:top w:val="nil"/>
              <w:left w:val="nil"/>
              <w:bottom w:val="nil"/>
              <w:right w:val="nil"/>
            </w:tcBorders>
            <w:shd w:val="clear" w:color="auto" w:fill="auto"/>
            <w:noWrap/>
            <w:vAlign w:val="center"/>
            <w:hideMark/>
          </w:tcPr>
          <w:p w14:paraId="5BFF7091"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718E420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9" w:type="pct"/>
            <w:tcBorders>
              <w:top w:val="nil"/>
              <w:left w:val="nil"/>
              <w:bottom w:val="nil"/>
              <w:right w:val="nil"/>
            </w:tcBorders>
            <w:shd w:val="clear" w:color="auto" w:fill="auto"/>
            <w:noWrap/>
            <w:vAlign w:val="center"/>
            <w:hideMark/>
          </w:tcPr>
          <w:p w14:paraId="798871E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0286263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6F743B6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(-3.20)</w:t>
            </w:r>
          </w:p>
        </w:tc>
        <w:tc>
          <w:tcPr>
            <w:tcW w:w="350" w:type="pct"/>
            <w:tcBorders>
              <w:top w:val="nil"/>
              <w:left w:val="nil"/>
              <w:bottom w:val="nil"/>
              <w:right w:val="nil"/>
            </w:tcBorders>
            <w:shd w:val="clear" w:color="auto" w:fill="auto"/>
            <w:noWrap/>
            <w:vAlign w:val="center"/>
            <w:hideMark/>
          </w:tcPr>
          <w:p w14:paraId="5918E10D"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2A7E847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98435AB" w14:textId="77777777" w:rsidTr="00CD1FDD">
        <w:trPr>
          <w:trHeight w:val="229"/>
          <w:jc w:val="center"/>
        </w:trPr>
        <w:tc>
          <w:tcPr>
            <w:tcW w:w="647" w:type="pct"/>
            <w:tcBorders>
              <w:top w:val="nil"/>
              <w:left w:val="nil"/>
              <w:bottom w:val="nil"/>
              <w:right w:val="nil"/>
            </w:tcBorders>
            <w:shd w:val="clear" w:color="auto" w:fill="auto"/>
            <w:noWrap/>
            <w:vAlign w:val="center"/>
            <w:hideMark/>
          </w:tcPr>
          <w:p w14:paraId="4679BE5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349" w:type="pct"/>
            <w:tcBorders>
              <w:top w:val="nil"/>
              <w:left w:val="nil"/>
              <w:bottom w:val="nil"/>
              <w:right w:val="nil"/>
            </w:tcBorders>
            <w:shd w:val="clear" w:color="auto" w:fill="auto"/>
            <w:noWrap/>
            <w:vAlign w:val="center"/>
            <w:hideMark/>
          </w:tcPr>
          <w:p w14:paraId="47891DA0" w14:textId="77777777" w:rsidR="00016D40" w:rsidRPr="00CA1166" w:rsidRDefault="00016D40" w:rsidP="00CD1FDD">
            <w:pPr>
              <w:spacing w:after="0" w:line="240" w:lineRule="auto"/>
              <w:rPr>
                <w:rFonts w:eastAsia="Times New Roman" w:cs="Calibri"/>
                <w:i/>
                <w:iCs/>
                <w:color w:val="000000"/>
                <w:sz w:val="20"/>
                <w:szCs w:val="20"/>
              </w:rPr>
            </w:pPr>
          </w:p>
        </w:tc>
        <w:tc>
          <w:tcPr>
            <w:tcW w:w="349" w:type="pct"/>
            <w:tcBorders>
              <w:top w:val="nil"/>
              <w:left w:val="nil"/>
              <w:bottom w:val="nil"/>
              <w:right w:val="nil"/>
            </w:tcBorders>
            <w:shd w:val="clear" w:color="auto" w:fill="auto"/>
            <w:noWrap/>
            <w:vAlign w:val="center"/>
            <w:hideMark/>
          </w:tcPr>
          <w:p w14:paraId="7242582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763D49A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-0.323***</w:t>
            </w:r>
          </w:p>
        </w:tc>
        <w:tc>
          <w:tcPr>
            <w:tcW w:w="349" w:type="pct"/>
            <w:tcBorders>
              <w:top w:val="nil"/>
              <w:left w:val="nil"/>
              <w:bottom w:val="nil"/>
              <w:right w:val="nil"/>
            </w:tcBorders>
            <w:shd w:val="clear" w:color="auto" w:fill="auto"/>
            <w:noWrap/>
            <w:vAlign w:val="center"/>
            <w:hideMark/>
          </w:tcPr>
          <w:p w14:paraId="28406CF5" w14:textId="77777777" w:rsidR="00016D40" w:rsidRPr="00CA1166" w:rsidRDefault="00016D40" w:rsidP="00CD1FDD">
            <w:pPr>
              <w:spacing w:after="0" w:line="240" w:lineRule="auto"/>
              <w:jc w:val="center"/>
              <w:rPr>
                <w:rFonts w:eastAsia="Times New Roman" w:cs="Calibri"/>
                <w:color w:val="000000"/>
                <w:sz w:val="20"/>
                <w:szCs w:val="20"/>
              </w:rPr>
            </w:pPr>
          </w:p>
        </w:tc>
        <w:tc>
          <w:tcPr>
            <w:tcW w:w="79" w:type="pct"/>
            <w:tcBorders>
              <w:top w:val="nil"/>
              <w:left w:val="nil"/>
              <w:bottom w:val="nil"/>
              <w:right w:val="nil"/>
            </w:tcBorders>
            <w:shd w:val="clear" w:color="auto" w:fill="auto"/>
            <w:noWrap/>
            <w:vAlign w:val="center"/>
            <w:hideMark/>
          </w:tcPr>
          <w:p w14:paraId="4AA0B74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12A3716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341B9F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B87C16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-0.293***</w:t>
            </w:r>
          </w:p>
        </w:tc>
        <w:tc>
          <w:tcPr>
            <w:tcW w:w="350" w:type="pct"/>
            <w:tcBorders>
              <w:top w:val="nil"/>
              <w:left w:val="nil"/>
              <w:bottom w:val="nil"/>
              <w:right w:val="nil"/>
            </w:tcBorders>
            <w:shd w:val="clear" w:color="auto" w:fill="auto"/>
            <w:noWrap/>
            <w:vAlign w:val="center"/>
            <w:hideMark/>
          </w:tcPr>
          <w:p w14:paraId="121428C6" w14:textId="77777777" w:rsidR="00016D40" w:rsidRPr="00CA1166" w:rsidRDefault="00016D40" w:rsidP="00CD1FDD">
            <w:pPr>
              <w:spacing w:after="0" w:line="240" w:lineRule="auto"/>
              <w:jc w:val="center"/>
              <w:rPr>
                <w:rFonts w:eastAsia="Times New Roman" w:cs="Calibri"/>
                <w:color w:val="000000"/>
                <w:sz w:val="20"/>
                <w:szCs w:val="20"/>
              </w:rPr>
            </w:pPr>
          </w:p>
        </w:tc>
        <w:tc>
          <w:tcPr>
            <w:tcW w:w="79" w:type="pct"/>
            <w:tcBorders>
              <w:top w:val="nil"/>
              <w:left w:val="nil"/>
              <w:bottom w:val="nil"/>
              <w:right w:val="nil"/>
            </w:tcBorders>
            <w:shd w:val="clear" w:color="auto" w:fill="auto"/>
            <w:noWrap/>
            <w:vAlign w:val="center"/>
            <w:hideMark/>
          </w:tcPr>
          <w:p w14:paraId="2A6CF3E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30D65CD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AB5194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0097527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-0.469***</w:t>
            </w:r>
          </w:p>
        </w:tc>
        <w:tc>
          <w:tcPr>
            <w:tcW w:w="350" w:type="pct"/>
            <w:tcBorders>
              <w:top w:val="nil"/>
              <w:left w:val="nil"/>
              <w:bottom w:val="nil"/>
              <w:right w:val="nil"/>
            </w:tcBorders>
            <w:shd w:val="clear" w:color="auto" w:fill="auto"/>
            <w:noWrap/>
            <w:vAlign w:val="center"/>
            <w:hideMark/>
          </w:tcPr>
          <w:p w14:paraId="4844913A"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44AD0F5F" w14:textId="77777777" w:rsidTr="00CD1FDD">
        <w:trPr>
          <w:trHeight w:val="205"/>
          <w:jc w:val="center"/>
        </w:trPr>
        <w:tc>
          <w:tcPr>
            <w:tcW w:w="647" w:type="pct"/>
            <w:tcBorders>
              <w:top w:val="nil"/>
              <w:left w:val="nil"/>
              <w:bottom w:val="nil"/>
              <w:right w:val="nil"/>
            </w:tcBorders>
            <w:shd w:val="clear" w:color="auto" w:fill="auto"/>
            <w:noWrap/>
            <w:vAlign w:val="bottom"/>
            <w:hideMark/>
          </w:tcPr>
          <w:p w14:paraId="300B86A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4539DB4F"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579F3E5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132764E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(-6.05)</w:t>
            </w:r>
          </w:p>
        </w:tc>
        <w:tc>
          <w:tcPr>
            <w:tcW w:w="349" w:type="pct"/>
            <w:tcBorders>
              <w:top w:val="nil"/>
              <w:left w:val="nil"/>
              <w:bottom w:val="nil"/>
              <w:right w:val="nil"/>
            </w:tcBorders>
            <w:shd w:val="clear" w:color="auto" w:fill="auto"/>
            <w:noWrap/>
            <w:vAlign w:val="center"/>
            <w:hideMark/>
          </w:tcPr>
          <w:p w14:paraId="6955B3F9" w14:textId="77777777" w:rsidR="00016D40" w:rsidRPr="00CA1166" w:rsidRDefault="00016D40" w:rsidP="00CD1FDD">
            <w:pPr>
              <w:spacing w:after="0" w:line="240" w:lineRule="auto"/>
              <w:jc w:val="center"/>
              <w:rPr>
                <w:rFonts w:eastAsia="Times New Roman" w:cs="Calibri"/>
                <w:color w:val="000000"/>
                <w:sz w:val="20"/>
                <w:szCs w:val="20"/>
              </w:rPr>
            </w:pPr>
          </w:p>
        </w:tc>
        <w:tc>
          <w:tcPr>
            <w:tcW w:w="79" w:type="pct"/>
            <w:tcBorders>
              <w:top w:val="nil"/>
              <w:left w:val="nil"/>
              <w:bottom w:val="nil"/>
              <w:right w:val="nil"/>
            </w:tcBorders>
            <w:shd w:val="clear" w:color="auto" w:fill="auto"/>
            <w:noWrap/>
            <w:vAlign w:val="center"/>
            <w:hideMark/>
          </w:tcPr>
          <w:p w14:paraId="17E6460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81A3E7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1DAF14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67665A6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(-5.04)</w:t>
            </w:r>
          </w:p>
        </w:tc>
        <w:tc>
          <w:tcPr>
            <w:tcW w:w="350" w:type="pct"/>
            <w:tcBorders>
              <w:top w:val="nil"/>
              <w:left w:val="nil"/>
              <w:bottom w:val="nil"/>
              <w:right w:val="nil"/>
            </w:tcBorders>
            <w:shd w:val="clear" w:color="auto" w:fill="auto"/>
            <w:noWrap/>
            <w:vAlign w:val="center"/>
            <w:hideMark/>
          </w:tcPr>
          <w:p w14:paraId="5CA6EAB2" w14:textId="77777777" w:rsidR="00016D40" w:rsidRPr="00CA1166" w:rsidRDefault="00016D40" w:rsidP="00CD1FDD">
            <w:pPr>
              <w:spacing w:after="0" w:line="240" w:lineRule="auto"/>
              <w:jc w:val="center"/>
              <w:rPr>
                <w:rFonts w:eastAsia="Times New Roman" w:cs="Calibri"/>
                <w:color w:val="000000"/>
                <w:sz w:val="20"/>
                <w:szCs w:val="20"/>
              </w:rPr>
            </w:pPr>
          </w:p>
        </w:tc>
        <w:tc>
          <w:tcPr>
            <w:tcW w:w="79" w:type="pct"/>
            <w:tcBorders>
              <w:top w:val="nil"/>
              <w:left w:val="nil"/>
              <w:bottom w:val="nil"/>
              <w:right w:val="nil"/>
            </w:tcBorders>
            <w:shd w:val="clear" w:color="auto" w:fill="auto"/>
            <w:noWrap/>
            <w:vAlign w:val="center"/>
            <w:hideMark/>
          </w:tcPr>
          <w:p w14:paraId="0A86A13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69E423D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040771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425110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(-3.77)</w:t>
            </w:r>
          </w:p>
        </w:tc>
        <w:tc>
          <w:tcPr>
            <w:tcW w:w="350" w:type="pct"/>
            <w:tcBorders>
              <w:top w:val="nil"/>
              <w:left w:val="nil"/>
              <w:bottom w:val="nil"/>
              <w:right w:val="nil"/>
            </w:tcBorders>
            <w:shd w:val="clear" w:color="auto" w:fill="auto"/>
            <w:noWrap/>
            <w:vAlign w:val="center"/>
            <w:hideMark/>
          </w:tcPr>
          <w:p w14:paraId="4D0B46EF"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2B3C22F6" w14:textId="77777777" w:rsidTr="00CD1FDD">
        <w:trPr>
          <w:trHeight w:val="229"/>
          <w:jc w:val="center"/>
        </w:trPr>
        <w:tc>
          <w:tcPr>
            <w:tcW w:w="647" w:type="pct"/>
            <w:tcBorders>
              <w:top w:val="nil"/>
              <w:left w:val="nil"/>
              <w:bottom w:val="nil"/>
              <w:right w:val="nil"/>
            </w:tcBorders>
            <w:shd w:val="clear" w:color="auto" w:fill="auto"/>
            <w:noWrap/>
            <w:vAlign w:val="center"/>
            <w:hideMark/>
          </w:tcPr>
          <w:p w14:paraId="3E33937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349" w:type="pct"/>
            <w:tcBorders>
              <w:top w:val="nil"/>
              <w:left w:val="nil"/>
              <w:bottom w:val="nil"/>
              <w:right w:val="nil"/>
            </w:tcBorders>
            <w:shd w:val="clear" w:color="auto" w:fill="auto"/>
            <w:noWrap/>
            <w:vAlign w:val="center"/>
            <w:hideMark/>
          </w:tcPr>
          <w:p w14:paraId="5BAD21E8" w14:textId="77777777" w:rsidR="00016D40" w:rsidRPr="00CA1166" w:rsidRDefault="00016D40" w:rsidP="00CD1FDD">
            <w:pPr>
              <w:spacing w:after="0" w:line="240" w:lineRule="auto"/>
              <w:rPr>
                <w:rFonts w:eastAsia="Times New Roman" w:cs="Calibri"/>
                <w:i/>
                <w:iCs/>
                <w:color w:val="000000"/>
                <w:sz w:val="20"/>
                <w:szCs w:val="20"/>
              </w:rPr>
            </w:pPr>
          </w:p>
        </w:tc>
        <w:tc>
          <w:tcPr>
            <w:tcW w:w="349" w:type="pct"/>
            <w:tcBorders>
              <w:top w:val="nil"/>
              <w:left w:val="nil"/>
              <w:bottom w:val="nil"/>
              <w:right w:val="nil"/>
            </w:tcBorders>
            <w:shd w:val="clear" w:color="auto" w:fill="auto"/>
            <w:noWrap/>
            <w:vAlign w:val="center"/>
            <w:hideMark/>
          </w:tcPr>
          <w:p w14:paraId="1BFAADC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7AE985B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6BBC39F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-0.407***</w:t>
            </w:r>
          </w:p>
        </w:tc>
        <w:tc>
          <w:tcPr>
            <w:tcW w:w="79" w:type="pct"/>
            <w:tcBorders>
              <w:top w:val="nil"/>
              <w:left w:val="nil"/>
              <w:bottom w:val="nil"/>
              <w:right w:val="nil"/>
            </w:tcBorders>
            <w:shd w:val="clear" w:color="auto" w:fill="auto"/>
            <w:noWrap/>
            <w:vAlign w:val="center"/>
            <w:hideMark/>
          </w:tcPr>
          <w:p w14:paraId="2F097DD8"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1A2DA6B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64611C0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C7E4F0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14AAA8B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-0.362***</w:t>
            </w:r>
          </w:p>
        </w:tc>
        <w:tc>
          <w:tcPr>
            <w:tcW w:w="79" w:type="pct"/>
            <w:tcBorders>
              <w:top w:val="nil"/>
              <w:left w:val="nil"/>
              <w:bottom w:val="nil"/>
              <w:right w:val="nil"/>
            </w:tcBorders>
            <w:shd w:val="clear" w:color="auto" w:fill="auto"/>
            <w:noWrap/>
            <w:vAlign w:val="center"/>
            <w:hideMark/>
          </w:tcPr>
          <w:p w14:paraId="72185BC2"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2B85206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D39043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7F642C1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40FC545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-0.622***</w:t>
            </w:r>
          </w:p>
        </w:tc>
      </w:tr>
      <w:tr w:rsidR="00016D40" w:rsidRPr="00CA1166" w14:paraId="29F297CA" w14:textId="77777777" w:rsidTr="00CD1FDD">
        <w:trPr>
          <w:trHeight w:val="205"/>
          <w:jc w:val="center"/>
        </w:trPr>
        <w:tc>
          <w:tcPr>
            <w:tcW w:w="647" w:type="pct"/>
            <w:tcBorders>
              <w:top w:val="nil"/>
              <w:left w:val="nil"/>
              <w:bottom w:val="nil"/>
              <w:right w:val="nil"/>
            </w:tcBorders>
            <w:shd w:val="clear" w:color="auto" w:fill="auto"/>
            <w:noWrap/>
            <w:vAlign w:val="bottom"/>
            <w:hideMark/>
          </w:tcPr>
          <w:p w14:paraId="3D16084A" w14:textId="77777777" w:rsidR="00016D40" w:rsidRPr="00CA1166" w:rsidRDefault="00016D40" w:rsidP="00CD1FDD">
            <w:pPr>
              <w:spacing w:after="0" w:line="240" w:lineRule="auto"/>
              <w:jc w:val="center"/>
              <w:rPr>
                <w:rFonts w:eastAsia="Times New Roman" w:cs="Calibri"/>
                <w:color w:val="000000"/>
                <w:sz w:val="20"/>
                <w:szCs w:val="20"/>
              </w:rPr>
            </w:pPr>
          </w:p>
        </w:tc>
        <w:tc>
          <w:tcPr>
            <w:tcW w:w="349" w:type="pct"/>
            <w:tcBorders>
              <w:top w:val="nil"/>
              <w:left w:val="nil"/>
              <w:bottom w:val="nil"/>
              <w:right w:val="nil"/>
            </w:tcBorders>
            <w:shd w:val="clear" w:color="auto" w:fill="auto"/>
            <w:noWrap/>
            <w:vAlign w:val="center"/>
            <w:hideMark/>
          </w:tcPr>
          <w:p w14:paraId="1148DF52"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33ABF78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6742B18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49" w:type="pct"/>
            <w:tcBorders>
              <w:top w:val="nil"/>
              <w:left w:val="nil"/>
              <w:bottom w:val="nil"/>
              <w:right w:val="nil"/>
            </w:tcBorders>
            <w:shd w:val="clear" w:color="auto" w:fill="auto"/>
            <w:noWrap/>
            <w:vAlign w:val="center"/>
            <w:hideMark/>
          </w:tcPr>
          <w:p w14:paraId="04A0911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(-6.86)</w:t>
            </w:r>
          </w:p>
        </w:tc>
        <w:tc>
          <w:tcPr>
            <w:tcW w:w="79" w:type="pct"/>
            <w:tcBorders>
              <w:top w:val="nil"/>
              <w:left w:val="nil"/>
              <w:bottom w:val="nil"/>
              <w:right w:val="nil"/>
            </w:tcBorders>
            <w:shd w:val="clear" w:color="auto" w:fill="auto"/>
            <w:noWrap/>
            <w:vAlign w:val="center"/>
            <w:hideMark/>
          </w:tcPr>
          <w:p w14:paraId="1EE9B535"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06D9740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5F458FE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0AAE7CD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62F726F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(-5.70)</w:t>
            </w:r>
          </w:p>
        </w:tc>
        <w:tc>
          <w:tcPr>
            <w:tcW w:w="79" w:type="pct"/>
            <w:tcBorders>
              <w:top w:val="nil"/>
              <w:left w:val="nil"/>
              <w:bottom w:val="nil"/>
              <w:right w:val="nil"/>
            </w:tcBorders>
            <w:shd w:val="clear" w:color="auto" w:fill="auto"/>
            <w:noWrap/>
            <w:vAlign w:val="center"/>
            <w:hideMark/>
          </w:tcPr>
          <w:p w14:paraId="3E9F48D8"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7FBA624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2C58450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515C3F0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350" w:type="pct"/>
            <w:tcBorders>
              <w:top w:val="nil"/>
              <w:left w:val="nil"/>
              <w:bottom w:val="nil"/>
              <w:right w:val="nil"/>
            </w:tcBorders>
            <w:shd w:val="clear" w:color="auto" w:fill="auto"/>
            <w:noWrap/>
            <w:vAlign w:val="center"/>
            <w:hideMark/>
          </w:tcPr>
          <w:p w14:paraId="5AEBFA6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(-4.23)</w:t>
            </w:r>
          </w:p>
        </w:tc>
      </w:tr>
      <w:tr w:rsidR="00016D40" w:rsidRPr="00CA1166" w14:paraId="408573C6" w14:textId="77777777" w:rsidTr="00CD1FDD">
        <w:trPr>
          <w:trHeight w:val="205"/>
          <w:jc w:val="center"/>
        </w:trPr>
        <w:tc>
          <w:tcPr>
            <w:tcW w:w="647" w:type="pct"/>
            <w:tcBorders>
              <w:top w:val="nil"/>
              <w:left w:val="nil"/>
              <w:bottom w:val="nil"/>
              <w:right w:val="nil"/>
            </w:tcBorders>
            <w:shd w:val="clear" w:color="auto" w:fill="auto"/>
            <w:noWrap/>
            <w:vAlign w:val="center"/>
            <w:hideMark/>
          </w:tcPr>
          <w:p w14:paraId="5AB5EDB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349" w:type="pct"/>
            <w:tcBorders>
              <w:top w:val="nil"/>
              <w:left w:val="nil"/>
              <w:bottom w:val="nil"/>
              <w:right w:val="nil"/>
            </w:tcBorders>
            <w:shd w:val="clear" w:color="auto" w:fill="auto"/>
            <w:noWrap/>
            <w:vAlign w:val="center"/>
            <w:hideMark/>
          </w:tcPr>
          <w:p w14:paraId="106D23F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460A04E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096A54D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4F46079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4C9ED266"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03FA6E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395B7CE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05D4520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3D5BF71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0C23F731"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5ACEDC9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4CF1FCE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7A80E9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3E78EF6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60548AD9" w14:textId="77777777" w:rsidTr="00CD1FDD">
        <w:trPr>
          <w:trHeight w:val="205"/>
          <w:jc w:val="center"/>
        </w:trPr>
        <w:tc>
          <w:tcPr>
            <w:tcW w:w="647" w:type="pct"/>
            <w:tcBorders>
              <w:top w:val="nil"/>
              <w:left w:val="nil"/>
              <w:bottom w:val="nil"/>
              <w:right w:val="nil"/>
            </w:tcBorders>
            <w:shd w:val="clear" w:color="auto" w:fill="auto"/>
            <w:noWrap/>
            <w:vAlign w:val="center"/>
            <w:hideMark/>
          </w:tcPr>
          <w:p w14:paraId="5AB74A98"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349" w:type="pct"/>
            <w:tcBorders>
              <w:top w:val="nil"/>
              <w:left w:val="nil"/>
              <w:bottom w:val="nil"/>
              <w:right w:val="nil"/>
            </w:tcBorders>
            <w:shd w:val="clear" w:color="auto" w:fill="auto"/>
            <w:noWrap/>
            <w:vAlign w:val="center"/>
            <w:hideMark/>
          </w:tcPr>
          <w:p w14:paraId="44B596F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056E45B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72758D9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22C4D8D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74BF1F3E"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631E92B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26F081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73AD9C5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6653219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1E3CD7C1"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1F2DD3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3C19397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2EBE46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54912C1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246F4F28" w14:textId="77777777" w:rsidTr="00CD1FDD">
        <w:trPr>
          <w:trHeight w:val="205"/>
          <w:jc w:val="center"/>
        </w:trPr>
        <w:tc>
          <w:tcPr>
            <w:tcW w:w="647" w:type="pct"/>
            <w:tcBorders>
              <w:top w:val="nil"/>
              <w:left w:val="nil"/>
              <w:bottom w:val="nil"/>
              <w:right w:val="nil"/>
            </w:tcBorders>
            <w:shd w:val="clear" w:color="auto" w:fill="auto"/>
            <w:noWrap/>
            <w:vAlign w:val="center"/>
            <w:hideMark/>
          </w:tcPr>
          <w:p w14:paraId="265F9EA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349" w:type="pct"/>
            <w:tcBorders>
              <w:top w:val="nil"/>
              <w:left w:val="nil"/>
              <w:bottom w:val="nil"/>
              <w:right w:val="nil"/>
            </w:tcBorders>
            <w:shd w:val="clear" w:color="auto" w:fill="auto"/>
            <w:noWrap/>
            <w:vAlign w:val="center"/>
            <w:hideMark/>
          </w:tcPr>
          <w:p w14:paraId="3D55E46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2329043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7792701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49" w:type="pct"/>
            <w:tcBorders>
              <w:top w:val="nil"/>
              <w:left w:val="nil"/>
              <w:bottom w:val="nil"/>
              <w:right w:val="nil"/>
            </w:tcBorders>
            <w:shd w:val="clear" w:color="auto" w:fill="auto"/>
            <w:noWrap/>
            <w:vAlign w:val="center"/>
            <w:hideMark/>
          </w:tcPr>
          <w:p w14:paraId="47E212B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46F4EEE4"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3D7D76B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113F6AA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48EB2FE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019A9E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9" w:type="pct"/>
            <w:tcBorders>
              <w:top w:val="nil"/>
              <w:left w:val="nil"/>
              <w:bottom w:val="nil"/>
              <w:right w:val="nil"/>
            </w:tcBorders>
            <w:shd w:val="clear" w:color="auto" w:fill="auto"/>
            <w:noWrap/>
            <w:vAlign w:val="center"/>
            <w:hideMark/>
          </w:tcPr>
          <w:p w14:paraId="23B3AAC0"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3EAA3F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244A364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4E1071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350" w:type="pct"/>
            <w:tcBorders>
              <w:top w:val="nil"/>
              <w:left w:val="nil"/>
              <w:bottom w:val="nil"/>
              <w:right w:val="nil"/>
            </w:tcBorders>
            <w:shd w:val="clear" w:color="auto" w:fill="auto"/>
            <w:noWrap/>
            <w:vAlign w:val="center"/>
            <w:hideMark/>
          </w:tcPr>
          <w:p w14:paraId="67E3ACF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773491AC" w14:textId="77777777" w:rsidTr="00CD1FDD">
        <w:trPr>
          <w:trHeight w:val="241"/>
          <w:jc w:val="center"/>
        </w:trPr>
        <w:tc>
          <w:tcPr>
            <w:tcW w:w="647" w:type="pct"/>
            <w:tcBorders>
              <w:top w:val="nil"/>
              <w:left w:val="nil"/>
              <w:bottom w:val="nil"/>
              <w:right w:val="nil"/>
            </w:tcBorders>
            <w:shd w:val="clear" w:color="auto" w:fill="auto"/>
            <w:noWrap/>
            <w:vAlign w:val="center"/>
            <w:hideMark/>
          </w:tcPr>
          <w:p w14:paraId="5D3C79B0"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349" w:type="pct"/>
            <w:tcBorders>
              <w:top w:val="nil"/>
              <w:left w:val="nil"/>
              <w:bottom w:val="nil"/>
              <w:right w:val="nil"/>
            </w:tcBorders>
            <w:shd w:val="clear" w:color="auto" w:fill="auto"/>
            <w:noWrap/>
            <w:vAlign w:val="center"/>
            <w:hideMark/>
          </w:tcPr>
          <w:p w14:paraId="74152BB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0.149</w:t>
            </w:r>
          </w:p>
        </w:tc>
        <w:tc>
          <w:tcPr>
            <w:tcW w:w="349" w:type="pct"/>
            <w:tcBorders>
              <w:top w:val="nil"/>
              <w:left w:val="nil"/>
              <w:bottom w:val="nil"/>
              <w:right w:val="nil"/>
            </w:tcBorders>
            <w:shd w:val="clear" w:color="auto" w:fill="auto"/>
            <w:noWrap/>
            <w:vAlign w:val="center"/>
            <w:hideMark/>
          </w:tcPr>
          <w:p w14:paraId="6B3A7F4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0.147</w:t>
            </w:r>
          </w:p>
        </w:tc>
        <w:tc>
          <w:tcPr>
            <w:tcW w:w="349" w:type="pct"/>
            <w:tcBorders>
              <w:top w:val="nil"/>
              <w:left w:val="nil"/>
              <w:bottom w:val="nil"/>
              <w:right w:val="nil"/>
            </w:tcBorders>
            <w:shd w:val="clear" w:color="auto" w:fill="auto"/>
            <w:noWrap/>
            <w:vAlign w:val="center"/>
            <w:hideMark/>
          </w:tcPr>
          <w:p w14:paraId="3E313CA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0.147</w:t>
            </w:r>
          </w:p>
        </w:tc>
        <w:tc>
          <w:tcPr>
            <w:tcW w:w="349" w:type="pct"/>
            <w:tcBorders>
              <w:top w:val="nil"/>
              <w:left w:val="nil"/>
              <w:bottom w:val="nil"/>
              <w:right w:val="nil"/>
            </w:tcBorders>
            <w:shd w:val="clear" w:color="auto" w:fill="auto"/>
            <w:noWrap/>
            <w:vAlign w:val="center"/>
            <w:hideMark/>
          </w:tcPr>
          <w:p w14:paraId="01F1A5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0.144</w:t>
            </w:r>
          </w:p>
        </w:tc>
        <w:tc>
          <w:tcPr>
            <w:tcW w:w="79" w:type="pct"/>
            <w:tcBorders>
              <w:top w:val="nil"/>
              <w:left w:val="nil"/>
              <w:bottom w:val="nil"/>
              <w:right w:val="nil"/>
            </w:tcBorders>
            <w:shd w:val="clear" w:color="auto" w:fill="auto"/>
            <w:noWrap/>
            <w:vAlign w:val="center"/>
            <w:hideMark/>
          </w:tcPr>
          <w:p w14:paraId="2E585BCC"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0EC66A2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0.149</w:t>
            </w:r>
          </w:p>
        </w:tc>
        <w:tc>
          <w:tcPr>
            <w:tcW w:w="350" w:type="pct"/>
            <w:tcBorders>
              <w:top w:val="nil"/>
              <w:left w:val="nil"/>
              <w:bottom w:val="nil"/>
              <w:right w:val="nil"/>
            </w:tcBorders>
            <w:shd w:val="clear" w:color="auto" w:fill="auto"/>
            <w:noWrap/>
            <w:vAlign w:val="center"/>
            <w:hideMark/>
          </w:tcPr>
          <w:p w14:paraId="6CE3C1E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0.147</w:t>
            </w:r>
          </w:p>
        </w:tc>
        <w:tc>
          <w:tcPr>
            <w:tcW w:w="350" w:type="pct"/>
            <w:tcBorders>
              <w:top w:val="nil"/>
              <w:left w:val="nil"/>
              <w:bottom w:val="nil"/>
              <w:right w:val="nil"/>
            </w:tcBorders>
            <w:shd w:val="clear" w:color="auto" w:fill="auto"/>
            <w:noWrap/>
            <w:vAlign w:val="center"/>
            <w:hideMark/>
          </w:tcPr>
          <w:p w14:paraId="78934D7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0.147</w:t>
            </w:r>
          </w:p>
        </w:tc>
        <w:tc>
          <w:tcPr>
            <w:tcW w:w="350" w:type="pct"/>
            <w:tcBorders>
              <w:top w:val="nil"/>
              <w:left w:val="nil"/>
              <w:bottom w:val="nil"/>
              <w:right w:val="nil"/>
            </w:tcBorders>
            <w:shd w:val="clear" w:color="auto" w:fill="auto"/>
            <w:noWrap/>
            <w:vAlign w:val="center"/>
            <w:hideMark/>
          </w:tcPr>
          <w:p w14:paraId="460F495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0.143</w:t>
            </w:r>
          </w:p>
        </w:tc>
        <w:tc>
          <w:tcPr>
            <w:tcW w:w="79" w:type="pct"/>
            <w:tcBorders>
              <w:top w:val="nil"/>
              <w:left w:val="nil"/>
              <w:bottom w:val="nil"/>
              <w:right w:val="nil"/>
            </w:tcBorders>
            <w:shd w:val="clear" w:color="auto" w:fill="auto"/>
            <w:noWrap/>
            <w:vAlign w:val="center"/>
            <w:hideMark/>
          </w:tcPr>
          <w:p w14:paraId="537E2FC1"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nil"/>
              <w:right w:val="nil"/>
            </w:tcBorders>
            <w:shd w:val="clear" w:color="auto" w:fill="auto"/>
            <w:noWrap/>
            <w:vAlign w:val="center"/>
            <w:hideMark/>
          </w:tcPr>
          <w:p w14:paraId="2AFAD71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0.128</w:t>
            </w:r>
          </w:p>
        </w:tc>
        <w:tc>
          <w:tcPr>
            <w:tcW w:w="350" w:type="pct"/>
            <w:tcBorders>
              <w:top w:val="nil"/>
              <w:left w:val="nil"/>
              <w:bottom w:val="nil"/>
              <w:right w:val="nil"/>
            </w:tcBorders>
            <w:shd w:val="clear" w:color="auto" w:fill="auto"/>
            <w:noWrap/>
            <w:vAlign w:val="center"/>
            <w:hideMark/>
          </w:tcPr>
          <w:p w14:paraId="7419FD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0.125</w:t>
            </w:r>
          </w:p>
        </w:tc>
        <w:tc>
          <w:tcPr>
            <w:tcW w:w="350" w:type="pct"/>
            <w:tcBorders>
              <w:top w:val="nil"/>
              <w:left w:val="nil"/>
              <w:bottom w:val="nil"/>
              <w:right w:val="nil"/>
            </w:tcBorders>
            <w:shd w:val="clear" w:color="auto" w:fill="auto"/>
            <w:noWrap/>
            <w:vAlign w:val="center"/>
            <w:hideMark/>
          </w:tcPr>
          <w:p w14:paraId="2420B13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0.126</w:t>
            </w:r>
          </w:p>
        </w:tc>
        <w:tc>
          <w:tcPr>
            <w:tcW w:w="350" w:type="pct"/>
            <w:tcBorders>
              <w:top w:val="nil"/>
              <w:left w:val="nil"/>
              <w:bottom w:val="nil"/>
              <w:right w:val="nil"/>
            </w:tcBorders>
            <w:shd w:val="clear" w:color="auto" w:fill="auto"/>
            <w:noWrap/>
            <w:vAlign w:val="center"/>
            <w:hideMark/>
          </w:tcPr>
          <w:p w14:paraId="153A434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0.127</w:t>
            </w:r>
          </w:p>
        </w:tc>
      </w:tr>
      <w:tr w:rsidR="00016D40" w:rsidRPr="00CA1166" w14:paraId="252E2928" w14:textId="77777777" w:rsidTr="00CD1FDD">
        <w:trPr>
          <w:trHeight w:val="205"/>
          <w:jc w:val="center"/>
        </w:trPr>
        <w:tc>
          <w:tcPr>
            <w:tcW w:w="647" w:type="pct"/>
            <w:tcBorders>
              <w:top w:val="nil"/>
              <w:left w:val="nil"/>
              <w:bottom w:val="single" w:sz="18" w:space="0" w:color="auto"/>
              <w:right w:val="nil"/>
            </w:tcBorders>
            <w:shd w:val="clear" w:color="auto" w:fill="auto"/>
            <w:noWrap/>
            <w:vAlign w:val="center"/>
            <w:hideMark/>
          </w:tcPr>
          <w:p w14:paraId="36C5763C"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349" w:type="pct"/>
            <w:tcBorders>
              <w:top w:val="nil"/>
              <w:left w:val="nil"/>
              <w:bottom w:val="single" w:sz="18" w:space="0" w:color="auto"/>
              <w:right w:val="nil"/>
            </w:tcBorders>
            <w:shd w:val="clear" w:color="auto" w:fill="auto"/>
            <w:noWrap/>
            <w:vAlign w:val="center"/>
            <w:hideMark/>
          </w:tcPr>
          <w:p w14:paraId="5055B44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36007</w:t>
            </w:r>
          </w:p>
        </w:tc>
        <w:tc>
          <w:tcPr>
            <w:tcW w:w="349" w:type="pct"/>
            <w:tcBorders>
              <w:top w:val="nil"/>
              <w:left w:val="nil"/>
              <w:bottom w:val="single" w:sz="18" w:space="0" w:color="auto"/>
              <w:right w:val="nil"/>
            </w:tcBorders>
            <w:shd w:val="clear" w:color="auto" w:fill="auto"/>
            <w:noWrap/>
            <w:vAlign w:val="center"/>
            <w:hideMark/>
          </w:tcPr>
          <w:p w14:paraId="02F2423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36007</w:t>
            </w:r>
          </w:p>
        </w:tc>
        <w:tc>
          <w:tcPr>
            <w:tcW w:w="349" w:type="pct"/>
            <w:tcBorders>
              <w:top w:val="nil"/>
              <w:left w:val="nil"/>
              <w:bottom w:val="single" w:sz="18" w:space="0" w:color="auto"/>
              <w:right w:val="nil"/>
            </w:tcBorders>
            <w:shd w:val="clear" w:color="auto" w:fill="auto"/>
            <w:noWrap/>
            <w:vAlign w:val="center"/>
            <w:hideMark/>
          </w:tcPr>
          <w:p w14:paraId="22E30ED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35553</w:t>
            </w:r>
          </w:p>
        </w:tc>
        <w:tc>
          <w:tcPr>
            <w:tcW w:w="349" w:type="pct"/>
            <w:tcBorders>
              <w:top w:val="nil"/>
              <w:left w:val="nil"/>
              <w:bottom w:val="single" w:sz="18" w:space="0" w:color="auto"/>
              <w:right w:val="nil"/>
            </w:tcBorders>
            <w:shd w:val="clear" w:color="auto" w:fill="auto"/>
            <w:noWrap/>
            <w:vAlign w:val="center"/>
            <w:hideMark/>
          </w:tcPr>
          <w:p w14:paraId="7BBC7C2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34040</w:t>
            </w:r>
          </w:p>
        </w:tc>
        <w:tc>
          <w:tcPr>
            <w:tcW w:w="79" w:type="pct"/>
            <w:tcBorders>
              <w:top w:val="nil"/>
              <w:left w:val="nil"/>
              <w:bottom w:val="single" w:sz="18" w:space="0" w:color="auto"/>
              <w:right w:val="nil"/>
            </w:tcBorders>
            <w:shd w:val="clear" w:color="auto" w:fill="auto"/>
            <w:noWrap/>
            <w:vAlign w:val="center"/>
            <w:hideMark/>
          </w:tcPr>
          <w:p w14:paraId="08F32023"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single" w:sz="18" w:space="0" w:color="auto"/>
              <w:right w:val="nil"/>
            </w:tcBorders>
            <w:shd w:val="clear" w:color="auto" w:fill="auto"/>
            <w:noWrap/>
            <w:vAlign w:val="center"/>
            <w:hideMark/>
          </w:tcPr>
          <w:p w14:paraId="722494E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30905</w:t>
            </w:r>
          </w:p>
        </w:tc>
        <w:tc>
          <w:tcPr>
            <w:tcW w:w="350" w:type="pct"/>
            <w:tcBorders>
              <w:top w:val="nil"/>
              <w:left w:val="nil"/>
              <w:bottom w:val="single" w:sz="18" w:space="0" w:color="auto"/>
              <w:right w:val="nil"/>
            </w:tcBorders>
            <w:shd w:val="clear" w:color="auto" w:fill="auto"/>
            <w:noWrap/>
            <w:vAlign w:val="center"/>
            <w:hideMark/>
          </w:tcPr>
          <w:p w14:paraId="0070AED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30905</w:t>
            </w:r>
          </w:p>
        </w:tc>
        <w:tc>
          <w:tcPr>
            <w:tcW w:w="350" w:type="pct"/>
            <w:tcBorders>
              <w:top w:val="nil"/>
              <w:left w:val="nil"/>
              <w:bottom w:val="single" w:sz="18" w:space="0" w:color="auto"/>
              <w:right w:val="nil"/>
            </w:tcBorders>
            <w:shd w:val="clear" w:color="auto" w:fill="auto"/>
            <w:noWrap/>
            <w:vAlign w:val="center"/>
            <w:hideMark/>
          </w:tcPr>
          <w:p w14:paraId="7DEF668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30583</w:t>
            </w:r>
          </w:p>
        </w:tc>
        <w:tc>
          <w:tcPr>
            <w:tcW w:w="350" w:type="pct"/>
            <w:tcBorders>
              <w:top w:val="nil"/>
              <w:left w:val="nil"/>
              <w:bottom w:val="single" w:sz="18" w:space="0" w:color="auto"/>
              <w:right w:val="nil"/>
            </w:tcBorders>
            <w:shd w:val="clear" w:color="auto" w:fill="auto"/>
            <w:noWrap/>
            <w:vAlign w:val="center"/>
            <w:hideMark/>
          </w:tcPr>
          <w:p w14:paraId="643E659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29378</w:t>
            </w:r>
          </w:p>
        </w:tc>
        <w:tc>
          <w:tcPr>
            <w:tcW w:w="79" w:type="pct"/>
            <w:tcBorders>
              <w:top w:val="nil"/>
              <w:left w:val="nil"/>
              <w:bottom w:val="single" w:sz="18" w:space="0" w:color="auto"/>
              <w:right w:val="nil"/>
            </w:tcBorders>
            <w:shd w:val="clear" w:color="auto" w:fill="auto"/>
            <w:noWrap/>
            <w:vAlign w:val="center"/>
            <w:hideMark/>
          </w:tcPr>
          <w:p w14:paraId="48CC884E" w14:textId="77777777" w:rsidR="00016D40" w:rsidRPr="00CA1166" w:rsidRDefault="00016D40" w:rsidP="00CD1FDD">
            <w:pPr>
              <w:spacing w:after="0" w:line="240" w:lineRule="auto"/>
              <w:jc w:val="center"/>
              <w:rPr>
                <w:rFonts w:eastAsia="Times New Roman" w:cs="Calibri"/>
                <w:color w:val="000000"/>
                <w:sz w:val="20"/>
                <w:szCs w:val="20"/>
              </w:rPr>
            </w:pPr>
          </w:p>
        </w:tc>
        <w:tc>
          <w:tcPr>
            <w:tcW w:w="350" w:type="pct"/>
            <w:tcBorders>
              <w:top w:val="nil"/>
              <w:left w:val="nil"/>
              <w:bottom w:val="single" w:sz="18" w:space="0" w:color="auto"/>
              <w:right w:val="nil"/>
            </w:tcBorders>
            <w:shd w:val="clear" w:color="auto" w:fill="auto"/>
            <w:noWrap/>
            <w:vAlign w:val="center"/>
            <w:hideMark/>
          </w:tcPr>
          <w:p w14:paraId="6995FD7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5102</w:t>
            </w:r>
          </w:p>
        </w:tc>
        <w:tc>
          <w:tcPr>
            <w:tcW w:w="350" w:type="pct"/>
            <w:tcBorders>
              <w:top w:val="nil"/>
              <w:left w:val="nil"/>
              <w:bottom w:val="single" w:sz="18" w:space="0" w:color="auto"/>
              <w:right w:val="nil"/>
            </w:tcBorders>
            <w:shd w:val="clear" w:color="auto" w:fill="auto"/>
            <w:noWrap/>
            <w:vAlign w:val="center"/>
            <w:hideMark/>
          </w:tcPr>
          <w:p w14:paraId="3A2A867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5102</w:t>
            </w:r>
          </w:p>
        </w:tc>
        <w:tc>
          <w:tcPr>
            <w:tcW w:w="350" w:type="pct"/>
            <w:tcBorders>
              <w:top w:val="nil"/>
              <w:left w:val="nil"/>
              <w:bottom w:val="single" w:sz="18" w:space="0" w:color="auto"/>
              <w:right w:val="nil"/>
            </w:tcBorders>
            <w:shd w:val="clear" w:color="auto" w:fill="auto"/>
            <w:noWrap/>
            <w:vAlign w:val="center"/>
            <w:hideMark/>
          </w:tcPr>
          <w:p w14:paraId="0C7660B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4970</w:t>
            </w:r>
          </w:p>
        </w:tc>
        <w:tc>
          <w:tcPr>
            <w:tcW w:w="350" w:type="pct"/>
            <w:tcBorders>
              <w:top w:val="nil"/>
              <w:left w:val="nil"/>
              <w:bottom w:val="single" w:sz="18" w:space="0" w:color="auto"/>
              <w:right w:val="nil"/>
            </w:tcBorders>
            <w:shd w:val="clear" w:color="auto" w:fill="auto"/>
            <w:noWrap/>
            <w:vAlign w:val="center"/>
            <w:hideMark/>
          </w:tcPr>
          <w:p w14:paraId="34686D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4662</w:t>
            </w:r>
          </w:p>
        </w:tc>
      </w:tr>
    </w:tbl>
    <w:p w14:paraId="76EDAB89" w14:textId="77777777" w:rsidR="00016D40" w:rsidRPr="00CA1166" w:rsidRDefault="00016D40" w:rsidP="00016D40">
      <w:pPr>
        <w:spacing w:after="0"/>
        <w:jc w:val="both"/>
      </w:pPr>
    </w:p>
    <w:p w14:paraId="16DA95F7" w14:textId="77777777" w:rsidR="00016D40" w:rsidRDefault="00016D40" w:rsidP="00016D40">
      <w:pPr>
        <w:jc w:val="both"/>
      </w:pPr>
      <w:r w:rsidRPr="00CA1166">
        <w:t xml:space="preserve">Note: This table presents the results of the impact of comparability on specific types of </w:t>
      </w:r>
      <w:r>
        <w:t>labour</w:t>
      </w:r>
      <w:r w:rsidRPr="00CA1166">
        <w:t xml:space="preserve"> investment inefficiency. Panel A reports the results from the regressions of labo</w:t>
      </w:r>
      <w:r>
        <w:t>u</w:t>
      </w:r>
      <w:r w:rsidRPr="00CA1166">
        <w:t xml:space="preserve">r investment inefficiency on accounting comparability and control variables for the over-investment sub-sample, which is further </w:t>
      </w:r>
      <w:r w:rsidRPr="00A27508">
        <w:t>deconstructed</w:t>
      </w:r>
      <w:r w:rsidRPr="00CA1166">
        <w:t xml:space="preserve"> into over-hiring and under-firing sub-samples. A firm over-invests if it has positive abnormal net hiring.  Over-hiring is defined as over-investments when expected net hiring is positive, and under-firing is defined as over-investments when expected net hiring is negative. Panel B reports the results from the regressions of labo</w:t>
      </w:r>
      <w:r>
        <w:t>u</w:t>
      </w:r>
      <w:r w:rsidRPr="00CA1166">
        <w:t xml:space="preserve">r investment inefficiency on accounting comparability and control variables for the under-investment sub-sample, which is further </w:t>
      </w:r>
      <w:r w:rsidRPr="00A27508">
        <w:t>deconstructed</w:t>
      </w:r>
      <w:r w:rsidRPr="00CA1166">
        <w:t xml:space="preserve"> into under-hiring and over-firing sub-samples. A firm under-invests if its abnormal net hiring is negative. Under-hiring is defined as under-investment when expected net hiring is positive, and over-firing is defined as under-investment when expected net hiring is negative. The results for the control variables are not tabulated for brevity. All variables are defined in Appendix A. All regressions include year and industry fixed</w:t>
      </w:r>
      <w:r>
        <w:t>-</w:t>
      </w:r>
      <w:r w:rsidRPr="00CA1166">
        <w:t xml:space="preserve">effects. The </w:t>
      </w:r>
      <w:r w:rsidRPr="002E7D97">
        <w:rPr>
          <w:i/>
        </w:rPr>
        <w:t>t</w:t>
      </w:r>
      <w:r w:rsidRPr="00CA1166">
        <w:t>-statistics are computed based on the heteroscedasticity-robust standard errors clustered by firm and reported in parentheses. *, ** and *** indicate statistical significance at the 0.10, 0.05, and 0.01 levels, respectively, based on two-tailed tests.</w:t>
      </w:r>
    </w:p>
    <w:p w14:paraId="5AB7ED7C" w14:textId="77777777" w:rsidR="00016D40" w:rsidRPr="00CA1166" w:rsidRDefault="00016D40" w:rsidP="00016D40">
      <w:pPr>
        <w:jc w:val="both"/>
      </w:pPr>
    </w:p>
    <w:p w14:paraId="5D1E9632" w14:textId="77777777" w:rsidR="00016D40" w:rsidRPr="00CA1166" w:rsidRDefault="00016D40" w:rsidP="00016D40">
      <w:pPr>
        <w:rPr>
          <w:b/>
        </w:rPr>
      </w:pPr>
    </w:p>
    <w:p w14:paraId="7974E86F" w14:textId="77777777" w:rsidR="00016D40" w:rsidRPr="00CA1166" w:rsidRDefault="00016D40" w:rsidP="00016D40">
      <w:pPr>
        <w:jc w:val="both"/>
        <w:sectPr w:rsidR="00016D40" w:rsidRPr="00CA1166" w:rsidSect="009A465B">
          <w:pgSz w:w="16838" w:h="11906" w:orient="landscape"/>
          <w:pgMar w:top="1800" w:right="1440" w:bottom="1800" w:left="1440" w:header="708" w:footer="708" w:gutter="0"/>
          <w:cols w:space="708"/>
          <w:docGrid w:linePitch="360"/>
        </w:sectPr>
      </w:pPr>
    </w:p>
    <w:p w14:paraId="1505D639" w14:textId="77777777" w:rsidR="00016D40" w:rsidRPr="00CA1166" w:rsidRDefault="00016D40" w:rsidP="00016D40">
      <w:r w:rsidRPr="00CA1166">
        <w:rPr>
          <w:b/>
        </w:rPr>
        <w:lastRenderedPageBreak/>
        <w:t xml:space="preserve">Table </w:t>
      </w:r>
      <w:r>
        <w:rPr>
          <w:b/>
        </w:rPr>
        <w:t>4</w:t>
      </w:r>
      <w:r w:rsidRPr="00CA1166">
        <w:rPr>
          <w:b/>
        </w:rPr>
        <w:t>.</w:t>
      </w:r>
      <w:r w:rsidRPr="00CA1166">
        <w:t xml:space="preserve"> </w:t>
      </w:r>
      <w:r>
        <w:t>Mechanisms through which</w:t>
      </w:r>
      <w:r w:rsidRPr="00CA1166">
        <w:t xml:space="preserve"> Comparability </w:t>
      </w:r>
      <w:r>
        <w:t>Affect</w:t>
      </w:r>
      <w:r w:rsidRPr="00CA1166">
        <w:t xml:space="preserve"> Employment Decision</w:t>
      </w:r>
      <w:r>
        <w:t>-Making</w:t>
      </w:r>
    </w:p>
    <w:tbl>
      <w:tblPr>
        <w:tblW w:w="10484" w:type="dxa"/>
        <w:jc w:val="center"/>
        <w:tblLook w:val="04A0" w:firstRow="1" w:lastRow="0" w:firstColumn="1" w:lastColumn="0" w:noHBand="0" w:noVBand="1"/>
      </w:tblPr>
      <w:tblGrid>
        <w:gridCol w:w="2183"/>
        <w:gridCol w:w="1061"/>
        <w:gridCol w:w="757"/>
        <w:gridCol w:w="936"/>
        <w:gridCol w:w="1065"/>
        <w:gridCol w:w="231"/>
        <w:gridCol w:w="1060"/>
        <w:gridCol w:w="1060"/>
        <w:gridCol w:w="1060"/>
        <w:gridCol w:w="1060"/>
        <w:gridCol w:w="11"/>
      </w:tblGrid>
      <w:tr w:rsidR="00016D40" w:rsidRPr="008F1997" w14:paraId="16CE4381" w14:textId="77777777" w:rsidTr="00CD1FDD">
        <w:trPr>
          <w:trHeight w:val="234"/>
          <w:jc w:val="center"/>
        </w:trPr>
        <w:tc>
          <w:tcPr>
            <w:tcW w:w="10484" w:type="dxa"/>
            <w:gridSpan w:val="11"/>
            <w:tcBorders>
              <w:top w:val="single" w:sz="18" w:space="0" w:color="auto"/>
              <w:left w:val="nil"/>
              <w:bottom w:val="nil"/>
              <w:right w:val="nil"/>
            </w:tcBorders>
            <w:shd w:val="clear" w:color="auto" w:fill="auto"/>
            <w:noWrap/>
            <w:vAlign w:val="center"/>
            <w:hideMark/>
          </w:tcPr>
          <w:p w14:paraId="1BF811C4" w14:textId="77777777" w:rsidR="00016D40" w:rsidRPr="008F1997" w:rsidRDefault="00016D40" w:rsidP="00CD1FDD">
            <w:pPr>
              <w:spacing w:after="0" w:line="240" w:lineRule="auto"/>
              <w:rPr>
                <w:rFonts w:eastAsia="Times New Roman" w:cs="Calibri"/>
                <w:b/>
                <w:bCs/>
                <w:color w:val="000000"/>
                <w:sz w:val="20"/>
                <w:szCs w:val="20"/>
              </w:rPr>
            </w:pPr>
            <w:r w:rsidRPr="008F1997">
              <w:rPr>
                <w:rFonts w:eastAsia="Times New Roman" w:cs="Calibri"/>
                <w:b/>
                <w:bCs/>
                <w:color w:val="000000"/>
                <w:sz w:val="20"/>
                <w:szCs w:val="20"/>
              </w:rPr>
              <w:t>Panel A: Financial Analysts</w:t>
            </w:r>
          </w:p>
        </w:tc>
      </w:tr>
      <w:tr w:rsidR="00016D40" w:rsidRPr="008F1997" w14:paraId="57267D9D" w14:textId="77777777" w:rsidTr="00CD1FDD">
        <w:trPr>
          <w:trHeight w:val="234"/>
          <w:jc w:val="center"/>
        </w:trPr>
        <w:tc>
          <w:tcPr>
            <w:tcW w:w="2183" w:type="dxa"/>
            <w:tcBorders>
              <w:top w:val="single" w:sz="4" w:space="0" w:color="auto"/>
              <w:left w:val="nil"/>
              <w:bottom w:val="nil"/>
              <w:right w:val="nil"/>
            </w:tcBorders>
            <w:shd w:val="clear" w:color="auto" w:fill="auto"/>
            <w:noWrap/>
            <w:vAlign w:val="center"/>
            <w:hideMark/>
          </w:tcPr>
          <w:p w14:paraId="0200614B" w14:textId="77777777" w:rsidR="00016D40" w:rsidRPr="008F1997" w:rsidRDefault="00016D40" w:rsidP="00CD1FDD">
            <w:pPr>
              <w:spacing w:after="0" w:line="240" w:lineRule="auto"/>
              <w:rPr>
                <w:rFonts w:eastAsia="Times New Roman" w:cs="Calibri"/>
                <w:b/>
                <w:bCs/>
                <w:color w:val="000000"/>
                <w:sz w:val="20"/>
                <w:szCs w:val="20"/>
              </w:rPr>
            </w:pPr>
          </w:p>
        </w:tc>
        <w:tc>
          <w:tcPr>
            <w:tcW w:w="3819" w:type="dxa"/>
            <w:gridSpan w:val="4"/>
            <w:tcBorders>
              <w:top w:val="single" w:sz="4" w:space="0" w:color="auto"/>
              <w:left w:val="nil"/>
              <w:bottom w:val="single" w:sz="4" w:space="0" w:color="auto"/>
              <w:right w:val="nil"/>
            </w:tcBorders>
            <w:shd w:val="clear" w:color="auto" w:fill="auto"/>
            <w:noWrap/>
            <w:vAlign w:val="center"/>
            <w:hideMark/>
          </w:tcPr>
          <w:p w14:paraId="63A11AEA"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Strong Analyst Monitoring</w:t>
            </w:r>
          </w:p>
        </w:tc>
        <w:tc>
          <w:tcPr>
            <w:tcW w:w="231" w:type="dxa"/>
            <w:tcBorders>
              <w:top w:val="single" w:sz="4" w:space="0" w:color="auto"/>
              <w:left w:val="nil"/>
              <w:bottom w:val="nil"/>
              <w:right w:val="nil"/>
            </w:tcBorders>
            <w:shd w:val="clear" w:color="auto" w:fill="auto"/>
            <w:noWrap/>
            <w:vAlign w:val="center"/>
            <w:hideMark/>
          </w:tcPr>
          <w:p w14:paraId="36926458"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4249" w:type="dxa"/>
            <w:gridSpan w:val="5"/>
            <w:tcBorders>
              <w:top w:val="single" w:sz="4" w:space="0" w:color="auto"/>
              <w:left w:val="nil"/>
              <w:bottom w:val="nil"/>
              <w:right w:val="nil"/>
            </w:tcBorders>
            <w:shd w:val="clear" w:color="auto" w:fill="auto"/>
            <w:noWrap/>
            <w:vAlign w:val="center"/>
            <w:hideMark/>
          </w:tcPr>
          <w:p w14:paraId="29204C93"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Weak Analyst Monitoring</w:t>
            </w:r>
          </w:p>
        </w:tc>
      </w:tr>
      <w:tr w:rsidR="00016D40" w:rsidRPr="008F1997" w14:paraId="14B62762" w14:textId="77777777" w:rsidTr="00CD1FDD">
        <w:trPr>
          <w:gridAfter w:val="1"/>
          <w:wAfter w:w="13" w:type="dxa"/>
          <w:trHeight w:val="234"/>
          <w:jc w:val="center"/>
        </w:trPr>
        <w:tc>
          <w:tcPr>
            <w:tcW w:w="2183" w:type="dxa"/>
            <w:tcBorders>
              <w:top w:val="nil"/>
              <w:left w:val="nil"/>
              <w:bottom w:val="single" w:sz="4" w:space="0" w:color="auto"/>
              <w:right w:val="nil"/>
            </w:tcBorders>
            <w:shd w:val="clear" w:color="auto" w:fill="auto"/>
            <w:noWrap/>
            <w:vAlign w:val="center"/>
            <w:hideMark/>
          </w:tcPr>
          <w:p w14:paraId="7AADE48C"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hideMark/>
          </w:tcPr>
          <w:p w14:paraId="7C25BA01"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(1)</w:t>
            </w:r>
          </w:p>
        </w:tc>
        <w:tc>
          <w:tcPr>
            <w:tcW w:w="757" w:type="dxa"/>
            <w:tcBorders>
              <w:top w:val="single" w:sz="4" w:space="0" w:color="auto"/>
              <w:left w:val="nil"/>
              <w:bottom w:val="single" w:sz="4" w:space="0" w:color="auto"/>
              <w:right w:val="nil"/>
            </w:tcBorders>
            <w:shd w:val="clear" w:color="auto" w:fill="auto"/>
            <w:noWrap/>
            <w:vAlign w:val="center"/>
            <w:hideMark/>
          </w:tcPr>
          <w:p w14:paraId="4E5DAEF9"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(2)</w:t>
            </w:r>
          </w:p>
        </w:tc>
        <w:tc>
          <w:tcPr>
            <w:tcW w:w="936" w:type="dxa"/>
            <w:tcBorders>
              <w:top w:val="single" w:sz="4" w:space="0" w:color="auto"/>
              <w:left w:val="nil"/>
              <w:bottom w:val="single" w:sz="4" w:space="0" w:color="auto"/>
              <w:right w:val="nil"/>
            </w:tcBorders>
            <w:shd w:val="clear" w:color="auto" w:fill="auto"/>
            <w:noWrap/>
            <w:vAlign w:val="center"/>
            <w:hideMark/>
          </w:tcPr>
          <w:p w14:paraId="7B0E74F9"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(3)</w:t>
            </w:r>
          </w:p>
        </w:tc>
        <w:tc>
          <w:tcPr>
            <w:tcW w:w="1063" w:type="dxa"/>
            <w:tcBorders>
              <w:top w:val="single" w:sz="4" w:space="0" w:color="auto"/>
              <w:left w:val="nil"/>
              <w:bottom w:val="single" w:sz="4" w:space="0" w:color="auto"/>
              <w:right w:val="nil"/>
            </w:tcBorders>
            <w:shd w:val="clear" w:color="auto" w:fill="auto"/>
            <w:noWrap/>
            <w:vAlign w:val="center"/>
            <w:hideMark/>
          </w:tcPr>
          <w:p w14:paraId="74AA7196"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(4)</w:t>
            </w:r>
          </w:p>
        </w:tc>
        <w:tc>
          <w:tcPr>
            <w:tcW w:w="231" w:type="dxa"/>
            <w:tcBorders>
              <w:top w:val="nil"/>
              <w:left w:val="nil"/>
              <w:bottom w:val="single" w:sz="4" w:space="0" w:color="auto"/>
              <w:right w:val="nil"/>
            </w:tcBorders>
            <w:shd w:val="clear" w:color="auto" w:fill="auto"/>
            <w:noWrap/>
            <w:vAlign w:val="center"/>
            <w:hideMark/>
          </w:tcPr>
          <w:p w14:paraId="49D46E85"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0" w:type="dxa"/>
            <w:tcBorders>
              <w:top w:val="single" w:sz="4" w:space="0" w:color="auto"/>
              <w:left w:val="nil"/>
              <w:bottom w:val="single" w:sz="4" w:space="0" w:color="auto"/>
              <w:right w:val="nil"/>
            </w:tcBorders>
            <w:shd w:val="clear" w:color="auto" w:fill="auto"/>
            <w:noWrap/>
            <w:vAlign w:val="center"/>
            <w:hideMark/>
          </w:tcPr>
          <w:p w14:paraId="75A0B4DD"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(5)</w:t>
            </w:r>
          </w:p>
        </w:tc>
        <w:tc>
          <w:tcPr>
            <w:tcW w:w="1060" w:type="dxa"/>
            <w:tcBorders>
              <w:top w:val="single" w:sz="4" w:space="0" w:color="auto"/>
              <w:left w:val="nil"/>
              <w:bottom w:val="single" w:sz="4" w:space="0" w:color="auto"/>
              <w:right w:val="nil"/>
            </w:tcBorders>
            <w:shd w:val="clear" w:color="auto" w:fill="auto"/>
            <w:noWrap/>
            <w:vAlign w:val="center"/>
            <w:hideMark/>
          </w:tcPr>
          <w:p w14:paraId="3147663E"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(6)</w:t>
            </w:r>
          </w:p>
        </w:tc>
        <w:tc>
          <w:tcPr>
            <w:tcW w:w="1060" w:type="dxa"/>
            <w:tcBorders>
              <w:top w:val="single" w:sz="4" w:space="0" w:color="auto"/>
              <w:left w:val="nil"/>
              <w:bottom w:val="single" w:sz="4" w:space="0" w:color="auto"/>
              <w:right w:val="nil"/>
            </w:tcBorders>
            <w:shd w:val="clear" w:color="auto" w:fill="auto"/>
            <w:noWrap/>
            <w:vAlign w:val="center"/>
            <w:hideMark/>
          </w:tcPr>
          <w:p w14:paraId="1B2A17FE"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(7)</w:t>
            </w:r>
          </w:p>
        </w:tc>
        <w:tc>
          <w:tcPr>
            <w:tcW w:w="1060" w:type="dxa"/>
            <w:tcBorders>
              <w:top w:val="single" w:sz="4" w:space="0" w:color="auto"/>
              <w:left w:val="nil"/>
              <w:bottom w:val="single" w:sz="4" w:space="0" w:color="auto"/>
              <w:right w:val="nil"/>
            </w:tcBorders>
            <w:shd w:val="clear" w:color="auto" w:fill="auto"/>
            <w:noWrap/>
            <w:vAlign w:val="center"/>
            <w:hideMark/>
          </w:tcPr>
          <w:p w14:paraId="38E718FB"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(8)</w:t>
            </w:r>
          </w:p>
        </w:tc>
      </w:tr>
      <w:tr w:rsidR="00016D40" w:rsidRPr="008F1997" w14:paraId="3CE1A23A" w14:textId="77777777" w:rsidTr="00CD1FDD">
        <w:trPr>
          <w:gridAfter w:val="1"/>
          <w:wAfter w:w="13" w:type="dxa"/>
          <w:trHeight w:val="234"/>
          <w:jc w:val="center"/>
        </w:trPr>
        <w:tc>
          <w:tcPr>
            <w:tcW w:w="2183" w:type="dxa"/>
            <w:tcBorders>
              <w:top w:val="single" w:sz="4" w:space="0" w:color="auto"/>
              <w:left w:val="nil"/>
              <w:bottom w:val="nil"/>
              <w:right w:val="nil"/>
            </w:tcBorders>
            <w:shd w:val="clear" w:color="auto" w:fill="auto"/>
            <w:noWrap/>
            <w:vAlign w:val="center"/>
            <w:hideMark/>
          </w:tcPr>
          <w:p w14:paraId="2B11980B"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CompacctInd</w:t>
            </w:r>
            <w:r w:rsidRPr="008F1997">
              <w:rPr>
                <w:rFonts w:eastAsia="Times New Roman" w:cs="Calibri"/>
                <w:i/>
                <w:iCs/>
                <w:color w:val="000000"/>
                <w:sz w:val="20"/>
                <w:szCs w:val="20"/>
                <w:vertAlign w:val="subscript"/>
              </w:rPr>
              <w:t>i,t-1</w:t>
            </w:r>
          </w:p>
        </w:tc>
        <w:tc>
          <w:tcPr>
            <w:tcW w:w="1061" w:type="dxa"/>
            <w:tcBorders>
              <w:top w:val="single" w:sz="4" w:space="0" w:color="auto"/>
              <w:left w:val="nil"/>
              <w:bottom w:val="nil"/>
              <w:right w:val="nil"/>
            </w:tcBorders>
            <w:shd w:val="clear" w:color="auto" w:fill="auto"/>
            <w:noWrap/>
            <w:vAlign w:val="center"/>
            <w:hideMark/>
          </w:tcPr>
          <w:p w14:paraId="5D02B5B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-0.079</w:t>
            </w:r>
          </w:p>
        </w:tc>
        <w:tc>
          <w:tcPr>
            <w:tcW w:w="757" w:type="dxa"/>
            <w:tcBorders>
              <w:top w:val="single" w:sz="4" w:space="0" w:color="auto"/>
              <w:left w:val="nil"/>
              <w:bottom w:val="nil"/>
              <w:right w:val="nil"/>
            </w:tcBorders>
            <w:shd w:val="clear" w:color="auto" w:fill="auto"/>
            <w:noWrap/>
            <w:vAlign w:val="center"/>
            <w:hideMark/>
          </w:tcPr>
          <w:p w14:paraId="4C02E209"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single" w:sz="4" w:space="0" w:color="auto"/>
              <w:left w:val="nil"/>
              <w:bottom w:val="nil"/>
              <w:right w:val="nil"/>
            </w:tcBorders>
            <w:shd w:val="clear" w:color="auto" w:fill="auto"/>
            <w:noWrap/>
            <w:vAlign w:val="center"/>
            <w:hideMark/>
          </w:tcPr>
          <w:p w14:paraId="25A64CF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nil"/>
              <w:bottom w:val="nil"/>
              <w:right w:val="nil"/>
            </w:tcBorders>
            <w:shd w:val="clear" w:color="auto" w:fill="auto"/>
            <w:noWrap/>
            <w:vAlign w:val="center"/>
            <w:hideMark/>
          </w:tcPr>
          <w:p w14:paraId="77E33D1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single" w:sz="4" w:space="0" w:color="auto"/>
              <w:left w:val="nil"/>
              <w:bottom w:val="nil"/>
              <w:right w:val="nil"/>
            </w:tcBorders>
            <w:shd w:val="clear" w:color="auto" w:fill="auto"/>
            <w:noWrap/>
            <w:vAlign w:val="center"/>
            <w:hideMark/>
          </w:tcPr>
          <w:p w14:paraId="63ABF01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5625FCD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-0.314***</w:t>
            </w:r>
          </w:p>
        </w:tc>
        <w:tc>
          <w:tcPr>
            <w:tcW w:w="1060" w:type="dxa"/>
            <w:tcBorders>
              <w:top w:val="single" w:sz="4" w:space="0" w:color="auto"/>
              <w:left w:val="nil"/>
              <w:bottom w:val="nil"/>
              <w:right w:val="nil"/>
            </w:tcBorders>
            <w:shd w:val="clear" w:color="auto" w:fill="auto"/>
            <w:noWrap/>
            <w:vAlign w:val="center"/>
            <w:hideMark/>
          </w:tcPr>
          <w:p w14:paraId="0A60B7B2"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3B73CC0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64661FD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6DFB93B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37195A5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62ABC28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(-0.74)</w:t>
            </w:r>
          </w:p>
        </w:tc>
        <w:tc>
          <w:tcPr>
            <w:tcW w:w="757" w:type="dxa"/>
            <w:tcBorders>
              <w:top w:val="nil"/>
              <w:left w:val="nil"/>
              <w:bottom w:val="nil"/>
              <w:right w:val="nil"/>
            </w:tcBorders>
            <w:shd w:val="clear" w:color="auto" w:fill="auto"/>
            <w:noWrap/>
            <w:vAlign w:val="center"/>
            <w:hideMark/>
          </w:tcPr>
          <w:p w14:paraId="72537A3B"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nil"/>
              <w:left w:val="nil"/>
              <w:bottom w:val="nil"/>
              <w:right w:val="nil"/>
            </w:tcBorders>
            <w:shd w:val="clear" w:color="auto" w:fill="auto"/>
            <w:noWrap/>
            <w:vAlign w:val="center"/>
            <w:hideMark/>
          </w:tcPr>
          <w:p w14:paraId="07850F9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16B2D0F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650782C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C30C71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(-3.23)</w:t>
            </w:r>
          </w:p>
        </w:tc>
        <w:tc>
          <w:tcPr>
            <w:tcW w:w="1060" w:type="dxa"/>
            <w:tcBorders>
              <w:top w:val="nil"/>
              <w:left w:val="nil"/>
              <w:bottom w:val="nil"/>
              <w:right w:val="nil"/>
            </w:tcBorders>
            <w:shd w:val="clear" w:color="auto" w:fill="auto"/>
            <w:noWrap/>
            <w:vAlign w:val="center"/>
            <w:hideMark/>
          </w:tcPr>
          <w:p w14:paraId="26536D91"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699F18D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788965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2A2F80AC"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675DC736"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Compacct10</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13B061A0"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709DE60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0.052</w:t>
            </w:r>
          </w:p>
        </w:tc>
        <w:tc>
          <w:tcPr>
            <w:tcW w:w="936" w:type="dxa"/>
            <w:tcBorders>
              <w:top w:val="nil"/>
              <w:left w:val="nil"/>
              <w:bottom w:val="nil"/>
              <w:right w:val="nil"/>
            </w:tcBorders>
            <w:shd w:val="clear" w:color="auto" w:fill="auto"/>
            <w:noWrap/>
            <w:vAlign w:val="center"/>
            <w:hideMark/>
          </w:tcPr>
          <w:p w14:paraId="748E8F81"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1C24368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344CE43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4DAC4A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7B8066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-0.278*</w:t>
            </w:r>
          </w:p>
        </w:tc>
        <w:tc>
          <w:tcPr>
            <w:tcW w:w="1060" w:type="dxa"/>
            <w:tcBorders>
              <w:top w:val="nil"/>
              <w:left w:val="nil"/>
              <w:bottom w:val="nil"/>
              <w:right w:val="nil"/>
            </w:tcBorders>
            <w:shd w:val="clear" w:color="auto" w:fill="auto"/>
            <w:noWrap/>
            <w:vAlign w:val="center"/>
            <w:hideMark/>
          </w:tcPr>
          <w:p w14:paraId="49D96F6F"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3594D80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5BB5263E"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7B6805F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60B90F58"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368E9BA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(0.36)</w:t>
            </w:r>
          </w:p>
        </w:tc>
        <w:tc>
          <w:tcPr>
            <w:tcW w:w="936" w:type="dxa"/>
            <w:tcBorders>
              <w:top w:val="nil"/>
              <w:left w:val="nil"/>
              <w:bottom w:val="nil"/>
              <w:right w:val="nil"/>
            </w:tcBorders>
            <w:shd w:val="clear" w:color="auto" w:fill="auto"/>
            <w:noWrap/>
            <w:vAlign w:val="center"/>
            <w:hideMark/>
          </w:tcPr>
          <w:p w14:paraId="17F72D97"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009CC95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19E5772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31A18B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B333D9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(-1.90)</w:t>
            </w:r>
          </w:p>
        </w:tc>
        <w:tc>
          <w:tcPr>
            <w:tcW w:w="1060" w:type="dxa"/>
            <w:tcBorders>
              <w:top w:val="nil"/>
              <w:left w:val="nil"/>
              <w:bottom w:val="nil"/>
              <w:right w:val="nil"/>
            </w:tcBorders>
            <w:shd w:val="clear" w:color="auto" w:fill="auto"/>
            <w:noWrap/>
            <w:vAlign w:val="center"/>
            <w:hideMark/>
          </w:tcPr>
          <w:p w14:paraId="27CEE43F"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4717160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5C9D346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4F890398"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CompacctBasu</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565BCDB6"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1AEFA3C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7669AE0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-0.071</w:t>
            </w:r>
          </w:p>
        </w:tc>
        <w:tc>
          <w:tcPr>
            <w:tcW w:w="1063" w:type="dxa"/>
            <w:tcBorders>
              <w:top w:val="nil"/>
              <w:left w:val="nil"/>
              <w:bottom w:val="nil"/>
              <w:right w:val="nil"/>
            </w:tcBorders>
            <w:shd w:val="clear" w:color="auto" w:fill="auto"/>
            <w:noWrap/>
            <w:vAlign w:val="center"/>
            <w:hideMark/>
          </w:tcPr>
          <w:p w14:paraId="4F47167E"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7536BDA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016C6B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4D2883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BC16E9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-0.287***</w:t>
            </w:r>
          </w:p>
        </w:tc>
        <w:tc>
          <w:tcPr>
            <w:tcW w:w="1060" w:type="dxa"/>
            <w:tcBorders>
              <w:top w:val="nil"/>
              <w:left w:val="nil"/>
              <w:bottom w:val="nil"/>
              <w:right w:val="nil"/>
            </w:tcBorders>
            <w:shd w:val="clear" w:color="auto" w:fill="auto"/>
            <w:noWrap/>
            <w:vAlign w:val="center"/>
            <w:hideMark/>
          </w:tcPr>
          <w:p w14:paraId="76BD70CC"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59FD9D37"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15EF20D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11CC9DE6"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71D22B5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26D5779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(-0.57)</w:t>
            </w:r>
          </w:p>
        </w:tc>
        <w:tc>
          <w:tcPr>
            <w:tcW w:w="1063" w:type="dxa"/>
            <w:tcBorders>
              <w:top w:val="nil"/>
              <w:left w:val="nil"/>
              <w:bottom w:val="nil"/>
              <w:right w:val="nil"/>
            </w:tcBorders>
            <w:shd w:val="clear" w:color="auto" w:fill="auto"/>
            <w:noWrap/>
            <w:vAlign w:val="center"/>
            <w:hideMark/>
          </w:tcPr>
          <w:p w14:paraId="665953FC"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0BF7E7F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08B3E3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8DE4FA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3A339D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(-2.69)</w:t>
            </w:r>
          </w:p>
        </w:tc>
        <w:tc>
          <w:tcPr>
            <w:tcW w:w="1060" w:type="dxa"/>
            <w:tcBorders>
              <w:top w:val="nil"/>
              <w:left w:val="nil"/>
              <w:bottom w:val="nil"/>
              <w:right w:val="nil"/>
            </w:tcBorders>
            <w:shd w:val="clear" w:color="auto" w:fill="auto"/>
            <w:noWrap/>
            <w:vAlign w:val="center"/>
            <w:hideMark/>
          </w:tcPr>
          <w:p w14:paraId="67EF14CB"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41EB6BA1"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1852F47"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CompacctPle</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bottom"/>
            <w:hideMark/>
          </w:tcPr>
          <w:p w14:paraId="1D73B101"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bottom"/>
            <w:hideMark/>
          </w:tcPr>
          <w:p w14:paraId="7A5A30B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710C46B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F01606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-0.128</w:t>
            </w:r>
          </w:p>
        </w:tc>
        <w:tc>
          <w:tcPr>
            <w:tcW w:w="231" w:type="dxa"/>
            <w:tcBorders>
              <w:top w:val="nil"/>
              <w:left w:val="nil"/>
              <w:bottom w:val="nil"/>
              <w:right w:val="nil"/>
            </w:tcBorders>
            <w:shd w:val="clear" w:color="auto" w:fill="auto"/>
            <w:noWrap/>
            <w:vAlign w:val="bottom"/>
            <w:hideMark/>
          </w:tcPr>
          <w:p w14:paraId="72DC1061"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bottom"/>
            <w:hideMark/>
          </w:tcPr>
          <w:p w14:paraId="7F6D45A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E1637F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56CE06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CE9D70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-0.321***</w:t>
            </w:r>
          </w:p>
        </w:tc>
      </w:tr>
      <w:tr w:rsidR="00016D40" w:rsidRPr="008F1997" w14:paraId="21CAD222"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7F8CE6E3" w14:textId="77777777" w:rsidR="00016D40" w:rsidRPr="008F1997" w:rsidRDefault="00016D40" w:rsidP="00CD1FDD">
            <w:pPr>
              <w:spacing w:after="0" w:line="240" w:lineRule="auto"/>
              <w:jc w:val="center"/>
              <w:rPr>
                <w:rFonts w:eastAsia="Times New Roman" w:cs="Calibri"/>
                <w:color w:val="000000"/>
                <w:sz w:val="20"/>
                <w:szCs w:val="20"/>
              </w:rPr>
            </w:pPr>
          </w:p>
        </w:tc>
        <w:tc>
          <w:tcPr>
            <w:tcW w:w="1061" w:type="dxa"/>
            <w:tcBorders>
              <w:top w:val="nil"/>
              <w:left w:val="nil"/>
              <w:bottom w:val="nil"/>
              <w:right w:val="nil"/>
            </w:tcBorders>
            <w:shd w:val="clear" w:color="auto" w:fill="auto"/>
            <w:noWrap/>
            <w:vAlign w:val="bottom"/>
            <w:hideMark/>
          </w:tcPr>
          <w:p w14:paraId="5B8285C7"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bottom"/>
            <w:hideMark/>
          </w:tcPr>
          <w:p w14:paraId="3953121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42EAAED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04137F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(-1.04)</w:t>
            </w:r>
          </w:p>
        </w:tc>
        <w:tc>
          <w:tcPr>
            <w:tcW w:w="231" w:type="dxa"/>
            <w:tcBorders>
              <w:top w:val="nil"/>
              <w:left w:val="nil"/>
              <w:bottom w:val="nil"/>
              <w:right w:val="nil"/>
            </w:tcBorders>
            <w:shd w:val="clear" w:color="auto" w:fill="auto"/>
            <w:noWrap/>
            <w:vAlign w:val="bottom"/>
            <w:hideMark/>
          </w:tcPr>
          <w:p w14:paraId="210C760A"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bottom"/>
            <w:hideMark/>
          </w:tcPr>
          <w:p w14:paraId="761934C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00A734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BF58BF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607516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(-2.90)</w:t>
            </w:r>
          </w:p>
        </w:tc>
      </w:tr>
      <w:tr w:rsidR="00016D40" w:rsidRPr="008F1997" w14:paraId="3689220F"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CEC2389"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Control</w:t>
            </w:r>
          </w:p>
        </w:tc>
        <w:tc>
          <w:tcPr>
            <w:tcW w:w="1061" w:type="dxa"/>
            <w:tcBorders>
              <w:top w:val="nil"/>
              <w:left w:val="nil"/>
              <w:bottom w:val="nil"/>
              <w:right w:val="nil"/>
            </w:tcBorders>
            <w:shd w:val="clear" w:color="auto" w:fill="auto"/>
            <w:noWrap/>
            <w:vAlign w:val="center"/>
            <w:hideMark/>
          </w:tcPr>
          <w:p w14:paraId="0A1C400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78D0E66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01237DB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499ACB3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5271FE5A"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A37A90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445D0FD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4135AD4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4344840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7D0EE13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45EC716A"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Industry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1AC7D2C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7EEE5CB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196776F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314C2BF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523F5FB9"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6448108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3BADE59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194E1C6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64A3DAD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6424C401"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3EE1D70A"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Year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790363F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121FB41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654C551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3C68DD1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1DF6D316"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210CC60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021544D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04FDFD1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1EE2215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040F7354"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1805608"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Adj. R</w:t>
            </w:r>
            <w:r w:rsidRPr="008F1997">
              <w:rPr>
                <w:rFonts w:eastAsia="Times New Roman" w:cs="Calibri"/>
                <w:color w:val="000000"/>
                <w:sz w:val="20"/>
                <w:szCs w:val="20"/>
                <w:vertAlign w:val="superscript"/>
              </w:rPr>
              <w:t>2</w:t>
            </w:r>
          </w:p>
        </w:tc>
        <w:tc>
          <w:tcPr>
            <w:tcW w:w="1061" w:type="dxa"/>
            <w:tcBorders>
              <w:top w:val="nil"/>
              <w:left w:val="nil"/>
              <w:bottom w:val="nil"/>
              <w:right w:val="nil"/>
            </w:tcBorders>
            <w:shd w:val="clear" w:color="auto" w:fill="auto"/>
            <w:noWrap/>
            <w:vAlign w:val="center"/>
            <w:hideMark/>
          </w:tcPr>
          <w:p w14:paraId="6371563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0.075</w:t>
            </w:r>
          </w:p>
        </w:tc>
        <w:tc>
          <w:tcPr>
            <w:tcW w:w="757" w:type="dxa"/>
            <w:tcBorders>
              <w:top w:val="nil"/>
              <w:left w:val="nil"/>
              <w:bottom w:val="nil"/>
              <w:right w:val="nil"/>
            </w:tcBorders>
            <w:shd w:val="clear" w:color="auto" w:fill="auto"/>
            <w:noWrap/>
            <w:vAlign w:val="center"/>
            <w:hideMark/>
          </w:tcPr>
          <w:p w14:paraId="0E051F4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0.075</w:t>
            </w:r>
          </w:p>
        </w:tc>
        <w:tc>
          <w:tcPr>
            <w:tcW w:w="936" w:type="dxa"/>
            <w:tcBorders>
              <w:top w:val="nil"/>
              <w:left w:val="nil"/>
              <w:bottom w:val="nil"/>
              <w:right w:val="nil"/>
            </w:tcBorders>
            <w:shd w:val="clear" w:color="auto" w:fill="auto"/>
            <w:noWrap/>
            <w:vAlign w:val="center"/>
            <w:hideMark/>
          </w:tcPr>
          <w:p w14:paraId="758D891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0.074</w:t>
            </w:r>
          </w:p>
        </w:tc>
        <w:tc>
          <w:tcPr>
            <w:tcW w:w="1063" w:type="dxa"/>
            <w:tcBorders>
              <w:top w:val="nil"/>
              <w:left w:val="nil"/>
              <w:bottom w:val="nil"/>
              <w:right w:val="nil"/>
            </w:tcBorders>
            <w:shd w:val="clear" w:color="auto" w:fill="auto"/>
            <w:noWrap/>
            <w:vAlign w:val="center"/>
            <w:hideMark/>
          </w:tcPr>
          <w:p w14:paraId="51D1D85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0.075</w:t>
            </w:r>
          </w:p>
        </w:tc>
        <w:tc>
          <w:tcPr>
            <w:tcW w:w="231" w:type="dxa"/>
            <w:tcBorders>
              <w:top w:val="nil"/>
              <w:left w:val="nil"/>
              <w:bottom w:val="nil"/>
              <w:right w:val="nil"/>
            </w:tcBorders>
            <w:shd w:val="clear" w:color="auto" w:fill="auto"/>
            <w:noWrap/>
            <w:vAlign w:val="center"/>
            <w:hideMark/>
          </w:tcPr>
          <w:p w14:paraId="7A65E529"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3215486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0.078</w:t>
            </w:r>
          </w:p>
        </w:tc>
        <w:tc>
          <w:tcPr>
            <w:tcW w:w="1060" w:type="dxa"/>
            <w:tcBorders>
              <w:top w:val="nil"/>
              <w:left w:val="nil"/>
              <w:bottom w:val="nil"/>
              <w:right w:val="nil"/>
            </w:tcBorders>
            <w:shd w:val="clear" w:color="auto" w:fill="auto"/>
            <w:noWrap/>
            <w:vAlign w:val="center"/>
            <w:hideMark/>
          </w:tcPr>
          <w:p w14:paraId="7586C66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0.078</w:t>
            </w:r>
          </w:p>
        </w:tc>
        <w:tc>
          <w:tcPr>
            <w:tcW w:w="1060" w:type="dxa"/>
            <w:tcBorders>
              <w:top w:val="nil"/>
              <w:left w:val="nil"/>
              <w:bottom w:val="nil"/>
              <w:right w:val="nil"/>
            </w:tcBorders>
            <w:shd w:val="clear" w:color="auto" w:fill="auto"/>
            <w:noWrap/>
            <w:vAlign w:val="center"/>
            <w:hideMark/>
          </w:tcPr>
          <w:p w14:paraId="4E76E98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0.078</w:t>
            </w:r>
          </w:p>
        </w:tc>
        <w:tc>
          <w:tcPr>
            <w:tcW w:w="1060" w:type="dxa"/>
            <w:tcBorders>
              <w:top w:val="nil"/>
              <w:left w:val="nil"/>
              <w:bottom w:val="nil"/>
              <w:right w:val="nil"/>
            </w:tcBorders>
            <w:shd w:val="clear" w:color="auto" w:fill="auto"/>
            <w:noWrap/>
            <w:vAlign w:val="center"/>
            <w:hideMark/>
          </w:tcPr>
          <w:p w14:paraId="42E91D2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0.072</w:t>
            </w:r>
          </w:p>
        </w:tc>
      </w:tr>
      <w:tr w:rsidR="00016D40" w:rsidRPr="008F1997" w14:paraId="3B529CF3" w14:textId="77777777" w:rsidTr="00CD1FDD">
        <w:trPr>
          <w:gridAfter w:val="1"/>
          <w:wAfter w:w="13" w:type="dxa"/>
          <w:trHeight w:val="234"/>
          <w:jc w:val="center"/>
        </w:trPr>
        <w:tc>
          <w:tcPr>
            <w:tcW w:w="2183" w:type="dxa"/>
            <w:tcBorders>
              <w:top w:val="nil"/>
              <w:left w:val="nil"/>
              <w:bottom w:val="single" w:sz="12" w:space="0" w:color="auto"/>
              <w:right w:val="nil"/>
            </w:tcBorders>
            <w:shd w:val="clear" w:color="auto" w:fill="auto"/>
            <w:noWrap/>
            <w:vAlign w:val="center"/>
            <w:hideMark/>
          </w:tcPr>
          <w:p w14:paraId="5FC8060D"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Obs.</w:t>
            </w:r>
          </w:p>
        </w:tc>
        <w:tc>
          <w:tcPr>
            <w:tcW w:w="1061" w:type="dxa"/>
            <w:tcBorders>
              <w:top w:val="nil"/>
              <w:left w:val="nil"/>
              <w:bottom w:val="single" w:sz="12" w:space="0" w:color="auto"/>
              <w:right w:val="nil"/>
            </w:tcBorders>
            <w:shd w:val="clear" w:color="auto" w:fill="auto"/>
            <w:noWrap/>
            <w:vAlign w:val="center"/>
            <w:hideMark/>
          </w:tcPr>
          <w:p w14:paraId="179D04D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15417</w:t>
            </w:r>
          </w:p>
        </w:tc>
        <w:tc>
          <w:tcPr>
            <w:tcW w:w="757" w:type="dxa"/>
            <w:tcBorders>
              <w:top w:val="nil"/>
              <w:left w:val="nil"/>
              <w:bottom w:val="single" w:sz="12" w:space="0" w:color="auto"/>
              <w:right w:val="nil"/>
            </w:tcBorders>
            <w:shd w:val="clear" w:color="auto" w:fill="auto"/>
            <w:noWrap/>
            <w:vAlign w:val="center"/>
            <w:hideMark/>
          </w:tcPr>
          <w:p w14:paraId="7DCF064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15417</w:t>
            </w:r>
          </w:p>
        </w:tc>
        <w:tc>
          <w:tcPr>
            <w:tcW w:w="936" w:type="dxa"/>
            <w:tcBorders>
              <w:top w:val="nil"/>
              <w:left w:val="nil"/>
              <w:bottom w:val="single" w:sz="12" w:space="0" w:color="auto"/>
              <w:right w:val="nil"/>
            </w:tcBorders>
            <w:shd w:val="clear" w:color="auto" w:fill="auto"/>
            <w:noWrap/>
            <w:vAlign w:val="center"/>
            <w:hideMark/>
          </w:tcPr>
          <w:p w14:paraId="0A3042F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15279</w:t>
            </w:r>
          </w:p>
        </w:tc>
        <w:tc>
          <w:tcPr>
            <w:tcW w:w="1063" w:type="dxa"/>
            <w:tcBorders>
              <w:top w:val="nil"/>
              <w:left w:val="nil"/>
              <w:bottom w:val="single" w:sz="12" w:space="0" w:color="auto"/>
              <w:right w:val="nil"/>
            </w:tcBorders>
            <w:shd w:val="clear" w:color="auto" w:fill="auto"/>
            <w:noWrap/>
            <w:vAlign w:val="center"/>
            <w:hideMark/>
          </w:tcPr>
          <w:p w14:paraId="78858C5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14918</w:t>
            </w:r>
          </w:p>
        </w:tc>
        <w:tc>
          <w:tcPr>
            <w:tcW w:w="231" w:type="dxa"/>
            <w:tcBorders>
              <w:top w:val="nil"/>
              <w:left w:val="nil"/>
              <w:bottom w:val="single" w:sz="12" w:space="0" w:color="auto"/>
              <w:right w:val="nil"/>
            </w:tcBorders>
            <w:shd w:val="clear" w:color="auto" w:fill="auto"/>
            <w:noWrap/>
            <w:vAlign w:val="center"/>
            <w:hideMark/>
          </w:tcPr>
          <w:p w14:paraId="3665CF8E"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single" w:sz="12" w:space="0" w:color="auto"/>
              <w:right w:val="nil"/>
            </w:tcBorders>
            <w:shd w:val="clear" w:color="auto" w:fill="auto"/>
            <w:noWrap/>
            <w:vAlign w:val="center"/>
            <w:hideMark/>
          </w:tcPr>
          <w:p w14:paraId="7AD84E6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15337</w:t>
            </w:r>
          </w:p>
        </w:tc>
        <w:tc>
          <w:tcPr>
            <w:tcW w:w="1060" w:type="dxa"/>
            <w:tcBorders>
              <w:top w:val="nil"/>
              <w:left w:val="nil"/>
              <w:bottom w:val="single" w:sz="12" w:space="0" w:color="auto"/>
              <w:right w:val="nil"/>
            </w:tcBorders>
            <w:shd w:val="clear" w:color="auto" w:fill="auto"/>
            <w:noWrap/>
            <w:vAlign w:val="center"/>
            <w:hideMark/>
          </w:tcPr>
          <w:p w14:paraId="5745B59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15337</w:t>
            </w:r>
          </w:p>
        </w:tc>
        <w:tc>
          <w:tcPr>
            <w:tcW w:w="1060" w:type="dxa"/>
            <w:tcBorders>
              <w:top w:val="nil"/>
              <w:left w:val="nil"/>
              <w:bottom w:val="single" w:sz="12" w:space="0" w:color="auto"/>
              <w:right w:val="nil"/>
            </w:tcBorders>
            <w:shd w:val="clear" w:color="auto" w:fill="auto"/>
            <w:noWrap/>
            <w:vAlign w:val="center"/>
            <w:hideMark/>
          </w:tcPr>
          <w:p w14:paraId="2855385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15099</w:t>
            </w:r>
          </w:p>
        </w:tc>
        <w:tc>
          <w:tcPr>
            <w:tcW w:w="1060" w:type="dxa"/>
            <w:tcBorders>
              <w:top w:val="nil"/>
              <w:left w:val="nil"/>
              <w:bottom w:val="single" w:sz="12" w:space="0" w:color="auto"/>
              <w:right w:val="nil"/>
            </w:tcBorders>
            <w:shd w:val="clear" w:color="auto" w:fill="auto"/>
            <w:noWrap/>
            <w:vAlign w:val="center"/>
            <w:hideMark/>
          </w:tcPr>
          <w:p w14:paraId="685FB93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14482</w:t>
            </w:r>
          </w:p>
        </w:tc>
      </w:tr>
      <w:tr w:rsidR="00016D40" w:rsidRPr="008F1997" w14:paraId="7D4C3F39" w14:textId="77777777" w:rsidTr="00CD1FDD">
        <w:trPr>
          <w:gridAfter w:val="1"/>
          <w:wAfter w:w="13" w:type="dxa"/>
          <w:trHeight w:val="234"/>
          <w:jc w:val="center"/>
        </w:trPr>
        <w:tc>
          <w:tcPr>
            <w:tcW w:w="2183" w:type="dxa"/>
            <w:tcBorders>
              <w:top w:val="single" w:sz="12" w:space="0" w:color="auto"/>
              <w:left w:val="nil"/>
              <w:bottom w:val="single" w:sz="12" w:space="0" w:color="auto"/>
              <w:right w:val="nil"/>
            </w:tcBorders>
            <w:shd w:val="clear" w:color="auto" w:fill="auto"/>
            <w:noWrap/>
            <w:vAlign w:val="center"/>
            <w:hideMark/>
          </w:tcPr>
          <w:p w14:paraId="6B5BE1CE" w14:textId="77777777" w:rsidR="00016D40" w:rsidRPr="008F1997" w:rsidRDefault="00016D40" w:rsidP="00CD1FDD">
            <w:pPr>
              <w:spacing w:after="0" w:line="240" w:lineRule="auto"/>
              <w:jc w:val="center"/>
              <w:rPr>
                <w:rFonts w:eastAsia="Times New Roman" w:cs="Calibri"/>
                <w:color w:val="000000"/>
                <w:sz w:val="20"/>
                <w:szCs w:val="20"/>
              </w:rPr>
            </w:pPr>
          </w:p>
        </w:tc>
        <w:tc>
          <w:tcPr>
            <w:tcW w:w="1061" w:type="dxa"/>
            <w:tcBorders>
              <w:top w:val="single" w:sz="12" w:space="0" w:color="auto"/>
              <w:left w:val="nil"/>
              <w:bottom w:val="single" w:sz="12" w:space="0" w:color="auto"/>
              <w:right w:val="nil"/>
            </w:tcBorders>
            <w:shd w:val="clear" w:color="auto" w:fill="auto"/>
            <w:noWrap/>
            <w:vAlign w:val="center"/>
            <w:hideMark/>
          </w:tcPr>
          <w:p w14:paraId="3EF27946"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single" w:sz="12" w:space="0" w:color="auto"/>
              <w:left w:val="nil"/>
              <w:bottom w:val="single" w:sz="12" w:space="0" w:color="auto"/>
              <w:right w:val="nil"/>
            </w:tcBorders>
            <w:shd w:val="clear" w:color="auto" w:fill="auto"/>
            <w:noWrap/>
            <w:vAlign w:val="center"/>
            <w:hideMark/>
          </w:tcPr>
          <w:p w14:paraId="7723396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single" w:sz="12" w:space="0" w:color="auto"/>
              <w:left w:val="nil"/>
              <w:bottom w:val="single" w:sz="12" w:space="0" w:color="auto"/>
              <w:right w:val="nil"/>
            </w:tcBorders>
            <w:shd w:val="clear" w:color="auto" w:fill="auto"/>
            <w:noWrap/>
            <w:vAlign w:val="center"/>
            <w:hideMark/>
          </w:tcPr>
          <w:p w14:paraId="1D5D655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single" w:sz="12" w:space="0" w:color="auto"/>
              <w:left w:val="nil"/>
              <w:bottom w:val="single" w:sz="12" w:space="0" w:color="auto"/>
              <w:right w:val="nil"/>
            </w:tcBorders>
            <w:shd w:val="clear" w:color="auto" w:fill="auto"/>
            <w:noWrap/>
            <w:vAlign w:val="center"/>
            <w:hideMark/>
          </w:tcPr>
          <w:p w14:paraId="230523C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single" w:sz="12" w:space="0" w:color="auto"/>
              <w:left w:val="nil"/>
              <w:bottom w:val="single" w:sz="12" w:space="0" w:color="auto"/>
              <w:right w:val="nil"/>
            </w:tcBorders>
            <w:shd w:val="clear" w:color="auto" w:fill="auto"/>
            <w:noWrap/>
            <w:vAlign w:val="center"/>
            <w:hideMark/>
          </w:tcPr>
          <w:p w14:paraId="17396D9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112E28D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32E100D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7CEB12C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nil"/>
              <w:right w:val="nil"/>
            </w:tcBorders>
            <w:shd w:val="clear" w:color="auto" w:fill="auto"/>
            <w:noWrap/>
            <w:vAlign w:val="center"/>
            <w:hideMark/>
          </w:tcPr>
          <w:p w14:paraId="613D074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4E36141E" w14:textId="77777777" w:rsidTr="00CD1FDD">
        <w:trPr>
          <w:trHeight w:val="234"/>
          <w:jc w:val="center"/>
        </w:trPr>
        <w:tc>
          <w:tcPr>
            <w:tcW w:w="10484" w:type="dxa"/>
            <w:gridSpan w:val="11"/>
            <w:tcBorders>
              <w:top w:val="single" w:sz="12" w:space="0" w:color="auto"/>
              <w:left w:val="nil"/>
              <w:bottom w:val="single" w:sz="4" w:space="0" w:color="auto"/>
              <w:right w:val="nil"/>
            </w:tcBorders>
            <w:shd w:val="clear" w:color="auto" w:fill="auto"/>
            <w:noWrap/>
            <w:vAlign w:val="center"/>
            <w:hideMark/>
          </w:tcPr>
          <w:p w14:paraId="71225C26" w14:textId="77777777" w:rsidR="00016D40" w:rsidRPr="008F1997" w:rsidRDefault="00016D40" w:rsidP="00CD1FDD">
            <w:pPr>
              <w:spacing w:after="0" w:line="240" w:lineRule="auto"/>
              <w:rPr>
                <w:rFonts w:eastAsia="Times New Roman" w:cs="Calibri"/>
                <w:b/>
                <w:bCs/>
                <w:color w:val="000000"/>
                <w:sz w:val="20"/>
                <w:szCs w:val="20"/>
              </w:rPr>
            </w:pPr>
            <w:r w:rsidRPr="008F1997">
              <w:rPr>
                <w:rFonts w:eastAsia="Times New Roman" w:cs="Calibri"/>
                <w:b/>
                <w:bCs/>
                <w:color w:val="000000"/>
                <w:sz w:val="20"/>
                <w:szCs w:val="20"/>
              </w:rPr>
              <w:t>Panel B: Institutional Investors</w:t>
            </w:r>
          </w:p>
        </w:tc>
      </w:tr>
      <w:tr w:rsidR="00016D40" w:rsidRPr="008F1997" w14:paraId="1CC18C94" w14:textId="77777777" w:rsidTr="00CD1FDD">
        <w:trPr>
          <w:trHeight w:val="234"/>
          <w:jc w:val="center"/>
        </w:trPr>
        <w:tc>
          <w:tcPr>
            <w:tcW w:w="2183" w:type="dxa"/>
            <w:tcBorders>
              <w:top w:val="single" w:sz="4" w:space="0" w:color="auto"/>
              <w:left w:val="nil"/>
              <w:bottom w:val="nil"/>
              <w:right w:val="nil"/>
            </w:tcBorders>
            <w:shd w:val="clear" w:color="auto" w:fill="auto"/>
            <w:noWrap/>
            <w:vAlign w:val="center"/>
            <w:hideMark/>
          </w:tcPr>
          <w:p w14:paraId="0BAE958C" w14:textId="77777777" w:rsidR="00016D40" w:rsidRPr="008F1997" w:rsidRDefault="00016D40" w:rsidP="00CD1FDD">
            <w:pPr>
              <w:spacing w:after="0" w:line="240" w:lineRule="auto"/>
              <w:rPr>
                <w:rFonts w:eastAsia="Times New Roman" w:cs="Calibri"/>
                <w:b/>
                <w:bCs/>
                <w:color w:val="000000"/>
                <w:sz w:val="20"/>
                <w:szCs w:val="20"/>
              </w:rPr>
            </w:pPr>
          </w:p>
        </w:tc>
        <w:tc>
          <w:tcPr>
            <w:tcW w:w="3819" w:type="dxa"/>
            <w:gridSpan w:val="4"/>
            <w:tcBorders>
              <w:top w:val="single" w:sz="4" w:space="0" w:color="auto"/>
              <w:left w:val="nil"/>
              <w:bottom w:val="nil"/>
              <w:right w:val="nil"/>
            </w:tcBorders>
            <w:shd w:val="clear" w:color="auto" w:fill="auto"/>
            <w:noWrap/>
            <w:vAlign w:val="center"/>
            <w:hideMark/>
          </w:tcPr>
          <w:p w14:paraId="43ABDCBF"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Strong Institutional Investor Monitoring</w:t>
            </w:r>
          </w:p>
        </w:tc>
        <w:tc>
          <w:tcPr>
            <w:tcW w:w="231" w:type="dxa"/>
            <w:tcBorders>
              <w:top w:val="single" w:sz="4" w:space="0" w:color="auto"/>
              <w:left w:val="nil"/>
              <w:bottom w:val="nil"/>
              <w:right w:val="nil"/>
            </w:tcBorders>
            <w:shd w:val="clear" w:color="auto" w:fill="auto"/>
            <w:noWrap/>
            <w:vAlign w:val="center"/>
            <w:hideMark/>
          </w:tcPr>
          <w:p w14:paraId="334070C4"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4249" w:type="dxa"/>
            <w:gridSpan w:val="5"/>
            <w:tcBorders>
              <w:top w:val="single" w:sz="4" w:space="0" w:color="auto"/>
              <w:left w:val="nil"/>
              <w:bottom w:val="nil"/>
              <w:right w:val="nil"/>
            </w:tcBorders>
            <w:shd w:val="clear" w:color="auto" w:fill="auto"/>
            <w:noWrap/>
            <w:vAlign w:val="center"/>
            <w:hideMark/>
          </w:tcPr>
          <w:p w14:paraId="4A32DFD3"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Weak Institutional Investor Monitoring</w:t>
            </w:r>
          </w:p>
        </w:tc>
      </w:tr>
      <w:tr w:rsidR="00016D40" w:rsidRPr="008F1997" w14:paraId="39766A6B" w14:textId="77777777" w:rsidTr="00CD1FDD">
        <w:trPr>
          <w:gridAfter w:val="1"/>
          <w:wAfter w:w="13" w:type="dxa"/>
          <w:trHeight w:val="234"/>
          <w:jc w:val="center"/>
        </w:trPr>
        <w:tc>
          <w:tcPr>
            <w:tcW w:w="2183" w:type="dxa"/>
            <w:tcBorders>
              <w:top w:val="nil"/>
              <w:left w:val="nil"/>
              <w:bottom w:val="single" w:sz="4" w:space="0" w:color="auto"/>
              <w:right w:val="nil"/>
            </w:tcBorders>
            <w:shd w:val="clear" w:color="auto" w:fill="auto"/>
            <w:noWrap/>
            <w:vAlign w:val="center"/>
            <w:hideMark/>
          </w:tcPr>
          <w:p w14:paraId="483AC4F5"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hideMark/>
          </w:tcPr>
          <w:p w14:paraId="11A2D7E1"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(1)</w:t>
            </w:r>
          </w:p>
        </w:tc>
        <w:tc>
          <w:tcPr>
            <w:tcW w:w="757" w:type="dxa"/>
            <w:tcBorders>
              <w:top w:val="single" w:sz="4" w:space="0" w:color="auto"/>
              <w:left w:val="nil"/>
              <w:bottom w:val="single" w:sz="4" w:space="0" w:color="auto"/>
              <w:right w:val="nil"/>
            </w:tcBorders>
            <w:shd w:val="clear" w:color="auto" w:fill="auto"/>
            <w:noWrap/>
            <w:vAlign w:val="center"/>
            <w:hideMark/>
          </w:tcPr>
          <w:p w14:paraId="2F40834B"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(2)</w:t>
            </w:r>
          </w:p>
        </w:tc>
        <w:tc>
          <w:tcPr>
            <w:tcW w:w="936" w:type="dxa"/>
            <w:tcBorders>
              <w:top w:val="single" w:sz="4" w:space="0" w:color="auto"/>
              <w:left w:val="nil"/>
              <w:bottom w:val="single" w:sz="4" w:space="0" w:color="auto"/>
              <w:right w:val="nil"/>
            </w:tcBorders>
            <w:shd w:val="clear" w:color="auto" w:fill="auto"/>
            <w:noWrap/>
            <w:vAlign w:val="center"/>
            <w:hideMark/>
          </w:tcPr>
          <w:p w14:paraId="58F9A2B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(3)</w:t>
            </w:r>
          </w:p>
        </w:tc>
        <w:tc>
          <w:tcPr>
            <w:tcW w:w="1063" w:type="dxa"/>
            <w:tcBorders>
              <w:top w:val="single" w:sz="4" w:space="0" w:color="auto"/>
              <w:left w:val="nil"/>
              <w:bottom w:val="single" w:sz="4" w:space="0" w:color="auto"/>
              <w:right w:val="nil"/>
            </w:tcBorders>
            <w:shd w:val="clear" w:color="auto" w:fill="auto"/>
            <w:noWrap/>
            <w:vAlign w:val="center"/>
            <w:hideMark/>
          </w:tcPr>
          <w:p w14:paraId="7BE36751"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(4)</w:t>
            </w:r>
          </w:p>
        </w:tc>
        <w:tc>
          <w:tcPr>
            <w:tcW w:w="231" w:type="dxa"/>
            <w:tcBorders>
              <w:top w:val="nil"/>
              <w:left w:val="nil"/>
              <w:bottom w:val="single" w:sz="4" w:space="0" w:color="auto"/>
              <w:right w:val="nil"/>
            </w:tcBorders>
            <w:shd w:val="clear" w:color="auto" w:fill="auto"/>
            <w:noWrap/>
            <w:vAlign w:val="center"/>
            <w:hideMark/>
          </w:tcPr>
          <w:p w14:paraId="5DFF9AC4"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0" w:type="dxa"/>
            <w:tcBorders>
              <w:top w:val="single" w:sz="4" w:space="0" w:color="auto"/>
              <w:left w:val="nil"/>
              <w:bottom w:val="single" w:sz="4" w:space="0" w:color="auto"/>
              <w:right w:val="nil"/>
            </w:tcBorders>
            <w:shd w:val="clear" w:color="auto" w:fill="auto"/>
            <w:noWrap/>
            <w:vAlign w:val="center"/>
            <w:hideMark/>
          </w:tcPr>
          <w:p w14:paraId="31E13349"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(5)</w:t>
            </w:r>
          </w:p>
        </w:tc>
        <w:tc>
          <w:tcPr>
            <w:tcW w:w="1060" w:type="dxa"/>
            <w:tcBorders>
              <w:top w:val="single" w:sz="4" w:space="0" w:color="auto"/>
              <w:left w:val="nil"/>
              <w:bottom w:val="single" w:sz="4" w:space="0" w:color="auto"/>
              <w:right w:val="nil"/>
            </w:tcBorders>
            <w:shd w:val="clear" w:color="auto" w:fill="auto"/>
            <w:noWrap/>
            <w:vAlign w:val="center"/>
            <w:hideMark/>
          </w:tcPr>
          <w:p w14:paraId="2779487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(6)</w:t>
            </w:r>
          </w:p>
        </w:tc>
        <w:tc>
          <w:tcPr>
            <w:tcW w:w="1060" w:type="dxa"/>
            <w:tcBorders>
              <w:top w:val="single" w:sz="4" w:space="0" w:color="auto"/>
              <w:left w:val="nil"/>
              <w:bottom w:val="single" w:sz="4" w:space="0" w:color="auto"/>
              <w:right w:val="nil"/>
            </w:tcBorders>
            <w:shd w:val="clear" w:color="auto" w:fill="auto"/>
            <w:noWrap/>
            <w:vAlign w:val="center"/>
            <w:hideMark/>
          </w:tcPr>
          <w:p w14:paraId="72DCF77B"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(7)</w:t>
            </w:r>
          </w:p>
        </w:tc>
        <w:tc>
          <w:tcPr>
            <w:tcW w:w="1060" w:type="dxa"/>
            <w:tcBorders>
              <w:top w:val="single" w:sz="4" w:space="0" w:color="auto"/>
              <w:left w:val="nil"/>
              <w:bottom w:val="single" w:sz="4" w:space="0" w:color="auto"/>
              <w:right w:val="nil"/>
            </w:tcBorders>
            <w:shd w:val="clear" w:color="auto" w:fill="auto"/>
            <w:noWrap/>
            <w:vAlign w:val="center"/>
            <w:hideMark/>
          </w:tcPr>
          <w:p w14:paraId="220F211F"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(8)</w:t>
            </w:r>
          </w:p>
        </w:tc>
      </w:tr>
      <w:tr w:rsidR="00016D40" w:rsidRPr="008F1997" w14:paraId="35F5DA63" w14:textId="77777777" w:rsidTr="00CD1FDD">
        <w:trPr>
          <w:gridAfter w:val="1"/>
          <w:wAfter w:w="13" w:type="dxa"/>
          <w:trHeight w:val="234"/>
          <w:jc w:val="center"/>
        </w:trPr>
        <w:tc>
          <w:tcPr>
            <w:tcW w:w="2183" w:type="dxa"/>
            <w:tcBorders>
              <w:top w:val="single" w:sz="4" w:space="0" w:color="auto"/>
              <w:left w:val="nil"/>
              <w:bottom w:val="nil"/>
              <w:right w:val="nil"/>
            </w:tcBorders>
            <w:shd w:val="clear" w:color="auto" w:fill="auto"/>
            <w:noWrap/>
            <w:vAlign w:val="center"/>
            <w:hideMark/>
          </w:tcPr>
          <w:p w14:paraId="0EDD61A4"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CompacctInd</w:t>
            </w:r>
            <w:r w:rsidRPr="008F1997">
              <w:rPr>
                <w:rFonts w:eastAsia="Times New Roman" w:cs="Calibri"/>
                <w:i/>
                <w:iCs/>
                <w:color w:val="000000"/>
                <w:sz w:val="20"/>
                <w:szCs w:val="20"/>
                <w:vertAlign w:val="subscript"/>
              </w:rPr>
              <w:t>i,t-1</w:t>
            </w:r>
          </w:p>
        </w:tc>
        <w:tc>
          <w:tcPr>
            <w:tcW w:w="1061" w:type="dxa"/>
            <w:tcBorders>
              <w:top w:val="single" w:sz="4" w:space="0" w:color="auto"/>
              <w:left w:val="nil"/>
              <w:bottom w:val="nil"/>
              <w:right w:val="nil"/>
            </w:tcBorders>
            <w:shd w:val="clear" w:color="auto" w:fill="auto"/>
            <w:noWrap/>
            <w:vAlign w:val="center"/>
            <w:hideMark/>
          </w:tcPr>
          <w:p w14:paraId="5DF7911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-0.088</w:t>
            </w:r>
          </w:p>
        </w:tc>
        <w:tc>
          <w:tcPr>
            <w:tcW w:w="757" w:type="dxa"/>
            <w:tcBorders>
              <w:top w:val="single" w:sz="4" w:space="0" w:color="auto"/>
              <w:left w:val="nil"/>
              <w:bottom w:val="nil"/>
              <w:right w:val="nil"/>
            </w:tcBorders>
            <w:shd w:val="clear" w:color="auto" w:fill="auto"/>
            <w:noWrap/>
            <w:vAlign w:val="center"/>
            <w:hideMark/>
          </w:tcPr>
          <w:p w14:paraId="7D860840"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single" w:sz="4" w:space="0" w:color="auto"/>
              <w:left w:val="nil"/>
              <w:bottom w:val="nil"/>
              <w:right w:val="nil"/>
            </w:tcBorders>
            <w:shd w:val="clear" w:color="auto" w:fill="auto"/>
            <w:noWrap/>
            <w:vAlign w:val="center"/>
            <w:hideMark/>
          </w:tcPr>
          <w:p w14:paraId="19F78AD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nil"/>
              <w:bottom w:val="nil"/>
              <w:right w:val="nil"/>
            </w:tcBorders>
            <w:shd w:val="clear" w:color="auto" w:fill="auto"/>
            <w:noWrap/>
            <w:vAlign w:val="center"/>
            <w:hideMark/>
          </w:tcPr>
          <w:p w14:paraId="4896433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single" w:sz="4" w:space="0" w:color="auto"/>
              <w:left w:val="nil"/>
              <w:bottom w:val="nil"/>
              <w:right w:val="nil"/>
            </w:tcBorders>
            <w:shd w:val="clear" w:color="auto" w:fill="auto"/>
            <w:noWrap/>
            <w:vAlign w:val="center"/>
            <w:hideMark/>
          </w:tcPr>
          <w:p w14:paraId="479E023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13C7619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-0.455***</w:t>
            </w:r>
          </w:p>
        </w:tc>
        <w:tc>
          <w:tcPr>
            <w:tcW w:w="1060" w:type="dxa"/>
            <w:tcBorders>
              <w:top w:val="single" w:sz="4" w:space="0" w:color="auto"/>
              <w:left w:val="nil"/>
              <w:bottom w:val="nil"/>
              <w:right w:val="nil"/>
            </w:tcBorders>
            <w:shd w:val="clear" w:color="auto" w:fill="auto"/>
            <w:noWrap/>
            <w:vAlign w:val="center"/>
            <w:hideMark/>
          </w:tcPr>
          <w:p w14:paraId="62F738B0"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4146B48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508914F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1223F026"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33C7EA9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177EBE6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(-1.21)</w:t>
            </w:r>
          </w:p>
        </w:tc>
        <w:tc>
          <w:tcPr>
            <w:tcW w:w="757" w:type="dxa"/>
            <w:tcBorders>
              <w:top w:val="nil"/>
              <w:left w:val="nil"/>
              <w:bottom w:val="nil"/>
              <w:right w:val="nil"/>
            </w:tcBorders>
            <w:shd w:val="clear" w:color="auto" w:fill="auto"/>
            <w:noWrap/>
            <w:vAlign w:val="center"/>
            <w:hideMark/>
          </w:tcPr>
          <w:p w14:paraId="745A52D2"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nil"/>
              <w:left w:val="nil"/>
              <w:bottom w:val="nil"/>
              <w:right w:val="nil"/>
            </w:tcBorders>
            <w:shd w:val="clear" w:color="auto" w:fill="auto"/>
            <w:noWrap/>
            <w:vAlign w:val="center"/>
            <w:hideMark/>
          </w:tcPr>
          <w:p w14:paraId="48283C5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4A9FF82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75FEBCA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897B15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(-4.22)</w:t>
            </w:r>
          </w:p>
        </w:tc>
        <w:tc>
          <w:tcPr>
            <w:tcW w:w="1060" w:type="dxa"/>
            <w:tcBorders>
              <w:top w:val="nil"/>
              <w:left w:val="nil"/>
              <w:bottom w:val="nil"/>
              <w:right w:val="nil"/>
            </w:tcBorders>
            <w:shd w:val="clear" w:color="auto" w:fill="auto"/>
            <w:noWrap/>
            <w:vAlign w:val="center"/>
            <w:hideMark/>
          </w:tcPr>
          <w:p w14:paraId="7E7A9D95"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40FC549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B4506D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098D16AF"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07C0A252"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Compacct10</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041FE654"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56D3E36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0.028</w:t>
            </w:r>
          </w:p>
        </w:tc>
        <w:tc>
          <w:tcPr>
            <w:tcW w:w="936" w:type="dxa"/>
            <w:tcBorders>
              <w:top w:val="nil"/>
              <w:left w:val="nil"/>
              <w:bottom w:val="nil"/>
              <w:right w:val="nil"/>
            </w:tcBorders>
            <w:shd w:val="clear" w:color="auto" w:fill="auto"/>
            <w:noWrap/>
            <w:vAlign w:val="center"/>
            <w:hideMark/>
          </w:tcPr>
          <w:p w14:paraId="19C6E94A"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7EF088A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6CB8826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D6EB72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B752D0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-0.558***</w:t>
            </w:r>
          </w:p>
        </w:tc>
        <w:tc>
          <w:tcPr>
            <w:tcW w:w="1060" w:type="dxa"/>
            <w:tcBorders>
              <w:top w:val="nil"/>
              <w:left w:val="nil"/>
              <w:bottom w:val="nil"/>
              <w:right w:val="nil"/>
            </w:tcBorders>
            <w:shd w:val="clear" w:color="auto" w:fill="auto"/>
            <w:noWrap/>
            <w:vAlign w:val="center"/>
            <w:hideMark/>
          </w:tcPr>
          <w:p w14:paraId="794C7778"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05903D5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4796153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04ABEB47"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526DC301"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57DEF0C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(0.26)</w:t>
            </w:r>
          </w:p>
        </w:tc>
        <w:tc>
          <w:tcPr>
            <w:tcW w:w="936" w:type="dxa"/>
            <w:tcBorders>
              <w:top w:val="nil"/>
              <w:left w:val="nil"/>
              <w:bottom w:val="nil"/>
              <w:right w:val="nil"/>
            </w:tcBorders>
            <w:shd w:val="clear" w:color="auto" w:fill="auto"/>
            <w:noWrap/>
            <w:vAlign w:val="center"/>
            <w:hideMark/>
          </w:tcPr>
          <w:p w14:paraId="1EC6EB77"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5043F56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5A2AE4C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A96CCF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6427F3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(-3.23)</w:t>
            </w:r>
          </w:p>
        </w:tc>
        <w:tc>
          <w:tcPr>
            <w:tcW w:w="1060" w:type="dxa"/>
            <w:tcBorders>
              <w:top w:val="nil"/>
              <w:left w:val="nil"/>
              <w:bottom w:val="nil"/>
              <w:right w:val="nil"/>
            </w:tcBorders>
            <w:shd w:val="clear" w:color="auto" w:fill="auto"/>
            <w:noWrap/>
            <w:vAlign w:val="center"/>
            <w:hideMark/>
          </w:tcPr>
          <w:p w14:paraId="001840FF"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3D82377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1ED24BF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63B7B4D1"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CompacctBasu</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19A0A2B9"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428F632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11DBC81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-0.073</w:t>
            </w:r>
          </w:p>
        </w:tc>
        <w:tc>
          <w:tcPr>
            <w:tcW w:w="1063" w:type="dxa"/>
            <w:tcBorders>
              <w:top w:val="nil"/>
              <w:left w:val="nil"/>
              <w:bottom w:val="nil"/>
              <w:right w:val="nil"/>
            </w:tcBorders>
            <w:shd w:val="clear" w:color="auto" w:fill="auto"/>
            <w:noWrap/>
            <w:vAlign w:val="center"/>
            <w:hideMark/>
          </w:tcPr>
          <w:p w14:paraId="37986DBB"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6DB6621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8DD1CC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5A6398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4FA39E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-0.453***</w:t>
            </w:r>
          </w:p>
        </w:tc>
        <w:tc>
          <w:tcPr>
            <w:tcW w:w="1060" w:type="dxa"/>
            <w:tcBorders>
              <w:top w:val="nil"/>
              <w:left w:val="nil"/>
              <w:bottom w:val="nil"/>
              <w:right w:val="nil"/>
            </w:tcBorders>
            <w:shd w:val="clear" w:color="auto" w:fill="auto"/>
            <w:noWrap/>
            <w:vAlign w:val="center"/>
            <w:hideMark/>
          </w:tcPr>
          <w:p w14:paraId="3E8C136F"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7894EA58"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04B7FC0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214C30BF"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02F6DC9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53785D9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(-0.90)</w:t>
            </w:r>
          </w:p>
        </w:tc>
        <w:tc>
          <w:tcPr>
            <w:tcW w:w="1063" w:type="dxa"/>
            <w:tcBorders>
              <w:top w:val="nil"/>
              <w:left w:val="nil"/>
              <w:bottom w:val="nil"/>
              <w:right w:val="nil"/>
            </w:tcBorders>
            <w:shd w:val="clear" w:color="auto" w:fill="auto"/>
            <w:noWrap/>
            <w:vAlign w:val="center"/>
            <w:hideMark/>
          </w:tcPr>
          <w:p w14:paraId="4BAB95E5"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10A23E7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B4357F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19348F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A62430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(-3.71)</w:t>
            </w:r>
          </w:p>
        </w:tc>
        <w:tc>
          <w:tcPr>
            <w:tcW w:w="1060" w:type="dxa"/>
            <w:tcBorders>
              <w:top w:val="nil"/>
              <w:left w:val="nil"/>
              <w:bottom w:val="nil"/>
              <w:right w:val="nil"/>
            </w:tcBorders>
            <w:shd w:val="clear" w:color="auto" w:fill="auto"/>
            <w:noWrap/>
            <w:vAlign w:val="center"/>
            <w:hideMark/>
          </w:tcPr>
          <w:p w14:paraId="16B35372"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19F7FA4C"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03EF1913"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CompacctPle</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06A19EFC"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015CDC0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6272A28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62D2240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-0.118</w:t>
            </w:r>
          </w:p>
        </w:tc>
        <w:tc>
          <w:tcPr>
            <w:tcW w:w="231" w:type="dxa"/>
            <w:tcBorders>
              <w:top w:val="nil"/>
              <w:left w:val="nil"/>
              <w:bottom w:val="nil"/>
              <w:right w:val="nil"/>
            </w:tcBorders>
            <w:shd w:val="clear" w:color="auto" w:fill="auto"/>
            <w:noWrap/>
            <w:vAlign w:val="center"/>
            <w:hideMark/>
          </w:tcPr>
          <w:p w14:paraId="32BC358C"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95F070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D9CDF0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625AB0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E1DD81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-0.468***</w:t>
            </w:r>
          </w:p>
        </w:tc>
      </w:tr>
      <w:tr w:rsidR="00016D40" w:rsidRPr="008F1997" w14:paraId="72B3C527"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5949E676" w14:textId="77777777" w:rsidR="00016D40" w:rsidRPr="008F1997" w:rsidRDefault="00016D40" w:rsidP="00CD1FDD">
            <w:pPr>
              <w:spacing w:after="0" w:line="240" w:lineRule="auto"/>
              <w:jc w:val="center"/>
              <w:rPr>
                <w:rFonts w:eastAsia="Times New Roman" w:cs="Calibri"/>
                <w:color w:val="000000"/>
                <w:sz w:val="20"/>
                <w:szCs w:val="20"/>
              </w:rPr>
            </w:pPr>
          </w:p>
        </w:tc>
        <w:tc>
          <w:tcPr>
            <w:tcW w:w="1061" w:type="dxa"/>
            <w:tcBorders>
              <w:top w:val="nil"/>
              <w:left w:val="nil"/>
              <w:bottom w:val="nil"/>
              <w:right w:val="nil"/>
            </w:tcBorders>
            <w:shd w:val="clear" w:color="auto" w:fill="auto"/>
            <w:noWrap/>
            <w:vAlign w:val="center"/>
            <w:hideMark/>
          </w:tcPr>
          <w:p w14:paraId="031B2732"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43BB52F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046B01F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183618C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(-1.32)</w:t>
            </w:r>
          </w:p>
        </w:tc>
        <w:tc>
          <w:tcPr>
            <w:tcW w:w="231" w:type="dxa"/>
            <w:tcBorders>
              <w:top w:val="nil"/>
              <w:left w:val="nil"/>
              <w:bottom w:val="nil"/>
              <w:right w:val="nil"/>
            </w:tcBorders>
            <w:shd w:val="clear" w:color="auto" w:fill="auto"/>
            <w:noWrap/>
            <w:vAlign w:val="center"/>
            <w:hideMark/>
          </w:tcPr>
          <w:p w14:paraId="6E6038F1"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C75626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E4DA03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308A69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3DEAC5D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(-3.89)</w:t>
            </w:r>
          </w:p>
        </w:tc>
      </w:tr>
      <w:tr w:rsidR="00016D40" w:rsidRPr="008F1997" w14:paraId="578A779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59F6E63"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Control</w:t>
            </w:r>
          </w:p>
        </w:tc>
        <w:tc>
          <w:tcPr>
            <w:tcW w:w="1061" w:type="dxa"/>
            <w:tcBorders>
              <w:top w:val="nil"/>
              <w:left w:val="nil"/>
              <w:bottom w:val="nil"/>
              <w:right w:val="nil"/>
            </w:tcBorders>
            <w:shd w:val="clear" w:color="auto" w:fill="auto"/>
            <w:noWrap/>
            <w:vAlign w:val="center"/>
            <w:hideMark/>
          </w:tcPr>
          <w:p w14:paraId="005ACAA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361DE1F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337233B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3F3604A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165DAECC"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2307951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74EE4F3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7560F67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23DC5A8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12157FCE"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619ACD2"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Industry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5207E88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146F6C3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11973B2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71C5BB8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49B750BA"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18A0DBF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6E2472B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0752CA3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0E23E50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62BD00B2"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5DD4C1E6"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Year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461F7A0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4098765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33FFE83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7B7CDB0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7FEA7858"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6117D72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6AA5F7D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7C22CD6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5E2F96E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768E12A5"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07D09245"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Adj. R</w:t>
            </w:r>
            <w:r w:rsidRPr="008F1997">
              <w:rPr>
                <w:rFonts w:eastAsia="Times New Roman" w:cs="Calibri"/>
                <w:color w:val="000000"/>
                <w:sz w:val="20"/>
                <w:szCs w:val="20"/>
                <w:vertAlign w:val="superscript"/>
              </w:rPr>
              <w:t>2</w:t>
            </w:r>
          </w:p>
        </w:tc>
        <w:tc>
          <w:tcPr>
            <w:tcW w:w="1061" w:type="dxa"/>
            <w:tcBorders>
              <w:top w:val="nil"/>
              <w:left w:val="nil"/>
              <w:bottom w:val="nil"/>
              <w:right w:val="nil"/>
            </w:tcBorders>
            <w:shd w:val="clear" w:color="auto" w:fill="auto"/>
            <w:noWrap/>
            <w:vAlign w:val="center"/>
            <w:hideMark/>
          </w:tcPr>
          <w:p w14:paraId="6788203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0.074</w:t>
            </w:r>
          </w:p>
        </w:tc>
        <w:tc>
          <w:tcPr>
            <w:tcW w:w="757" w:type="dxa"/>
            <w:tcBorders>
              <w:top w:val="nil"/>
              <w:left w:val="nil"/>
              <w:bottom w:val="nil"/>
              <w:right w:val="nil"/>
            </w:tcBorders>
            <w:shd w:val="clear" w:color="auto" w:fill="auto"/>
            <w:noWrap/>
            <w:vAlign w:val="center"/>
            <w:hideMark/>
          </w:tcPr>
          <w:p w14:paraId="6C4955F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0.074</w:t>
            </w:r>
          </w:p>
        </w:tc>
        <w:tc>
          <w:tcPr>
            <w:tcW w:w="936" w:type="dxa"/>
            <w:tcBorders>
              <w:top w:val="nil"/>
              <w:left w:val="nil"/>
              <w:bottom w:val="nil"/>
              <w:right w:val="nil"/>
            </w:tcBorders>
            <w:shd w:val="clear" w:color="auto" w:fill="auto"/>
            <w:noWrap/>
            <w:vAlign w:val="center"/>
            <w:hideMark/>
          </w:tcPr>
          <w:p w14:paraId="5474D3F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0.075</w:t>
            </w:r>
          </w:p>
        </w:tc>
        <w:tc>
          <w:tcPr>
            <w:tcW w:w="1063" w:type="dxa"/>
            <w:tcBorders>
              <w:top w:val="nil"/>
              <w:left w:val="nil"/>
              <w:bottom w:val="nil"/>
              <w:right w:val="nil"/>
            </w:tcBorders>
            <w:shd w:val="clear" w:color="auto" w:fill="auto"/>
            <w:noWrap/>
            <w:vAlign w:val="center"/>
            <w:hideMark/>
          </w:tcPr>
          <w:p w14:paraId="20F41A0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0.074</w:t>
            </w:r>
          </w:p>
        </w:tc>
        <w:tc>
          <w:tcPr>
            <w:tcW w:w="231" w:type="dxa"/>
            <w:tcBorders>
              <w:top w:val="nil"/>
              <w:left w:val="nil"/>
              <w:bottom w:val="nil"/>
              <w:right w:val="nil"/>
            </w:tcBorders>
            <w:shd w:val="clear" w:color="auto" w:fill="auto"/>
            <w:noWrap/>
            <w:vAlign w:val="center"/>
            <w:hideMark/>
          </w:tcPr>
          <w:p w14:paraId="4F971E9D"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37E3CF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0.078</w:t>
            </w:r>
          </w:p>
        </w:tc>
        <w:tc>
          <w:tcPr>
            <w:tcW w:w="1060" w:type="dxa"/>
            <w:tcBorders>
              <w:top w:val="nil"/>
              <w:left w:val="nil"/>
              <w:bottom w:val="nil"/>
              <w:right w:val="nil"/>
            </w:tcBorders>
            <w:shd w:val="clear" w:color="auto" w:fill="auto"/>
            <w:noWrap/>
            <w:vAlign w:val="center"/>
            <w:hideMark/>
          </w:tcPr>
          <w:p w14:paraId="4CF6621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0.077</w:t>
            </w:r>
          </w:p>
        </w:tc>
        <w:tc>
          <w:tcPr>
            <w:tcW w:w="1060" w:type="dxa"/>
            <w:tcBorders>
              <w:top w:val="nil"/>
              <w:left w:val="nil"/>
              <w:bottom w:val="nil"/>
              <w:right w:val="nil"/>
            </w:tcBorders>
            <w:shd w:val="clear" w:color="auto" w:fill="auto"/>
            <w:noWrap/>
            <w:vAlign w:val="center"/>
            <w:hideMark/>
          </w:tcPr>
          <w:p w14:paraId="231EF95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0.077</w:t>
            </w:r>
          </w:p>
        </w:tc>
        <w:tc>
          <w:tcPr>
            <w:tcW w:w="1060" w:type="dxa"/>
            <w:tcBorders>
              <w:top w:val="nil"/>
              <w:left w:val="nil"/>
              <w:bottom w:val="nil"/>
              <w:right w:val="nil"/>
            </w:tcBorders>
            <w:shd w:val="clear" w:color="auto" w:fill="auto"/>
            <w:noWrap/>
            <w:vAlign w:val="center"/>
            <w:hideMark/>
          </w:tcPr>
          <w:p w14:paraId="765002F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0.073</w:t>
            </w:r>
          </w:p>
        </w:tc>
      </w:tr>
      <w:tr w:rsidR="00016D40" w:rsidRPr="008F1997" w14:paraId="210B961A" w14:textId="77777777" w:rsidTr="00CD1FDD">
        <w:trPr>
          <w:gridAfter w:val="1"/>
          <w:wAfter w:w="13" w:type="dxa"/>
          <w:trHeight w:val="234"/>
          <w:jc w:val="center"/>
        </w:trPr>
        <w:tc>
          <w:tcPr>
            <w:tcW w:w="2183" w:type="dxa"/>
            <w:tcBorders>
              <w:top w:val="nil"/>
              <w:left w:val="nil"/>
              <w:bottom w:val="single" w:sz="12" w:space="0" w:color="auto"/>
              <w:right w:val="nil"/>
            </w:tcBorders>
            <w:shd w:val="clear" w:color="auto" w:fill="auto"/>
            <w:noWrap/>
            <w:vAlign w:val="center"/>
            <w:hideMark/>
          </w:tcPr>
          <w:p w14:paraId="436E3336"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Obs.</w:t>
            </w:r>
          </w:p>
        </w:tc>
        <w:tc>
          <w:tcPr>
            <w:tcW w:w="1061" w:type="dxa"/>
            <w:tcBorders>
              <w:top w:val="nil"/>
              <w:left w:val="nil"/>
              <w:bottom w:val="single" w:sz="12" w:space="0" w:color="auto"/>
              <w:right w:val="nil"/>
            </w:tcBorders>
            <w:shd w:val="clear" w:color="auto" w:fill="auto"/>
            <w:noWrap/>
            <w:vAlign w:val="center"/>
            <w:hideMark/>
          </w:tcPr>
          <w:p w14:paraId="75AF6E6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19301</w:t>
            </w:r>
          </w:p>
        </w:tc>
        <w:tc>
          <w:tcPr>
            <w:tcW w:w="757" w:type="dxa"/>
            <w:tcBorders>
              <w:top w:val="nil"/>
              <w:left w:val="nil"/>
              <w:bottom w:val="single" w:sz="12" w:space="0" w:color="auto"/>
              <w:right w:val="nil"/>
            </w:tcBorders>
            <w:shd w:val="clear" w:color="auto" w:fill="auto"/>
            <w:noWrap/>
            <w:vAlign w:val="center"/>
            <w:hideMark/>
          </w:tcPr>
          <w:p w14:paraId="662BC38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19301</w:t>
            </w:r>
          </w:p>
        </w:tc>
        <w:tc>
          <w:tcPr>
            <w:tcW w:w="936" w:type="dxa"/>
            <w:tcBorders>
              <w:top w:val="nil"/>
              <w:left w:val="nil"/>
              <w:bottom w:val="single" w:sz="12" w:space="0" w:color="auto"/>
              <w:right w:val="nil"/>
            </w:tcBorders>
            <w:shd w:val="clear" w:color="auto" w:fill="auto"/>
            <w:noWrap/>
            <w:vAlign w:val="center"/>
            <w:hideMark/>
          </w:tcPr>
          <w:p w14:paraId="37F8146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19060</w:t>
            </w:r>
          </w:p>
        </w:tc>
        <w:tc>
          <w:tcPr>
            <w:tcW w:w="1063" w:type="dxa"/>
            <w:tcBorders>
              <w:top w:val="nil"/>
              <w:left w:val="nil"/>
              <w:bottom w:val="single" w:sz="12" w:space="0" w:color="auto"/>
              <w:right w:val="nil"/>
            </w:tcBorders>
            <w:shd w:val="clear" w:color="auto" w:fill="auto"/>
            <w:noWrap/>
            <w:vAlign w:val="center"/>
            <w:hideMark/>
          </w:tcPr>
          <w:p w14:paraId="433302B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18597</w:t>
            </w:r>
          </w:p>
        </w:tc>
        <w:tc>
          <w:tcPr>
            <w:tcW w:w="231" w:type="dxa"/>
            <w:tcBorders>
              <w:top w:val="nil"/>
              <w:left w:val="nil"/>
              <w:bottom w:val="single" w:sz="12" w:space="0" w:color="auto"/>
              <w:right w:val="nil"/>
            </w:tcBorders>
            <w:shd w:val="clear" w:color="auto" w:fill="auto"/>
            <w:noWrap/>
            <w:vAlign w:val="center"/>
            <w:hideMark/>
          </w:tcPr>
          <w:p w14:paraId="16FBFDC6"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single" w:sz="12" w:space="0" w:color="auto"/>
              <w:right w:val="nil"/>
            </w:tcBorders>
            <w:shd w:val="clear" w:color="auto" w:fill="auto"/>
            <w:noWrap/>
            <w:vAlign w:val="center"/>
            <w:hideMark/>
          </w:tcPr>
          <w:p w14:paraId="5C435FD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19017</w:t>
            </w:r>
          </w:p>
        </w:tc>
        <w:tc>
          <w:tcPr>
            <w:tcW w:w="1060" w:type="dxa"/>
            <w:tcBorders>
              <w:top w:val="nil"/>
              <w:left w:val="nil"/>
              <w:bottom w:val="single" w:sz="12" w:space="0" w:color="auto"/>
              <w:right w:val="nil"/>
            </w:tcBorders>
            <w:shd w:val="clear" w:color="auto" w:fill="auto"/>
            <w:noWrap/>
            <w:vAlign w:val="center"/>
            <w:hideMark/>
          </w:tcPr>
          <w:p w14:paraId="1FC146F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19017</w:t>
            </w:r>
          </w:p>
        </w:tc>
        <w:tc>
          <w:tcPr>
            <w:tcW w:w="1060" w:type="dxa"/>
            <w:tcBorders>
              <w:top w:val="nil"/>
              <w:left w:val="nil"/>
              <w:bottom w:val="single" w:sz="12" w:space="0" w:color="auto"/>
              <w:right w:val="nil"/>
            </w:tcBorders>
            <w:shd w:val="clear" w:color="auto" w:fill="auto"/>
            <w:noWrap/>
            <w:vAlign w:val="center"/>
            <w:hideMark/>
          </w:tcPr>
          <w:p w14:paraId="54CCA64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18654</w:t>
            </w:r>
          </w:p>
        </w:tc>
        <w:tc>
          <w:tcPr>
            <w:tcW w:w="1060" w:type="dxa"/>
            <w:tcBorders>
              <w:top w:val="nil"/>
              <w:left w:val="nil"/>
              <w:bottom w:val="single" w:sz="12" w:space="0" w:color="auto"/>
              <w:right w:val="nil"/>
            </w:tcBorders>
            <w:shd w:val="clear" w:color="auto" w:fill="auto"/>
            <w:noWrap/>
            <w:vAlign w:val="center"/>
            <w:hideMark/>
          </w:tcPr>
          <w:p w14:paraId="4A14F51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17878</w:t>
            </w:r>
          </w:p>
        </w:tc>
      </w:tr>
      <w:tr w:rsidR="00016D40" w:rsidRPr="008F1997" w14:paraId="76E9E347" w14:textId="77777777" w:rsidTr="00CD1FDD">
        <w:trPr>
          <w:gridAfter w:val="1"/>
          <w:wAfter w:w="13" w:type="dxa"/>
          <w:trHeight w:val="234"/>
          <w:jc w:val="center"/>
        </w:trPr>
        <w:tc>
          <w:tcPr>
            <w:tcW w:w="2183" w:type="dxa"/>
            <w:tcBorders>
              <w:top w:val="single" w:sz="12" w:space="0" w:color="auto"/>
              <w:left w:val="nil"/>
              <w:bottom w:val="single" w:sz="12" w:space="0" w:color="auto"/>
              <w:right w:val="nil"/>
            </w:tcBorders>
            <w:shd w:val="clear" w:color="auto" w:fill="auto"/>
            <w:noWrap/>
            <w:vAlign w:val="center"/>
            <w:hideMark/>
          </w:tcPr>
          <w:p w14:paraId="548A2B00" w14:textId="77777777" w:rsidR="00016D40" w:rsidRPr="008F1997" w:rsidRDefault="00016D40" w:rsidP="00CD1FDD">
            <w:pPr>
              <w:spacing w:after="0" w:line="240" w:lineRule="auto"/>
              <w:jc w:val="center"/>
              <w:rPr>
                <w:rFonts w:eastAsia="Times New Roman" w:cs="Calibri"/>
                <w:color w:val="000000"/>
                <w:sz w:val="20"/>
                <w:szCs w:val="20"/>
              </w:rPr>
            </w:pPr>
          </w:p>
        </w:tc>
        <w:tc>
          <w:tcPr>
            <w:tcW w:w="1061" w:type="dxa"/>
            <w:tcBorders>
              <w:top w:val="single" w:sz="12" w:space="0" w:color="auto"/>
              <w:left w:val="nil"/>
              <w:bottom w:val="single" w:sz="12" w:space="0" w:color="auto"/>
              <w:right w:val="nil"/>
            </w:tcBorders>
            <w:shd w:val="clear" w:color="auto" w:fill="auto"/>
            <w:noWrap/>
            <w:vAlign w:val="center"/>
            <w:hideMark/>
          </w:tcPr>
          <w:p w14:paraId="53A08ABF"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single" w:sz="12" w:space="0" w:color="auto"/>
              <w:left w:val="nil"/>
              <w:bottom w:val="single" w:sz="12" w:space="0" w:color="auto"/>
              <w:right w:val="nil"/>
            </w:tcBorders>
            <w:shd w:val="clear" w:color="auto" w:fill="auto"/>
            <w:noWrap/>
            <w:vAlign w:val="center"/>
            <w:hideMark/>
          </w:tcPr>
          <w:p w14:paraId="50F7A2D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single" w:sz="12" w:space="0" w:color="auto"/>
              <w:left w:val="nil"/>
              <w:bottom w:val="single" w:sz="12" w:space="0" w:color="auto"/>
              <w:right w:val="nil"/>
            </w:tcBorders>
            <w:shd w:val="clear" w:color="auto" w:fill="auto"/>
            <w:noWrap/>
            <w:vAlign w:val="center"/>
            <w:hideMark/>
          </w:tcPr>
          <w:p w14:paraId="4730048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single" w:sz="12" w:space="0" w:color="auto"/>
              <w:left w:val="nil"/>
              <w:bottom w:val="single" w:sz="12" w:space="0" w:color="auto"/>
              <w:right w:val="nil"/>
            </w:tcBorders>
            <w:shd w:val="clear" w:color="auto" w:fill="auto"/>
            <w:noWrap/>
            <w:vAlign w:val="center"/>
            <w:hideMark/>
          </w:tcPr>
          <w:p w14:paraId="182B704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single" w:sz="12" w:space="0" w:color="auto"/>
              <w:left w:val="nil"/>
              <w:bottom w:val="single" w:sz="12" w:space="0" w:color="auto"/>
              <w:right w:val="nil"/>
            </w:tcBorders>
            <w:shd w:val="clear" w:color="auto" w:fill="auto"/>
            <w:noWrap/>
            <w:vAlign w:val="center"/>
            <w:hideMark/>
          </w:tcPr>
          <w:p w14:paraId="557E886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72442EA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3CBFEA2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2986E0A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12" w:space="0" w:color="auto"/>
              <w:left w:val="nil"/>
              <w:bottom w:val="single" w:sz="12" w:space="0" w:color="auto"/>
              <w:right w:val="nil"/>
            </w:tcBorders>
            <w:shd w:val="clear" w:color="auto" w:fill="auto"/>
            <w:noWrap/>
            <w:vAlign w:val="center"/>
            <w:hideMark/>
          </w:tcPr>
          <w:p w14:paraId="3665B55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596F7A40" w14:textId="77777777" w:rsidTr="00CD1FDD">
        <w:trPr>
          <w:trHeight w:val="234"/>
          <w:jc w:val="center"/>
        </w:trPr>
        <w:tc>
          <w:tcPr>
            <w:tcW w:w="10484" w:type="dxa"/>
            <w:gridSpan w:val="11"/>
            <w:tcBorders>
              <w:top w:val="nil"/>
              <w:left w:val="nil"/>
              <w:bottom w:val="single" w:sz="4" w:space="0" w:color="auto"/>
              <w:right w:val="nil"/>
            </w:tcBorders>
            <w:shd w:val="clear" w:color="auto" w:fill="auto"/>
            <w:noWrap/>
            <w:vAlign w:val="center"/>
            <w:hideMark/>
          </w:tcPr>
          <w:p w14:paraId="05C1087E" w14:textId="77777777" w:rsidR="00016D40" w:rsidRPr="008F1997" w:rsidRDefault="00016D40" w:rsidP="00CD1FDD">
            <w:pPr>
              <w:spacing w:after="0" w:line="240" w:lineRule="auto"/>
              <w:rPr>
                <w:rFonts w:eastAsia="Times New Roman" w:cs="Calibri"/>
                <w:b/>
                <w:bCs/>
                <w:color w:val="000000"/>
                <w:sz w:val="20"/>
                <w:szCs w:val="20"/>
              </w:rPr>
            </w:pPr>
            <w:r w:rsidRPr="008F1997">
              <w:rPr>
                <w:rFonts w:eastAsia="Times New Roman" w:cs="Calibri"/>
                <w:b/>
                <w:bCs/>
                <w:color w:val="000000"/>
                <w:sz w:val="20"/>
                <w:szCs w:val="20"/>
              </w:rPr>
              <w:t>Panel C: Auditors</w:t>
            </w:r>
          </w:p>
        </w:tc>
      </w:tr>
      <w:tr w:rsidR="00016D40" w:rsidRPr="008F1997" w14:paraId="1B137500" w14:textId="77777777" w:rsidTr="00CD1FDD">
        <w:trPr>
          <w:trHeight w:val="234"/>
          <w:jc w:val="center"/>
        </w:trPr>
        <w:tc>
          <w:tcPr>
            <w:tcW w:w="2183" w:type="dxa"/>
            <w:tcBorders>
              <w:top w:val="single" w:sz="4" w:space="0" w:color="auto"/>
              <w:left w:val="nil"/>
              <w:bottom w:val="nil"/>
              <w:right w:val="nil"/>
            </w:tcBorders>
            <w:shd w:val="clear" w:color="auto" w:fill="auto"/>
            <w:noWrap/>
            <w:vAlign w:val="center"/>
            <w:hideMark/>
          </w:tcPr>
          <w:p w14:paraId="24B1D719" w14:textId="77777777" w:rsidR="00016D40" w:rsidRPr="008F1997" w:rsidRDefault="00016D40" w:rsidP="00CD1FDD">
            <w:pPr>
              <w:spacing w:after="0" w:line="240" w:lineRule="auto"/>
              <w:rPr>
                <w:rFonts w:eastAsia="Times New Roman" w:cs="Calibri"/>
                <w:b/>
                <w:bCs/>
                <w:color w:val="000000"/>
                <w:sz w:val="20"/>
                <w:szCs w:val="20"/>
              </w:rPr>
            </w:pPr>
          </w:p>
        </w:tc>
        <w:tc>
          <w:tcPr>
            <w:tcW w:w="3819" w:type="dxa"/>
            <w:gridSpan w:val="4"/>
            <w:tcBorders>
              <w:top w:val="single" w:sz="4" w:space="0" w:color="auto"/>
              <w:left w:val="nil"/>
              <w:bottom w:val="single" w:sz="4" w:space="0" w:color="auto"/>
              <w:right w:val="nil"/>
            </w:tcBorders>
            <w:shd w:val="clear" w:color="auto" w:fill="auto"/>
            <w:noWrap/>
            <w:vAlign w:val="center"/>
            <w:hideMark/>
          </w:tcPr>
          <w:p w14:paraId="5595987F"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Strong Auditor Monitoring</w:t>
            </w:r>
          </w:p>
        </w:tc>
        <w:tc>
          <w:tcPr>
            <w:tcW w:w="231" w:type="dxa"/>
            <w:tcBorders>
              <w:top w:val="single" w:sz="4" w:space="0" w:color="auto"/>
              <w:left w:val="nil"/>
              <w:bottom w:val="nil"/>
              <w:right w:val="nil"/>
            </w:tcBorders>
            <w:shd w:val="clear" w:color="auto" w:fill="auto"/>
            <w:noWrap/>
            <w:vAlign w:val="center"/>
            <w:hideMark/>
          </w:tcPr>
          <w:p w14:paraId="670825BD"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4249" w:type="dxa"/>
            <w:gridSpan w:val="5"/>
            <w:tcBorders>
              <w:top w:val="single" w:sz="4" w:space="0" w:color="auto"/>
              <w:left w:val="nil"/>
              <w:bottom w:val="nil"/>
              <w:right w:val="nil"/>
            </w:tcBorders>
            <w:shd w:val="clear" w:color="auto" w:fill="auto"/>
            <w:noWrap/>
            <w:vAlign w:val="center"/>
            <w:hideMark/>
          </w:tcPr>
          <w:p w14:paraId="3E9CA930"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Weak Auditor Monitoring</w:t>
            </w:r>
          </w:p>
        </w:tc>
      </w:tr>
      <w:tr w:rsidR="00016D40" w:rsidRPr="008F1997" w14:paraId="4C61EBE2" w14:textId="77777777" w:rsidTr="00CD1FDD">
        <w:trPr>
          <w:gridAfter w:val="1"/>
          <w:wAfter w:w="13" w:type="dxa"/>
          <w:trHeight w:val="234"/>
          <w:jc w:val="center"/>
        </w:trPr>
        <w:tc>
          <w:tcPr>
            <w:tcW w:w="2183" w:type="dxa"/>
            <w:tcBorders>
              <w:top w:val="nil"/>
              <w:left w:val="nil"/>
              <w:bottom w:val="single" w:sz="4" w:space="0" w:color="auto"/>
              <w:right w:val="nil"/>
            </w:tcBorders>
            <w:shd w:val="clear" w:color="auto" w:fill="auto"/>
            <w:noWrap/>
            <w:vAlign w:val="center"/>
            <w:hideMark/>
          </w:tcPr>
          <w:p w14:paraId="547C3D51"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1" w:type="dxa"/>
            <w:tcBorders>
              <w:top w:val="single" w:sz="4" w:space="0" w:color="auto"/>
              <w:left w:val="nil"/>
              <w:bottom w:val="single" w:sz="4" w:space="0" w:color="auto"/>
              <w:right w:val="nil"/>
            </w:tcBorders>
            <w:shd w:val="clear" w:color="auto" w:fill="auto"/>
            <w:noWrap/>
            <w:vAlign w:val="center"/>
            <w:hideMark/>
          </w:tcPr>
          <w:p w14:paraId="3D492EBB"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(1)</w:t>
            </w:r>
          </w:p>
        </w:tc>
        <w:tc>
          <w:tcPr>
            <w:tcW w:w="757" w:type="dxa"/>
            <w:tcBorders>
              <w:top w:val="single" w:sz="4" w:space="0" w:color="auto"/>
              <w:left w:val="nil"/>
              <w:bottom w:val="single" w:sz="4" w:space="0" w:color="auto"/>
              <w:right w:val="nil"/>
            </w:tcBorders>
            <w:shd w:val="clear" w:color="auto" w:fill="auto"/>
            <w:noWrap/>
            <w:vAlign w:val="center"/>
            <w:hideMark/>
          </w:tcPr>
          <w:p w14:paraId="3B92A1C3"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(2)</w:t>
            </w:r>
          </w:p>
        </w:tc>
        <w:tc>
          <w:tcPr>
            <w:tcW w:w="936" w:type="dxa"/>
            <w:tcBorders>
              <w:top w:val="single" w:sz="4" w:space="0" w:color="auto"/>
              <w:left w:val="nil"/>
              <w:bottom w:val="single" w:sz="4" w:space="0" w:color="auto"/>
              <w:right w:val="nil"/>
            </w:tcBorders>
            <w:shd w:val="clear" w:color="auto" w:fill="auto"/>
            <w:noWrap/>
            <w:vAlign w:val="center"/>
            <w:hideMark/>
          </w:tcPr>
          <w:p w14:paraId="035489EA"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(3)</w:t>
            </w:r>
          </w:p>
        </w:tc>
        <w:tc>
          <w:tcPr>
            <w:tcW w:w="1063" w:type="dxa"/>
            <w:tcBorders>
              <w:top w:val="single" w:sz="4" w:space="0" w:color="auto"/>
              <w:left w:val="nil"/>
              <w:bottom w:val="single" w:sz="4" w:space="0" w:color="auto"/>
              <w:right w:val="nil"/>
            </w:tcBorders>
            <w:shd w:val="clear" w:color="auto" w:fill="auto"/>
            <w:noWrap/>
            <w:vAlign w:val="center"/>
            <w:hideMark/>
          </w:tcPr>
          <w:p w14:paraId="5D3B81D7"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(4)</w:t>
            </w:r>
          </w:p>
        </w:tc>
        <w:tc>
          <w:tcPr>
            <w:tcW w:w="231" w:type="dxa"/>
            <w:tcBorders>
              <w:top w:val="nil"/>
              <w:left w:val="nil"/>
              <w:bottom w:val="single" w:sz="4" w:space="0" w:color="auto"/>
              <w:right w:val="nil"/>
            </w:tcBorders>
            <w:shd w:val="clear" w:color="auto" w:fill="auto"/>
            <w:noWrap/>
            <w:vAlign w:val="center"/>
            <w:hideMark/>
          </w:tcPr>
          <w:p w14:paraId="4EF0F8E9"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1060" w:type="dxa"/>
            <w:tcBorders>
              <w:top w:val="single" w:sz="4" w:space="0" w:color="auto"/>
              <w:left w:val="nil"/>
              <w:bottom w:val="single" w:sz="4" w:space="0" w:color="auto"/>
              <w:right w:val="nil"/>
            </w:tcBorders>
            <w:shd w:val="clear" w:color="auto" w:fill="auto"/>
            <w:noWrap/>
            <w:vAlign w:val="center"/>
            <w:hideMark/>
          </w:tcPr>
          <w:p w14:paraId="0D89F164"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(5)</w:t>
            </w:r>
          </w:p>
        </w:tc>
        <w:tc>
          <w:tcPr>
            <w:tcW w:w="1060" w:type="dxa"/>
            <w:tcBorders>
              <w:top w:val="single" w:sz="4" w:space="0" w:color="auto"/>
              <w:left w:val="nil"/>
              <w:bottom w:val="single" w:sz="4" w:space="0" w:color="auto"/>
              <w:right w:val="nil"/>
            </w:tcBorders>
            <w:shd w:val="clear" w:color="auto" w:fill="auto"/>
            <w:noWrap/>
            <w:vAlign w:val="center"/>
            <w:hideMark/>
          </w:tcPr>
          <w:p w14:paraId="7FFE4EA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(6)</w:t>
            </w:r>
          </w:p>
        </w:tc>
        <w:tc>
          <w:tcPr>
            <w:tcW w:w="1060" w:type="dxa"/>
            <w:tcBorders>
              <w:top w:val="single" w:sz="4" w:space="0" w:color="auto"/>
              <w:left w:val="nil"/>
              <w:bottom w:val="single" w:sz="4" w:space="0" w:color="auto"/>
              <w:right w:val="nil"/>
            </w:tcBorders>
            <w:shd w:val="clear" w:color="auto" w:fill="auto"/>
            <w:noWrap/>
            <w:vAlign w:val="center"/>
            <w:hideMark/>
          </w:tcPr>
          <w:p w14:paraId="5A1B9DBA"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(7)</w:t>
            </w:r>
          </w:p>
        </w:tc>
        <w:tc>
          <w:tcPr>
            <w:tcW w:w="1060" w:type="dxa"/>
            <w:tcBorders>
              <w:top w:val="single" w:sz="4" w:space="0" w:color="auto"/>
              <w:left w:val="nil"/>
              <w:bottom w:val="single" w:sz="4" w:space="0" w:color="auto"/>
              <w:right w:val="nil"/>
            </w:tcBorders>
            <w:shd w:val="clear" w:color="auto" w:fill="auto"/>
            <w:noWrap/>
            <w:vAlign w:val="center"/>
            <w:hideMark/>
          </w:tcPr>
          <w:p w14:paraId="707ED297"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(8)</w:t>
            </w:r>
          </w:p>
        </w:tc>
      </w:tr>
      <w:tr w:rsidR="00016D40" w:rsidRPr="008F1997" w14:paraId="680607EF" w14:textId="77777777" w:rsidTr="00CD1FDD">
        <w:trPr>
          <w:gridAfter w:val="1"/>
          <w:wAfter w:w="13" w:type="dxa"/>
          <w:trHeight w:val="234"/>
          <w:jc w:val="center"/>
        </w:trPr>
        <w:tc>
          <w:tcPr>
            <w:tcW w:w="2183" w:type="dxa"/>
            <w:tcBorders>
              <w:top w:val="single" w:sz="4" w:space="0" w:color="auto"/>
              <w:left w:val="nil"/>
              <w:bottom w:val="nil"/>
              <w:right w:val="nil"/>
            </w:tcBorders>
            <w:shd w:val="clear" w:color="auto" w:fill="auto"/>
            <w:noWrap/>
            <w:vAlign w:val="center"/>
            <w:hideMark/>
          </w:tcPr>
          <w:p w14:paraId="63A30ED9"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CompacctInd</w:t>
            </w:r>
            <w:r w:rsidRPr="008F1997">
              <w:rPr>
                <w:rFonts w:eastAsia="Times New Roman" w:cs="Calibri"/>
                <w:i/>
                <w:iCs/>
                <w:color w:val="000000"/>
                <w:sz w:val="20"/>
                <w:szCs w:val="20"/>
                <w:vertAlign w:val="subscript"/>
              </w:rPr>
              <w:t>i,t-1</w:t>
            </w:r>
          </w:p>
        </w:tc>
        <w:tc>
          <w:tcPr>
            <w:tcW w:w="1061" w:type="dxa"/>
            <w:tcBorders>
              <w:top w:val="single" w:sz="4" w:space="0" w:color="auto"/>
              <w:left w:val="nil"/>
              <w:bottom w:val="nil"/>
              <w:right w:val="nil"/>
            </w:tcBorders>
            <w:shd w:val="clear" w:color="auto" w:fill="auto"/>
            <w:noWrap/>
            <w:vAlign w:val="center"/>
            <w:hideMark/>
          </w:tcPr>
          <w:p w14:paraId="017D7B3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-0.168***</w:t>
            </w:r>
          </w:p>
        </w:tc>
        <w:tc>
          <w:tcPr>
            <w:tcW w:w="757" w:type="dxa"/>
            <w:tcBorders>
              <w:top w:val="single" w:sz="4" w:space="0" w:color="auto"/>
              <w:left w:val="nil"/>
              <w:bottom w:val="nil"/>
              <w:right w:val="nil"/>
            </w:tcBorders>
            <w:shd w:val="clear" w:color="auto" w:fill="auto"/>
            <w:noWrap/>
            <w:vAlign w:val="center"/>
            <w:hideMark/>
          </w:tcPr>
          <w:p w14:paraId="45EBD0E8"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single" w:sz="4" w:space="0" w:color="auto"/>
              <w:left w:val="nil"/>
              <w:bottom w:val="nil"/>
              <w:right w:val="nil"/>
            </w:tcBorders>
            <w:shd w:val="clear" w:color="auto" w:fill="auto"/>
            <w:noWrap/>
            <w:vAlign w:val="center"/>
            <w:hideMark/>
          </w:tcPr>
          <w:p w14:paraId="02BA206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single" w:sz="4" w:space="0" w:color="auto"/>
              <w:left w:val="nil"/>
              <w:bottom w:val="nil"/>
              <w:right w:val="nil"/>
            </w:tcBorders>
            <w:shd w:val="clear" w:color="auto" w:fill="auto"/>
            <w:noWrap/>
            <w:vAlign w:val="center"/>
            <w:hideMark/>
          </w:tcPr>
          <w:p w14:paraId="397A301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single" w:sz="4" w:space="0" w:color="auto"/>
              <w:left w:val="nil"/>
              <w:bottom w:val="nil"/>
              <w:right w:val="nil"/>
            </w:tcBorders>
            <w:shd w:val="clear" w:color="auto" w:fill="auto"/>
            <w:noWrap/>
            <w:vAlign w:val="center"/>
            <w:hideMark/>
          </w:tcPr>
          <w:p w14:paraId="1F92C07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5BED655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-0.904***</w:t>
            </w:r>
          </w:p>
        </w:tc>
        <w:tc>
          <w:tcPr>
            <w:tcW w:w="1060" w:type="dxa"/>
            <w:tcBorders>
              <w:top w:val="single" w:sz="4" w:space="0" w:color="auto"/>
              <w:left w:val="nil"/>
              <w:bottom w:val="nil"/>
              <w:right w:val="nil"/>
            </w:tcBorders>
            <w:shd w:val="clear" w:color="auto" w:fill="auto"/>
            <w:noWrap/>
            <w:vAlign w:val="center"/>
            <w:hideMark/>
          </w:tcPr>
          <w:p w14:paraId="3D56E1CD"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single" w:sz="4" w:space="0" w:color="auto"/>
              <w:left w:val="nil"/>
              <w:bottom w:val="nil"/>
              <w:right w:val="nil"/>
            </w:tcBorders>
            <w:shd w:val="clear" w:color="auto" w:fill="auto"/>
            <w:noWrap/>
            <w:vAlign w:val="center"/>
            <w:hideMark/>
          </w:tcPr>
          <w:p w14:paraId="49214BB7"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vAlign w:val="center"/>
            <w:hideMark/>
          </w:tcPr>
          <w:p w14:paraId="1D6287F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73F45947"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4A6B3E6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0F46DD4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(-2.72)</w:t>
            </w:r>
          </w:p>
        </w:tc>
        <w:tc>
          <w:tcPr>
            <w:tcW w:w="757" w:type="dxa"/>
            <w:tcBorders>
              <w:top w:val="nil"/>
              <w:left w:val="nil"/>
              <w:bottom w:val="nil"/>
              <w:right w:val="nil"/>
            </w:tcBorders>
            <w:shd w:val="clear" w:color="auto" w:fill="auto"/>
            <w:noWrap/>
            <w:vAlign w:val="center"/>
            <w:hideMark/>
          </w:tcPr>
          <w:p w14:paraId="2CA4968F" w14:textId="77777777" w:rsidR="00016D40" w:rsidRPr="008F1997" w:rsidRDefault="00016D40" w:rsidP="00CD1FDD">
            <w:pPr>
              <w:spacing w:after="0" w:line="240" w:lineRule="auto"/>
              <w:jc w:val="center"/>
              <w:rPr>
                <w:rFonts w:eastAsia="Times New Roman" w:cs="Calibri"/>
                <w:color w:val="000000"/>
                <w:sz w:val="20"/>
                <w:szCs w:val="20"/>
              </w:rPr>
            </w:pPr>
          </w:p>
        </w:tc>
        <w:tc>
          <w:tcPr>
            <w:tcW w:w="936" w:type="dxa"/>
            <w:tcBorders>
              <w:top w:val="nil"/>
              <w:left w:val="nil"/>
              <w:bottom w:val="nil"/>
              <w:right w:val="nil"/>
            </w:tcBorders>
            <w:shd w:val="clear" w:color="auto" w:fill="auto"/>
            <w:noWrap/>
            <w:vAlign w:val="center"/>
            <w:hideMark/>
          </w:tcPr>
          <w:p w14:paraId="4130BFA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0634F2A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384E0F7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5B337E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(-6.47)</w:t>
            </w:r>
          </w:p>
        </w:tc>
        <w:tc>
          <w:tcPr>
            <w:tcW w:w="1060" w:type="dxa"/>
            <w:tcBorders>
              <w:top w:val="nil"/>
              <w:left w:val="nil"/>
              <w:bottom w:val="nil"/>
              <w:right w:val="nil"/>
            </w:tcBorders>
            <w:shd w:val="clear" w:color="auto" w:fill="auto"/>
            <w:noWrap/>
            <w:vAlign w:val="center"/>
            <w:hideMark/>
          </w:tcPr>
          <w:p w14:paraId="6775125A"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114DFAB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796EC4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2800AD41"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0011FD32"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Compacct10</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4D2B1924"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097059D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-0.036</w:t>
            </w:r>
          </w:p>
        </w:tc>
        <w:tc>
          <w:tcPr>
            <w:tcW w:w="936" w:type="dxa"/>
            <w:tcBorders>
              <w:top w:val="nil"/>
              <w:left w:val="nil"/>
              <w:bottom w:val="nil"/>
              <w:right w:val="nil"/>
            </w:tcBorders>
            <w:shd w:val="clear" w:color="auto" w:fill="auto"/>
            <w:noWrap/>
            <w:vAlign w:val="center"/>
            <w:hideMark/>
          </w:tcPr>
          <w:p w14:paraId="36335377"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6A15C53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603B7F4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58FD99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A9BFC5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-1.450***</w:t>
            </w:r>
          </w:p>
        </w:tc>
        <w:tc>
          <w:tcPr>
            <w:tcW w:w="1060" w:type="dxa"/>
            <w:tcBorders>
              <w:top w:val="nil"/>
              <w:left w:val="nil"/>
              <w:bottom w:val="nil"/>
              <w:right w:val="nil"/>
            </w:tcBorders>
            <w:shd w:val="clear" w:color="auto" w:fill="auto"/>
            <w:noWrap/>
            <w:vAlign w:val="center"/>
            <w:hideMark/>
          </w:tcPr>
          <w:p w14:paraId="2D2C075F"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0D238DB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67DDD66C"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3D034F2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43019D3C"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2FF9D48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(-0.40)</w:t>
            </w:r>
          </w:p>
        </w:tc>
        <w:tc>
          <w:tcPr>
            <w:tcW w:w="936" w:type="dxa"/>
            <w:tcBorders>
              <w:top w:val="nil"/>
              <w:left w:val="nil"/>
              <w:bottom w:val="nil"/>
              <w:right w:val="nil"/>
            </w:tcBorders>
            <w:shd w:val="clear" w:color="auto" w:fill="auto"/>
            <w:noWrap/>
            <w:vAlign w:val="center"/>
            <w:hideMark/>
          </w:tcPr>
          <w:p w14:paraId="1E59F3D7" w14:textId="77777777" w:rsidR="00016D40" w:rsidRPr="008F1997" w:rsidRDefault="00016D40" w:rsidP="00CD1FDD">
            <w:pPr>
              <w:spacing w:after="0" w:line="240" w:lineRule="auto"/>
              <w:jc w:val="center"/>
              <w:rPr>
                <w:rFonts w:eastAsia="Times New Roman" w:cs="Calibri"/>
                <w:color w:val="000000"/>
                <w:sz w:val="20"/>
                <w:szCs w:val="20"/>
              </w:rPr>
            </w:pPr>
          </w:p>
        </w:tc>
        <w:tc>
          <w:tcPr>
            <w:tcW w:w="1063" w:type="dxa"/>
            <w:tcBorders>
              <w:top w:val="nil"/>
              <w:left w:val="nil"/>
              <w:bottom w:val="nil"/>
              <w:right w:val="nil"/>
            </w:tcBorders>
            <w:shd w:val="clear" w:color="auto" w:fill="auto"/>
            <w:noWrap/>
            <w:vAlign w:val="center"/>
            <w:hideMark/>
          </w:tcPr>
          <w:p w14:paraId="7BEC419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noWrap/>
            <w:vAlign w:val="center"/>
            <w:hideMark/>
          </w:tcPr>
          <w:p w14:paraId="319C35F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0CDFF2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9C208C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(-6.02)</w:t>
            </w:r>
          </w:p>
        </w:tc>
        <w:tc>
          <w:tcPr>
            <w:tcW w:w="1060" w:type="dxa"/>
            <w:tcBorders>
              <w:top w:val="nil"/>
              <w:left w:val="nil"/>
              <w:bottom w:val="nil"/>
              <w:right w:val="nil"/>
            </w:tcBorders>
            <w:shd w:val="clear" w:color="auto" w:fill="auto"/>
            <w:noWrap/>
            <w:vAlign w:val="center"/>
            <w:hideMark/>
          </w:tcPr>
          <w:p w14:paraId="73D8A2EC"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58EF1AA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10DC27EA"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4477ED10"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CompacctBasu</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47CE5401"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5179985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40D6CDC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-0.139**</w:t>
            </w:r>
          </w:p>
        </w:tc>
        <w:tc>
          <w:tcPr>
            <w:tcW w:w="1063" w:type="dxa"/>
            <w:tcBorders>
              <w:top w:val="nil"/>
              <w:left w:val="nil"/>
              <w:bottom w:val="nil"/>
              <w:right w:val="nil"/>
            </w:tcBorders>
            <w:shd w:val="clear" w:color="auto" w:fill="auto"/>
            <w:noWrap/>
            <w:vAlign w:val="center"/>
            <w:hideMark/>
          </w:tcPr>
          <w:p w14:paraId="0BA1024B"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3AE1B72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03C776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ABDD6F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4FED1AE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-0.899***</w:t>
            </w:r>
          </w:p>
        </w:tc>
        <w:tc>
          <w:tcPr>
            <w:tcW w:w="1060" w:type="dxa"/>
            <w:tcBorders>
              <w:top w:val="nil"/>
              <w:left w:val="nil"/>
              <w:bottom w:val="nil"/>
              <w:right w:val="nil"/>
            </w:tcBorders>
            <w:shd w:val="clear" w:color="auto" w:fill="auto"/>
            <w:noWrap/>
            <w:vAlign w:val="center"/>
            <w:hideMark/>
          </w:tcPr>
          <w:p w14:paraId="562CD45F"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25E51BB6"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bottom"/>
            <w:hideMark/>
          </w:tcPr>
          <w:p w14:paraId="68F408F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center"/>
            <w:hideMark/>
          </w:tcPr>
          <w:p w14:paraId="75088DBF"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6432C40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0A984E0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(-2.11)</w:t>
            </w:r>
          </w:p>
        </w:tc>
        <w:tc>
          <w:tcPr>
            <w:tcW w:w="1063" w:type="dxa"/>
            <w:tcBorders>
              <w:top w:val="nil"/>
              <w:left w:val="nil"/>
              <w:bottom w:val="nil"/>
              <w:right w:val="nil"/>
            </w:tcBorders>
            <w:shd w:val="clear" w:color="auto" w:fill="auto"/>
            <w:noWrap/>
            <w:vAlign w:val="center"/>
            <w:hideMark/>
          </w:tcPr>
          <w:p w14:paraId="0FF6A044" w14:textId="77777777" w:rsidR="00016D40" w:rsidRPr="008F1997" w:rsidRDefault="00016D40" w:rsidP="00CD1FDD">
            <w:pPr>
              <w:spacing w:after="0" w:line="240" w:lineRule="auto"/>
              <w:jc w:val="center"/>
              <w:rPr>
                <w:rFonts w:eastAsia="Times New Roman" w:cs="Calibri"/>
                <w:color w:val="000000"/>
                <w:sz w:val="20"/>
                <w:szCs w:val="20"/>
              </w:rPr>
            </w:pPr>
          </w:p>
        </w:tc>
        <w:tc>
          <w:tcPr>
            <w:tcW w:w="231" w:type="dxa"/>
            <w:tcBorders>
              <w:top w:val="nil"/>
              <w:left w:val="nil"/>
              <w:bottom w:val="nil"/>
              <w:right w:val="nil"/>
            </w:tcBorders>
            <w:shd w:val="clear" w:color="auto" w:fill="auto"/>
            <w:noWrap/>
            <w:vAlign w:val="center"/>
            <w:hideMark/>
          </w:tcPr>
          <w:p w14:paraId="036F00E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481B01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0E4C97C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B68779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(-5.71)</w:t>
            </w:r>
          </w:p>
        </w:tc>
        <w:tc>
          <w:tcPr>
            <w:tcW w:w="1060" w:type="dxa"/>
            <w:tcBorders>
              <w:top w:val="nil"/>
              <w:left w:val="nil"/>
              <w:bottom w:val="nil"/>
              <w:right w:val="nil"/>
            </w:tcBorders>
            <w:shd w:val="clear" w:color="auto" w:fill="auto"/>
            <w:noWrap/>
            <w:vAlign w:val="center"/>
            <w:hideMark/>
          </w:tcPr>
          <w:p w14:paraId="61C03604"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484DC837"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6164C9F1"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CompacctPle</w:t>
            </w:r>
            <w:r w:rsidRPr="008F1997">
              <w:rPr>
                <w:rFonts w:eastAsia="Times New Roman" w:cs="Calibri"/>
                <w:i/>
                <w:iCs/>
                <w:color w:val="000000"/>
                <w:sz w:val="20"/>
                <w:szCs w:val="20"/>
                <w:vertAlign w:val="subscript"/>
              </w:rPr>
              <w:t>i,t-1</w:t>
            </w:r>
          </w:p>
        </w:tc>
        <w:tc>
          <w:tcPr>
            <w:tcW w:w="1061" w:type="dxa"/>
            <w:tcBorders>
              <w:top w:val="nil"/>
              <w:left w:val="nil"/>
              <w:bottom w:val="nil"/>
              <w:right w:val="nil"/>
            </w:tcBorders>
            <w:shd w:val="clear" w:color="auto" w:fill="auto"/>
            <w:noWrap/>
            <w:vAlign w:val="center"/>
            <w:hideMark/>
          </w:tcPr>
          <w:p w14:paraId="72A3FE8F" w14:textId="77777777" w:rsidR="00016D40" w:rsidRPr="008F1997" w:rsidRDefault="00016D40" w:rsidP="00CD1FDD">
            <w:pPr>
              <w:spacing w:after="0" w:line="240" w:lineRule="auto"/>
              <w:rPr>
                <w:rFonts w:eastAsia="Times New Roman" w:cs="Calibri"/>
                <w:i/>
                <w:iCs/>
                <w:color w:val="000000"/>
                <w:sz w:val="20"/>
                <w:szCs w:val="20"/>
              </w:rPr>
            </w:pPr>
          </w:p>
        </w:tc>
        <w:tc>
          <w:tcPr>
            <w:tcW w:w="757" w:type="dxa"/>
            <w:tcBorders>
              <w:top w:val="nil"/>
              <w:left w:val="nil"/>
              <w:bottom w:val="nil"/>
              <w:right w:val="nil"/>
            </w:tcBorders>
            <w:shd w:val="clear" w:color="auto" w:fill="auto"/>
            <w:noWrap/>
            <w:vAlign w:val="center"/>
            <w:hideMark/>
          </w:tcPr>
          <w:p w14:paraId="1869B64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2A818A4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46A33F4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-0.203***</w:t>
            </w:r>
          </w:p>
        </w:tc>
        <w:tc>
          <w:tcPr>
            <w:tcW w:w="231" w:type="dxa"/>
            <w:tcBorders>
              <w:top w:val="nil"/>
              <w:left w:val="nil"/>
              <w:bottom w:val="nil"/>
              <w:right w:val="nil"/>
            </w:tcBorders>
            <w:shd w:val="clear" w:color="auto" w:fill="auto"/>
            <w:noWrap/>
            <w:vAlign w:val="center"/>
            <w:hideMark/>
          </w:tcPr>
          <w:p w14:paraId="7FC067ED"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135FF21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2D689D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5B73974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7C7FA79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-0.930***</w:t>
            </w:r>
          </w:p>
        </w:tc>
      </w:tr>
      <w:tr w:rsidR="00016D40" w:rsidRPr="008F1997" w14:paraId="372A77A5"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6B06B6D3" w14:textId="77777777" w:rsidR="00016D40" w:rsidRPr="008F1997" w:rsidRDefault="00016D40" w:rsidP="00CD1FDD">
            <w:pPr>
              <w:spacing w:after="0" w:line="240" w:lineRule="auto"/>
              <w:jc w:val="center"/>
              <w:rPr>
                <w:rFonts w:eastAsia="Times New Roman" w:cs="Calibri"/>
                <w:color w:val="000000"/>
                <w:sz w:val="20"/>
                <w:szCs w:val="20"/>
              </w:rPr>
            </w:pPr>
          </w:p>
        </w:tc>
        <w:tc>
          <w:tcPr>
            <w:tcW w:w="1061" w:type="dxa"/>
            <w:tcBorders>
              <w:top w:val="nil"/>
              <w:left w:val="nil"/>
              <w:bottom w:val="nil"/>
              <w:right w:val="nil"/>
            </w:tcBorders>
            <w:shd w:val="clear" w:color="auto" w:fill="auto"/>
            <w:noWrap/>
            <w:vAlign w:val="center"/>
            <w:hideMark/>
          </w:tcPr>
          <w:p w14:paraId="7BA0BC7A"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757" w:type="dxa"/>
            <w:tcBorders>
              <w:top w:val="nil"/>
              <w:left w:val="nil"/>
              <w:bottom w:val="nil"/>
              <w:right w:val="nil"/>
            </w:tcBorders>
            <w:shd w:val="clear" w:color="auto" w:fill="auto"/>
            <w:noWrap/>
            <w:vAlign w:val="center"/>
            <w:hideMark/>
          </w:tcPr>
          <w:p w14:paraId="606B900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center"/>
            <w:hideMark/>
          </w:tcPr>
          <w:p w14:paraId="1981323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center"/>
            <w:hideMark/>
          </w:tcPr>
          <w:p w14:paraId="0C6F268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(-2.61)</w:t>
            </w:r>
          </w:p>
        </w:tc>
        <w:tc>
          <w:tcPr>
            <w:tcW w:w="231" w:type="dxa"/>
            <w:tcBorders>
              <w:top w:val="nil"/>
              <w:left w:val="nil"/>
              <w:bottom w:val="nil"/>
              <w:right w:val="nil"/>
            </w:tcBorders>
            <w:shd w:val="clear" w:color="auto" w:fill="auto"/>
            <w:noWrap/>
            <w:vAlign w:val="center"/>
            <w:hideMark/>
          </w:tcPr>
          <w:p w14:paraId="1F256FF2"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A44502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29C4060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6028A30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center"/>
            <w:hideMark/>
          </w:tcPr>
          <w:p w14:paraId="1203CF0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(-5.50)</w:t>
            </w:r>
          </w:p>
        </w:tc>
      </w:tr>
      <w:tr w:rsidR="00016D40" w:rsidRPr="008F1997" w14:paraId="6539505B"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733CB394"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Control</w:t>
            </w:r>
          </w:p>
        </w:tc>
        <w:tc>
          <w:tcPr>
            <w:tcW w:w="1061" w:type="dxa"/>
            <w:tcBorders>
              <w:top w:val="nil"/>
              <w:left w:val="nil"/>
              <w:bottom w:val="nil"/>
              <w:right w:val="nil"/>
            </w:tcBorders>
            <w:shd w:val="clear" w:color="auto" w:fill="auto"/>
            <w:noWrap/>
            <w:vAlign w:val="center"/>
            <w:hideMark/>
          </w:tcPr>
          <w:p w14:paraId="7AC22F4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069C69A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398EABD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31637EC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51041F37"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262E694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5D89C30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090ABAA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7BA788D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77878126"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62CCB25C"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Industry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61E3649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6B95CCC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6CDE517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27E884F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1E41FB3B"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644FD7C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6616DDB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1644943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5FF5E60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24E67D30"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24727562"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Year fixed</w:t>
            </w:r>
            <w:r>
              <w:rPr>
                <w:rFonts w:eastAsia="Times New Roman" w:cs="Calibri"/>
                <w:color w:val="000000"/>
                <w:sz w:val="20"/>
                <w:szCs w:val="20"/>
              </w:rPr>
              <w:t>-</w:t>
            </w:r>
            <w:r w:rsidRPr="008F1997">
              <w:rPr>
                <w:rFonts w:eastAsia="Times New Roman" w:cs="Calibri"/>
                <w:color w:val="000000"/>
                <w:sz w:val="20"/>
                <w:szCs w:val="20"/>
              </w:rPr>
              <w:t>effects</w:t>
            </w:r>
          </w:p>
        </w:tc>
        <w:tc>
          <w:tcPr>
            <w:tcW w:w="1061" w:type="dxa"/>
            <w:tcBorders>
              <w:top w:val="nil"/>
              <w:left w:val="nil"/>
              <w:bottom w:val="nil"/>
              <w:right w:val="nil"/>
            </w:tcBorders>
            <w:shd w:val="clear" w:color="auto" w:fill="auto"/>
            <w:noWrap/>
            <w:vAlign w:val="center"/>
            <w:hideMark/>
          </w:tcPr>
          <w:p w14:paraId="560DFDB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757" w:type="dxa"/>
            <w:tcBorders>
              <w:top w:val="nil"/>
              <w:left w:val="nil"/>
              <w:bottom w:val="nil"/>
              <w:right w:val="nil"/>
            </w:tcBorders>
            <w:shd w:val="clear" w:color="auto" w:fill="auto"/>
            <w:noWrap/>
            <w:vAlign w:val="center"/>
            <w:hideMark/>
          </w:tcPr>
          <w:p w14:paraId="71CAB8B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936" w:type="dxa"/>
            <w:tcBorders>
              <w:top w:val="nil"/>
              <w:left w:val="nil"/>
              <w:bottom w:val="nil"/>
              <w:right w:val="nil"/>
            </w:tcBorders>
            <w:shd w:val="clear" w:color="auto" w:fill="auto"/>
            <w:noWrap/>
            <w:vAlign w:val="center"/>
            <w:hideMark/>
          </w:tcPr>
          <w:p w14:paraId="091CDB3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3" w:type="dxa"/>
            <w:tcBorders>
              <w:top w:val="nil"/>
              <w:left w:val="nil"/>
              <w:bottom w:val="nil"/>
              <w:right w:val="nil"/>
            </w:tcBorders>
            <w:shd w:val="clear" w:color="auto" w:fill="auto"/>
            <w:noWrap/>
            <w:vAlign w:val="center"/>
            <w:hideMark/>
          </w:tcPr>
          <w:p w14:paraId="3311756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231" w:type="dxa"/>
            <w:tcBorders>
              <w:top w:val="nil"/>
              <w:left w:val="nil"/>
              <w:bottom w:val="nil"/>
              <w:right w:val="nil"/>
            </w:tcBorders>
            <w:shd w:val="clear" w:color="auto" w:fill="auto"/>
            <w:noWrap/>
            <w:vAlign w:val="center"/>
            <w:hideMark/>
          </w:tcPr>
          <w:p w14:paraId="3FD22718"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7C32976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3BE7933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3E07EA1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060" w:type="dxa"/>
            <w:tcBorders>
              <w:top w:val="nil"/>
              <w:left w:val="nil"/>
              <w:bottom w:val="nil"/>
              <w:right w:val="nil"/>
            </w:tcBorders>
            <w:shd w:val="clear" w:color="auto" w:fill="auto"/>
            <w:noWrap/>
            <w:vAlign w:val="center"/>
            <w:hideMark/>
          </w:tcPr>
          <w:p w14:paraId="50AD56C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6ECDB4F4" w14:textId="77777777" w:rsidTr="00CD1FDD">
        <w:trPr>
          <w:gridAfter w:val="1"/>
          <w:wAfter w:w="13" w:type="dxa"/>
          <w:trHeight w:val="234"/>
          <w:jc w:val="center"/>
        </w:trPr>
        <w:tc>
          <w:tcPr>
            <w:tcW w:w="2183" w:type="dxa"/>
            <w:tcBorders>
              <w:top w:val="nil"/>
              <w:left w:val="nil"/>
              <w:bottom w:val="nil"/>
              <w:right w:val="nil"/>
            </w:tcBorders>
            <w:shd w:val="clear" w:color="auto" w:fill="auto"/>
            <w:noWrap/>
            <w:vAlign w:val="center"/>
            <w:hideMark/>
          </w:tcPr>
          <w:p w14:paraId="395D6810"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Adj. R</w:t>
            </w:r>
            <w:r w:rsidRPr="008F1997">
              <w:rPr>
                <w:rFonts w:eastAsia="Times New Roman" w:cs="Calibri"/>
                <w:color w:val="000000"/>
                <w:sz w:val="20"/>
                <w:szCs w:val="20"/>
                <w:vertAlign w:val="superscript"/>
              </w:rPr>
              <w:t>2</w:t>
            </w:r>
          </w:p>
        </w:tc>
        <w:tc>
          <w:tcPr>
            <w:tcW w:w="1061" w:type="dxa"/>
            <w:tcBorders>
              <w:top w:val="nil"/>
              <w:left w:val="nil"/>
              <w:bottom w:val="nil"/>
              <w:right w:val="nil"/>
            </w:tcBorders>
            <w:shd w:val="clear" w:color="auto" w:fill="auto"/>
            <w:noWrap/>
            <w:vAlign w:val="center"/>
            <w:hideMark/>
          </w:tcPr>
          <w:p w14:paraId="4F6E0E8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0.068</w:t>
            </w:r>
          </w:p>
        </w:tc>
        <w:tc>
          <w:tcPr>
            <w:tcW w:w="757" w:type="dxa"/>
            <w:tcBorders>
              <w:top w:val="nil"/>
              <w:left w:val="nil"/>
              <w:bottom w:val="nil"/>
              <w:right w:val="nil"/>
            </w:tcBorders>
            <w:shd w:val="clear" w:color="auto" w:fill="auto"/>
            <w:noWrap/>
            <w:vAlign w:val="center"/>
            <w:hideMark/>
          </w:tcPr>
          <w:p w14:paraId="4C30D77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0.068</w:t>
            </w:r>
          </w:p>
        </w:tc>
        <w:tc>
          <w:tcPr>
            <w:tcW w:w="936" w:type="dxa"/>
            <w:tcBorders>
              <w:top w:val="nil"/>
              <w:left w:val="nil"/>
              <w:bottom w:val="nil"/>
              <w:right w:val="nil"/>
            </w:tcBorders>
            <w:shd w:val="clear" w:color="auto" w:fill="auto"/>
            <w:noWrap/>
            <w:vAlign w:val="center"/>
            <w:hideMark/>
          </w:tcPr>
          <w:p w14:paraId="08C5E7F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0.068</w:t>
            </w:r>
          </w:p>
        </w:tc>
        <w:tc>
          <w:tcPr>
            <w:tcW w:w="1063" w:type="dxa"/>
            <w:tcBorders>
              <w:top w:val="nil"/>
              <w:left w:val="nil"/>
              <w:bottom w:val="nil"/>
              <w:right w:val="nil"/>
            </w:tcBorders>
            <w:shd w:val="clear" w:color="auto" w:fill="auto"/>
            <w:noWrap/>
            <w:vAlign w:val="center"/>
            <w:hideMark/>
          </w:tcPr>
          <w:p w14:paraId="2B5FAC8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0.066</w:t>
            </w:r>
          </w:p>
        </w:tc>
        <w:tc>
          <w:tcPr>
            <w:tcW w:w="231" w:type="dxa"/>
            <w:tcBorders>
              <w:top w:val="nil"/>
              <w:left w:val="nil"/>
              <w:bottom w:val="nil"/>
              <w:right w:val="nil"/>
            </w:tcBorders>
            <w:shd w:val="clear" w:color="auto" w:fill="auto"/>
            <w:noWrap/>
            <w:vAlign w:val="center"/>
            <w:hideMark/>
          </w:tcPr>
          <w:p w14:paraId="106A24FD"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nil"/>
              <w:right w:val="nil"/>
            </w:tcBorders>
            <w:shd w:val="clear" w:color="auto" w:fill="auto"/>
            <w:noWrap/>
            <w:vAlign w:val="center"/>
            <w:hideMark/>
          </w:tcPr>
          <w:p w14:paraId="5319BA0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0.100</w:t>
            </w:r>
          </w:p>
        </w:tc>
        <w:tc>
          <w:tcPr>
            <w:tcW w:w="1060" w:type="dxa"/>
            <w:tcBorders>
              <w:top w:val="nil"/>
              <w:left w:val="nil"/>
              <w:bottom w:val="nil"/>
              <w:right w:val="nil"/>
            </w:tcBorders>
            <w:shd w:val="clear" w:color="auto" w:fill="auto"/>
            <w:noWrap/>
            <w:vAlign w:val="center"/>
            <w:hideMark/>
          </w:tcPr>
          <w:p w14:paraId="1D0185C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0.100</w:t>
            </w:r>
          </w:p>
        </w:tc>
        <w:tc>
          <w:tcPr>
            <w:tcW w:w="1060" w:type="dxa"/>
            <w:tcBorders>
              <w:top w:val="nil"/>
              <w:left w:val="nil"/>
              <w:bottom w:val="nil"/>
              <w:right w:val="nil"/>
            </w:tcBorders>
            <w:shd w:val="clear" w:color="auto" w:fill="auto"/>
            <w:noWrap/>
            <w:vAlign w:val="center"/>
            <w:hideMark/>
          </w:tcPr>
          <w:p w14:paraId="5E757C0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0.098</w:t>
            </w:r>
          </w:p>
        </w:tc>
        <w:tc>
          <w:tcPr>
            <w:tcW w:w="1060" w:type="dxa"/>
            <w:tcBorders>
              <w:top w:val="nil"/>
              <w:left w:val="nil"/>
              <w:bottom w:val="nil"/>
              <w:right w:val="nil"/>
            </w:tcBorders>
            <w:shd w:val="clear" w:color="auto" w:fill="auto"/>
            <w:noWrap/>
            <w:vAlign w:val="center"/>
            <w:hideMark/>
          </w:tcPr>
          <w:p w14:paraId="5C2411D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0.096</w:t>
            </w:r>
          </w:p>
        </w:tc>
      </w:tr>
      <w:tr w:rsidR="00016D40" w:rsidRPr="008F1997" w14:paraId="65BAB727" w14:textId="77777777" w:rsidTr="00CD1FDD">
        <w:trPr>
          <w:gridAfter w:val="1"/>
          <w:wAfter w:w="13" w:type="dxa"/>
          <w:trHeight w:val="234"/>
          <w:jc w:val="center"/>
        </w:trPr>
        <w:tc>
          <w:tcPr>
            <w:tcW w:w="2183" w:type="dxa"/>
            <w:tcBorders>
              <w:top w:val="nil"/>
              <w:left w:val="nil"/>
              <w:bottom w:val="single" w:sz="12" w:space="0" w:color="auto"/>
              <w:right w:val="nil"/>
            </w:tcBorders>
            <w:shd w:val="clear" w:color="auto" w:fill="auto"/>
            <w:noWrap/>
            <w:vAlign w:val="center"/>
            <w:hideMark/>
          </w:tcPr>
          <w:p w14:paraId="64A3EFE5"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Obs.</w:t>
            </w:r>
          </w:p>
        </w:tc>
        <w:tc>
          <w:tcPr>
            <w:tcW w:w="1061" w:type="dxa"/>
            <w:tcBorders>
              <w:top w:val="nil"/>
              <w:left w:val="nil"/>
              <w:bottom w:val="single" w:sz="12" w:space="0" w:color="auto"/>
              <w:right w:val="nil"/>
            </w:tcBorders>
            <w:shd w:val="clear" w:color="auto" w:fill="auto"/>
            <w:noWrap/>
            <w:vAlign w:val="center"/>
            <w:hideMark/>
          </w:tcPr>
          <w:p w14:paraId="00371CC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36573</w:t>
            </w:r>
          </w:p>
        </w:tc>
        <w:tc>
          <w:tcPr>
            <w:tcW w:w="757" w:type="dxa"/>
            <w:tcBorders>
              <w:top w:val="nil"/>
              <w:left w:val="nil"/>
              <w:bottom w:val="single" w:sz="12" w:space="0" w:color="auto"/>
              <w:right w:val="nil"/>
            </w:tcBorders>
            <w:shd w:val="clear" w:color="auto" w:fill="auto"/>
            <w:noWrap/>
            <w:vAlign w:val="center"/>
            <w:hideMark/>
          </w:tcPr>
          <w:p w14:paraId="5D56D58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36573</w:t>
            </w:r>
          </w:p>
        </w:tc>
        <w:tc>
          <w:tcPr>
            <w:tcW w:w="936" w:type="dxa"/>
            <w:tcBorders>
              <w:top w:val="nil"/>
              <w:left w:val="nil"/>
              <w:bottom w:val="single" w:sz="12" w:space="0" w:color="auto"/>
              <w:right w:val="nil"/>
            </w:tcBorders>
            <w:shd w:val="clear" w:color="auto" w:fill="auto"/>
            <w:noWrap/>
            <w:vAlign w:val="center"/>
            <w:hideMark/>
          </w:tcPr>
          <w:p w14:paraId="674B805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36108</w:t>
            </w:r>
          </w:p>
        </w:tc>
        <w:tc>
          <w:tcPr>
            <w:tcW w:w="1063" w:type="dxa"/>
            <w:tcBorders>
              <w:top w:val="nil"/>
              <w:left w:val="nil"/>
              <w:bottom w:val="single" w:sz="12" w:space="0" w:color="auto"/>
              <w:right w:val="nil"/>
            </w:tcBorders>
            <w:shd w:val="clear" w:color="auto" w:fill="auto"/>
            <w:noWrap/>
            <w:vAlign w:val="center"/>
            <w:hideMark/>
          </w:tcPr>
          <w:p w14:paraId="5686F34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34565</w:t>
            </w:r>
          </w:p>
        </w:tc>
        <w:tc>
          <w:tcPr>
            <w:tcW w:w="231" w:type="dxa"/>
            <w:tcBorders>
              <w:top w:val="nil"/>
              <w:left w:val="nil"/>
              <w:bottom w:val="single" w:sz="12" w:space="0" w:color="auto"/>
              <w:right w:val="nil"/>
            </w:tcBorders>
            <w:shd w:val="clear" w:color="auto" w:fill="auto"/>
            <w:noWrap/>
            <w:vAlign w:val="center"/>
            <w:hideMark/>
          </w:tcPr>
          <w:p w14:paraId="122FBFB1" w14:textId="77777777" w:rsidR="00016D40" w:rsidRPr="008F1997" w:rsidRDefault="00016D40" w:rsidP="00CD1FDD">
            <w:pPr>
              <w:spacing w:after="0" w:line="240" w:lineRule="auto"/>
              <w:jc w:val="center"/>
              <w:rPr>
                <w:rFonts w:eastAsia="Times New Roman" w:cs="Calibri"/>
                <w:color w:val="000000"/>
                <w:sz w:val="20"/>
                <w:szCs w:val="20"/>
              </w:rPr>
            </w:pPr>
          </w:p>
        </w:tc>
        <w:tc>
          <w:tcPr>
            <w:tcW w:w="1060" w:type="dxa"/>
            <w:tcBorders>
              <w:top w:val="nil"/>
              <w:left w:val="nil"/>
              <w:bottom w:val="single" w:sz="12" w:space="0" w:color="auto"/>
              <w:right w:val="nil"/>
            </w:tcBorders>
            <w:shd w:val="clear" w:color="auto" w:fill="auto"/>
            <w:noWrap/>
            <w:vAlign w:val="center"/>
            <w:hideMark/>
          </w:tcPr>
          <w:p w14:paraId="4CD9950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18005</w:t>
            </w:r>
          </w:p>
        </w:tc>
        <w:tc>
          <w:tcPr>
            <w:tcW w:w="1060" w:type="dxa"/>
            <w:tcBorders>
              <w:top w:val="nil"/>
              <w:left w:val="nil"/>
              <w:bottom w:val="single" w:sz="12" w:space="0" w:color="auto"/>
              <w:right w:val="nil"/>
            </w:tcBorders>
            <w:shd w:val="clear" w:color="auto" w:fill="auto"/>
            <w:noWrap/>
            <w:vAlign w:val="center"/>
            <w:hideMark/>
          </w:tcPr>
          <w:p w14:paraId="52383D4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18005</w:t>
            </w:r>
          </w:p>
        </w:tc>
        <w:tc>
          <w:tcPr>
            <w:tcW w:w="1060" w:type="dxa"/>
            <w:tcBorders>
              <w:top w:val="nil"/>
              <w:left w:val="nil"/>
              <w:bottom w:val="single" w:sz="12" w:space="0" w:color="auto"/>
              <w:right w:val="nil"/>
            </w:tcBorders>
            <w:shd w:val="clear" w:color="auto" w:fill="auto"/>
            <w:noWrap/>
            <w:vAlign w:val="center"/>
            <w:hideMark/>
          </w:tcPr>
          <w:p w14:paraId="5293F56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17752</w:t>
            </w:r>
          </w:p>
        </w:tc>
        <w:tc>
          <w:tcPr>
            <w:tcW w:w="1060" w:type="dxa"/>
            <w:tcBorders>
              <w:top w:val="nil"/>
              <w:left w:val="nil"/>
              <w:bottom w:val="single" w:sz="12" w:space="0" w:color="auto"/>
              <w:right w:val="nil"/>
            </w:tcBorders>
            <w:shd w:val="clear" w:color="auto" w:fill="auto"/>
            <w:noWrap/>
            <w:vAlign w:val="center"/>
            <w:hideMark/>
          </w:tcPr>
          <w:p w14:paraId="11397E9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16752</w:t>
            </w:r>
          </w:p>
        </w:tc>
      </w:tr>
    </w:tbl>
    <w:p w14:paraId="471151DF" w14:textId="77777777" w:rsidR="00016D40" w:rsidRDefault="00016D40" w:rsidP="00016D40">
      <w:pPr>
        <w:jc w:val="both"/>
      </w:pPr>
    </w:p>
    <w:p w14:paraId="7E7EB7C4" w14:textId="77777777" w:rsidR="00016D40" w:rsidRDefault="00016D40" w:rsidP="00016D40">
      <w:pPr>
        <w:jc w:val="both"/>
      </w:pPr>
    </w:p>
    <w:tbl>
      <w:tblPr>
        <w:tblW w:w="5597" w:type="pct"/>
        <w:jc w:val="center"/>
        <w:tblLook w:val="04A0" w:firstRow="1" w:lastRow="0" w:firstColumn="1" w:lastColumn="0" w:noHBand="0" w:noVBand="1"/>
      </w:tblPr>
      <w:tblGrid>
        <w:gridCol w:w="1943"/>
        <w:gridCol w:w="754"/>
        <w:gridCol w:w="754"/>
        <w:gridCol w:w="754"/>
        <w:gridCol w:w="754"/>
        <w:gridCol w:w="222"/>
        <w:gridCol w:w="1033"/>
        <w:gridCol w:w="1018"/>
        <w:gridCol w:w="1033"/>
        <w:gridCol w:w="1033"/>
      </w:tblGrid>
      <w:tr w:rsidR="00016D40" w:rsidRPr="008F1997" w14:paraId="2BFCD07A" w14:textId="77777777" w:rsidTr="00CD1FDD">
        <w:trPr>
          <w:trHeight w:val="202"/>
          <w:jc w:val="center"/>
        </w:trPr>
        <w:tc>
          <w:tcPr>
            <w:tcW w:w="5000" w:type="pct"/>
            <w:gridSpan w:val="10"/>
            <w:tcBorders>
              <w:top w:val="single" w:sz="12" w:space="0" w:color="auto"/>
              <w:left w:val="nil"/>
              <w:bottom w:val="single" w:sz="4" w:space="0" w:color="auto"/>
              <w:right w:val="nil"/>
            </w:tcBorders>
            <w:shd w:val="clear" w:color="auto" w:fill="auto"/>
            <w:noWrap/>
            <w:vAlign w:val="center"/>
            <w:hideMark/>
          </w:tcPr>
          <w:p w14:paraId="5E5CDFA6" w14:textId="77777777" w:rsidR="00016D40" w:rsidRPr="008F1997" w:rsidRDefault="00016D40" w:rsidP="00CD1FDD">
            <w:pPr>
              <w:spacing w:after="0" w:line="240" w:lineRule="auto"/>
              <w:rPr>
                <w:rFonts w:eastAsia="Times New Roman" w:cs="Calibri"/>
                <w:b/>
                <w:bCs/>
                <w:color w:val="000000"/>
                <w:sz w:val="20"/>
                <w:szCs w:val="20"/>
              </w:rPr>
            </w:pPr>
            <w:r w:rsidRPr="008F1997">
              <w:rPr>
                <w:rFonts w:eastAsia="Times New Roman" w:cs="Calibri"/>
                <w:b/>
                <w:bCs/>
                <w:color w:val="000000"/>
                <w:sz w:val="20"/>
                <w:szCs w:val="20"/>
              </w:rPr>
              <w:lastRenderedPageBreak/>
              <w:t xml:space="preserve">Panel D: </w:t>
            </w:r>
            <w:r>
              <w:rPr>
                <w:rFonts w:eastAsia="Times New Roman" w:cs="Calibri"/>
                <w:b/>
                <w:bCs/>
                <w:color w:val="000000"/>
                <w:sz w:val="20"/>
                <w:szCs w:val="20"/>
              </w:rPr>
              <w:t>Labour</w:t>
            </w:r>
            <w:r w:rsidRPr="008F1997">
              <w:rPr>
                <w:rFonts w:eastAsia="Times New Roman" w:cs="Calibri"/>
                <w:b/>
                <w:bCs/>
                <w:color w:val="000000"/>
                <w:sz w:val="20"/>
                <w:szCs w:val="20"/>
              </w:rPr>
              <w:t xml:space="preserve"> Unions</w:t>
            </w:r>
          </w:p>
        </w:tc>
      </w:tr>
      <w:tr w:rsidR="00016D40" w:rsidRPr="008F1997" w14:paraId="1C7969DD" w14:textId="77777777" w:rsidTr="00CD1FDD">
        <w:trPr>
          <w:trHeight w:val="202"/>
          <w:jc w:val="center"/>
        </w:trPr>
        <w:tc>
          <w:tcPr>
            <w:tcW w:w="1036" w:type="pct"/>
            <w:tcBorders>
              <w:top w:val="single" w:sz="4" w:space="0" w:color="auto"/>
              <w:left w:val="nil"/>
              <w:bottom w:val="nil"/>
              <w:right w:val="nil"/>
            </w:tcBorders>
            <w:shd w:val="clear" w:color="auto" w:fill="auto"/>
            <w:noWrap/>
            <w:vAlign w:val="center"/>
            <w:hideMark/>
          </w:tcPr>
          <w:p w14:paraId="1CD6A4C0" w14:textId="77777777" w:rsidR="00016D40" w:rsidRPr="008F1997" w:rsidRDefault="00016D40" w:rsidP="00CD1FDD">
            <w:pPr>
              <w:spacing w:after="0" w:line="240" w:lineRule="auto"/>
              <w:rPr>
                <w:rFonts w:eastAsia="Times New Roman" w:cs="Calibri"/>
                <w:b/>
                <w:bCs/>
                <w:color w:val="000000"/>
                <w:sz w:val="20"/>
                <w:szCs w:val="20"/>
              </w:rPr>
            </w:pPr>
          </w:p>
        </w:tc>
        <w:tc>
          <w:tcPr>
            <w:tcW w:w="1622" w:type="pct"/>
            <w:gridSpan w:val="4"/>
            <w:tcBorders>
              <w:top w:val="single" w:sz="4" w:space="0" w:color="auto"/>
              <w:left w:val="nil"/>
              <w:bottom w:val="single" w:sz="4" w:space="0" w:color="auto"/>
              <w:right w:val="nil"/>
            </w:tcBorders>
            <w:shd w:val="clear" w:color="auto" w:fill="auto"/>
            <w:noWrap/>
            <w:vAlign w:val="center"/>
            <w:hideMark/>
          </w:tcPr>
          <w:p w14:paraId="717B17B7"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 xml:space="preserve">Strong </w:t>
            </w:r>
            <w:r>
              <w:rPr>
                <w:rFonts w:eastAsia="Times New Roman" w:cs="Calibri"/>
                <w:b/>
                <w:bCs/>
                <w:color w:val="000000"/>
                <w:sz w:val="20"/>
                <w:szCs w:val="20"/>
              </w:rPr>
              <w:t>Labour</w:t>
            </w:r>
            <w:r w:rsidRPr="008F1997">
              <w:rPr>
                <w:rFonts w:eastAsia="Times New Roman" w:cs="Calibri"/>
                <w:b/>
                <w:bCs/>
                <w:color w:val="000000"/>
                <w:sz w:val="20"/>
                <w:szCs w:val="20"/>
              </w:rPr>
              <w:t xml:space="preserve"> Union Monitoring</w:t>
            </w:r>
          </w:p>
        </w:tc>
        <w:tc>
          <w:tcPr>
            <w:tcW w:w="119" w:type="pct"/>
            <w:tcBorders>
              <w:top w:val="single" w:sz="4" w:space="0" w:color="auto"/>
              <w:left w:val="nil"/>
              <w:bottom w:val="nil"/>
              <w:right w:val="nil"/>
            </w:tcBorders>
            <w:shd w:val="clear" w:color="auto" w:fill="auto"/>
            <w:noWrap/>
            <w:vAlign w:val="center"/>
            <w:hideMark/>
          </w:tcPr>
          <w:p w14:paraId="1A49A9A4"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2222" w:type="pct"/>
            <w:gridSpan w:val="4"/>
            <w:tcBorders>
              <w:top w:val="single" w:sz="4" w:space="0" w:color="auto"/>
              <w:left w:val="nil"/>
              <w:bottom w:val="single" w:sz="4" w:space="0" w:color="auto"/>
              <w:right w:val="nil"/>
            </w:tcBorders>
            <w:shd w:val="clear" w:color="auto" w:fill="auto"/>
            <w:noWrap/>
            <w:vAlign w:val="center"/>
            <w:hideMark/>
          </w:tcPr>
          <w:p w14:paraId="16FDAA4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 xml:space="preserve">Weak </w:t>
            </w:r>
            <w:r>
              <w:rPr>
                <w:rFonts w:eastAsia="Times New Roman" w:cs="Calibri"/>
                <w:b/>
                <w:bCs/>
                <w:color w:val="000000"/>
                <w:sz w:val="20"/>
                <w:szCs w:val="20"/>
              </w:rPr>
              <w:t>Labour</w:t>
            </w:r>
            <w:r w:rsidRPr="008F1997">
              <w:rPr>
                <w:rFonts w:eastAsia="Times New Roman" w:cs="Calibri"/>
                <w:b/>
                <w:bCs/>
                <w:color w:val="000000"/>
                <w:sz w:val="20"/>
                <w:szCs w:val="20"/>
              </w:rPr>
              <w:t xml:space="preserve"> Union Monitoring</w:t>
            </w:r>
          </w:p>
        </w:tc>
      </w:tr>
      <w:tr w:rsidR="00016D40" w:rsidRPr="008F1997" w14:paraId="65446D99" w14:textId="77777777" w:rsidTr="00CD1FDD">
        <w:trPr>
          <w:trHeight w:val="202"/>
          <w:jc w:val="center"/>
        </w:trPr>
        <w:tc>
          <w:tcPr>
            <w:tcW w:w="1036" w:type="pct"/>
            <w:tcBorders>
              <w:top w:val="nil"/>
              <w:left w:val="nil"/>
              <w:bottom w:val="single" w:sz="4" w:space="0" w:color="auto"/>
              <w:right w:val="nil"/>
            </w:tcBorders>
            <w:shd w:val="clear" w:color="auto" w:fill="auto"/>
            <w:noWrap/>
            <w:vAlign w:val="center"/>
            <w:hideMark/>
          </w:tcPr>
          <w:p w14:paraId="78DF0C7D"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406" w:type="pct"/>
            <w:tcBorders>
              <w:top w:val="single" w:sz="4" w:space="0" w:color="auto"/>
              <w:left w:val="nil"/>
              <w:bottom w:val="single" w:sz="4" w:space="0" w:color="auto"/>
              <w:right w:val="nil"/>
            </w:tcBorders>
            <w:shd w:val="clear" w:color="auto" w:fill="auto"/>
            <w:noWrap/>
            <w:vAlign w:val="center"/>
            <w:hideMark/>
          </w:tcPr>
          <w:p w14:paraId="1FEF030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(1)</w:t>
            </w:r>
          </w:p>
        </w:tc>
        <w:tc>
          <w:tcPr>
            <w:tcW w:w="406" w:type="pct"/>
            <w:tcBorders>
              <w:top w:val="single" w:sz="4" w:space="0" w:color="auto"/>
              <w:left w:val="nil"/>
              <w:bottom w:val="single" w:sz="4" w:space="0" w:color="auto"/>
              <w:right w:val="nil"/>
            </w:tcBorders>
            <w:shd w:val="clear" w:color="auto" w:fill="auto"/>
            <w:noWrap/>
            <w:vAlign w:val="center"/>
            <w:hideMark/>
          </w:tcPr>
          <w:p w14:paraId="2F533746"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(2)</w:t>
            </w:r>
          </w:p>
        </w:tc>
        <w:tc>
          <w:tcPr>
            <w:tcW w:w="406" w:type="pct"/>
            <w:tcBorders>
              <w:top w:val="single" w:sz="4" w:space="0" w:color="auto"/>
              <w:left w:val="nil"/>
              <w:bottom w:val="single" w:sz="4" w:space="0" w:color="auto"/>
              <w:right w:val="nil"/>
            </w:tcBorders>
            <w:shd w:val="clear" w:color="auto" w:fill="auto"/>
            <w:noWrap/>
            <w:vAlign w:val="center"/>
            <w:hideMark/>
          </w:tcPr>
          <w:p w14:paraId="267C4036"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(3)</w:t>
            </w:r>
          </w:p>
        </w:tc>
        <w:tc>
          <w:tcPr>
            <w:tcW w:w="406" w:type="pct"/>
            <w:tcBorders>
              <w:top w:val="single" w:sz="4" w:space="0" w:color="auto"/>
              <w:left w:val="nil"/>
              <w:bottom w:val="single" w:sz="4" w:space="0" w:color="auto"/>
              <w:right w:val="nil"/>
            </w:tcBorders>
            <w:shd w:val="clear" w:color="auto" w:fill="auto"/>
            <w:noWrap/>
            <w:vAlign w:val="center"/>
            <w:hideMark/>
          </w:tcPr>
          <w:p w14:paraId="07B831E9"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(4)</w:t>
            </w:r>
          </w:p>
        </w:tc>
        <w:tc>
          <w:tcPr>
            <w:tcW w:w="119" w:type="pct"/>
            <w:tcBorders>
              <w:top w:val="nil"/>
              <w:left w:val="nil"/>
              <w:bottom w:val="single" w:sz="4" w:space="0" w:color="auto"/>
              <w:right w:val="nil"/>
            </w:tcBorders>
            <w:shd w:val="clear" w:color="auto" w:fill="auto"/>
            <w:noWrap/>
            <w:vAlign w:val="center"/>
            <w:hideMark/>
          </w:tcPr>
          <w:p w14:paraId="405F6666"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556" w:type="pct"/>
            <w:tcBorders>
              <w:top w:val="single" w:sz="4" w:space="0" w:color="auto"/>
              <w:left w:val="nil"/>
              <w:bottom w:val="single" w:sz="4" w:space="0" w:color="auto"/>
              <w:right w:val="nil"/>
            </w:tcBorders>
            <w:shd w:val="clear" w:color="auto" w:fill="auto"/>
            <w:noWrap/>
            <w:vAlign w:val="center"/>
            <w:hideMark/>
          </w:tcPr>
          <w:p w14:paraId="26E83E15"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(5)</w:t>
            </w:r>
          </w:p>
        </w:tc>
        <w:tc>
          <w:tcPr>
            <w:tcW w:w="556" w:type="pct"/>
            <w:tcBorders>
              <w:top w:val="single" w:sz="4" w:space="0" w:color="auto"/>
              <w:left w:val="nil"/>
              <w:bottom w:val="single" w:sz="4" w:space="0" w:color="auto"/>
              <w:right w:val="nil"/>
            </w:tcBorders>
            <w:shd w:val="clear" w:color="auto" w:fill="auto"/>
            <w:noWrap/>
            <w:vAlign w:val="center"/>
            <w:hideMark/>
          </w:tcPr>
          <w:p w14:paraId="36A27C1A"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(6)</w:t>
            </w:r>
          </w:p>
        </w:tc>
        <w:tc>
          <w:tcPr>
            <w:tcW w:w="556" w:type="pct"/>
            <w:tcBorders>
              <w:top w:val="single" w:sz="4" w:space="0" w:color="auto"/>
              <w:left w:val="nil"/>
              <w:bottom w:val="single" w:sz="4" w:space="0" w:color="auto"/>
              <w:right w:val="nil"/>
            </w:tcBorders>
            <w:shd w:val="clear" w:color="auto" w:fill="auto"/>
            <w:noWrap/>
            <w:vAlign w:val="center"/>
            <w:hideMark/>
          </w:tcPr>
          <w:p w14:paraId="127FCE6F"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(7)</w:t>
            </w:r>
          </w:p>
        </w:tc>
        <w:tc>
          <w:tcPr>
            <w:tcW w:w="556" w:type="pct"/>
            <w:tcBorders>
              <w:top w:val="single" w:sz="4" w:space="0" w:color="auto"/>
              <w:left w:val="nil"/>
              <w:bottom w:val="single" w:sz="4" w:space="0" w:color="auto"/>
              <w:right w:val="nil"/>
            </w:tcBorders>
            <w:shd w:val="clear" w:color="auto" w:fill="auto"/>
            <w:noWrap/>
            <w:vAlign w:val="center"/>
            <w:hideMark/>
          </w:tcPr>
          <w:p w14:paraId="4C1F3BC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(8)</w:t>
            </w:r>
          </w:p>
        </w:tc>
      </w:tr>
      <w:tr w:rsidR="00016D40" w:rsidRPr="008F1997" w14:paraId="3F44E95D" w14:textId="77777777" w:rsidTr="00CD1FDD">
        <w:trPr>
          <w:trHeight w:val="202"/>
          <w:jc w:val="center"/>
        </w:trPr>
        <w:tc>
          <w:tcPr>
            <w:tcW w:w="1036" w:type="pct"/>
            <w:tcBorders>
              <w:top w:val="single" w:sz="4" w:space="0" w:color="auto"/>
              <w:left w:val="nil"/>
              <w:bottom w:val="nil"/>
              <w:right w:val="nil"/>
            </w:tcBorders>
            <w:shd w:val="clear" w:color="auto" w:fill="auto"/>
            <w:noWrap/>
            <w:vAlign w:val="center"/>
            <w:hideMark/>
          </w:tcPr>
          <w:p w14:paraId="0D2D648C"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CompacctInd</w:t>
            </w:r>
            <w:r w:rsidRPr="008F1997">
              <w:rPr>
                <w:rFonts w:eastAsia="Times New Roman" w:cs="Calibri"/>
                <w:i/>
                <w:iCs/>
                <w:color w:val="000000"/>
                <w:sz w:val="20"/>
                <w:szCs w:val="20"/>
                <w:vertAlign w:val="subscript"/>
              </w:rPr>
              <w:t>i,t-1</w:t>
            </w:r>
          </w:p>
        </w:tc>
        <w:tc>
          <w:tcPr>
            <w:tcW w:w="406" w:type="pct"/>
            <w:tcBorders>
              <w:top w:val="single" w:sz="4" w:space="0" w:color="auto"/>
              <w:left w:val="nil"/>
              <w:bottom w:val="nil"/>
              <w:right w:val="nil"/>
            </w:tcBorders>
            <w:shd w:val="clear" w:color="auto" w:fill="auto"/>
            <w:noWrap/>
            <w:vAlign w:val="center"/>
            <w:hideMark/>
          </w:tcPr>
          <w:p w14:paraId="2176F9C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-0.143</w:t>
            </w:r>
          </w:p>
        </w:tc>
        <w:tc>
          <w:tcPr>
            <w:tcW w:w="406" w:type="pct"/>
            <w:tcBorders>
              <w:top w:val="single" w:sz="4" w:space="0" w:color="auto"/>
              <w:left w:val="nil"/>
              <w:bottom w:val="nil"/>
              <w:right w:val="nil"/>
            </w:tcBorders>
            <w:shd w:val="clear" w:color="auto" w:fill="auto"/>
            <w:noWrap/>
            <w:vAlign w:val="center"/>
            <w:hideMark/>
          </w:tcPr>
          <w:p w14:paraId="6C59BDA8"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single" w:sz="4" w:space="0" w:color="auto"/>
              <w:left w:val="nil"/>
              <w:bottom w:val="nil"/>
              <w:right w:val="nil"/>
            </w:tcBorders>
            <w:shd w:val="clear" w:color="auto" w:fill="auto"/>
            <w:noWrap/>
            <w:vAlign w:val="center"/>
            <w:hideMark/>
          </w:tcPr>
          <w:p w14:paraId="49CDB8D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single" w:sz="4" w:space="0" w:color="auto"/>
              <w:left w:val="nil"/>
              <w:bottom w:val="nil"/>
              <w:right w:val="nil"/>
            </w:tcBorders>
            <w:shd w:val="clear" w:color="auto" w:fill="auto"/>
            <w:noWrap/>
            <w:vAlign w:val="center"/>
            <w:hideMark/>
          </w:tcPr>
          <w:p w14:paraId="7439C03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single" w:sz="4" w:space="0" w:color="auto"/>
              <w:left w:val="nil"/>
              <w:bottom w:val="nil"/>
              <w:right w:val="nil"/>
            </w:tcBorders>
            <w:shd w:val="clear" w:color="auto" w:fill="auto"/>
            <w:noWrap/>
            <w:vAlign w:val="center"/>
            <w:hideMark/>
          </w:tcPr>
          <w:p w14:paraId="6690C8B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4" w:space="0" w:color="auto"/>
              <w:left w:val="nil"/>
              <w:bottom w:val="nil"/>
              <w:right w:val="nil"/>
            </w:tcBorders>
            <w:shd w:val="clear" w:color="auto" w:fill="auto"/>
            <w:noWrap/>
            <w:vAlign w:val="center"/>
            <w:hideMark/>
          </w:tcPr>
          <w:p w14:paraId="5B70E55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-0.399***</w:t>
            </w:r>
          </w:p>
        </w:tc>
        <w:tc>
          <w:tcPr>
            <w:tcW w:w="556" w:type="pct"/>
            <w:tcBorders>
              <w:top w:val="single" w:sz="4" w:space="0" w:color="auto"/>
              <w:left w:val="nil"/>
              <w:bottom w:val="nil"/>
              <w:right w:val="nil"/>
            </w:tcBorders>
            <w:shd w:val="clear" w:color="auto" w:fill="auto"/>
            <w:noWrap/>
            <w:vAlign w:val="center"/>
            <w:hideMark/>
          </w:tcPr>
          <w:p w14:paraId="151AA0FC"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single" w:sz="4" w:space="0" w:color="auto"/>
              <w:left w:val="nil"/>
              <w:bottom w:val="nil"/>
              <w:right w:val="nil"/>
            </w:tcBorders>
            <w:shd w:val="clear" w:color="auto" w:fill="auto"/>
            <w:noWrap/>
            <w:vAlign w:val="center"/>
            <w:hideMark/>
          </w:tcPr>
          <w:p w14:paraId="399E926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4" w:space="0" w:color="auto"/>
              <w:left w:val="nil"/>
              <w:bottom w:val="nil"/>
              <w:right w:val="nil"/>
            </w:tcBorders>
            <w:shd w:val="clear" w:color="auto" w:fill="auto"/>
            <w:noWrap/>
            <w:vAlign w:val="center"/>
            <w:hideMark/>
          </w:tcPr>
          <w:p w14:paraId="13625AD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2726A17E"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51B9722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525CDBB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(-1.50)</w:t>
            </w:r>
          </w:p>
        </w:tc>
        <w:tc>
          <w:tcPr>
            <w:tcW w:w="406" w:type="pct"/>
            <w:tcBorders>
              <w:top w:val="nil"/>
              <w:left w:val="nil"/>
              <w:bottom w:val="nil"/>
              <w:right w:val="nil"/>
            </w:tcBorders>
            <w:shd w:val="clear" w:color="auto" w:fill="auto"/>
            <w:noWrap/>
            <w:vAlign w:val="center"/>
            <w:hideMark/>
          </w:tcPr>
          <w:p w14:paraId="4F65F95C"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161C1E4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FC189A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4ECB27B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62C01D2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(-3.60)</w:t>
            </w:r>
          </w:p>
        </w:tc>
        <w:tc>
          <w:tcPr>
            <w:tcW w:w="556" w:type="pct"/>
            <w:tcBorders>
              <w:top w:val="nil"/>
              <w:left w:val="nil"/>
              <w:bottom w:val="nil"/>
              <w:right w:val="nil"/>
            </w:tcBorders>
            <w:shd w:val="clear" w:color="auto" w:fill="auto"/>
            <w:noWrap/>
            <w:vAlign w:val="center"/>
            <w:hideMark/>
          </w:tcPr>
          <w:p w14:paraId="7F2A5FEA"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17AE878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1D92E34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7BBA777B"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100E322C"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Compacct10</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0BA77BD5"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3346568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-0.174</w:t>
            </w:r>
          </w:p>
        </w:tc>
        <w:tc>
          <w:tcPr>
            <w:tcW w:w="406" w:type="pct"/>
            <w:tcBorders>
              <w:top w:val="nil"/>
              <w:left w:val="nil"/>
              <w:bottom w:val="nil"/>
              <w:right w:val="nil"/>
            </w:tcBorders>
            <w:shd w:val="clear" w:color="auto" w:fill="auto"/>
            <w:noWrap/>
            <w:vAlign w:val="center"/>
            <w:hideMark/>
          </w:tcPr>
          <w:p w14:paraId="2C730D3B"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54CF582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3175306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7CE924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4ACF2DE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-0.343**</w:t>
            </w:r>
          </w:p>
        </w:tc>
        <w:tc>
          <w:tcPr>
            <w:tcW w:w="556" w:type="pct"/>
            <w:tcBorders>
              <w:top w:val="nil"/>
              <w:left w:val="nil"/>
              <w:bottom w:val="nil"/>
              <w:right w:val="nil"/>
            </w:tcBorders>
            <w:shd w:val="clear" w:color="auto" w:fill="auto"/>
            <w:noWrap/>
            <w:vAlign w:val="center"/>
            <w:hideMark/>
          </w:tcPr>
          <w:p w14:paraId="0920A4B4"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445B403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2D2B7D19"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3B86A82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7EE1E1D"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506039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(-1.17)</w:t>
            </w:r>
          </w:p>
        </w:tc>
        <w:tc>
          <w:tcPr>
            <w:tcW w:w="406" w:type="pct"/>
            <w:tcBorders>
              <w:top w:val="nil"/>
              <w:left w:val="nil"/>
              <w:bottom w:val="nil"/>
              <w:right w:val="nil"/>
            </w:tcBorders>
            <w:shd w:val="clear" w:color="auto" w:fill="auto"/>
            <w:noWrap/>
            <w:vAlign w:val="center"/>
            <w:hideMark/>
          </w:tcPr>
          <w:p w14:paraId="12C5B060"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450BFC8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77E3ED4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E13CBD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880A0F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(-1.96)</w:t>
            </w:r>
          </w:p>
        </w:tc>
        <w:tc>
          <w:tcPr>
            <w:tcW w:w="556" w:type="pct"/>
            <w:tcBorders>
              <w:top w:val="nil"/>
              <w:left w:val="nil"/>
              <w:bottom w:val="nil"/>
              <w:right w:val="nil"/>
            </w:tcBorders>
            <w:shd w:val="clear" w:color="auto" w:fill="auto"/>
            <w:noWrap/>
            <w:vAlign w:val="center"/>
            <w:hideMark/>
          </w:tcPr>
          <w:p w14:paraId="59AB3EA7"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198F653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7CE6F388"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786AFACD"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CompacctBasu</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3B2478B1"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0136FFA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5F9C1D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-0.113</w:t>
            </w:r>
          </w:p>
        </w:tc>
        <w:tc>
          <w:tcPr>
            <w:tcW w:w="406" w:type="pct"/>
            <w:tcBorders>
              <w:top w:val="nil"/>
              <w:left w:val="nil"/>
              <w:bottom w:val="nil"/>
              <w:right w:val="nil"/>
            </w:tcBorders>
            <w:shd w:val="clear" w:color="auto" w:fill="auto"/>
            <w:noWrap/>
            <w:vAlign w:val="center"/>
            <w:hideMark/>
          </w:tcPr>
          <w:p w14:paraId="498D5235" w14:textId="77777777" w:rsidR="00016D40" w:rsidRPr="008F1997" w:rsidRDefault="00016D40" w:rsidP="00CD1FDD">
            <w:pPr>
              <w:spacing w:after="0" w:line="240" w:lineRule="auto"/>
              <w:jc w:val="center"/>
              <w:rPr>
                <w:rFonts w:eastAsia="Times New Roman" w:cs="Calibri"/>
                <w:color w:val="000000"/>
                <w:sz w:val="20"/>
                <w:szCs w:val="20"/>
              </w:rPr>
            </w:pPr>
          </w:p>
        </w:tc>
        <w:tc>
          <w:tcPr>
            <w:tcW w:w="119" w:type="pct"/>
            <w:tcBorders>
              <w:top w:val="nil"/>
              <w:left w:val="nil"/>
              <w:bottom w:val="nil"/>
              <w:right w:val="nil"/>
            </w:tcBorders>
            <w:shd w:val="clear" w:color="auto" w:fill="auto"/>
            <w:noWrap/>
            <w:vAlign w:val="center"/>
            <w:hideMark/>
          </w:tcPr>
          <w:p w14:paraId="4D97940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4B174D3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7F98A3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1B39823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-0.393***</w:t>
            </w:r>
          </w:p>
        </w:tc>
        <w:tc>
          <w:tcPr>
            <w:tcW w:w="556" w:type="pct"/>
            <w:tcBorders>
              <w:top w:val="nil"/>
              <w:left w:val="nil"/>
              <w:bottom w:val="nil"/>
              <w:right w:val="nil"/>
            </w:tcBorders>
            <w:shd w:val="clear" w:color="auto" w:fill="auto"/>
            <w:noWrap/>
            <w:vAlign w:val="center"/>
            <w:hideMark/>
          </w:tcPr>
          <w:p w14:paraId="0845E821"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4E5851B9"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4319956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7865B87"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0872173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1BF19CA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(-1.11)</w:t>
            </w:r>
          </w:p>
        </w:tc>
        <w:tc>
          <w:tcPr>
            <w:tcW w:w="406" w:type="pct"/>
            <w:tcBorders>
              <w:top w:val="nil"/>
              <w:left w:val="nil"/>
              <w:bottom w:val="nil"/>
              <w:right w:val="nil"/>
            </w:tcBorders>
            <w:shd w:val="clear" w:color="auto" w:fill="auto"/>
            <w:noWrap/>
            <w:vAlign w:val="center"/>
            <w:hideMark/>
          </w:tcPr>
          <w:p w14:paraId="1F12ABCD" w14:textId="77777777" w:rsidR="00016D40" w:rsidRPr="008F1997" w:rsidRDefault="00016D40" w:rsidP="00CD1FDD">
            <w:pPr>
              <w:spacing w:after="0" w:line="240" w:lineRule="auto"/>
              <w:jc w:val="center"/>
              <w:rPr>
                <w:rFonts w:eastAsia="Times New Roman" w:cs="Calibri"/>
                <w:color w:val="000000"/>
                <w:sz w:val="20"/>
                <w:szCs w:val="20"/>
              </w:rPr>
            </w:pPr>
          </w:p>
        </w:tc>
        <w:tc>
          <w:tcPr>
            <w:tcW w:w="119" w:type="pct"/>
            <w:tcBorders>
              <w:top w:val="nil"/>
              <w:left w:val="nil"/>
              <w:bottom w:val="nil"/>
              <w:right w:val="nil"/>
            </w:tcBorders>
            <w:shd w:val="clear" w:color="auto" w:fill="auto"/>
            <w:noWrap/>
            <w:vAlign w:val="center"/>
            <w:hideMark/>
          </w:tcPr>
          <w:p w14:paraId="2A558CC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2F055AD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B7AFA0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37D74F3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(-3.05)</w:t>
            </w:r>
          </w:p>
        </w:tc>
        <w:tc>
          <w:tcPr>
            <w:tcW w:w="556" w:type="pct"/>
            <w:tcBorders>
              <w:top w:val="nil"/>
              <w:left w:val="nil"/>
              <w:bottom w:val="nil"/>
              <w:right w:val="nil"/>
            </w:tcBorders>
            <w:shd w:val="clear" w:color="auto" w:fill="auto"/>
            <w:noWrap/>
            <w:vAlign w:val="center"/>
            <w:hideMark/>
          </w:tcPr>
          <w:p w14:paraId="5A06B4F0"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4FC0CEA8"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2D440DAF"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CompacctPle</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26CDC67F"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3F44BA6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AAFA0B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EB649A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-0.066</w:t>
            </w:r>
          </w:p>
        </w:tc>
        <w:tc>
          <w:tcPr>
            <w:tcW w:w="119" w:type="pct"/>
            <w:tcBorders>
              <w:top w:val="nil"/>
              <w:left w:val="nil"/>
              <w:bottom w:val="nil"/>
              <w:right w:val="nil"/>
            </w:tcBorders>
            <w:shd w:val="clear" w:color="auto" w:fill="auto"/>
            <w:noWrap/>
            <w:vAlign w:val="center"/>
            <w:hideMark/>
          </w:tcPr>
          <w:p w14:paraId="42346116"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6E7D6587"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BACD26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10104B5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C2698C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-0.508***</w:t>
            </w:r>
          </w:p>
        </w:tc>
      </w:tr>
      <w:tr w:rsidR="00016D40" w:rsidRPr="008F1997" w14:paraId="5725DC56"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32C4E93C"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47347358"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239DAE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4090756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00F529A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(-0.66)</w:t>
            </w:r>
          </w:p>
        </w:tc>
        <w:tc>
          <w:tcPr>
            <w:tcW w:w="119" w:type="pct"/>
            <w:tcBorders>
              <w:top w:val="nil"/>
              <w:left w:val="nil"/>
              <w:bottom w:val="nil"/>
              <w:right w:val="nil"/>
            </w:tcBorders>
            <w:shd w:val="clear" w:color="auto" w:fill="auto"/>
            <w:noWrap/>
            <w:vAlign w:val="center"/>
            <w:hideMark/>
          </w:tcPr>
          <w:p w14:paraId="584B5304"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5CBCA38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4BD99C7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654BD8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2BF7A94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(-3.87)</w:t>
            </w:r>
          </w:p>
        </w:tc>
      </w:tr>
      <w:tr w:rsidR="00016D40" w:rsidRPr="008F1997" w14:paraId="2CA18C45"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6282BD63"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Control</w:t>
            </w:r>
          </w:p>
        </w:tc>
        <w:tc>
          <w:tcPr>
            <w:tcW w:w="406" w:type="pct"/>
            <w:tcBorders>
              <w:top w:val="nil"/>
              <w:left w:val="nil"/>
              <w:bottom w:val="nil"/>
              <w:right w:val="nil"/>
            </w:tcBorders>
            <w:shd w:val="clear" w:color="auto" w:fill="auto"/>
            <w:noWrap/>
            <w:vAlign w:val="center"/>
            <w:hideMark/>
          </w:tcPr>
          <w:p w14:paraId="4CA8594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7174E7B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2CEAD7F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486BC8E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6A079CF6"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411D6F0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2139E57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4525ED3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5B0A13A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78D772B0"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4C8F044A"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Industry fixed</w:t>
            </w:r>
            <w:r>
              <w:rPr>
                <w:rFonts w:eastAsia="Times New Roman" w:cs="Calibri"/>
                <w:color w:val="000000"/>
                <w:sz w:val="20"/>
                <w:szCs w:val="20"/>
              </w:rPr>
              <w:t>-</w:t>
            </w:r>
            <w:r w:rsidRPr="008F1997">
              <w:rPr>
                <w:rFonts w:eastAsia="Times New Roman" w:cs="Calibri"/>
                <w:color w:val="000000"/>
                <w:sz w:val="20"/>
                <w:szCs w:val="20"/>
              </w:rPr>
              <w:t>effects</w:t>
            </w:r>
          </w:p>
        </w:tc>
        <w:tc>
          <w:tcPr>
            <w:tcW w:w="406" w:type="pct"/>
            <w:tcBorders>
              <w:top w:val="nil"/>
              <w:left w:val="nil"/>
              <w:bottom w:val="nil"/>
              <w:right w:val="nil"/>
            </w:tcBorders>
            <w:shd w:val="clear" w:color="auto" w:fill="auto"/>
            <w:noWrap/>
            <w:vAlign w:val="center"/>
            <w:hideMark/>
          </w:tcPr>
          <w:p w14:paraId="25A460D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2E23659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1EFDB4D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060E70A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7305398B"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2A7D792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2A9D266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69D8275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24695B1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6F29E25D"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7C57D021"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Year fixed</w:t>
            </w:r>
            <w:r>
              <w:rPr>
                <w:rFonts w:eastAsia="Times New Roman" w:cs="Calibri"/>
                <w:color w:val="000000"/>
                <w:sz w:val="20"/>
                <w:szCs w:val="20"/>
              </w:rPr>
              <w:t>-</w:t>
            </w:r>
            <w:r w:rsidRPr="008F1997">
              <w:rPr>
                <w:rFonts w:eastAsia="Times New Roman" w:cs="Calibri"/>
                <w:color w:val="000000"/>
                <w:sz w:val="20"/>
                <w:szCs w:val="20"/>
              </w:rPr>
              <w:t>effects</w:t>
            </w:r>
          </w:p>
        </w:tc>
        <w:tc>
          <w:tcPr>
            <w:tcW w:w="406" w:type="pct"/>
            <w:tcBorders>
              <w:top w:val="nil"/>
              <w:left w:val="nil"/>
              <w:bottom w:val="nil"/>
              <w:right w:val="nil"/>
            </w:tcBorders>
            <w:shd w:val="clear" w:color="auto" w:fill="auto"/>
            <w:noWrap/>
            <w:vAlign w:val="center"/>
            <w:hideMark/>
          </w:tcPr>
          <w:p w14:paraId="4FD88E7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41DECE5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1B9EA84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30AAD9B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256E986C"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1EDA2C6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2E5EB4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97F81F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6BA9E10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011A8503"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34DE057E"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Adj. R</w:t>
            </w:r>
            <w:r w:rsidRPr="008F1997">
              <w:rPr>
                <w:rFonts w:eastAsia="Times New Roman" w:cs="Calibri"/>
                <w:color w:val="000000"/>
                <w:sz w:val="20"/>
                <w:szCs w:val="20"/>
                <w:vertAlign w:val="superscript"/>
              </w:rPr>
              <w:t>2</w:t>
            </w:r>
          </w:p>
        </w:tc>
        <w:tc>
          <w:tcPr>
            <w:tcW w:w="406" w:type="pct"/>
            <w:tcBorders>
              <w:top w:val="nil"/>
              <w:left w:val="nil"/>
              <w:bottom w:val="nil"/>
              <w:right w:val="nil"/>
            </w:tcBorders>
            <w:shd w:val="clear" w:color="auto" w:fill="auto"/>
            <w:noWrap/>
            <w:vAlign w:val="center"/>
            <w:hideMark/>
          </w:tcPr>
          <w:p w14:paraId="4485886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0.095</w:t>
            </w:r>
          </w:p>
        </w:tc>
        <w:tc>
          <w:tcPr>
            <w:tcW w:w="406" w:type="pct"/>
            <w:tcBorders>
              <w:top w:val="nil"/>
              <w:left w:val="nil"/>
              <w:bottom w:val="nil"/>
              <w:right w:val="nil"/>
            </w:tcBorders>
            <w:shd w:val="clear" w:color="auto" w:fill="auto"/>
            <w:noWrap/>
            <w:vAlign w:val="center"/>
            <w:hideMark/>
          </w:tcPr>
          <w:p w14:paraId="51CF3BF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0.095</w:t>
            </w:r>
          </w:p>
        </w:tc>
        <w:tc>
          <w:tcPr>
            <w:tcW w:w="406" w:type="pct"/>
            <w:tcBorders>
              <w:top w:val="nil"/>
              <w:left w:val="nil"/>
              <w:bottom w:val="nil"/>
              <w:right w:val="nil"/>
            </w:tcBorders>
            <w:shd w:val="clear" w:color="auto" w:fill="auto"/>
            <w:noWrap/>
            <w:vAlign w:val="center"/>
            <w:hideMark/>
          </w:tcPr>
          <w:p w14:paraId="163BB34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0.095</w:t>
            </w:r>
          </w:p>
        </w:tc>
        <w:tc>
          <w:tcPr>
            <w:tcW w:w="406" w:type="pct"/>
            <w:tcBorders>
              <w:top w:val="nil"/>
              <w:left w:val="nil"/>
              <w:bottom w:val="nil"/>
              <w:right w:val="nil"/>
            </w:tcBorders>
            <w:shd w:val="clear" w:color="auto" w:fill="auto"/>
            <w:noWrap/>
            <w:vAlign w:val="center"/>
            <w:hideMark/>
          </w:tcPr>
          <w:p w14:paraId="0B59175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0.095</w:t>
            </w:r>
          </w:p>
        </w:tc>
        <w:tc>
          <w:tcPr>
            <w:tcW w:w="119" w:type="pct"/>
            <w:tcBorders>
              <w:top w:val="nil"/>
              <w:left w:val="nil"/>
              <w:bottom w:val="nil"/>
              <w:right w:val="nil"/>
            </w:tcBorders>
            <w:shd w:val="clear" w:color="auto" w:fill="auto"/>
            <w:noWrap/>
            <w:vAlign w:val="center"/>
            <w:hideMark/>
          </w:tcPr>
          <w:p w14:paraId="73E02935"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7999CB9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0.070</w:t>
            </w:r>
          </w:p>
        </w:tc>
        <w:tc>
          <w:tcPr>
            <w:tcW w:w="556" w:type="pct"/>
            <w:tcBorders>
              <w:top w:val="nil"/>
              <w:left w:val="nil"/>
              <w:bottom w:val="nil"/>
              <w:right w:val="nil"/>
            </w:tcBorders>
            <w:shd w:val="clear" w:color="auto" w:fill="auto"/>
            <w:noWrap/>
            <w:vAlign w:val="center"/>
            <w:hideMark/>
          </w:tcPr>
          <w:p w14:paraId="1C244B1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0.070</w:t>
            </w:r>
          </w:p>
        </w:tc>
        <w:tc>
          <w:tcPr>
            <w:tcW w:w="556" w:type="pct"/>
            <w:tcBorders>
              <w:top w:val="nil"/>
              <w:left w:val="nil"/>
              <w:bottom w:val="nil"/>
              <w:right w:val="nil"/>
            </w:tcBorders>
            <w:shd w:val="clear" w:color="auto" w:fill="auto"/>
            <w:noWrap/>
            <w:vAlign w:val="center"/>
            <w:hideMark/>
          </w:tcPr>
          <w:p w14:paraId="3761156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0.070</w:t>
            </w:r>
          </w:p>
        </w:tc>
        <w:tc>
          <w:tcPr>
            <w:tcW w:w="556" w:type="pct"/>
            <w:tcBorders>
              <w:top w:val="nil"/>
              <w:left w:val="nil"/>
              <w:bottom w:val="nil"/>
              <w:right w:val="nil"/>
            </w:tcBorders>
            <w:shd w:val="clear" w:color="auto" w:fill="auto"/>
            <w:noWrap/>
            <w:vAlign w:val="center"/>
            <w:hideMark/>
          </w:tcPr>
          <w:p w14:paraId="227F1A2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0.066</w:t>
            </w:r>
          </w:p>
        </w:tc>
      </w:tr>
      <w:tr w:rsidR="00016D40" w:rsidRPr="008F1997" w14:paraId="34AE27BB" w14:textId="77777777" w:rsidTr="00CD1FDD">
        <w:trPr>
          <w:trHeight w:val="202"/>
          <w:jc w:val="center"/>
        </w:trPr>
        <w:tc>
          <w:tcPr>
            <w:tcW w:w="1036" w:type="pct"/>
            <w:tcBorders>
              <w:top w:val="nil"/>
              <w:left w:val="nil"/>
              <w:bottom w:val="single" w:sz="12" w:space="0" w:color="auto"/>
              <w:right w:val="nil"/>
            </w:tcBorders>
            <w:shd w:val="clear" w:color="auto" w:fill="auto"/>
            <w:noWrap/>
            <w:vAlign w:val="center"/>
            <w:hideMark/>
          </w:tcPr>
          <w:p w14:paraId="716D84D3"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Obs.</w:t>
            </w:r>
          </w:p>
        </w:tc>
        <w:tc>
          <w:tcPr>
            <w:tcW w:w="406" w:type="pct"/>
            <w:tcBorders>
              <w:top w:val="nil"/>
              <w:left w:val="nil"/>
              <w:bottom w:val="single" w:sz="12" w:space="0" w:color="auto"/>
              <w:right w:val="nil"/>
            </w:tcBorders>
            <w:shd w:val="clear" w:color="auto" w:fill="auto"/>
            <w:noWrap/>
            <w:vAlign w:val="center"/>
            <w:hideMark/>
          </w:tcPr>
          <w:p w14:paraId="118D907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19159</w:t>
            </w:r>
          </w:p>
        </w:tc>
        <w:tc>
          <w:tcPr>
            <w:tcW w:w="406" w:type="pct"/>
            <w:tcBorders>
              <w:top w:val="nil"/>
              <w:left w:val="nil"/>
              <w:bottom w:val="single" w:sz="12" w:space="0" w:color="auto"/>
              <w:right w:val="nil"/>
            </w:tcBorders>
            <w:shd w:val="clear" w:color="auto" w:fill="auto"/>
            <w:noWrap/>
            <w:vAlign w:val="center"/>
            <w:hideMark/>
          </w:tcPr>
          <w:p w14:paraId="7EEBBCF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19159</w:t>
            </w:r>
          </w:p>
        </w:tc>
        <w:tc>
          <w:tcPr>
            <w:tcW w:w="406" w:type="pct"/>
            <w:tcBorders>
              <w:top w:val="nil"/>
              <w:left w:val="nil"/>
              <w:bottom w:val="single" w:sz="12" w:space="0" w:color="auto"/>
              <w:right w:val="nil"/>
            </w:tcBorders>
            <w:shd w:val="clear" w:color="auto" w:fill="auto"/>
            <w:noWrap/>
            <w:vAlign w:val="center"/>
            <w:hideMark/>
          </w:tcPr>
          <w:p w14:paraId="34BDD947"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18859</w:t>
            </w:r>
          </w:p>
        </w:tc>
        <w:tc>
          <w:tcPr>
            <w:tcW w:w="406" w:type="pct"/>
            <w:tcBorders>
              <w:top w:val="nil"/>
              <w:left w:val="nil"/>
              <w:bottom w:val="single" w:sz="12" w:space="0" w:color="auto"/>
              <w:right w:val="nil"/>
            </w:tcBorders>
            <w:shd w:val="clear" w:color="auto" w:fill="auto"/>
            <w:noWrap/>
            <w:vAlign w:val="center"/>
            <w:hideMark/>
          </w:tcPr>
          <w:p w14:paraId="7245487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18360</w:t>
            </w:r>
          </w:p>
        </w:tc>
        <w:tc>
          <w:tcPr>
            <w:tcW w:w="119" w:type="pct"/>
            <w:tcBorders>
              <w:top w:val="nil"/>
              <w:left w:val="nil"/>
              <w:bottom w:val="single" w:sz="12" w:space="0" w:color="auto"/>
              <w:right w:val="nil"/>
            </w:tcBorders>
            <w:shd w:val="clear" w:color="auto" w:fill="auto"/>
            <w:noWrap/>
            <w:vAlign w:val="center"/>
            <w:hideMark/>
          </w:tcPr>
          <w:p w14:paraId="66F8F41C"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single" w:sz="12" w:space="0" w:color="auto"/>
              <w:right w:val="nil"/>
            </w:tcBorders>
            <w:shd w:val="clear" w:color="auto" w:fill="auto"/>
            <w:noWrap/>
            <w:vAlign w:val="center"/>
            <w:hideMark/>
          </w:tcPr>
          <w:p w14:paraId="77B9C71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19583</w:t>
            </w:r>
          </w:p>
        </w:tc>
        <w:tc>
          <w:tcPr>
            <w:tcW w:w="556" w:type="pct"/>
            <w:tcBorders>
              <w:top w:val="nil"/>
              <w:left w:val="nil"/>
              <w:bottom w:val="single" w:sz="12" w:space="0" w:color="auto"/>
              <w:right w:val="nil"/>
            </w:tcBorders>
            <w:shd w:val="clear" w:color="auto" w:fill="auto"/>
            <w:noWrap/>
            <w:vAlign w:val="center"/>
            <w:hideMark/>
          </w:tcPr>
          <w:p w14:paraId="2D178CE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19583</w:t>
            </w:r>
          </w:p>
        </w:tc>
        <w:tc>
          <w:tcPr>
            <w:tcW w:w="556" w:type="pct"/>
            <w:tcBorders>
              <w:top w:val="nil"/>
              <w:left w:val="nil"/>
              <w:bottom w:val="single" w:sz="12" w:space="0" w:color="auto"/>
              <w:right w:val="nil"/>
            </w:tcBorders>
            <w:shd w:val="clear" w:color="auto" w:fill="auto"/>
            <w:noWrap/>
            <w:vAlign w:val="center"/>
            <w:hideMark/>
          </w:tcPr>
          <w:p w14:paraId="7B865CB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19273</w:t>
            </w:r>
          </w:p>
        </w:tc>
        <w:tc>
          <w:tcPr>
            <w:tcW w:w="556" w:type="pct"/>
            <w:tcBorders>
              <w:top w:val="nil"/>
              <w:left w:val="nil"/>
              <w:bottom w:val="single" w:sz="12" w:space="0" w:color="auto"/>
              <w:right w:val="nil"/>
            </w:tcBorders>
            <w:shd w:val="clear" w:color="auto" w:fill="auto"/>
            <w:noWrap/>
            <w:vAlign w:val="center"/>
            <w:hideMark/>
          </w:tcPr>
          <w:p w14:paraId="6C9F41D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18516</w:t>
            </w:r>
          </w:p>
        </w:tc>
      </w:tr>
      <w:tr w:rsidR="00016D40" w:rsidRPr="008F1997" w14:paraId="30DC1574" w14:textId="77777777" w:rsidTr="00CD1FDD">
        <w:trPr>
          <w:trHeight w:val="202"/>
          <w:jc w:val="center"/>
        </w:trPr>
        <w:tc>
          <w:tcPr>
            <w:tcW w:w="1036" w:type="pct"/>
            <w:tcBorders>
              <w:top w:val="single" w:sz="12" w:space="0" w:color="auto"/>
              <w:left w:val="nil"/>
              <w:bottom w:val="single" w:sz="12" w:space="0" w:color="auto"/>
              <w:right w:val="nil"/>
            </w:tcBorders>
            <w:shd w:val="clear" w:color="auto" w:fill="auto"/>
            <w:noWrap/>
            <w:vAlign w:val="center"/>
            <w:hideMark/>
          </w:tcPr>
          <w:p w14:paraId="1836FB31"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single" w:sz="12" w:space="0" w:color="auto"/>
              <w:left w:val="nil"/>
              <w:bottom w:val="single" w:sz="12" w:space="0" w:color="auto"/>
              <w:right w:val="nil"/>
            </w:tcBorders>
            <w:shd w:val="clear" w:color="auto" w:fill="auto"/>
            <w:noWrap/>
            <w:vAlign w:val="center"/>
            <w:hideMark/>
          </w:tcPr>
          <w:p w14:paraId="104F3A81"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single" w:sz="12" w:space="0" w:color="auto"/>
              <w:left w:val="nil"/>
              <w:bottom w:val="single" w:sz="12" w:space="0" w:color="auto"/>
              <w:right w:val="nil"/>
            </w:tcBorders>
            <w:shd w:val="clear" w:color="auto" w:fill="auto"/>
            <w:noWrap/>
            <w:vAlign w:val="center"/>
            <w:hideMark/>
          </w:tcPr>
          <w:p w14:paraId="4A84271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single" w:sz="12" w:space="0" w:color="auto"/>
              <w:left w:val="nil"/>
              <w:bottom w:val="single" w:sz="12" w:space="0" w:color="auto"/>
              <w:right w:val="nil"/>
            </w:tcBorders>
            <w:shd w:val="clear" w:color="auto" w:fill="auto"/>
            <w:noWrap/>
            <w:vAlign w:val="center"/>
            <w:hideMark/>
          </w:tcPr>
          <w:p w14:paraId="4ADBF74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single" w:sz="12" w:space="0" w:color="auto"/>
              <w:left w:val="nil"/>
              <w:bottom w:val="single" w:sz="12" w:space="0" w:color="auto"/>
              <w:right w:val="nil"/>
            </w:tcBorders>
            <w:shd w:val="clear" w:color="auto" w:fill="auto"/>
            <w:noWrap/>
            <w:vAlign w:val="center"/>
            <w:hideMark/>
          </w:tcPr>
          <w:p w14:paraId="73AAC79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single" w:sz="12" w:space="0" w:color="auto"/>
              <w:left w:val="nil"/>
              <w:bottom w:val="single" w:sz="12" w:space="0" w:color="auto"/>
              <w:right w:val="nil"/>
            </w:tcBorders>
            <w:shd w:val="clear" w:color="auto" w:fill="auto"/>
            <w:noWrap/>
            <w:vAlign w:val="center"/>
            <w:hideMark/>
          </w:tcPr>
          <w:p w14:paraId="79B7F9C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12" w:space="0" w:color="auto"/>
              <w:left w:val="nil"/>
              <w:bottom w:val="single" w:sz="12" w:space="0" w:color="auto"/>
              <w:right w:val="nil"/>
            </w:tcBorders>
            <w:shd w:val="clear" w:color="auto" w:fill="auto"/>
            <w:noWrap/>
            <w:vAlign w:val="center"/>
            <w:hideMark/>
          </w:tcPr>
          <w:p w14:paraId="21F5D59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12" w:space="0" w:color="auto"/>
              <w:left w:val="nil"/>
              <w:bottom w:val="single" w:sz="12" w:space="0" w:color="auto"/>
              <w:right w:val="nil"/>
            </w:tcBorders>
            <w:shd w:val="clear" w:color="auto" w:fill="auto"/>
            <w:noWrap/>
            <w:vAlign w:val="center"/>
            <w:hideMark/>
          </w:tcPr>
          <w:p w14:paraId="6F10697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12" w:space="0" w:color="auto"/>
              <w:left w:val="nil"/>
              <w:bottom w:val="single" w:sz="12" w:space="0" w:color="auto"/>
              <w:right w:val="nil"/>
            </w:tcBorders>
            <w:shd w:val="clear" w:color="auto" w:fill="auto"/>
            <w:noWrap/>
            <w:vAlign w:val="center"/>
            <w:hideMark/>
          </w:tcPr>
          <w:p w14:paraId="63AA98A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12" w:space="0" w:color="auto"/>
              <w:left w:val="nil"/>
              <w:bottom w:val="nil"/>
              <w:right w:val="nil"/>
            </w:tcBorders>
            <w:shd w:val="clear" w:color="auto" w:fill="auto"/>
            <w:noWrap/>
            <w:vAlign w:val="center"/>
            <w:hideMark/>
          </w:tcPr>
          <w:p w14:paraId="22AF0EE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73BC2C2F" w14:textId="77777777" w:rsidTr="00CD1FDD">
        <w:trPr>
          <w:trHeight w:val="202"/>
          <w:jc w:val="center"/>
        </w:trPr>
        <w:tc>
          <w:tcPr>
            <w:tcW w:w="5000" w:type="pct"/>
            <w:gridSpan w:val="10"/>
            <w:tcBorders>
              <w:top w:val="single" w:sz="12" w:space="0" w:color="auto"/>
              <w:left w:val="nil"/>
              <w:bottom w:val="nil"/>
              <w:right w:val="nil"/>
            </w:tcBorders>
            <w:shd w:val="clear" w:color="auto" w:fill="auto"/>
            <w:noWrap/>
            <w:vAlign w:val="center"/>
            <w:hideMark/>
          </w:tcPr>
          <w:p w14:paraId="062FD2F1" w14:textId="77777777" w:rsidR="00016D40" w:rsidRPr="008F1997" w:rsidRDefault="00016D40" w:rsidP="00CD1FDD">
            <w:pPr>
              <w:spacing w:after="0" w:line="240" w:lineRule="auto"/>
              <w:rPr>
                <w:rFonts w:eastAsia="Times New Roman" w:cs="Calibri"/>
                <w:b/>
                <w:bCs/>
                <w:color w:val="000000"/>
                <w:sz w:val="20"/>
                <w:szCs w:val="20"/>
              </w:rPr>
            </w:pPr>
            <w:r w:rsidRPr="008F1997">
              <w:rPr>
                <w:rFonts w:eastAsia="Times New Roman" w:cs="Calibri"/>
                <w:b/>
                <w:bCs/>
                <w:color w:val="000000"/>
                <w:sz w:val="20"/>
                <w:szCs w:val="20"/>
              </w:rPr>
              <w:t xml:space="preserve">Panel </w:t>
            </w:r>
            <w:r>
              <w:rPr>
                <w:rFonts w:eastAsia="Times New Roman" w:cs="Calibri"/>
                <w:b/>
                <w:bCs/>
                <w:color w:val="000000"/>
                <w:sz w:val="20"/>
                <w:szCs w:val="20"/>
              </w:rPr>
              <w:t>E</w:t>
            </w:r>
            <w:r w:rsidRPr="008F1997">
              <w:rPr>
                <w:rFonts w:eastAsia="Times New Roman" w:cs="Calibri"/>
                <w:b/>
                <w:bCs/>
                <w:color w:val="000000"/>
                <w:sz w:val="20"/>
                <w:szCs w:val="20"/>
              </w:rPr>
              <w:t xml:space="preserve">: </w:t>
            </w:r>
            <w:r>
              <w:rPr>
                <w:rFonts w:eastAsia="Times New Roman" w:cs="Calibri"/>
                <w:b/>
                <w:bCs/>
                <w:color w:val="000000"/>
                <w:sz w:val="20"/>
                <w:szCs w:val="20"/>
              </w:rPr>
              <w:t>Board Monitoring</w:t>
            </w:r>
          </w:p>
        </w:tc>
      </w:tr>
      <w:tr w:rsidR="00016D40" w:rsidRPr="008F1997" w14:paraId="12E24844" w14:textId="77777777" w:rsidTr="00CD1FDD">
        <w:trPr>
          <w:trHeight w:val="202"/>
          <w:jc w:val="center"/>
        </w:trPr>
        <w:tc>
          <w:tcPr>
            <w:tcW w:w="1036" w:type="pct"/>
            <w:tcBorders>
              <w:top w:val="single" w:sz="4" w:space="0" w:color="auto"/>
              <w:left w:val="nil"/>
              <w:bottom w:val="nil"/>
              <w:right w:val="nil"/>
            </w:tcBorders>
            <w:shd w:val="clear" w:color="auto" w:fill="auto"/>
            <w:noWrap/>
            <w:vAlign w:val="center"/>
            <w:hideMark/>
          </w:tcPr>
          <w:p w14:paraId="14F7EF9A" w14:textId="77777777" w:rsidR="00016D40" w:rsidRPr="008F1997" w:rsidRDefault="00016D40" w:rsidP="00CD1FDD">
            <w:pPr>
              <w:spacing w:after="0" w:line="240" w:lineRule="auto"/>
              <w:rPr>
                <w:rFonts w:eastAsia="Times New Roman" w:cs="Calibri"/>
                <w:b/>
                <w:bCs/>
                <w:color w:val="000000"/>
                <w:sz w:val="20"/>
                <w:szCs w:val="20"/>
              </w:rPr>
            </w:pPr>
          </w:p>
        </w:tc>
        <w:tc>
          <w:tcPr>
            <w:tcW w:w="1622" w:type="pct"/>
            <w:gridSpan w:val="4"/>
            <w:tcBorders>
              <w:top w:val="single" w:sz="4" w:space="0" w:color="auto"/>
              <w:left w:val="nil"/>
              <w:bottom w:val="single" w:sz="4" w:space="0" w:color="auto"/>
              <w:right w:val="nil"/>
            </w:tcBorders>
            <w:shd w:val="clear" w:color="auto" w:fill="auto"/>
            <w:noWrap/>
            <w:vAlign w:val="center"/>
            <w:hideMark/>
          </w:tcPr>
          <w:p w14:paraId="06AFA969"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 xml:space="preserve">Strong </w:t>
            </w:r>
            <w:r>
              <w:rPr>
                <w:rFonts w:eastAsia="Times New Roman" w:cs="Calibri"/>
                <w:b/>
                <w:bCs/>
                <w:color w:val="000000"/>
                <w:sz w:val="20"/>
                <w:szCs w:val="20"/>
              </w:rPr>
              <w:t>Board Monitoring</w:t>
            </w:r>
          </w:p>
        </w:tc>
        <w:tc>
          <w:tcPr>
            <w:tcW w:w="119" w:type="pct"/>
            <w:tcBorders>
              <w:top w:val="single" w:sz="4" w:space="0" w:color="auto"/>
              <w:left w:val="nil"/>
              <w:bottom w:val="nil"/>
              <w:right w:val="nil"/>
            </w:tcBorders>
            <w:shd w:val="clear" w:color="auto" w:fill="auto"/>
            <w:noWrap/>
            <w:vAlign w:val="center"/>
            <w:hideMark/>
          </w:tcPr>
          <w:p w14:paraId="1C02D90B"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2222" w:type="pct"/>
            <w:gridSpan w:val="4"/>
            <w:tcBorders>
              <w:top w:val="single" w:sz="4" w:space="0" w:color="auto"/>
              <w:left w:val="nil"/>
              <w:bottom w:val="single" w:sz="4" w:space="0" w:color="auto"/>
              <w:right w:val="nil"/>
            </w:tcBorders>
            <w:shd w:val="clear" w:color="auto" w:fill="auto"/>
            <w:noWrap/>
            <w:vAlign w:val="center"/>
            <w:hideMark/>
          </w:tcPr>
          <w:p w14:paraId="344D41CE"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 xml:space="preserve">Weak </w:t>
            </w:r>
            <w:r>
              <w:rPr>
                <w:rFonts w:eastAsia="Times New Roman" w:cs="Calibri"/>
                <w:b/>
                <w:bCs/>
                <w:color w:val="000000"/>
                <w:sz w:val="20"/>
                <w:szCs w:val="20"/>
              </w:rPr>
              <w:t>Board Monitoring</w:t>
            </w:r>
          </w:p>
        </w:tc>
      </w:tr>
      <w:tr w:rsidR="00016D40" w:rsidRPr="008F1997" w14:paraId="38B40DA4" w14:textId="77777777" w:rsidTr="00CD1FDD">
        <w:trPr>
          <w:trHeight w:val="202"/>
          <w:jc w:val="center"/>
        </w:trPr>
        <w:tc>
          <w:tcPr>
            <w:tcW w:w="1036" w:type="pct"/>
            <w:tcBorders>
              <w:top w:val="nil"/>
              <w:left w:val="nil"/>
              <w:bottom w:val="single" w:sz="4" w:space="0" w:color="auto"/>
              <w:right w:val="nil"/>
            </w:tcBorders>
            <w:shd w:val="clear" w:color="auto" w:fill="auto"/>
            <w:noWrap/>
            <w:vAlign w:val="bottom"/>
            <w:hideMark/>
          </w:tcPr>
          <w:p w14:paraId="0DFB16AC"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406" w:type="pct"/>
            <w:tcBorders>
              <w:top w:val="single" w:sz="4" w:space="0" w:color="auto"/>
              <w:left w:val="nil"/>
              <w:bottom w:val="single" w:sz="4" w:space="0" w:color="auto"/>
              <w:right w:val="nil"/>
            </w:tcBorders>
            <w:shd w:val="clear" w:color="auto" w:fill="auto"/>
            <w:noWrap/>
            <w:vAlign w:val="center"/>
            <w:hideMark/>
          </w:tcPr>
          <w:p w14:paraId="74A18046"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(1)</w:t>
            </w:r>
          </w:p>
        </w:tc>
        <w:tc>
          <w:tcPr>
            <w:tcW w:w="406" w:type="pct"/>
            <w:tcBorders>
              <w:top w:val="single" w:sz="4" w:space="0" w:color="auto"/>
              <w:left w:val="nil"/>
              <w:bottom w:val="single" w:sz="4" w:space="0" w:color="auto"/>
              <w:right w:val="nil"/>
            </w:tcBorders>
            <w:shd w:val="clear" w:color="auto" w:fill="auto"/>
            <w:noWrap/>
            <w:vAlign w:val="center"/>
            <w:hideMark/>
          </w:tcPr>
          <w:p w14:paraId="72C2FBAE"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(2)</w:t>
            </w:r>
          </w:p>
        </w:tc>
        <w:tc>
          <w:tcPr>
            <w:tcW w:w="406" w:type="pct"/>
            <w:tcBorders>
              <w:top w:val="single" w:sz="4" w:space="0" w:color="auto"/>
              <w:left w:val="nil"/>
              <w:bottom w:val="single" w:sz="4" w:space="0" w:color="auto"/>
              <w:right w:val="nil"/>
            </w:tcBorders>
            <w:shd w:val="clear" w:color="auto" w:fill="auto"/>
            <w:noWrap/>
            <w:vAlign w:val="center"/>
            <w:hideMark/>
          </w:tcPr>
          <w:p w14:paraId="3D3E44F6"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(3)</w:t>
            </w:r>
          </w:p>
        </w:tc>
        <w:tc>
          <w:tcPr>
            <w:tcW w:w="406" w:type="pct"/>
            <w:tcBorders>
              <w:top w:val="single" w:sz="4" w:space="0" w:color="auto"/>
              <w:left w:val="nil"/>
              <w:bottom w:val="single" w:sz="4" w:space="0" w:color="auto"/>
              <w:right w:val="nil"/>
            </w:tcBorders>
            <w:shd w:val="clear" w:color="auto" w:fill="auto"/>
            <w:noWrap/>
            <w:vAlign w:val="center"/>
            <w:hideMark/>
          </w:tcPr>
          <w:p w14:paraId="18E869DC"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(4)</w:t>
            </w:r>
          </w:p>
        </w:tc>
        <w:tc>
          <w:tcPr>
            <w:tcW w:w="119" w:type="pct"/>
            <w:tcBorders>
              <w:top w:val="nil"/>
              <w:left w:val="nil"/>
              <w:bottom w:val="single" w:sz="4" w:space="0" w:color="auto"/>
              <w:right w:val="nil"/>
            </w:tcBorders>
            <w:shd w:val="clear" w:color="auto" w:fill="auto"/>
            <w:noWrap/>
            <w:vAlign w:val="center"/>
            <w:hideMark/>
          </w:tcPr>
          <w:p w14:paraId="2731E441" w14:textId="77777777" w:rsidR="00016D40" w:rsidRPr="008F1997" w:rsidRDefault="00016D40" w:rsidP="00CD1FDD">
            <w:pPr>
              <w:spacing w:after="0" w:line="240" w:lineRule="auto"/>
              <w:jc w:val="center"/>
              <w:rPr>
                <w:rFonts w:eastAsia="Times New Roman" w:cs="Calibri"/>
                <w:b/>
                <w:bCs/>
                <w:color w:val="000000"/>
                <w:sz w:val="20"/>
                <w:szCs w:val="20"/>
              </w:rPr>
            </w:pPr>
          </w:p>
        </w:tc>
        <w:tc>
          <w:tcPr>
            <w:tcW w:w="556" w:type="pct"/>
            <w:tcBorders>
              <w:top w:val="single" w:sz="4" w:space="0" w:color="auto"/>
              <w:left w:val="nil"/>
              <w:bottom w:val="single" w:sz="4" w:space="0" w:color="auto"/>
              <w:right w:val="nil"/>
            </w:tcBorders>
            <w:shd w:val="clear" w:color="auto" w:fill="auto"/>
            <w:noWrap/>
            <w:vAlign w:val="center"/>
            <w:hideMark/>
          </w:tcPr>
          <w:p w14:paraId="400E6875"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(5)</w:t>
            </w:r>
          </w:p>
        </w:tc>
        <w:tc>
          <w:tcPr>
            <w:tcW w:w="556" w:type="pct"/>
            <w:tcBorders>
              <w:top w:val="single" w:sz="4" w:space="0" w:color="auto"/>
              <w:left w:val="nil"/>
              <w:bottom w:val="single" w:sz="4" w:space="0" w:color="auto"/>
              <w:right w:val="nil"/>
            </w:tcBorders>
            <w:shd w:val="clear" w:color="auto" w:fill="auto"/>
            <w:noWrap/>
            <w:vAlign w:val="center"/>
            <w:hideMark/>
          </w:tcPr>
          <w:p w14:paraId="03CA17FD"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(6)</w:t>
            </w:r>
          </w:p>
        </w:tc>
        <w:tc>
          <w:tcPr>
            <w:tcW w:w="556" w:type="pct"/>
            <w:tcBorders>
              <w:top w:val="single" w:sz="4" w:space="0" w:color="auto"/>
              <w:left w:val="nil"/>
              <w:bottom w:val="single" w:sz="4" w:space="0" w:color="auto"/>
              <w:right w:val="nil"/>
            </w:tcBorders>
            <w:shd w:val="clear" w:color="auto" w:fill="auto"/>
            <w:noWrap/>
            <w:vAlign w:val="center"/>
            <w:hideMark/>
          </w:tcPr>
          <w:p w14:paraId="7B070352"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(7)</w:t>
            </w:r>
          </w:p>
        </w:tc>
        <w:tc>
          <w:tcPr>
            <w:tcW w:w="556" w:type="pct"/>
            <w:tcBorders>
              <w:top w:val="single" w:sz="4" w:space="0" w:color="auto"/>
              <w:left w:val="nil"/>
              <w:bottom w:val="single" w:sz="4" w:space="0" w:color="auto"/>
              <w:right w:val="nil"/>
            </w:tcBorders>
            <w:shd w:val="clear" w:color="auto" w:fill="auto"/>
            <w:noWrap/>
            <w:vAlign w:val="center"/>
            <w:hideMark/>
          </w:tcPr>
          <w:p w14:paraId="57176CC1" w14:textId="77777777" w:rsidR="00016D40" w:rsidRPr="008F1997" w:rsidRDefault="00016D40" w:rsidP="00CD1FDD">
            <w:pPr>
              <w:spacing w:after="0" w:line="240" w:lineRule="auto"/>
              <w:jc w:val="center"/>
              <w:rPr>
                <w:rFonts w:eastAsia="Times New Roman" w:cs="Calibri"/>
                <w:b/>
                <w:bCs/>
                <w:color w:val="000000"/>
                <w:sz w:val="20"/>
                <w:szCs w:val="20"/>
              </w:rPr>
            </w:pPr>
            <w:r w:rsidRPr="008F1997">
              <w:rPr>
                <w:rFonts w:eastAsia="Times New Roman" w:cs="Calibri"/>
                <w:b/>
                <w:bCs/>
                <w:color w:val="000000"/>
                <w:sz w:val="20"/>
                <w:szCs w:val="20"/>
              </w:rPr>
              <w:t>(8)</w:t>
            </w:r>
          </w:p>
        </w:tc>
      </w:tr>
      <w:tr w:rsidR="00016D40" w:rsidRPr="008F1997" w14:paraId="5F8D4E4B" w14:textId="77777777" w:rsidTr="00CD1FDD">
        <w:trPr>
          <w:trHeight w:val="202"/>
          <w:jc w:val="center"/>
        </w:trPr>
        <w:tc>
          <w:tcPr>
            <w:tcW w:w="1036" w:type="pct"/>
            <w:tcBorders>
              <w:top w:val="single" w:sz="4" w:space="0" w:color="auto"/>
              <w:left w:val="nil"/>
              <w:bottom w:val="nil"/>
              <w:right w:val="nil"/>
            </w:tcBorders>
            <w:shd w:val="clear" w:color="auto" w:fill="auto"/>
            <w:noWrap/>
            <w:vAlign w:val="center"/>
            <w:hideMark/>
          </w:tcPr>
          <w:p w14:paraId="6E7C2B23"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CompacctInd</w:t>
            </w:r>
            <w:r w:rsidRPr="008F1997">
              <w:rPr>
                <w:rFonts w:eastAsia="Times New Roman" w:cs="Calibri"/>
                <w:i/>
                <w:iCs/>
                <w:color w:val="000000"/>
                <w:sz w:val="20"/>
                <w:szCs w:val="20"/>
                <w:vertAlign w:val="subscript"/>
              </w:rPr>
              <w:t>i,t-1</w:t>
            </w:r>
          </w:p>
        </w:tc>
        <w:tc>
          <w:tcPr>
            <w:tcW w:w="406" w:type="pct"/>
            <w:tcBorders>
              <w:top w:val="single" w:sz="4" w:space="0" w:color="auto"/>
              <w:left w:val="nil"/>
              <w:bottom w:val="nil"/>
              <w:right w:val="nil"/>
            </w:tcBorders>
            <w:shd w:val="clear" w:color="auto" w:fill="auto"/>
            <w:noWrap/>
            <w:vAlign w:val="center"/>
            <w:hideMark/>
          </w:tcPr>
          <w:p w14:paraId="2C8FC06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089</w:t>
            </w:r>
          </w:p>
        </w:tc>
        <w:tc>
          <w:tcPr>
            <w:tcW w:w="406" w:type="pct"/>
            <w:tcBorders>
              <w:top w:val="single" w:sz="4" w:space="0" w:color="auto"/>
              <w:left w:val="nil"/>
              <w:bottom w:val="nil"/>
              <w:right w:val="nil"/>
            </w:tcBorders>
            <w:shd w:val="clear" w:color="auto" w:fill="auto"/>
            <w:noWrap/>
            <w:vAlign w:val="center"/>
            <w:hideMark/>
          </w:tcPr>
          <w:p w14:paraId="21D4C513"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single" w:sz="4" w:space="0" w:color="auto"/>
              <w:left w:val="nil"/>
              <w:bottom w:val="nil"/>
              <w:right w:val="nil"/>
            </w:tcBorders>
            <w:shd w:val="clear" w:color="auto" w:fill="auto"/>
            <w:noWrap/>
            <w:vAlign w:val="center"/>
            <w:hideMark/>
          </w:tcPr>
          <w:p w14:paraId="7A99305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single" w:sz="4" w:space="0" w:color="auto"/>
              <w:left w:val="nil"/>
              <w:bottom w:val="nil"/>
              <w:right w:val="nil"/>
            </w:tcBorders>
            <w:shd w:val="clear" w:color="auto" w:fill="auto"/>
            <w:noWrap/>
            <w:vAlign w:val="center"/>
            <w:hideMark/>
          </w:tcPr>
          <w:p w14:paraId="61E0233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single" w:sz="4" w:space="0" w:color="auto"/>
              <w:left w:val="nil"/>
              <w:bottom w:val="nil"/>
              <w:right w:val="nil"/>
            </w:tcBorders>
            <w:shd w:val="clear" w:color="auto" w:fill="auto"/>
            <w:noWrap/>
            <w:vAlign w:val="center"/>
            <w:hideMark/>
          </w:tcPr>
          <w:p w14:paraId="6EB2E17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4" w:space="0" w:color="auto"/>
              <w:left w:val="nil"/>
              <w:bottom w:val="nil"/>
              <w:right w:val="nil"/>
            </w:tcBorders>
            <w:shd w:val="clear" w:color="auto" w:fill="auto"/>
            <w:noWrap/>
            <w:vAlign w:val="center"/>
            <w:hideMark/>
          </w:tcPr>
          <w:p w14:paraId="5F7FB9A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666</w:t>
            </w:r>
            <w:r w:rsidRPr="008F1997">
              <w:rPr>
                <w:rFonts w:eastAsia="Times New Roman" w:cs="Calibri"/>
                <w:color w:val="000000"/>
                <w:sz w:val="20"/>
                <w:szCs w:val="20"/>
              </w:rPr>
              <w:t>**</w:t>
            </w:r>
            <w:r>
              <w:rPr>
                <w:rFonts w:eastAsia="Times New Roman" w:cs="Calibri"/>
                <w:color w:val="000000"/>
                <w:sz w:val="20"/>
                <w:szCs w:val="20"/>
              </w:rPr>
              <w:t>*</w:t>
            </w:r>
          </w:p>
        </w:tc>
        <w:tc>
          <w:tcPr>
            <w:tcW w:w="556" w:type="pct"/>
            <w:tcBorders>
              <w:top w:val="single" w:sz="4" w:space="0" w:color="auto"/>
              <w:left w:val="nil"/>
              <w:bottom w:val="nil"/>
              <w:right w:val="nil"/>
            </w:tcBorders>
            <w:shd w:val="clear" w:color="auto" w:fill="auto"/>
            <w:noWrap/>
            <w:vAlign w:val="center"/>
            <w:hideMark/>
          </w:tcPr>
          <w:p w14:paraId="42029449"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single" w:sz="4" w:space="0" w:color="auto"/>
              <w:left w:val="nil"/>
              <w:bottom w:val="nil"/>
              <w:right w:val="nil"/>
            </w:tcBorders>
            <w:shd w:val="clear" w:color="auto" w:fill="auto"/>
            <w:noWrap/>
            <w:vAlign w:val="center"/>
            <w:hideMark/>
          </w:tcPr>
          <w:p w14:paraId="77FF931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single" w:sz="4" w:space="0" w:color="auto"/>
              <w:left w:val="nil"/>
              <w:bottom w:val="nil"/>
              <w:right w:val="nil"/>
            </w:tcBorders>
            <w:shd w:val="clear" w:color="auto" w:fill="auto"/>
            <w:noWrap/>
            <w:vAlign w:val="center"/>
            <w:hideMark/>
          </w:tcPr>
          <w:p w14:paraId="22BA48F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25DA4B4E"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4B01800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1399F5F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(-0.7</w:t>
            </w:r>
            <w:r>
              <w:rPr>
                <w:rFonts w:eastAsia="Times New Roman" w:cs="Calibri"/>
                <w:color w:val="000000"/>
                <w:sz w:val="20"/>
                <w:szCs w:val="20"/>
              </w:rPr>
              <w:t>4</w:t>
            </w:r>
            <w:r w:rsidRPr="008F1997">
              <w:rPr>
                <w:rFonts w:eastAsia="Times New Roman" w:cs="Calibri"/>
                <w:color w:val="000000"/>
                <w:sz w:val="20"/>
                <w:szCs w:val="20"/>
              </w:rPr>
              <w:t>)</w:t>
            </w:r>
          </w:p>
        </w:tc>
        <w:tc>
          <w:tcPr>
            <w:tcW w:w="406" w:type="pct"/>
            <w:tcBorders>
              <w:top w:val="nil"/>
              <w:left w:val="nil"/>
              <w:bottom w:val="nil"/>
              <w:right w:val="nil"/>
            </w:tcBorders>
            <w:shd w:val="clear" w:color="auto" w:fill="auto"/>
            <w:noWrap/>
            <w:vAlign w:val="center"/>
            <w:hideMark/>
          </w:tcPr>
          <w:p w14:paraId="147D177D"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1DFAD05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A17100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21CE39B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F88767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w:t>
            </w:r>
            <w:r>
              <w:rPr>
                <w:rFonts w:eastAsia="Times New Roman" w:cs="Calibri"/>
                <w:color w:val="000000"/>
                <w:sz w:val="20"/>
                <w:szCs w:val="20"/>
              </w:rPr>
              <w:t>3</w:t>
            </w:r>
            <w:r w:rsidRPr="008F1997">
              <w:rPr>
                <w:rFonts w:eastAsia="Times New Roman" w:cs="Calibri"/>
                <w:color w:val="000000"/>
                <w:sz w:val="20"/>
                <w:szCs w:val="20"/>
              </w:rPr>
              <w:t>.</w:t>
            </w:r>
            <w:r>
              <w:rPr>
                <w:rFonts w:eastAsia="Times New Roman" w:cs="Calibri"/>
                <w:color w:val="000000"/>
                <w:sz w:val="20"/>
                <w:szCs w:val="20"/>
              </w:rPr>
              <w:t>34</w:t>
            </w:r>
            <w:r w:rsidRPr="008F1997">
              <w:rPr>
                <w:rFonts w:eastAsia="Times New Roman" w:cs="Calibri"/>
                <w:color w:val="000000"/>
                <w:sz w:val="20"/>
                <w:szCs w:val="20"/>
              </w:rPr>
              <w:t>)</w:t>
            </w:r>
          </w:p>
        </w:tc>
        <w:tc>
          <w:tcPr>
            <w:tcW w:w="556" w:type="pct"/>
            <w:tcBorders>
              <w:top w:val="nil"/>
              <w:left w:val="nil"/>
              <w:bottom w:val="nil"/>
              <w:right w:val="nil"/>
            </w:tcBorders>
            <w:shd w:val="clear" w:color="auto" w:fill="auto"/>
            <w:noWrap/>
            <w:vAlign w:val="center"/>
            <w:hideMark/>
          </w:tcPr>
          <w:p w14:paraId="3135CFC2"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78700A2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D439C90"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17BADFF0"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4287C714"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Compacct10</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6DED18A3"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3BD72545" w14:textId="302B84C4" w:rsidR="00016D40" w:rsidRPr="008F1997" w:rsidRDefault="00751A08"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w:t>
            </w:r>
            <w:r w:rsidR="00016D40" w:rsidRPr="008F1997">
              <w:rPr>
                <w:rFonts w:eastAsia="Times New Roman" w:cs="Calibri"/>
                <w:color w:val="000000"/>
                <w:sz w:val="20"/>
                <w:szCs w:val="20"/>
              </w:rPr>
              <w:t>0.</w:t>
            </w:r>
            <w:r w:rsidR="00016D40">
              <w:rPr>
                <w:rFonts w:eastAsia="Times New Roman" w:cs="Calibri"/>
                <w:color w:val="000000"/>
                <w:sz w:val="20"/>
                <w:szCs w:val="20"/>
              </w:rPr>
              <w:t>118</w:t>
            </w:r>
          </w:p>
        </w:tc>
        <w:tc>
          <w:tcPr>
            <w:tcW w:w="406" w:type="pct"/>
            <w:tcBorders>
              <w:top w:val="nil"/>
              <w:left w:val="nil"/>
              <w:bottom w:val="nil"/>
              <w:right w:val="nil"/>
            </w:tcBorders>
            <w:shd w:val="clear" w:color="auto" w:fill="auto"/>
            <w:noWrap/>
            <w:vAlign w:val="center"/>
            <w:hideMark/>
          </w:tcPr>
          <w:p w14:paraId="47BD8BE0"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4DABF8F9"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597B582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6BF2898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2927E9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w:t>
            </w:r>
            <w:r>
              <w:rPr>
                <w:rFonts w:eastAsia="Times New Roman" w:cs="Calibri"/>
                <w:color w:val="000000"/>
                <w:sz w:val="20"/>
                <w:szCs w:val="20"/>
              </w:rPr>
              <w:t>0</w:t>
            </w:r>
            <w:r w:rsidRPr="008F1997">
              <w:rPr>
                <w:rFonts w:eastAsia="Times New Roman" w:cs="Calibri"/>
                <w:color w:val="000000"/>
                <w:sz w:val="20"/>
                <w:szCs w:val="20"/>
              </w:rPr>
              <w:t>.</w:t>
            </w:r>
            <w:r>
              <w:rPr>
                <w:rFonts w:eastAsia="Times New Roman" w:cs="Calibri"/>
                <w:color w:val="000000"/>
                <w:sz w:val="20"/>
                <w:szCs w:val="20"/>
              </w:rPr>
              <w:t>795</w:t>
            </w:r>
            <w:r w:rsidRPr="008F1997">
              <w:rPr>
                <w:rFonts w:eastAsia="Times New Roman" w:cs="Calibri"/>
                <w:color w:val="000000"/>
                <w:sz w:val="20"/>
                <w:szCs w:val="20"/>
              </w:rPr>
              <w:t>**</w:t>
            </w:r>
          </w:p>
        </w:tc>
        <w:tc>
          <w:tcPr>
            <w:tcW w:w="556" w:type="pct"/>
            <w:tcBorders>
              <w:top w:val="nil"/>
              <w:left w:val="nil"/>
              <w:bottom w:val="nil"/>
              <w:right w:val="nil"/>
            </w:tcBorders>
            <w:shd w:val="clear" w:color="auto" w:fill="auto"/>
            <w:noWrap/>
            <w:vAlign w:val="center"/>
            <w:hideMark/>
          </w:tcPr>
          <w:p w14:paraId="5910625E"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649A8A5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7D405CAF"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772DBEF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104268E"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0747F62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68</w:t>
            </w:r>
            <w:r w:rsidRPr="008F1997">
              <w:rPr>
                <w:rFonts w:eastAsia="Times New Roman" w:cs="Calibri"/>
                <w:color w:val="000000"/>
                <w:sz w:val="20"/>
                <w:szCs w:val="20"/>
              </w:rPr>
              <w:t>)</w:t>
            </w:r>
          </w:p>
        </w:tc>
        <w:tc>
          <w:tcPr>
            <w:tcW w:w="406" w:type="pct"/>
            <w:tcBorders>
              <w:top w:val="nil"/>
              <w:left w:val="nil"/>
              <w:bottom w:val="nil"/>
              <w:right w:val="nil"/>
            </w:tcBorders>
            <w:shd w:val="clear" w:color="auto" w:fill="auto"/>
            <w:noWrap/>
            <w:vAlign w:val="center"/>
            <w:hideMark/>
          </w:tcPr>
          <w:p w14:paraId="6EBBAEA1"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31273C9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119" w:type="pct"/>
            <w:tcBorders>
              <w:top w:val="nil"/>
              <w:left w:val="nil"/>
              <w:bottom w:val="nil"/>
              <w:right w:val="nil"/>
            </w:tcBorders>
            <w:shd w:val="clear" w:color="auto" w:fill="auto"/>
            <w:noWrap/>
            <w:vAlign w:val="center"/>
            <w:hideMark/>
          </w:tcPr>
          <w:p w14:paraId="494D430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341238C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3A18986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w:t>
            </w:r>
            <w:r>
              <w:rPr>
                <w:rFonts w:eastAsia="Times New Roman" w:cs="Calibri"/>
                <w:color w:val="000000"/>
                <w:sz w:val="20"/>
                <w:szCs w:val="20"/>
              </w:rPr>
              <w:t>44</w:t>
            </w:r>
            <w:r w:rsidRPr="008F1997">
              <w:rPr>
                <w:rFonts w:eastAsia="Times New Roman" w:cs="Calibri"/>
                <w:color w:val="000000"/>
                <w:sz w:val="20"/>
                <w:szCs w:val="20"/>
              </w:rPr>
              <w:t>)</w:t>
            </w:r>
          </w:p>
        </w:tc>
        <w:tc>
          <w:tcPr>
            <w:tcW w:w="556" w:type="pct"/>
            <w:tcBorders>
              <w:top w:val="nil"/>
              <w:left w:val="nil"/>
              <w:bottom w:val="nil"/>
              <w:right w:val="nil"/>
            </w:tcBorders>
            <w:shd w:val="clear" w:color="auto" w:fill="auto"/>
            <w:noWrap/>
            <w:vAlign w:val="center"/>
            <w:hideMark/>
          </w:tcPr>
          <w:p w14:paraId="5C9AD7FE"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3B5D16CC"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r>
      <w:tr w:rsidR="00016D40" w:rsidRPr="008F1997" w14:paraId="46AE0F88"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293097D7"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CompacctBasu</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483DED18"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0ABD915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257D14A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124</w:t>
            </w:r>
          </w:p>
        </w:tc>
        <w:tc>
          <w:tcPr>
            <w:tcW w:w="406" w:type="pct"/>
            <w:tcBorders>
              <w:top w:val="nil"/>
              <w:left w:val="nil"/>
              <w:bottom w:val="nil"/>
              <w:right w:val="nil"/>
            </w:tcBorders>
            <w:shd w:val="clear" w:color="auto" w:fill="auto"/>
            <w:noWrap/>
            <w:vAlign w:val="center"/>
            <w:hideMark/>
          </w:tcPr>
          <w:p w14:paraId="4A8E8CBB" w14:textId="77777777" w:rsidR="00016D40" w:rsidRPr="008F1997" w:rsidRDefault="00016D40" w:rsidP="00CD1FDD">
            <w:pPr>
              <w:spacing w:after="0" w:line="240" w:lineRule="auto"/>
              <w:jc w:val="center"/>
              <w:rPr>
                <w:rFonts w:eastAsia="Times New Roman" w:cs="Calibri"/>
                <w:color w:val="000000"/>
                <w:sz w:val="20"/>
                <w:szCs w:val="20"/>
              </w:rPr>
            </w:pPr>
          </w:p>
        </w:tc>
        <w:tc>
          <w:tcPr>
            <w:tcW w:w="119" w:type="pct"/>
            <w:tcBorders>
              <w:top w:val="nil"/>
              <w:left w:val="nil"/>
              <w:bottom w:val="nil"/>
              <w:right w:val="nil"/>
            </w:tcBorders>
            <w:shd w:val="clear" w:color="auto" w:fill="auto"/>
            <w:noWrap/>
            <w:vAlign w:val="center"/>
            <w:hideMark/>
          </w:tcPr>
          <w:p w14:paraId="59B9CD0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47FA8EDB"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2474C2F"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3442A51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676</w:t>
            </w:r>
            <w:r w:rsidRPr="008F1997">
              <w:rPr>
                <w:rFonts w:eastAsia="Times New Roman" w:cs="Calibri"/>
                <w:color w:val="000000"/>
                <w:sz w:val="20"/>
                <w:szCs w:val="20"/>
              </w:rPr>
              <w:t>***</w:t>
            </w:r>
          </w:p>
        </w:tc>
        <w:tc>
          <w:tcPr>
            <w:tcW w:w="556" w:type="pct"/>
            <w:tcBorders>
              <w:top w:val="nil"/>
              <w:left w:val="nil"/>
              <w:bottom w:val="nil"/>
              <w:right w:val="nil"/>
            </w:tcBorders>
            <w:shd w:val="clear" w:color="auto" w:fill="auto"/>
            <w:noWrap/>
            <w:vAlign w:val="center"/>
            <w:hideMark/>
          </w:tcPr>
          <w:p w14:paraId="7BC4C45D"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5B1AB850"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1E96B60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16D26B1D"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2163E3F8"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102D6FE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91</w:t>
            </w:r>
            <w:r w:rsidRPr="008F1997">
              <w:rPr>
                <w:rFonts w:eastAsia="Times New Roman" w:cs="Calibri"/>
                <w:color w:val="000000"/>
                <w:sz w:val="20"/>
                <w:szCs w:val="20"/>
              </w:rPr>
              <w:t>)</w:t>
            </w:r>
          </w:p>
        </w:tc>
        <w:tc>
          <w:tcPr>
            <w:tcW w:w="406" w:type="pct"/>
            <w:tcBorders>
              <w:top w:val="nil"/>
              <w:left w:val="nil"/>
              <w:bottom w:val="nil"/>
              <w:right w:val="nil"/>
            </w:tcBorders>
            <w:shd w:val="clear" w:color="auto" w:fill="auto"/>
            <w:noWrap/>
            <w:vAlign w:val="center"/>
            <w:hideMark/>
          </w:tcPr>
          <w:p w14:paraId="3A2B6782" w14:textId="77777777" w:rsidR="00016D40" w:rsidRPr="008F1997" w:rsidRDefault="00016D40" w:rsidP="00CD1FDD">
            <w:pPr>
              <w:spacing w:after="0" w:line="240" w:lineRule="auto"/>
              <w:jc w:val="center"/>
              <w:rPr>
                <w:rFonts w:eastAsia="Times New Roman" w:cs="Calibri"/>
                <w:color w:val="000000"/>
                <w:sz w:val="20"/>
                <w:szCs w:val="20"/>
              </w:rPr>
            </w:pPr>
          </w:p>
        </w:tc>
        <w:tc>
          <w:tcPr>
            <w:tcW w:w="119" w:type="pct"/>
            <w:tcBorders>
              <w:top w:val="nil"/>
              <w:left w:val="nil"/>
              <w:bottom w:val="nil"/>
              <w:right w:val="nil"/>
            </w:tcBorders>
            <w:shd w:val="clear" w:color="auto" w:fill="auto"/>
            <w:noWrap/>
            <w:vAlign w:val="center"/>
            <w:hideMark/>
          </w:tcPr>
          <w:p w14:paraId="2E2EB79A"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1464C7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10F02994"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6877DD0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w:t>
            </w:r>
            <w:r>
              <w:rPr>
                <w:rFonts w:eastAsia="Times New Roman" w:cs="Calibri"/>
                <w:color w:val="000000"/>
                <w:sz w:val="20"/>
                <w:szCs w:val="20"/>
              </w:rPr>
              <w:t>85</w:t>
            </w:r>
            <w:r w:rsidRPr="008F1997">
              <w:rPr>
                <w:rFonts w:eastAsia="Times New Roman" w:cs="Calibri"/>
                <w:color w:val="000000"/>
                <w:sz w:val="20"/>
                <w:szCs w:val="20"/>
              </w:rPr>
              <w:t>)</w:t>
            </w:r>
          </w:p>
        </w:tc>
        <w:tc>
          <w:tcPr>
            <w:tcW w:w="556" w:type="pct"/>
            <w:tcBorders>
              <w:top w:val="nil"/>
              <w:left w:val="nil"/>
              <w:bottom w:val="nil"/>
              <w:right w:val="nil"/>
            </w:tcBorders>
            <w:shd w:val="clear" w:color="auto" w:fill="auto"/>
            <w:noWrap/>
            <w:vAlign w:val="center"/>
            <w:hideMark/>
          </w:tcPr>
          <w:p w14:paraId="5966E2E1" w14:textId="77777777" w:rsidR="00016D40" w:rsidRPr="008F1997" w:rsidRDefault="00016D40" w:rsidP="00CD1FDD">
            <w:pPr>
              <w:spacing w:after="0" w:line="240" w:lineRule="auto"/>
              <w:jc w:val="center"/>
              <w:rPr>
                <w:rFonts w:eastAsia="Times New Roman" w:cs="Calibri"/>
                <w:color w:val="000000"/>
                <w:sz w:val="20"/>
                <w:szCs w:val="20"/>
              </w:rPr>
            </w:pPr>
          </w:p>
        </w:tc>
      </w:tr>
      <w:tr w:rsidR="00016D40" w:rsidRPr="008F1997" w14:paraId="657A7BB3"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2B1DC874" w14:textId="77777777" w:rsidR="00016D40" w:rsidRPr="008F1997" w:rsidRDefault="00016D40" w:rsidP="00CD1FDD">
            <w:pPr>
              <w:spacing w:after="0" w:line="240" w:lineRule="auto"/>
              <w:rPr>
                <w:rFonts w:eastAsia="Times New Roman" w:cs="Calibri"/>
                <w:i/>
                <w:iCs/>
                <w:color w:val="000000"/>
                <w:sz w:val="20"/>
                <w:szCs w:val="20"/>
              </w:rPr>
            </w:pPr>
            <w:r w:rsidRPr="008F1997">
              <w:rPr>
                <w:rFonts w:eastAsia="Times New Roman" w:cs="Calibri"/>
                <w:i/>
                <w:iCs/>
                <w:color w:val="000000"/>
                <w:sz w:val="20"/>
                <w:szCs w:val="20"/>
              </w:rPr>
              <w:t>CompacctPle</w:t>
            </w:r>
            <w:r w:rsidRPr="008F1997">
              <w:rPr>
                <w:rFonts w:eastAsia="Times New Roman" w:cs="Calibri"/>
                <w:i/>
                <w:iCs/>
                <w:color w:val="000000"/>
                <w:sz w:val="20"/>
                <w:szCs w:val="20"/>
                <w:vertAlign w:val="subscript"/>
              </w:rPr>
              <w:t>i,t-1</w:t>
            </w:r>
          </w:p>
        </w:tc>
        <w:tc>
          <w:tcPr>
            <w:tcW w:w="406" w:type="pct"/>
            <w:tcBorders>
              <w:top w:val="nil"/>
              <w:left w:val="nil"/>
              <w:bottom w:val="nil"/>
              <w:right w:val="nil"/>
            </w:tcBorders>
            <w:shd w:val="clear" w:color="auto" w:fill="auto"/>
            <w:noWrap/>
            <w:vAlign w:val="center"/>
            <w:hideMark/>
          </w:tcPr>
          <w:p w14:paraId="309FD97E" w14:textId="77777777" w:rsidR="00016D40" w:rsidRPr="008F1997" w:rsidRDefault="00016D40" w:rsidP="00CD1FDD">
            <w:pPr>
              <w:spacing w:after="0" w:line="240" w:lineRule="auto"/>
              <w:rPr>
                <w:rFonts w:eastAsia="Times New Roman" w:cs="Calibri"/>
                <w:i/>
                <w:iCs/>
                <w:color w:val="000000"/>
                <w:sz w:val="20"/>
                <w:szCs w:val="20"/>
              </w:rPr>
            </w:pPr>
          </w:p>
        </w:tc>
        <w:tc>
          <w:tcPr>
            <w:tcW w:w="406" w:type="pct"/>
            <w:tcBorders>
              <w:top w:val="nil"/>
              <w:left w:val="nil"/>
              <w:bottom w:val="nil"/>
              <w:right w:val="nil"/>
            </w:tcBorders>
            <w:shd w:val="clear" w:color="auto" w:fill="auto"/>
            <w:noWrap/>
            <w:vAlign w:val="center"/>
            <w:hideMark/>
          </w:tcPr>
          <w:p w14:paraId="7F6777F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F71F34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118DEB3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-0.2</w:t>
            </w:r>
            <w:r>
              <w:rPr>
                <w:rFonts w:eastAsia="Times New Roman" w:cs="Calibri"/>
                <w:color w:val="000000"/>
                <w:sz w:val="20"/>
                <w:szCs w:val="20"/>
              </w:rPr>
              <w:t>56</w:t>
            </w:r>
          </w:p>
        </w:tc>
        <w:tc>
          <w:tcPr>
            <w:tcW w:w="119" w:type="pct"/>
            <w:tcBorders>
              <w:top w:val="nil"/>
              <w:left w:val="nil"/>
              <w:bottom w:val="nil"/>
              <w:right w:val="nil"/>
            </w:tcBorders>
            <w:shd w:val="clear" w:color="auto" w:fill="auto"/>
            <w:noWrap/>
            <w:vAlign w:val="center"/>
            <w:hideMark/>
          </w:tcPr>
          <w:p w14:paraId="0C8483D5"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52C22B5D"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7E067655"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58F69C21"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07D0849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w:t>
            </w:r>
            <w:r>
              <w:rPr>
                <w:rFonts w:eastAsia="Times New Roman" w:cs="Calibri"/>
                <w:color w:val="000000"/>
                <w:sz w:val="20"/>
                <w:szCs w:val="20"/>
              </w:rPr>
              <w:t>0</w:t>
            </w:r>
            <w:r w:rsidRPr="008F1997">
              <w:rPr>
                <w:rFonts w:eastAsia="Times New Roman" w:cs="Calibri"/>
                <w:color w:val="000000"/>
                <w:sz w:val="20"/>
                <w:szCs w:val="20"/>
              </w:rPr>
              <w:t>.</w:t>
            </w:r>
            <w:r>
              <w:rPr>
                <w:rFonts w:eastAsia="Times New Roman" w:cs="Calibri"/>
                <w:color w:val="000000"/>
                <w:sz w:val="20"/>
                <w:szCs w:val="20"/>
              </w:rPr>
              <w:t>665*</w:t>
            </w:r>
            <w:r w:rsidRPr="008F1997">
              <w:rPr>
                <w:rFonts w:eastAsia="Times New Roman" w:cs="Calibri"/>
                <w:color w:val="000000"/>
                <w:sz w:val="20"/>
                <w:szCs w:val="20"/>
              </w:rPr>
              <w:t>**</w:t>
            </w:r>
          </w:p>
        </w:tc>
      </w:tr>
      <w:tr w:rsidR="00016D40" w:rsidRPr="008F1997" w14:paraId="1592092E" w14:textId="77777777" w:rsidTr="00CD1FDD">
        <w:trPr>
          <w:trHeight w:val="202"/>
          <w:jc w:val="center"/>
        </w:trPr>
        <w:tc>
          <w:tcPr>
            <w:tcW w:w="1036" w:type="pct"/>
            <w:tcBorders>
              <w:top w:val="nil"/>
              <w:left w:val="nil"/>
              <w:bottom w:val="nil"/>
              <w:right w:val="nil"/>
            </w:tcBorders>
            <w:shd w:val="clear" w:color="auto" w:fill="auto"/>
            <w:noWrap/>
            <w:vAlign w:val="bottom"/>
            <w:hideMark/>
          </w:tcPr>
          <w:p w14:paraId="26E877BE" w14:textId="77777777" w:rsidR="00016D40" w:rsidRPr="008F1997" w:rsidRDefault="00016D40" w:rsidP="00CD1FDD">
            <w:pPr>
              <w:spacing w:after="0" w:line="240" w:lineRule="auto"/>
              <w:jc w:val="center"/>
              <w:rPr>
                <w:rFonts w:eastAsia="Times New Roman" w:cs="Calibri"/>
                <w:color w:val="000000"/>
                <w:sz w:val="20"/>
                <w:szCs w:val="20"/>
              </w:rPr>
            </w:pPr>
          </w:p>
        </w:tc>
        <w:tc>
          <w:tcPr>
            <w:tcW w:w="406" w:type="pct"/>
            <w:tcBorders>
              <w:top w:val="nil"/>
              <w:left w:val="nil"/>
              <w:bottom w:val="nil"/>
              <w:right w:val="nil"/>
            </w:tcBorders>
            <w:shd w:val="clear" w:color="auto" w:fill="auto"/>
            <w:noWrap/>
            <w:vAlign w:val="center"/>
            <w:hideMark/>
          </w:tcPr>
          <w:p w14:paraId="3F467536" w14:textId="77777777" w:rsidR="00016D40" w:rsidRPr="008F1997" w:rsidRDefault="00016D40" w:rsidP="00CD1FDD">
            <w:pPr>
              <w:spacing w:after="0" w:line="240" w:lineRule="auto"/>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0D0B738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0B5B025E"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406" w:type="pct"/>
            <w:tcBorders>
              <w:top w:val="nil"/>
              <w:left w:val="nil"/>
              <w:bottom w:val="nil"/>
              <w:right w:val="nil"/>
            </w:tcBorders>
            <w:shd w:val="clear" w:color="auto" w:fill="auto"/>
            <w:noWrap/>
            <w:vAlign w:val="center"/>
            <w:hideMark/>
          </w:tcPr>
          <w:p w14:paraId="3D769635"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w:t>
            </w:r>
            <w:r>
              <w:rPr>
                <w:rFonts w:eastAsia="Times New Roman" w:cs="Calibri"/>
                <w:color w:val="000000"/>
                <w:sz w:val="20"/>
                <w:szCs w:val="20"/>
              </w:rPr>
              <w:t>1</w:t>
            </w:r>
            <w:r w:rsidRPr="008F1997">
              <w:rPr>
                <w:rFonts w:eastAsia="Times New Roman" w:cs="Calibri"/>
                <w:color w:val="000000"/>
                <w:sz w:val="20"/>
                <w:szCs w:val="20"/>
              </w:rPr>
              <w:t>.</w:t>
            </w:r>
            <w:r>
              <w:rPr>
                <w:rFonts w:eastAsia="Times New Roman" w:cs="Calibri"/>
                <w:color w:val="000000"/>
                <w:sz w:val="20"/>
                <w:szCs w:val="20"/>
              </w:rPr>
              <w:t>50</w:t>
            </w:r>
            <w:r w:rsidRPr="008F1997">
              <w:rPr>
                <w:rFonts w:eastAsia="Times New Roman" w:cs="Calibri"/>
                <w:color w:val="000000"/>
                <w:sz w:val="20"/>
                <w:szCs w:val="20"/>
              </w:rPr>
              <w:t>)</w:t>
            </w:r>
          </w:p>
        </w:tc>
        <w:tc>
          <w:tcPr>
            <w:tcW w:w="119" w:type="pct"/>
            <w:tcBorders>
              <w:top w:val="nil"/>
              <w:left w:val="nil"/>
              <w:bottom w:val="nil"/>
              <w:right w:val="nil"/>
            </w:tcBorders>
            <w:shd w:val="clear" w:color="auto" w:fill="auto"/>
            <w:noWrap/>
            <w:vAlign w:val="center"/>
            <w:hideMark/>
          </w:tcPr>
          <w:p w14:paraId="096D42BA"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3FA59A62"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4F208003"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2CDBC7D6" w14:textId="77777777" w:rsidR="00016D40" w:rsidRPr="008F1997" w:rsidRDefault="00016D40" w:rsidP="00CD1FDD">
            <w:pPr>
              <w:spacing w:after="0" w:line="240" w:lineRule="auto"/>
              <w:jc w:val="center"/>
              <w:rPr>
                <w:rFonts w:ascii="Times New Roman" w:eastAsia="Times New Roman" w:hAnsi="Times New Roman" w:cs="Times New Roman"/>
                <w:sz w:val="20"/>
                <w:szCs w:val="20"/>
              </w:rPr>
            </w:pPr>
          </w:p>
        </w:tc>
        <w:tc>
          <w:tcPr>
            <w:tcW w:w="556" w:type="pct"/>
            <w:tcBorders>
              <w:top w:val="nil"/>
              <w:left w:val="nil"/>
              <w:bottom w:val="nil"/>
              <w:right w:val="nil"/>
            </w:tcBorders>
            <w:shd w:val="clear" w:color="auto" w:fill="auto"/>
            <w:noWrap/>
            <w:vAlign w:val="center"/>
            <w:hideMark/>
          </w:tcPr>
          <w:p w14:paraId="068E20E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(-2.</w:t>
            </w:r>
            <w:r>
              <w:rPr>
                <w:rFonts w:eastAsia="Times New Roman" w:cs="Calibri"/>
                <w:color w:val="000000"/>
                <w:sz w:val="20"/>
                <w:szCs w:val="20"/>
              </w:rPr>
              <w:t>90</w:t>
            </w:r>
            <w:r w:rsidRPr="008F1997">
              <w:rPr>
                <w:rFonts w:eastAsia="Times New Roman" w:cs="Calibri"/>
                <w:color w:val="000000"/>
                <w:sz w:val="20"/>
                <w:szCs w:val="20"/>
              </w:rPr>
              <w:t>)</w:t>
            </w:r>
          </w:p>
        </w:tc>
      </w:tr>
      <w:tr w:rsidR="00016D40" w:rsidRPr="008F1997" w14:paraId="288223D2"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1E76DE76"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Control</w:t>
            </w:r>
          </w:p>
        </w:tc>
        <w:tc>
          <w:tcPr>
            <w:tcW w:w="406" w:type="pct"/>
            <w:tcBorders>
              <w:top w:val="nil"/>
              <w:left w:val="nil"/>
              <w:bottom w:val="nil"/>
              <w:right w:val="nil"/>
            </w:tcBorders>
            <w:shd w:val="clear" w:color="auto" w:fill="auto"/>
            <w:noWrap/>
            <w:vAlign w:val="center"/>
            <w:hideMark/>
          </w:tcPr>
          <w:p w14:paraId="514129E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4BF1AFB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11EE60F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010B802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31406BDA"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0F76649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4BFCA98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700DE53"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75DE760"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0612F176"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23A4EFE1"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Industry fixed</w:t>
            </w:r>
            <w:r>
              <w:rPr>
                <w:rFonts w:eastAsia="Times New Roman" w:cs="Calibri"/>
                <w:color w:val="000000"/>
                <w:sz w:val="20"/>
                <w:szCs w:val="20"/>
              </w:rPr>
              <w:t>-</w:t>
            </w:r>
            <w:r w:rsidRPr="008F1997">
              <w:rPr>
                <w:rFonts w:eastAsia="Times New Roman" w:cs="Calibri"/>
                <w:color w:val="000000"/>
                <w:sz w:val="20"/>
                <w:szCs w:val="20"/>
              </w:rPr>
              <w:t>effects</w:t>
            </w:r>
          </w:p>
        </w:tc>
        <w:tc>
          <w:tcPr>
            <w:tcW w:w="406" w:type="pct"/>
            <w:tcBorders>
              <w:top w:val="nil"/>
              <w:left w:val="nil"/>
              <w:bottom w:val="nil"/>
              <w:right w:val="nil"/>
            </w:tcBorders>
            <w:shd w:val="clear" w:color="auto" w:fill="auto"/>
            <w:noWrap/>
            <w:vAlign w:val="center"/>
            <w:hideMark/>
          </w:tcPr>
          <w:p w14:paraId="0993543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7413AFA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32459CE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33A1865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56AC70F4"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3076324F"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4174C93B"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858AFA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3D58787C"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5918258E"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1FC5E920"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Year fixed</w:t>
            </w:r>
            <w:r>
              <w:rPr>
                <w:rFonts w:eastAsia="Times New Roman" w:cs="Calibri"/>
                <w:color w:val="000000"/>
                <w:sz w:val="20"/>
                <w:szCs w:val="20"/>
              </w:rPr>
              <w:t>-</w:t>
            </w:r>
            <w:r w:rsidRPr="008F1997">
              <w:rPr>
                <w:rFonts w:eastAsia="Times New Roman" w:cs="Calibri"/>
                <w:color w:val="000000"/>
                <w:sz w:val="20"/>
                <w:szCs w:val="20"/>
              </w:rPr>
              <w:t>effects</w:t>
            </w:r>
          </w:p>
        </w:tc>
        <w:tc>
          <w:tcPr>
            <w:tcW w:w="406" w:type="pct"/>
            <w:tcBorders>
              <w:top w:val="nil"/>
              <w:left w:val="nil"/>
              <w:bottom w:val="nil"/>
              <w:right w:val="nil"/>
            </w:tcBorders>
            <w:shd w:val="clear" w:color="auto" w:fill="auto"/>
            <w:noWrap/>
            <w:vAlign w:val="center"/>
            <w:hideMark/>
          </w:tcPr>
          <w:p w14:paraId="068D3F61"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73C51C0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6BD1A77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406" w:type="pct"/>
            <w:tcBorders>
              <w:top w:val="nil"/>
              <w:left w:val="nil"/>
              <w:bottom w:val="nil"/>
              <w:right w:val="nil"/>
            </w:tcBorders>
            <w:shd w:val="clear" w:color="auto" w:fill="auto"/>
            <w:noWrap/>
            <w:vAlign w:val="center"/>
            <w:hideMark/>
          </w:tcPr>
          <w:p w14:paraId="651349FD"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119" w:type="pct"/>
            <w:tcBorders>
              <w:top w:val="nil"/>
              <w:left w:val="nil"/>
              <w:bottom w:val="nil"/>
              <w:right w:val="nil"/>
            </w:tcBorders>
            <w:shd w:val="clear" w:color="auto" w:fill="auto"/>
            <w:noWrap/>
            <w:vAlign w:val="center"/>
            <w:hideMark/>
          </w:tcPr>
          <w:p w14:paraId="300A5830"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17E5E4C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6986A119"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6CDF311E"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c>
          <w:tcPr>
            <w:tcW w:w="556" w:type="pct"/>
            <w:tcBorders>
              <w:top w:val="nil"/>
              <w:left w:val="nil"/>
              <w:bottom w:val="nil"/>
              <w:right w:val="nil"/>
            </w:tcBorders>
            <w:shd w:val="clear" w:color="auto" w:fill="auto"/>
            <w:noWrap/>
            <w:vAlign w:val="center"/>
            <w:hideMark/>
          </w:tcPr>
          <w:p w14:paraId="496C4176"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Yes</w:t>
            </w:r>
          </w:p>
        </w:tc>
      </w:tr>
      <w:tr w:rsidR="00016D40" w:rsidRPr="008F1997" w14:paraId="55BC5CE0" w14:textId="77777777" w:rsidTr="00CD1FDD">
        <w:trPr>
          <w:trHeight w:val="202"/>
          <w:jc w:val="center"/>
        </w:trPr>
        <w:tc>
          <w:tcPr>
            <w:tcW w:w="1036" w:type="pct"/>
            <w:tcBorders>
              <w:top w:val="nil"/>
              <w:left w:val="nil"/>
              <w:bottom w:val="nil"/>
              <w:right w:val="nil"/>
            </w:tcBorders>
            <w:shd w:val="clear" w:color="auto" w:fill="auto"/>
            <w:noWrap/>
            <w:vAlign w:val="center"/>
            <w:hideMark/>
          </w:tcPr>
          <w:p w14:paraId="0E65A2B0"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Adj. R</w:t>
            </w:r>
            <w:r w:rsidRPr="008F1997">
              <w:rPr>
                <w:rFonts w:eastAsia="Times New Roman" w:cs="Calibri"/>
                <w:color w:val="000000"/>
                <w:sz w:val="20"/>
                <w:szCs w:val="20"/>
                <w:vertAlign w:val="superscript"/>
              </w:rPr>
              <w:t>2</w:t>
            </w:r>
          </w:p>
        </w:tc>
        <w:tc>
          <w:tcPr>
            <w:tcW w:w="406" w:type="pct"/>
            <w:tcBorders>
              <w:top w:val="nil"/>
              <w:left w:val="nil"/>
              <w:bottom w:val="nil"/>
              <w:right w:val="nil"/>
            </w:tcBorders>
            <w:shd w:val="clear" w:color="auto" w:fill="auto"/>
            <w:noWrap/>
            <w:vAlign w:val="center"/>
            <w:hideMark/>
          </w:tcPr>
          <w:p w14:paraId="6C1EF53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096</w:t>
            </w:r>
          </w:p>
        </w:tc>
        <w:tc>
          <w:tcPr>
            <w:tcW w:w="406" w:type="pct"/>
            <w:tcBorders>
              <w:top w:val="nil"/>
              <w:left w:val="nil"/>
              <w:bottom w:val="nil"/>
              <w:right w:val="nil"/>
            </w:tcBorders>
            <w:shd w:val="clear" w:color="auto" w:fill="auto"/>
            <w:noWrap/>
            <w:vAlign w:val="center"/>
            <w:hideMark/>
          </w:tcPr>
          <w:p w14:paraId="7AB1BFB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096</w:t>
            </w:r>
          </w:p>
        </w:tc>
        <w:tc>
          <w:tcPr>
            <w:tcW w:w="406" w:type="pct"/>
            <w:tcBorders>
              <w:top w:val="nil"/>
              <w:left w:val="nil"/>
              <w:bottom w:val="nil"/>
              <w:right w:val="nil"/>
            </w:tcBorders>
            <w:shd w:val="clear" w:color="auto" w:fill="auto"/>
            <w:noWrap/>
            <w:vAlign w:val="center"/>
            <w:hideMark/>
          </w:tcPr>
          <w:p w14:paraId="10153BE2"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097</w:t>
            </w:r>
          </w:p>
        </w:tc>
        <w:tc>
          <w:tcPr>
            <w:tcW w:w="406" w:type="pct"/>
            <w:tcBorders>
              <w:top w:val="nil"/>
              <w:left w:val="nil"/>
              <w:bottom w:val="nil"/>
              <w:right w:val="nil"/>
            </w:tcBorders>
            <w:shd w:val="clear" w:color="auto" w:fill="auto"/>
            <w:noWrap/>
            <w:vAlign w:val="center"/>
            <w:hideMark/>
          </w:tcPr>
          <w:p w14:paraId="19A7039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w:t>
            </w:r>
            <w:r>
              <w:rPr>
                <w:rFonts w:eastAsia="Times New Roman" w:cs="Calibri"/>
                <w:color w:val="000000"/>
                <w:sz w:val="20"/>
                <w:szCs w:val="20"/>
              </w:rPr>
              <w:t>097</w:t>
            </w:r>
          </w:p>
        </w:tc>
        <w:tc>
          <w:tcPr>
            <w:tcW w:w="119" w:type="pct"/>
            <w:tcBorders>
              <w:top w:val="nil"/>
              <w:left w:val="nil"/>
              <w:bottom w:val="nil"/>
              <w:right w:val="nil"/>
            </w:tcBorders>
            <w:shd w:val="clear" w:color="auto" w:fill="auto"/>
            <w:noWrap/>
            <w:vAlign w:val="center"/>
            <w:hideMark/>
          </w:tcPr>
          <w:p w14:paraId="3740FA44"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nil"/>
              <w:right w:val="nil"/>
            </w:tcBorders>
            <w:shd w:val="clear" w:color="auto" w:fill="auto"/>
            <w:noWrap/>
            <w:vAlign w:val="center"/>
            <w:hideMark/>
          </w:tcPr>
          <w:p w14:paraId="52CDD0B4"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w:t>
            </w:r>
            <w:r>
              <w:rPr>
                <w:rFonts w:eastAsia="Times New Roman" w:cs="Calibri"/>
                <w:color w:val="000000"/>
                <w:sz w:val="20"/>
                <w:szCs w:val="20"/>
              </w:rPr>
              <w:t>73</w:t>
            </w:r>
          </w:p>
        </w:tc>
        <w:tc>
          <w:tcPr>
            <w:tcW w:w="556" w:type="pct"/>
            <w:tcBorders>
              <w:top w:val="nil"/>
              <w:left w:val="nil"/>
              <w:bottom w:val="nil"/>
              <w:right w:val="nil"/>
            </w:tcBorders>
            <w:shd w:val="clear" w:color="auto" w:fill="auto"/>
            <w:noWrap/>
            <w:vAlign w:val="center"/>
            <w:hideMark/>
          </w:tcPr>
          <w:p w14:paraId="3CCC669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w:t>
            </w:r>
            <w:r>
              <w:rPr>
                <w:rFonts w:eastAsia="Times New Roman" w:cs="Calibri"/>
                <w:color w:val="000000"/>
                <w:sz w:val="20"/>
                <w:szCs w:val="20"/>
              </w:rPr>
              <w:t>72</w:t>
            </w:r>
          </w:p>
        </w:tc>
        <w:tc>
          <w:tcPr>
            <w:tcW w:w="556" w:type="pct"/>
            <w:tcBorders>
              <w:top w:val="nil"/>
              <w:left w:val="nil"/>
              <w:bottom w:val="nil"/>
              <w:right w:val="nil"/>
            </w:tcBorders>
            <w:shd w:val="clear" w:color="auto" w:fill="auto"/>
            <w:noWrap/>
            <w:vAlign w:val="center"/>
            <w:hideMark/>
          </w:tcPr>
          <w:p w14:paraId="0888FA4A"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w:t>
            </w:r>
            <w:r>
              <w:rPr>
                <w:rFonts w:eastAsia="Times New Roman" w:cs="Calibri"/>
                <w:color w:val="000000"/>
                <w:sz w:val="20"/>
                <w:szCs w:val="20"/>
              </w:rPr>
              <w:t>7</w:t>
            </w:r>
            <w:r w:rsidRPr="008F1997">
              <w:rPr>
                <w:rFonts w:eastAsia="Times New Roman" w:cs="Calibri"/>
                <w:color w:val="000000"/>
                <w:sz w:val="20"/>
                <w:szCs w:val="20"/>
              </w:rPr>
              <w:t>2</w:t>
            </w:r>
          </w:p>
        </w:tc>
        <w:tc>
          <w:tcPr>
            <w:tcW w:w="556" w:type="pct"/>
            <w:tcBorders>
              <w:top w:val="nil"/>
              <w:left w:val="nil"/>
              <w:bottom w:val="nil"/>
              <w:right w:val="nil"/>
            </w:tcBorders>
            <w:shd w:val="clear" w:color="auto" w:fill="auto"/>
            <w:noWrap/>
            <w:vAlign w:val="center"/>
            <w:hideMark/>
          </w:tcPr>
          <w:p w14:paraId="09F6A248" w14:textId="77777777" w:rsidR="00016D40" w:rsidRPr="008F1997" w:rsidRDefault="00016D40" w:rsidP="00CD1FDD">
            <w:pPr>
              <w:spacing w:after="0" w:line="240" w:lineRule="auto"/>
              <w:jc w:val="center"/>
              <w:rPr>
                <w:rFonts w:eastAsia="Times New Roman" w:cs="Calibri"/>
                <w:color w:val="000000"/>
                <w:sz w:val="20"/>
                <w:szCs w:val="20"/>
              </w:rPr>
            </w:pPr>
            <w:r w:rsidRPr="008F1997">
              <w:rPr>
                <w:rFonts w:eastAsia="Times New Roman" w:cs="Calibri"/>
                <w:color w:val="000000"/>
                <w:sz w:val="20"/>
                <w:szCs w:val="20"/>
              </w:rPr>
              <w:t>0.0</w:t>
            </w:r>
            <w:r>
              <w:rPr>
                <w:rFonts w:eastAsia="Times New Roman" w:cs="Calibri"/>
                <w:color w:val="000000"/>
                <w:sz w:val="20"/>
                <w:szCs w:val="20"/>
              </w:rPr>
              <w:t>64</w:t>
            </w:r>
          </w:p>
        </w:tc>
      </w:tr>
      <w:tr w:rsidR="00016D40" w:rsidRPr="008F1997" w14:paraId="77F436F9" w14:textId="77777777" w:rsidTr="00CD1FDD">
        <w:trPr>
          <w:trHeight w:val="202"/>
          <w:jc w:val="center"/>
        </w:trPr>
        <w:tc>
          <w:tcPr>
            <w:tcW w:w="1036" w:type="pct"/>
            <w:tcBorders>
              <w:top w:val="nil"/>
              <w:left w:val="nil"/>
              <w:bottom w:val="single" w:sz="18" w:space="0" w:color="000000"/>
              <w:right w:val="nil"/>
            </w:tcBorders>
            <w:shd w:val="clear" w:color="auto" w:fill="auto"/>
            <w:noWrap/>
            <w:vAlign w:val="center"/>
            <w:hideMark/>
          </w:tcPr>
          <w:p w14:paraId="3643EA79" w14:textId="77777777" w:rsidR="00016D40" w:rsidRPr="008F1997" w:rsidRDefault="00016D40" w:rsidP="00CD1FDD">
            <w:pPr>
              <w:spacing w:after="0" w:line="240" w:lineRule="auto"/>
              <w:rPr>
                <w:rFonts w:eastAsia="Times New Roman" w:cs="Calibri"/>
                <w:color w:val="000000"/>
                <w:sz w:val="20"/>
                <w:szCs w:val="20"/>
              </w:rPr>
            </w:pPr>
            <w:r w:rsidRPr="008F1997">
              <w:rPr>
                <w:rFonts w:eastAsia="Times New Roman" w:cs="Calibri"/>
                <w:color w:val="000000"/>
                <w:sz w:val="20"/>
                <w:szCs w:val="20"/>
              </w:rPr>
              <w:t>Obs.</w:t>
            </w:r>
          </w:p>
        </w:tc>
        <w:tc>
          <w:tcPr>
            <w:tcW w:w="406" w:type="pct"/>
            <w:tcBorders>
              <w:top w:val="nil"/>
              <w:left w:val="nil"/>
              <w:bottom w:val="single" w:sz="18" w:space="0" w:color="000000"/>
              <w:right w:val="nil"/>
            </w:tcBorders>
            <w:shd w:val="clear" w:color="auto" w:fill="auto"/>
            <w:noWrap/>
            <w:vAlign w:val="center"/>
            <w:hideMark/>
          </w:tcPr>
          <w:p w14:paraId="6686E96A"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9455</w:t>
            </w:r>
          </w:p>
        </w:tc>
        <w:tc>
          <w:tcPr>
            <w:tcW w:w="406" w:type="pct"/>
            <w:tcBorders>
              <w:top w:val="nil"/>
              <w:left w:val="nil"/>
              <w:bottom w:val="single" w:sz="18" w:space="0" w:color="000000"/>
              <w:right w:val="nil"/>
            </w:tcBorders>
            <w:shd w:val="clear" w:color="auto" w:fill="auto"/>
            <w:noWrap/>
            <w:vAlign w:val="center"/>
            <w:hideMark/>
          </w:tcPr>
          <w:p w14:paraId="60B56FF5"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9455</w:t>
            </w:r>
          </w:p>
        </w:tc>
        <w:tc>
          <w:tcPr>
            <w:tcW w:w="406" w:type="pct"/>
            <w:tcBorders>
              <w:top w:val="nil"/>
              <w:left w:val="nil"/>
              <w:bottom w:val="single" w:sz="18" w:space="0" w:color="000000"/>
              <w:right w:val="nil"/>
            </w:tcBorders>
            <w:shd w:val="clear" w:color="auto" w:fill="auto"/>
            <w:noWrap/>
            <w:vAlign w:val="center"/>
            <w:hideMark/>
          </w:tcPr>
          <w:p w14:paraId="2B94EBC9"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9343</w:t>
            </w:r>
          </w:p>
        </w:tc>
        <w:tc>
          <w:tcPr>
            <w:tcW w:w="406" w:type="pct"/>
            <w:tcBorders>
              <w:top w:val="nil"/>
              <w:left w:val="nil"/>
              <w:bottom w:val="single" w:sz="18" w:space="0" w:color="000000"/>
              <w:right w:val="nil"/>
            </w:tcBorders>
            <w:shd w:val="clear" w:color="auto" w:fill="auto"/>
            <w:noWrap/>
            <w:vAlign w:val="center"/>
            <w:hideMark/>
          </w:tcPr>
          <w:p w14:paraId="0B265970"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9075</w:t>
            </w:r>
          </w:p>
        </w:tc>
        <w:tc>
          <w:tcPr>
            <w:tcW w:w="119" w:type="pct"/>
            <w:tcBorders>
              <w:top w:val="nil"/>
              <w:left w:val="nil"/>
              <w:bottom w:val="single" w:sz="18" w:space="0" w:color="000000"/>
              <w:right w:val="nil"/>
            </w:tcBorders>
            <w:shd w:val="clear" w:color="auto" w:fill="auto"/>
            <w:noWrap/>
            <w:vAlign w:val="center"/>
            <w:hideMark/>
          </w:tcPr>
          <w:p w14:paraId="5941C1E0" w14:textId="77777777" w:rsidR="00016D40" w:rsidRPr="008F1997" w:rsidRDefault="00016D40" w:rsidP="00CD1FDD">
            <w:pPr>
              <w:spacing w:after="0" w:line="240" w:lineRule="auto"/>
              <w:jc w:val="center"/>
              <w:rPr>
                <w:rFonts w:eastAsia="Times New Roman" w:cs="Calibri"/>
                <w:color w:val="000000"/>
                <w:sz w:val="20"/>
                <w:szCs w:val="20"/>
              </w:rPr>
            </w:pPr>
          </w:p>
        </w:tc>
        <w:tc>
          <w:tcPr>
            <w:tcW w:w="556" w:type="pct"/>
            <w:tcBorders>
              <w:top w:val="nil"/>
              <w:left w:val="nil"/>
              <w:bottom w:val="single" w:sz="18" w:space="0" w:color="000000"/>
              <w:right w:val="nil"/>
            </w:tcBorders>
            <w:shd w:val="clear" w:color="auto" w:fill="auto"/>
            <w:noWrap/>
            <w:vAlign w:val="center"/>
            <w:hideMark/>
          </w:tcPr>
          <w:p w14:paraId="4AB7A450"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7979</w:t>
            </w:r>
          </w:p>
        </w:tc>
        <w:tc>
          <w:tcPr>
            <w:tcW w:w="556" w:type="pct"/>
            <w:tcBorders>
              <w:top w:val="nil"/>
              <w:left w:val="nil"/>
              <w:bottom w:val="single" w:sz="18" w:space="0" w:color="000000"/>
              <w:right w:val="nil"/>
            </w:tcBorders>
            <w:shd w:val="clear" w:color="auto" w:fill="auto"/>
            <w:noWrap/>
            <w:vAlign w:val="center"/>
            <w:hideMark/>
          </w:tcPr>
          <w:p w14:paraId="02276729"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7979</w:t>
            </w:r>
          </w:p>
        </w:tc>
        <w:tc>
          <w:tcPr>
            <w:tcW w:w="556" w:type="pct"/>
            <w:tcBorders>
              <w:top w:val="nil"/>
              <w:left w:val="nil"/>
              <w:bottom w:val="single" w:sz="18" w:space="0" w:color="000000"/>
              <w:right w:val="nil"/>
            </w:tcBorders>
            <w:shd w:val="clear" w:color="auto" w:fill="auto"/>
            <w:noWrap/>
            <w:vAlign w:val="center"/>
            <w:hideMark/>
          </w:tcPr>
          <w:p w14:paraId="3CAD380E"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7898</w:t>
            </w:r>
          </w:p>
        </w:tc>
        <w:tc>
          <w:tcPr>
            <w:tcW w:w="556" w:type="pct"/>
            <w:tcBorders>
              <w:top w:val="nil"/>
              <w:left w:val="nil"/>
              <w:bottom w:val="single" w:sz="18" w:space="0" w:color="000000"/>
              <w:right w:val="nil"/>
            </w:tcBorders>
            <w:shd w:val="clear" w:color="auto" w:fill="auto"/>
            <w:noWrap/>
            <w:vAlign w:val="center"/>
            <w:hideMark/>
          </w:tcPr>
          <w:p w14:paraId="5C4C58B6" w14:textId="77777777" w:rsidR="00016D40" w:rsidRPr="008F1997" w:rsidRDefault="00016D40" w:rsidP="00CD1FDD">
            <w:pPr>
              <w:spacing w:after="0" w:line="240" w:lineRule="auto"/>
              <w:jc w:val="center"/>
              <w:rPr>
                <w:rFonts w:eastAsia="Times New Roman" w:cs="Calibri"/>
                <w:color w:val="000000"/>
                <w:sz w:val="20"/>
                <w:szCs w:val="20"/>
              </w:rPr>
            </w:pPr>
            <w:r>
              <w:rPr>
                <w:rFonts w:eastAsia="Times New Roman" w:cs="Calibri"/>
                <w:color w:val="000000"/>
                <w:sz w:val="20"/>
                <w:szCs w:val="20"/>
              </w:rPr>
              <w:t>7693</w:t>
            </w:r>
          </w:p>
        </w:tc>
      </w:tr>
    </w:tbl>
    <w:p w14:paraId="6EEDEE22" w14:textId="77777777" w:rsidR="00016D40" w:rsidRPr="00CA1166" w:rsidRDefault="00016D40" w:rsidP="00016D40">
      <w:pPr>
        <w:spacing w:after="0"/>
        <w:jc w:val="both"/>
      </w:pPr>
    </w:p>
    <w:p w14:paraId="38D57BF9" w14:textId="77777777" w:rsidR="00016D40" w:rsidRPr="00CA1166" w:rsidRDefault="00016D40" w:rsidP="00016D40">
      <w:pPr>
        <w:spacing w:after="0"/>
        <w:jc w:val="both"/>
      </w:pPr>
      <w:r w:rsidRPr="00CA1166">
        <w:t xml:space="preserve">Note: This table presents the results for the impact of comparability on </w:t>
      </w:r>
      <w:r>
        <w:t>labour</w:t>
      </w:r>
      <w:r w:rsidRPr="00CA1166">
        <w:t xml:space="preserve"> investment inefficiency for firms </w:t>
      </w:r>
      <w:r>
        <w:t>under</w:t>
      </w:r>
      <w:r w:rsidRPr="00CA1166">
        <w:t xml:space="preserve"> </w:t>
      </w:r>
      <w:r>
        <w:t>weak and strong</w:t>
      </w:r>
      <w:r w:rsidRPr="00CA1166">
        <w:t xml:space="preserve"> </w:t>
      </w:r>
      <w:r>
        <w:t>internal and external monitoring</w:t>
      </w:r>
      <w:r w:rsidRPr="00CA1166">
        <w:t xml:space="preserve">. Panel A </w:t>
      </w:r>
      <w:r>
        <w:t>– Panel E report</w:t>
      </w:r>
      <w:r w:rsidRPr="00CA1166">
        <w:t xml:space="preserve"> the results from the regressions of labo</w:t>
      </w:r>
      <w:r>
        <w:t>u</w:t>
      </w:r>
      <w:r w:rsidRPr="00CA1166">
        <w:t xml:space="preserve">r investment inefficiency on accounting comparability and control variables for </w:t>
      </w:r>
      <w:r>
        <w:t xml:space="preserve">weak and strong analyst, institutional investor, auditor, labour unions, and board monitoring sub-groups, respectively. </w:t>
      </w:r>
      <w:r w:rsidRPr="00CA1166">
        <w:t>The results for the control variables are not tabulated for brevity. All variables are defined in Appendix A</w:t>
      </w:r>
      <w:r>
        <w:t>.1</w:t>
      </w:r>
      <w:r w:rsidRPr="00CA1166">
        <w:t>. All regressions include year and industry fixed</w:t>
      </w:r>
      <w:r>
        <w:t>-</w:t>
      </w:r>
      <w:r w:rsidRPr="00CA1166">
        <w:t xml:space="preserve">effects. The </w:t>
      </w:r>
      <w:r w:rsidRPr="002E7D97">
        <w:rPr>
          <w:i/>
        </w:rPr>
        <w:t>t-</w:t>
      </w:r>
      <w:r w:rsidRPr="00CA1166">
        <w:t>statistics are computed based on the heteroscedasticity-robust standard errors clustered by firm and reported in parentheses. *, ** and *** indicate statistical significance at the 0.10, 0.05, and 0.01 levels, respectively, based on two-tailed tests.</w:t>
      </w:r>
    </w:p>
    <w:p w14:paraId="7101CF67" w14:textId="77777777" w:rsidR="00016D40" w:rsidRPr="00CA1166" w:rsidRDefault="00016D40" w:rsidP="00016D40">
      <w:pPr>
        <w:jc w:val="both"/>
        <w:sectPr w:rsidR="00016D40" w:rsidRPr="00CA1166" w:rsidSect="00F02BF8">
          <w:pgSz w:w="11906" w:h="16838"/>
          <w:pgMar w:top="1440" w:right="1800" w:bottom="1440" w:left="1800" w:header="708" w:footer="708" w:gutter="0"/>
          <w:cols w:space="708"/>
          <w:docGrid w:linePitch="360"/>
        </w:sectPr>
      </w:pPr>
    </w:p>
    <w:p w14:paraId="6D7E9B5A" w14:textId="77777777" w:rsidR="00016D40" w:rsidRPr="00CA1166" w:rsidRDefault="00016D40" w:rsidP="00016D40">
      <w:r w:rsidRPr="00CA1166">
        <w:rPr>
          <w:b/>
        </w:rPr>
        <w:lastRenderedPageBreak/>
        <w:t xml:space="preserve">Table </w:t>
      </w:r>
      <w:r>
        <w:rPr>
          <w:b/>
        </w:rPr>
        <w:t>5</w:t>
      </w:r>
      <w:r w:rsidRPr="00CA1166">
        <w:t>. The Role of Non-</w:t>
      </w:r>
      <w:r>
        <w:t>labour</w:t>
      </w:r>
      <w:r w:rsidRPr="00CA1166">
        <w:t xml:space="preserve"> Investments</w:t>
      </w:r>
    </w:p>
    <w:tbl>
      <w:tblPr>
        <w:tblW w:w="5000" w:type="pct"/>
        <w:jc w:val="center"/>
        <w:tblLook w:val="04A0" w:firstRow="1" w:lastRow="0" w:firstColumn="1" w:lastColumn="0" w:noHBand="0" w:noVBand="1"/>
      </w:tblPr>
      <w:tblGrid>
        <w:gridCol w:w="4048"/>
        <w:gridCol w:w="1182"/>
        <w:gridCol w:w="1182"/>
        <w:gridCol w:w="2614"/>
      </w:tblGrid>
      <w:tr w:rsidR="00016D40" w:rsidRPr="00CA1166" w14:paraId="734A3F22" w14:textId="77777777" w:rsidTr="00CD1FDD">
        <w:trPr>
          <w:trHeight w:val="195"/>
          <w:jc w:val="center"/>
        </w:trPr>
        <w:tc>
          <w:tcPr>
            <w:tcW w:w="5000" w:type="pct"/>
            <w:gridSpan w:val="4"/>
            <w:tcBorders>
              <w:top w:val="single" w:sz="18" w:space="0" w:color="auto"/>
              <w:left w:val="nil"/>
              <w:bottom w:val="nil"/>
              <w:right w:val="nil"/>
            </w:tcBorders>
            <w:shd w:val="clear" w:color="auto" w:fill="auto"/>
            <w:noWrap/>
            <w:vAlign w:val="center"/>
            <w:hideMark/>
          </w:tcPr>
          <w:p w14:paraId="2D1AAC21" w14:textId="77777777" w:rsidR="00016D40" w:rsidRPr="00CA1166" w:rsidRDefault="00016D40" w:rsidP="00CD1FDD">
            <w:pPr>
              <w:spacing w:after="0" w:line="240" w:lineRule="auto"/>
              <w:rPr>
                <w:rFonts w:ascii="Times New Roman" w:eastAsia="Times New Roman" w:hAnsi="Times New Roman" w:cs="Times New Roman"/>
                <w:b/>
                <w:sz w:val="20"/>
                <w:szCs w:val="20"/>
              </w:rPr>
            </w:pPr>
            <w:r w:rsidRPr="00CA1166">
              <w:rPr>
                <w:rFonts w:eastAsia="Times New Roman" w:cs="Calibri"/>
                <w:b/>
                <w:color w:val="000000"/>
                <w:sz w:val="20"/>
                <w:szCs w:val="20"/>
              </w:rPr>
              <w:t>Panel A: Capital expenditures (CAPX)</w:t>
            </w:r>
          </w:p>
        </w:tc>
      </w:tr>
      <w:tr w:rsidR="00016D40" w:rsidRPr="00CA1166" w14:paraId="07AFCBB3" w14:textId="77777777" w:rsidTr="00CD1FDD">
        <w:trPr>
          <w:trHeight w:val="269"/>
          <w:jc w:val="center"/>
        </w:trPr>
        <w:tc>
          <w:tcPr>
            <w:tcW w:w="2242" w:type="pct"/>
            <w:vMerge w:val="restart"/>
            <w:tcBorders>
              <w:top w:val="single" w:sz="8" w:space="0" w:color="auto"/>
              <w:left w:val="nil"/>
              <w:bottom w:val="nil"/>
              <w:right w:val="nil"/>
            </w:tcBorders>
            <w:shd w:val="clear" w:color="auto" w:fill="auto"/>
            <w:vAlign w:val="center"/>
            <w:hideMark/>
          </w:tcPr>
          <w:p w14:paraId="0264F0B2"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The relation between capital</w:t>
            </w:r>
            <w:r w:rsidRPr="00CA1166">
              <w:rPr>
                <w:rFonts w:eastAsia="Times New Roman" w:cs="Calibri"/>
                <w:color w:val="000000"/>
                <w:sz w:val="20"/>
                <w:szCs w:val="20"/>
              </w:rPr>
              <w:br/>
              <w:t xml:space="preserve">expenditures and </w:t>
            </w:r>
            <w:r>
              <w:rPr>
                <w:rFonts w:eastAsia="Times New Roman" w:cs="Calibri"/>
                <w:color w:val="000000"/>
                <w:sz w:val="20"/>
                <w:szCs w:val="20"/>
              </w:rPr>
              <w:t>labour</w:t>
            </w:r>
            <w:r w:rsidRPr="00CA1166">
              <w:rPr>
                <w:rFonts w:eastAsia="Times New Roman" w:cs="Calibri"/>
                <w:color w:val="000000"/>
                <w:sz w:val="20"/>
                <w:szCs w:val="20"/>
              </w:rPr>
              <w:t xml:space="preserve"> investments is </w:t>
            </w:r>
          </w:p>
        </w:tc>
        <w:tc>
          <w:tcPr>
            <w:tcW w:w="655" w:type="pct"/>
            <w:vMerge w:val="restart"/>
            <w:tcBorders>
              <w:top w:val="single" w:sz="8" w:space="0" w:color="auto"/>
              <w:left w:val="nil"/>
              <w:bottom w:val="nil"/>
              <w:right w:val="nil"/>
            </w:tcBorders>
            <w:shd w:val="clear" w:color="auto" w:fill="auto"/>
            <w:noWrap/>
            <w:vAlign w:val="center"/>
            <w:hideMark/>
          </w:tcPr>
          <w:p w14:paraId="75727B2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Positive</w:t>
            </w:r>
          </w:p>
        </w:tc>
        <w:tc>
          <w:tcPr>
            <w:tcW w:w="655" w:type="pct"/>
            <w:vMerge w:val="restart"/>
            <w:tcBorders>
              <w:top w:val="single" w:sz="8" w:space="0" w:color="auto"/>
              <w:left w:val="nil"/>
              <w:bottom w:val="nil"/>
              <w:right w:val="nil"/>
            </w:tcBorders>
            <w:shd w:val="clear" w:color="auto" w:fill="auto"/>
            <w:noWrap/>
            <w:vAlign w:val="center"/>
            <w:hideMark/>
          </w:tcPr>
          <w:p w14:paraId="43EBAAF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Negative</w:t>
            </w:r>
          </w:p>
        </w:tc>
        <w:tc>
          <w:tcPr>
            <w:tcW w:w="1448" w:type="pct"/>
            <w:vMerge w:val="restart"/>
            <w:tcBorders>
              <w:top w:val="single" w:sz="8" w:space="0" w:color="auto"/>
              <w:left w:val="nil"/>
              <w:bottom w:val="nil"/>
              <w:right w:val="nil"/>
            </w:tcBorders>
            <w:shd w:val="clear" w:color="auto" w:fill="auto"/>
            <w:vAlign w:val="center"/>
            <w:hideMark/>
          </w:tcPr>
          <w:p w14:paraId="430A92D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 xml:space="preserve">Zero capital expenditures </w:t>
            </w:r>
            <w:r w:rsidRPr="00CA1166">
              <w:rPr>
                <w:rFonts w:eastAsia="Times New Roman" w:cs="Calibri"/>
                <w:color w:val="000000"/>
                <w:sz w:val="20"/>
                <w:szCs w:val="20"/>
              </w:rPr>
              <w:br/>
              <w:t>or not reported</w:t>
            </w:r>
          </w:p>
        </w:tc>
      </w:tr>
      <w:tr w:rsidR="00016D40" w:rsidRPr="00CA1166" w14:paraId="39227707" w14:textId="77777777" w:rsidTr="00CD1FDD">
        <w:trPr>
          <w:trHeight w:val="450"/>
          <w:jc w:val="center"/>
        </w:trPr>
        <w:tc>
          <w:tcPr>
            <w:tcW w:w="2242" w:type="pct"/>
            <w:vMerge/>
            <w:tcBorders>
              <w:top w:val="nil"/>
              <w:left w:val="nil"/>
              <w:bottom w:val="single" w:sz="8" w:space="0" w:color="auto"/>
              <w:right w:val="nil"/>
            </w:tcBorders>
            <w:vAlign w:val="center"/>
            <w:hideMark/>
          </w:tcPr>
          <w:p w14:paraId="7E264F17"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1EB526FC"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26A54E51" w14:textId="77777777" w:rsidR="00016D40" w:rsidRPr="00CA1166" w:rsidRDefault="00016D40" w:rsidP="00CD1FDD">
            <w:pPr>
              <w:spacing w:after="0" w:line="240" w:lineRule="auto"/>
              <w:rPr>
                <w:rFonts w:eastAsia="Times New Roman" w:cs="Calibri"/>
                <w:color w:val="000000"/>
                <w:sz w:val="20"/>
                <w:szCs w:val="20"/>
              </w:rPr>
            </w:pPr>
          </w:p>
        </w:tc>
        <w:tc>
          <w:tcPr>
            <w:tcW w:w="1448" w:type="pct"/>
            <w:vMerge/>
            <w:tcBorders>
              <w:top w:val="nil"/>
              <w:left w:val="nil"/>
              <w:bottom w:val="single" w:sz="8" w:space="0" w:color="auto"/>
              <w:right w:val="nil"/>
            </w:tcBorders>
            <w:vAlign w:val="center"/>
            <w:hideMark/>
          </w:tcPr>
          <w:p w14:paraId="2EBA38D1" w14:textId="77777777" w:rsidR="00016D40" w:rsidRPr="00CA1166" w:rsidRDefault="00016D40" w:rsidP="00CD1FDD">
            <w:pPr>
              <w:spacing w:after="0" w:line="240" w:lineRule="auto"/>
              <w:rPr>
                <w:rFonts w:eastAsia="Times New Roman" w:cs="Calibri"/>
                <w:color w:val="000000"/>
                <w:sz w:val="20"/>
                <w:szCs w:val="20"/>
              </w:rPr>
            </w:pPr>
          </w:p>
        </w:tc>
      </w:tr>
      <w:tr w:rsidR="00016D40" w:rsidRPr="00CA1166" w14:paraId="48A9DD41" w14:textId="77777777" w:rsidTr="00CD1FDD">
        <w:trPr>
          <w:trHeight w:val="195"/>
          <w:jc w:val="center"/>
        </w:trPr>
        <w:tc>
          <w:tcPr>
            <w:tcW w:w="2242" w:type="pct"/>
            <w:tcBorders>
              <w:top w:val="single" w:sz="8" w:space="0" w:color="auto"/>
              <w:left w:val="nil"/>
              <w:bottom w:val="nil"/>
              <w:right w:val="nil"/>
            </w:tcBorders>
            <w:shd w:val="clear" w:color="auto" w:fill="auto"/>
            <w:noWrap/>
            <w:vAlign w:val="center"/>
            <w:hideMark/>
          </w:tcPr>
          <w:p w14:paraId="7A3D1DD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655" w:type="pct"/>
            <w:tcBorders>
              <w:top w:val="single" w:sz="8" w:space="0" w:color="auto"/>
              <w:left w:val="nil"/>
              <w:bottom w:val="nil"/>
              <w:right w:val="nil"/>
            </w:tcBorders>
            <w:shd w:val="clear" w:color="auto" w:fill="auto"/>
            <w:noWrap/>
            <w:vAlign w:val="center"/>
            <w:hideMark/>
          </w:tcPr>
          <w:p w14:paraId="15AF645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-0.408***</w:t>
            </w:r>
          </w:p>
        </w:tc>
        <w:tc>
          <w:tcPr>
            <w:tcW w:w="655" w:type="pct"/>
            <w:tcBorders>
              <w:top w:val="single" w:sz="8" w:space="0" w:color="auto"/>
              <w:left w:val="nil"/>
              <w:bottom w:val="nil"/>
              <w:right w:val="nil"/>
            </w:tcBorders>
            <w:shd w:val="clear" w:color="auto" w:fill="auto"/>
            <w:noWrap/>
            <w:vAlign w:val="center"/>
            <w:hideMark/>
          </w:tcPr>
          <w:p w14:paraId="04A9AC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-0.274***</w:t>
            </w:r>
          </w:p>
        </w:tc>
        <w:tc>
          <w:tcPr>
            <w:tcW w:w="1448" w:type="pct"/>
            <w:tcBorders>
              <w:top w:val="single" w:sz="8" w:space="0" w:color="auto"/>
              <w:left w:val="nil"/>
              <w:bottom w:val="nil"/>
              <w:right w:val="nil"/>
            </w:tcBorders>
            <w:shd w:val="clear" w:color="auto" w:fill="auto"/>
            <w:noWrap/>
            <w:vAlign w:val="center"/>
            <w:hideMark/>
          </w:tcPr>
          <w:p w14:paraId="7C3998D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-0.748</w:t>
            </w:r>
          </w:p>
        </w:tc>
      </w:tr>
      <w:tr w:rsidR="00016D40" w:rsidRPr="00CA1166" w14:paraId="30D5CB7A"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3799DC68"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nil"/>
              <w:left w:val="nil"/>
              <w:bottom w:val="nil"/>
              <w:right w:val="nil"/>
            </w:tcBorders>
            <w:shd w:val="clear" w:color="auto" w:fill="auto"/>
            <w:noWrap/>
            <w:vAlign w:val="center"/>
            <w:hideMark/>
          </w:tcPr>
          <w:p w14:paraId="24A95AC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(-7.21)</w:t>
            </w:r>
          </w:p>
        </w:tc>
        <w:tc>
          <w:tcPr>
            <w:tcW w:w="655" w:type="pct"/>
            <w:tcBorders>
              <w:top w:val="nil"/>
              <w:left w:val="nil"/>
              <w:bottom w:val="nil"/>
              <w:right w:val="nil"/>
            </w:tcBorders>
            <w:shd w:val="clear" w:color="auto" w:fill="auto"/>
            <w:noWrap/>
            <w:vAlign w:val="center"/>
            <w:hideMark/>
          </w:tcPr>
          <w:p w14:paraId="100D15D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(-2.87)</w:t>
            </w:r>
          </w:p>
        </w:tc>
        <w:tc>
          <w:tcPr>
            <w:tcW w:w="1448" w:type="pct"/>
            <w:tcBorders>
              <w:top w:val="nil"/>
              <w:left w:val="nil"/>
              <w:bottom w:val="nil"/>
              <w:right w:val="nil"/>
            </w:tcBorders>
            <w:shd w:val="clear" w:color="auto" w:fill="auto"/>
            <w:noWrap/>
            <w:vAlign w:val="center"/>
            <w:hideMark/>
          </w:tcPr>
          <w:p w14:paraId="610C52E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(-0.28)</w:t>
            </w:r>
          </w:p>
        </w:tc>
      </w:tr>
      <w:tr w:rsidR="00016D40" w:rsidRPr="00CA1166" w14:paraId="7124ABA4"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14EBD373"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655" w:type="pct"/>
            <w:tcBorders>
              <w:top w:val="nil"/>
              <w:left w:val="nil"/>
              <w:bottom w:val="nil"/>
              <w:right w:val="nil"/>
            </w:tcBorders>
            <w:shd w:val="clear" w:color="auto" w:fill="auto"/>
            <w:noWrap/>
            <w:vAlign w:val="center"/>
            <w:hideMark/>
          </w:tcPr>
          <w:p w14:paraId="361BAB3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5E84E91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2BEE544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00ABC2E7"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26D9B01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0844F91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59138F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5E7D1C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2AB2CE4A"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5860C6E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13BB3B2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10D80A3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4B0C1C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091709B5" w14:textId="77777777" w:rsidTr="00CD1FDD">
        <w:trPr>
          <w:trHeight w:val="205"/>
          <w:jc w:val="center"/>
        </w:trPr>
        <w:tc>
          <w:tcPr>
            <w:tcW w:w="2242" w:type="pct"/>
            <w:tcBorders>
              <w:top w:val="nil"/>
              <w:left w:val="nil"/>
              <w:bottom w:val="nil"/>
              <w:right w:val="nil"/>
            </w:tcBorders>
            <w:shd w:val="clear" w:color="auto" w:fill="auto"/>
            <w:noWrap/>
            <w:vAlign w:val="bottom"/>
            <w:hideMark/>
          </w:tcPr>
          <w:p w14:paraId="28A0AE2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655" w:type="pct"/>
            <w:tcBorders>
              <w:top w:val="nil"/>
              <w:left w:val="nil"/>
              <w:bottom w:val="nil"/>
              <w:right w:val="nil"/>
            </w:tcBorders>
            <w:shd w:val="clear" w:color="auto" w:fill="auto"/>
            <w:noWrap/>
            <w:vAlign w:val="center"/>
            <w:hideMark/>
          </w:tcPr>
          <w:p w14:paraId="3745A34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0.084</w:t>
            </w:r>
          </w:p>
        </w:tc>
        <w:tc>
          <w:tcPr>
            <w:tcW w:w="655" w:type="pct"/>
            <w:tcBorders>
              <w:top w:val="nil"/>
              <w:left w:val="nil"/>
              <w:bottom w:val="nil"/>
              <w:right w:val="nil"/>
            </w:tcBorders>
            <w:shd w:val="clear" w:color="auto" w:fill="auto"/>
            <w:noWrap/>
            <w:vAlign w:val="center"/>
            <w:hideMark/>
          </w:tcPr>
          <w:p w14:paraId="05967CF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0.068</w:t>
            </w:r>
          </w:p>
        </w:tc>
        <w:tc>
          <w:tcPr>
            <w:tcW w:w="1448" w:type="pct"/>
            <w:tcBorders>
              <w:top w:val="nil"/>
              <w:left w:val="nil"/>
              <w:bottom w:val="nil"/>
              <w:right w:val="nil"/>
            </w:tcBorders>
            <w:shd w:val="clear" w:color="auto" w:fill="auto"/>
            <w:noWrap/>
            <w:vAlign w:val="center"/>
            <w:hideMark/>
          </w:tcPr>
          <w:p w14:paraId="7945E2B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0.267</w:t>
            </w:r>
          </w:p>
        </w:tc>
      </w:tr>
      <w:tr w:rsidR="00016D40" w:rsidRPr="00CA1166" w14:paraId="55531071" w14:textId="77777777" w:rsidTr="00CD1FDD">
        <w:trPr>
          <w:trHeight w:val="195"/>
          <w:jc w:val="center"/>
        </w:trPr>
        <w:tc>
          <w:tcPr>
            <w:tcW w:w="2242" w:type="pct"/>
            <w:tcBorders>
              <w:top w:val="nil"/>
              <w:left w:val="nil"/>
              <w:bottom w:val="single" w:sz="12" w:space="0" w:color="auto"/>
              <w:right w:val="nil"/>
            </w:tcBorders>
            <w:shd w:val="clear" w:color="auto" w:fill="auto"/>
            <w:noWrap/>
            <w:vAlign w:val="bottom"/>
            <w:hideMark/>
          </w:tcPr>
          <w:p w14:paraId="53DC110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655" w:type="pct"/>
            <w:tcBorders>
              <w:top w:val="nil"/>
              <w:left w:val="nil"/>
              <w:bottom w:val="single" w:sz="12" w:space="0" w:color="auto"/>
              <w:right w:val="nil"/>
            </w:tcBorders>
            <w:shd w:val="clear" w:color="auto" w:fill="auto"/>
            <w:noWrap/>
            <w:vAlign w:val="center"/>
            <w:hideMark/>
          </w:tcPr>
          <w:p w14:paraId="3C866D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37194</w:t>
            </w:r>
          </w:p>
        </w:tc>
        <w:tc>
          <w:tcPr>
            <w:tcW w:w="655" w:type="pct"/>
            <w:tcBorders>
              <w:top w:val="nil"/>
              <w:left w:val="nil"/>
              <w:bottom w:val="single" w:sz="12" w:space="0" w:color="auto"/>
              <w:right w:val="nil"/>
            </w:tcBorders>
            <w:shd w:val="clear" w:color="auto" w:fill="auto"/>
            <w:noWrap/>
            <w:vAlign w:val="center"/>
            <w:hideMark/>
          </w:tcPr>
          <w:p w14:paraId="0C246CB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17286</w:t>
            </w:r>
          </w:p>
        </w:tc>
        <w:tc>
          <w:tcPr>
            <w:tcW w:w="1448" w:type="pct"/>
            <w:tcBorders>
              <w:top w:val="nil"/>
              <w:left w:val="nil"/>
              <w:bottom w:val="single" w:sz="12" w:space="0" w:color="auto"/>
              <w:right w:val="nil"/>
            </w:tcBorders>
            <w:shd w:val="clear" w:color="auto" w:fill="auto"/>
            <w:noWrap/>
            <w:vAlign w:val="center"/>
            <w:hideMark/>
          </w:tcPr>
          <w:p w14:paraId="6C6AB94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121</w:t>
            </w:r>
          </w:p>
        </w:tc>
      </w:tr>
      <w:tr w:rsidR="00016D40" w:rsidRPr="00CA1166" w14:paraId="19832F26" w14:textId="77777777" w:rsidTr="00CD1FDD">
        <w:trPr>
          <w:trHeight w:val="195"/>
          <w:jc w:val="center"/>
        </w:trPr>
        <w:tc>
          <w:tcPr>
            <w:tcW w:w="2242" w:type="pct"/>
            <w:tcBorders>
              <w:top w:val="single" w:sz="12" w:space="0" w:color="auto"/>
              <w:left w:val="nil"/>
              <w:bottom w:val="single" w:sz="12" w:space="0" w:color="auto"/>
              <w:right w:val="nil"/>
            </w:tcBorders>
            <w:shd w:val="clear" w:color="auto" w:fill="auto"/>
            <w:noWrap/>
            <w:vAlign w:val="bottom"/>
            <w:hideMark/>
          </w:tcPr>
          <w:p w14:paraId="6EAAA0AE"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22E3270D"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7F5DF0A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1448" w:type="pct"/>
            <w:tcBorders>
              <w:top w:val="single" w:sz="12" w:space="0" w:color="auto"/>
              <w:left w:val="nil"/>
              <w:bottom w:val="single" w:sz="12" w:space="0" w:color="auto"/>
              <w:right w:val="nil"/>
            </w:tcBorders>
            <w:shd w:val="clear" w:color="auto" w:fill="auto"/>
            <w:noWrap/>
            <w:vAlign w:val="center"/>
            <w:hideMark/>
          </w:tcPr>
          <w:p w14:paraId="51E6ACE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1F65C919" w14:textId="77777777" w:rsidTr="00CD1FDD">
        <w:trPr>
          <w:trHeight w:val="195"/>
          <w:jc w:val="center"/>
        </w:trPr>
        <w:tc>
          <w:tcPr>
            <w:tcW w:w="5000" w:type="pct"/>
            <w:gridSpan w:val="4"/>
            <w:tcBorders>
              <w:top w:val="single" w:sz="12" w:space="0" w:color="auto"/>
              <w:left w:val="nil"/>
              <w:bottom w:val="single" w:sz="8" w:space="0" w:color="auto"/>
              <w:right w:val="nil"/>
            </w:tcBorders>
            <w:shd w:val="clear" w:color="auto" w:fill="auto"/>
            <w:noWrap/>
            <w:vAlign w:val="center"/>
            <w:hideMark/>
          </w:tcPr>
          <w:p w14:paraId="58B47E80" w14:textId="77777777" w:rsidR="00016D40" w:rsidRPr="00CA1166" w:rsidRDefault="00016D40" w:rsidP="00CD1FDD">
            <w:pPr>
              <w:spacing w:after="0" w:line="240" w:lineRule="auto"/>
              <w:rPr>
                <w:rFonts w:ascii="Times New Roman" w:eastAsia="Times New Roman" w:hAnsi="Times New Roman" w:cs="Times New Roman"/>
                <w:b/>
                <w:sz w:val="20"/>
                <w:szCs w:val="20"/>
              </w:rPr>
            </w:pPr>
            <w:r w:rsidRPr="00CA1166">
              <w:rPr>
                <w:rFonts w:eastAsia="Times New Roman" w:cs="Calibri"/>
                <w:b/>
                <w:color w:val="000000"/>
                <w:sz w:val="20"/>
                <w:szCs w:val="20"/>
              </w:rPr>
              <w:t>Panel B: Advertising expenditures (XAD)</w:t>
            </w:r>
          </w:p>
        </w:tc>
      </w:tr>
      <w:tr w:rsidR="00016D40" w:rsidRPr="00CA1166" w14:paraId="3C4F9419" w14:textId="77777777" w:rsidTr="00CD1FDD">
        <w:trPr>
          <w:trHeight w:val="269"/>
          <w:jc w:val="center"/>
        </w:trPr>
        <w:tc>
          <w:tcPr>
            <w:tcW w:w="2242" w:type="pct"/>
            <w:vMerge w:val="restart"/>
            <w:tcBorders>
              <w:top w:val="single" w:sz="8" w:space="0" w:color="auto"/>
              <w:left w:val="nil"/>
              <w:bottom w:val="nil"/>
              <w:right w:val="nil"/>
            </w:tcBorders>
            <w:shd w:val="clear" w:color="auto" w:fill="auto"/>
            <w:vAlign w:val="center"/>
            <w:hideMark/>
          </w:tcPr>
          <w:p w14:paraId="1EE07A5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The relation between advertising</w:t>
            </w:r>
            <w:r w:rsidRPr="00CA1166">
              <w:rPr>
                <w:rFonts w:eastAsia="Times New Roman" w:cs="Calibri"/>
                <w:color w:val="000000"/>
                <w:sz w:val="20"/>
                <w:szCs w:val="20"/>
              </w:rPr>
              <w:br/>
              <w:t xml:space="preserve">expenses and </w:t>
            </w:r>
            <w:r>
              <w:rPr>
                <w:rFonts w:eastAsia="Times New Roman" w:cs="Calibri"/>
                <w:color w:val="000000"/>
                <w:sz w:val="20"/>
                <w:szCs w:val="20"/>
              </w:rPr>
              <w:t>labour</w:t>
            </w:r>
            <w:r w:rsidRPr="00CA1166">
              <w:rPr>
                <w:rFonts w:eastAsia="Times New Roman" w:cs="Calibri"/>
                <w:color w:val="000000"/>
                <w:sz w:val="20"/>
                <w:szCs w:val="20"/>
              </w:rPr>
              <w:t xml:space="preserve"> investments is </w:t>
            </w:r>
          </w:p>
        </w:tc>
        <w:tc>
          <w:tcPr>
            <w:tcW w:w="655" w:type="pct"/>
            <w:vMerge w:val="restart"/>
            <w:tcBorders>
              <w:top w:val="single" w:sz="8" w:space="0" w:color="auto"/>
              <w:left w:val="nil"/>
              <w:bottom w:val="nil"/>
              <w:right w:val="nil"/>
            </w:tcBorders>
            <w:shd w:val="clear" w:color="auto" w:fill="auto"/>
            <w:noWrap/>
            <w:vAlign w:val="center"/>
            <w:hideMark/>
          </w:tcPr>
          <w:p w14:paraId="24C1D5D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Positive</w:t>
            </w:r>
          </w:p>
        </w:tc>
        <w:tc>
          <w:tcPr>
            <w:tcW w:w="655" w:type="pct"/>
            <w:vMerge w:val="restart"/>
            <w:tcBorders>
              <w:top w:val="single" w:sz="8" w:space="0" w:color="auto"/>
              <w:left w:val="nil"/>
              <w:bottom w:val="nil"/>
              <w:right w:val="nil"/>
            </w:tcBorders>
            <w:shd w:val="clear" w:color="auto" w:fill="auto"/>
            <w:noWrap/>
            <w:vAlign w:val="center"/>
            <w:hideMark/>
          </w:tcPr>
          <w:p w14:paraId="3B354D1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Negative</w:t>
            </w:r>
          </w:p>
        </w:tc>
        <w:tc>
          <w:tcPr>
            <w:tcW w:w="1448" w:type="pct"/>
            <w:vMerge w:val="restart"/>
            <w:tcBorders>
              <w:top w:val="single" w:sz="8" w:space="0" w:color="auto"/>
              <w:left w:val="nil"/>
              <w:bottom w:val="nil"/>
              <w:right w:val="nil"/>
            </w:tcBorders>
            <w:shd w:val="clear" w:color="auto" w:fill="auto"/>
            <w:vAlign w:val="center"/>
            <w:hideMark/>
          </w:tcPr>
          <w:p w14:paraId="06DBE0E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 xml:space="preserve">Zero advertising expense </w:t>
            </w:r>
            <w:r w:rsidRPr="00CA1166">
              <w:rPr>
                <w:rFonts w:eastAsia="Times New Roman" w:cs="Calibri"/>
                <w:color w:val="000000"/>
                <w:sz w:val="20"/>
                <w:szCs w:val="20"/>
              </w:rPr>
              <w:br/>
              <w:t>or not reported</w:t>
            </w:r>
          </w:p>
        </w:tc>
      </w:tr>
      <w:tr w:rsidR="00016D40" w:rsidRPr="00CA1166" w14:paraId="5CE20AF6" w14:textId="77777777" w:rsidTr="00CD1FDD">
        <w:trPr>
          <w:trHeight w:val="450"/>
          <w:jc w:val="center"/>
        </w:trPr>
        <w:tc>
          <w:tcPr>
            <w:tcW w:w="2242" w:type="pct"/>
            <w:vMerge/>
            <w:tcBorders>
              <w:top w:val="nil"/>
              <w:left w:val="nil"/>
              <w:bottom w:val="single" w:sz="8" w:space="0" w:color="auto"/>
              <w:right w:val="nil"/>
            </w:tcBorders>
            <w:vAlign w:val="center"/>
            <w:hideMark/>
          </w:tcPr>
          <w:p w14:paraId="53F153EE"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6C2DAAEC"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2F031B4B" w14:textId="77777777" w:rsidR="00016D40" w:rsidRPr="00CA1166" w:rsidRDefault="00016D40" w:rsidP="00CD1FDD">
            <w:pPr>
              <w:spacing w:after="0" w:line="240" w:lineRule="auto"/>
              <w:rPr>
                <w:rFonts w:eastAsia="Times New Roman" w:cs="Calibri"/>
                <w:color w:val="000000"/>
                <w:sz w:val="20"/>
                <w:szCs w:val="20"/>
              </w:rPr>
            </w:pPr>
          </w:p>
        </w:tc>
        <w:tc>
          <w:tcPr>
            <w:tcW w:w="1448" w:type="pct"/>
            <w:vMerge/>
            <w:tcBorders>
              <w:top w:val="nil"/>
              <w:left w:val="nil"/>
              <w:bottom w:val="single" w:sz="8" w:space="0" w:color="auto"/>
              <w:right w:val="nil"/>
            </w:tcBorders>
            <w:vAlign w:val="center"/>
            <w:hideMark/>
          </w:tcPr>
          <w:p w14:paraId="253AD3F4" w14:textId="77777777" w:rsidR="00016D40" w:rsidRPr="00CA1166" w:rsidRDefault="00016D40" w:rsidP="00CD1FDD">
            <w:pPr>
              <w:spacing w:after="0" w:line="240" w:lineRule="auto"/>
              <w:rPr>
                <w:rFonts w:eastAsia="Times New Roman" w:cs="Calibri"/>
                <w:color w:val="000000"/>
                <w:sz w:val="20"/>
                <w:szCs w:val="20"/>
              </w:rPr>
            </w:pPr>
          </w:p>
        </w:tc>
      </w:tr>
      <w:tr w:rsidR="00016D40" w:rsidRPr="00CA1166" w14:paraId="6155BB04" w14:textId="77777777" w:rsidTr="00CD1FDD">
        <w:trPr>
          <w:trHeight w:val="195"/>
          <w:jc w:val="center"/>
        </w:trPr>
        <w:tc>
          <w:tcPr>
            <w:tcW w:w="2242" w:type="pct"/>
            <w:tcBorders>
              <w:top w:val="single" w:sz="8" w:space="0" w:color="auto"/>
              <w:left w:val="nil"/>
              <w:bottom w:val="nil"/>
              <w:right w:val="nil"/>
            </w:tcBorders>
            <w:shd w:val="clear" w:color="auto" w:fill="auto"/>
            <w:noWrap/>
            <w:vAlign w:val="center"/>
            <w:hideMark/>
          </w:tcPr>
          <w:p w14:paraId="66CB589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655" w:type="pct"/>
            <w:tcBorders>
              <w:top w:val="single" w:sz="8" w:space="0" w:color="auto"/>
              <w:left w:val="nil"/>
              <w:bottom w:val="nil"/>
              <w:right w:val="nil"/>
            </w:tcBorders>
            <w:shd w:val="clear" w:color="auto" w:fill="auto"/>
            <w:noWrap/>
            <w:vAlign w:val="center"/>
            <w:hideMark/>
          </w:tcPr>
          <w:p w14:paraId="221318F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-0.290***</w:t>
            </w:r>
          </w:p>
        </w:tc>
        <w:tc>
          <w:tcPr>
            <w:tcW w:w="655" w:type="pct"/>
            <w:tcBorders>
              <w:top w:val="single" w:sz="8" w:space="0" w:color="auto"/>
              <w:left w:val="nil"/>
              <w:bottom w:val="nil"/>
              <w:right w:val="nil"/>
            </w:tcBorders>
            <w:shd w:val="clear" w:color="auto" w:fill="auto"/>
            <w:noWrap/>
            <w:vAlign w:val="center"/>
            <w:hideMark/>
          </w:tcPr>
          <w:p w14:paraId="51B1695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-0.285**</w:t>
            </w:r>
          </w:p>
        </w:tc>
        <w:tc>
          <w:tcPr>
            <w:tcW w:w="1448" w:type="pct"/>
            <w:tcBorders>
              <w:top w:val="single" w:sz="8" w:space="0" w:color="auto"/>
              <w:left w:val="nil"/>
              <w:bottom w:val="nil"/>
              <w:right w:val="nil"/>
            </w:tcBorders>
            <w:shd w:val="clear" w:color="auto" w:fill="auto"/>
            <w:noWrap/>
            <w:vAlign w:val="center"/>
            <w:hideMark/>
          </w:tcPr>
          <w:p w14:paraId="1E23E00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-0.424***</w:t>
            </w:r>
          </w:p>
        </w:tc>
      </w:tr>
      <w:tr w:rsidR="00016D40" w:rsidRPr="00CA1166" w14:paraId="0788F7C1"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30F45FD2"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nil"/>
              <w:left w:val="nil"/>
              <w:bottom w:val="nil"/>
              <w:right w:val="nil"/>
            </w:tcBorders>
            <w:shd w:val="clear" w:color="auto" w:fill="auto"/>
            <w:noWrap/>
            <w:vAlign w:val="center"/>
            <w:hideMark/>
          </w:tcPr>
          <w:p w14:paraId="2A0CCD3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(-3.18)</w:t>
            </w:r>
          </w:p>
        </w:tc>
        <w:tc>
          <w:tcPr>
            <w:tcW w:w="655" w:type="pct"/>
            <w:tcBorders>
              <w:top w:val="nil"/>
              <w:left w:val="nil"/>
              <w:bottom w:val="nil"/>
              <w:right w:val="nil"/>
            </w:tcBorders>
            <w:shd w:val="clear" w:color="auto" w:fill="auto"/>
            <w:noWrap/>
            <w:vAlign w:val="center"/>
            <w:hideMark/>
          </w:tcPr>
          <w:p w14:paraId="4828725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(-2.31)</w:t>
            </w:r>
          </w:p>
        </w:tc>
        <w:tc>
          <w:tcPr>
            <w:tcW w:w="1448" w:type="pct"/>
            <w:tcBorders>
              <w:top w:val="nil"/>
              <w:left w:val="nil"/>
              <w:bottom w:val="nil"/>
              <w:right w:val="nil"/>
            </w:tcBorders>
            <w:shd w:val="clear" w:color="auto" w:fill="auto"/>
            <w:noWrap/>
            <w:vAlign w:val="center"/>
            <w:hideMark/>
          </w:tcPr>
          <w:p w14:paraId="52B8685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(-6.77)</w:t>
            </w:r>
          </w:p>
        </w:tc>
      </w:tr>
      <w:tr w:rsidR="00016D40" w:rsidRPr="00CA1166" w14:paraId="34F55F7B"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2C956887"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 xml:space="preserve">Control </w:t>
            </w:r>
          </w:p>
        </w:tc>
        <w:tc>
          <w:tcPr>
            <w:tcW w:w="655" w:type="pct"/>
            <w:tcBorders>
              <w:top w:val="nil"/>
              <w:left w:val="nil"/>
              <w:bottom w:val="nil"/>
              <w:right w:val="nil"/>
            </w:tcBorders>
            <w:shd w:val="clear" w:color="auto" w:fill="auto"/>
            <w:noWrap/>
            <w:vAlign w:val="center"/>
            <w:hideMark/>
          </w:tcPr>
          <w:p w14:paraId="7AD7CC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43CC181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07C53E5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1E5988FD"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445CBD4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34D67DE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23A9AFD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3FCC5EB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32ABECAB"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6BE91FD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69772AF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1BB8E21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1EC625F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7C41E93" w14:textId="77777777" w:rsidTr="00CD1FDD">
        <w:trPr>
          <w:trHeight w:val="205"/>
          <w:jc w:val="center"/>
        </w:trPr>
        <w:tc>
          <w:tcPr>
            <w:tcW w:w="2242" w:type="pct"/>
            <w:tcBorders>
              <w:top w:val="nil"/>
              <w:left w:val="nil"/>
              <w:bottom w:val="nil"/>
              <w:right w:val="nil"/>
            </w:tcBorders>
            <w:shd w:val="clear" w:color="auto" w:fill="auto"/>
            <w:noWrap/>
            <w:vAlign w:val="bottom"/>
            <w:hideMark/>
          </w:tcPr>
          <w:p w14:paraId="08A337D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655" w:type="pct"/>
            <w:tcBorders>
              <w:top w:val="nil"/>
              <w:left w:val="nil"/>
              <w:bottom w:val="nil"/>
              <w:right w:val="nil"/>
            </w:tcBorders>
            <w:shd w:val="clear" w:color="auto" w:fill="auto"/>
            <w:noWrap/>
            <w:vAlign w:val="center"/>
            <w:hideMark/>
          </w:tcPr>
          <w:p w14:paraId="78A1CCC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0.085</w:t>
            </w:r>
          </w:p>
        </w:tc>
        <w:tc>
          <w:tcPr>
            <w:tcW w:w="655" w:type="pct"/>
            <w:tcBorders>
              <w:top w:val="nil"/>
              <w:left w:val="nil"/>
              <w:bottom w:val="nil"/>
              <w:right w:val="nil"/>
            </w:tcBorders>
            <w:shd w:val="clear" w:color="auto" w:fill="auto"/>
            <w:noWrap/>
            <w:vAlign w:val="center"/>
            <w:hideMark/>
          </w:tcPr>
          <w:p w14:paraId="723AE04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0.086</w:t>
            </w:r>
          </w:p>
        </w:tc>
        <w:tc>
          <w:tcPr>
            <w:tcW w:w="1448" w:type="pct"/>
            <w:tcBorders>
              <w:top w:val="nil"/>
              <w:left w:val="nil"/>
              <w:bottom w:val="nil"/>
              <w:right w:val="nil"/>
            </w:tcBorders>
            <w:shd w:val="clear" w:color="auto" w:fill="auto"/>
            <w:noWrap/>
            <w:vAlign w:val="center"/>
            <w:hideMark/>
          </w:tcPr>
          <w:p w14:paraId="57BB4E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0.079</w:t>
            </w:r>
          </w:p>
        </w:tc>
      </w:tr>
      <w:tr w:rsidR="00016D40" w:rsidRPr="00CA1166" w14:paraId="1CF278E5" w14:textId="77777777" w:rsidTr="00CD1FDD">
        <w:trPr>
          <w:trHeight w:val="195"/>
          <w:jc w:val="center"/>
        </w:trPr>
        <w:tc>
          <w:tcPr>
            <w:tcW w:w="2242" w:type="pct"/>
            <w:tcBorders>
              <w:top w:val="nil"/>
              <w:left w:val="nil"/>
              <w:bottom w:val="single" w:sz="12" w:space="0" w:color="auto"/>
              <w:right w:val="nil"/>
            </w:tcBorders>
            <w:shd w:val="clear" w:color="auto" w:fill="auto"/>
            <w:noWrap/>
            <w:vAlign w:val="bottom"/>
            <w:hideMark/>
          </w:tcPr>
          <w:p w14:paraId="49D5CE0F"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655" w:type="pct"/>
            <w:tcBorders>
              <w:top w:val="nil"/>
              <w:left w:val="nil"/>
              <w:bottom w:val="single" w:sz="12" w:space="0" w:color="auto"/>
              <w:right w:val="nil"/>
            </w:tcBorders>
            <w:shd w:val="clear" w:color="auto" w:fill="auto"/>
            <w:noWrap/>
            <w:vAlign w:val="center"/>
            <w:hideMark/>
          </w:tcPr>
          <w:p w14:paraId="2A4EFB6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9160</w:t>
            </w:r>
          </w:p>
        </w:tc>
        <w:tc>
          <w:tcPr>
            <w:tcW w:w="655" w:type="pct"/>
            <w:tcBorders>
              <w:top w:val="nil"/>
              <w:left w:val="nil"/>
              <w:bottom w:val="single" w:sz="12" w:space="0" w:color="auto"/>
              <w:right w:val="nil"/>
            </w:tcBorders>
            <w:shd w:val="clear" w:color="auto" w:fill="auto"/>
            <w:noWrap/>
            <w:vAlign w:val="center"/>
            <w:hideMark/>
          </w:tcPr>
          <w:p w14:paraId="3310669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6589</w:t>
            </w:r>
          </w:p>
        </w:tc>
        <w:tc>
          <w:tcPr>
            <w:tcW w:w="1448" w:type="pct"/>
            <w:tcBorders>
              <w:top w:val="nil"/>
              <w:left w:val="nil"/>
              <w:bottom w:val="single" w:sz="12" w:space="0" w:color="auto"/>
              <w:right w:val="nil"/>
            </w:tcBorders>
            <w:shd w:val="clear" w:color="auto" w:fill="auto"/>
            <w:noWrap/>
            <w:vAlign w:val="center"/>
            <w:hideMark/>
          </w:tcPr>
          <w:p w14:paraId="173D124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38852</w:t>
            </w:r>
          </w:p>
        </w:tc>
      </w:tr>
      <w:tr w:rsidR="00016D40" w:rsidRPr="00CA1166" w14:paraId="35191D36" w14:textId="77777777" w:rsidTr="00CD1FDD">
        <w:trPr>
          <w:trHeight w:val="195"/>
          <w:jc w:val="center"/>
        </w:trPr>
        <w:tc>
          <w:tcPr>
            <w:tcW w:w="2242" w:type="pct"/>
            <w:tcBorders>
              <w:top w:val="single" w:sz="12" w:space="0" w:color="auto"/>
              <w:left w:val="nil"/>
              <w:bottom w:val="single" w:sz="12" w:space="0" w:color="auto"/>
              <w:right w:val="nil"/>
            </w:tcBorders>
            <w:shd w:val="clear" w:color="auto" w:fill="auto"/>
            <w:noWrap/>
            <w:vAlign w:val="bottom"/>
            <w:hideMark/>
          </w:tcPr>
          <w:p w14:paraId="1D14B9E4"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3F2C2B5B"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1C881F7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1448" w:type="pct"/>
            <w:tcBorders>
              <w:top w:val="single" w:sz="12" w:space="0" w:color="auto"/>
              <w:left w:val="nil"/>
              <w:bottom w:val="single" w:sz="12" w:space="0" w:color="auto"/>
              <w:right w:val="nil"/>
            </w:tcBorders>
            <w:shd w:val="clear" w:color="auto" w:fill="auto"/>
            <w:noWrap/>
            <w:vAlign w:val="center"/>
            <w:hideMark/>
          </w:tcPr>
          <w:p w14:paraId="2D2D1205"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C95012E" w14:textId="77777777" w:rsidTr="00CD1FDD">
        <w:trPr>
          <w:trHeight w:val="195"/>
          <w:jc w:val="center"/>
        </w:trPr>
        <w:tc>
          <w:tcPr>
            <w:tcW w:w="5000" w:type="pct"/>
            <w:gridSpan w:val="4"/>
            <w:tcBorders>
              <w:top w:val="single" w:sz="12" w:space="0" w:color="auto"/>
              <w:left w:val="nil"/>
              <w:bottom w:val="nil"/>
              <w:right w:val="nil"/>
            </w:tcBorders>
            <w:shd w:val="clear" w:color="auto" w:fill="auto"/>
            <w:noWrap/>
            <w:vAlign w:val="center"/>
            <w:hideMark/>
          </w:tcPr>
          <w:p w14:paraId="1F8280D4" w14:textId="77777777" w:rsidR="00016D40" w:rsidRPr="00CA1166" w:rsidRDefault="00016D40" w:rsidP="00CD1FDD">
            <w:pPr>
              <w:spacing w:after="0" w:line="240" w:lineRule="auto"/>
              <w:rPr>
                <w:rFonts w:eastAsia="Times New Roman" w:cs="Calibri"/>
                <w:b/>
                <w:color w:val="000000"/>
                <w:sz w:val="20"/>
                <w:szCs w:val="20"/>
              </w:rPr>
            </w:pPr>
            <w:r w:rsidRPr="00CA1166">
              <w:rPr>
                <w:rFonts w:eastAsia="Times New Roman" w:cs="Calibri"/>
                <w:b/>
                <w:color w:val="000000"/>
                <w:sz w:val="20"/>
                <w:szCs w:val="20"/>
              </w:rPr>
              <w:t>Panel C: Research and development expenditures (XRD)</w:t>
            </w:r>
          </w:p>
        </w:tc>
      </w:tr>
      <w:tr w:rsidR="00016D40" w:rsidRPr="00CA1166" w14:paraId="02557B36" w14:textId="77777777" w:rsidTr="00CD1FDD">
        <w:trPr>
          <w:trHeight w:val="269"/>
          <w:jc w:val="center"/>
        </w:trPr>
        <w:tc>
          <w:tcPr>
            <w:tcW w:w="2242" w:type="pct"/>
            <w:vMerge w:val="restart"/>
            <w:tcBorders>
              <w:top w:val="single" w:sz="8" w:space="0" w:color="auto"/>
              <w:left w:val="nil"/>
              <w:bottom w:val="nil"/>
              <w:right w:val="nil"/>
            </w:tcBorders>
            <w:shd w:val="clear" w:color="auto" w:fill="auto"/>
            <w:vAlign w:val="center"/>
            <w:hideMark/>
          </w:tcPr>
          <w:p w14:paraId="2B5B3C72"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The relation between R&amp;D</w:t>
            </w:r>
            <w:r w:rsidRPr="00CA1166">
              <w:rPr>
                <w:rFonts w:eastAsia="Times New Roman" w:cs="Calibri"/>
                <w:color w:val="000000"/>
                <w:sz w:val="20"/>
                <w:szCs w:val="20"/>
              </w:rPr>
              <w:br/>
              <w:t xml:space="preserve">expenses and </w:t>
            </w:r>
            <w:r>
              <w:rPr>
                <w:rFonts w:eastAsia="Times New Roman" w:cs="Calibri"/>
                <w:color w:val="000000"/>
                <w:sz w:val="20"/>
                <w:szCs w:val="20"/>
              </w:rPr>
              <w:t>labour</w:t>
            </w:r>
            <w:r w:rsidRPr="00CA1166">
              <w:rPr>
                <w:rFonts w:eastAsia="Times New Roman" w:cs="Calibri"/>
                <w:color w:val="000000"/>
                <w:sz w:val="20"/>
                <w:szCs w:val="20"/>
              </w:rPr>
              <w:t xml:space="preserve"> investments is </w:t>
            </w:r>
          </w:p>
        </w:tc>
        <w:tc>
          <w:tcPr>
            <w:tcW w:w="655" w:type="pct"/>
            <w:vMerge w:val="restart"/>
            <w:tcBorders>
              <w:top w:val="single" w:sz="8" w:space="0" w:color="auto"/>
              <w:left w:val="nil"/>
              <w:bottom w:val="nil"/>
              <w:right w:val="nil"/>
            </w:tcBorders>
            <w:shd w:val="clear" w:color="auto" w:fill="auto"/>
            <w:noWrap/>
            <w:vAlign w:val="center"/>
            <w:hideMark/>
          </w:tcPr>
          <w:p w14:paraId="662AA9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Positive</w:t>
            </w:r>
          </w:p>
        </w:tc>
        <w:tc>
          <w:tcPr>
            <w:tcW w:w="655" w:type="pct"/>
            <w:vMerge w:val="restart"/>
            <w:tcBorders>
              <w:top w:val="single" w:sz="8" w:space="0" w:color="auto"/>
              <w:left w:val="nil"/>
              <w:bottom w:val="nil"/>
              <w:right w:val="nil"/>
            </w:tcBorders>
            <w:shd w:val="clear" w:color="auto" w:fill="auto"/>
            <w:noWrap/>
            <w:vAlign w:val="center"/>
            <w:hideMark/>
          </w:tcPr>
          <w:p w14:paraId="0DAC9D5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Negative</w:t>
            </w:r>
          </w:p>
        </w:tc>
        <w:tc>
          <w:tcPr>
            <w:tcW w:w="1448" w:type="pct"/>
            <w:vMerge w:val="restart"/>
            <w:tcBorders>
              <w:top w:val="single" w:sz="8" w:space="0" w:color="auto"/>
              <w:left w:val="nil"/>
              <w:bottom w:val="nil"/>
              <w:right w:val="nil"/>
            </w:tcBorders>
            <w:shd w:val="clear" w:color="auto" w:fill="auto"/>
            <w:vAlign w:val="center"/>
            <w:hideMark/>
          </w:tcPr>
          <w:p w14:paraId="321C4A2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 xml:space="preserve">Zero R&amp;D expense </w:t>
            </w:r>
            <w:r w:rsidRPr="00CA1166">
              <w:rPr>
                <w:rFonts w:eastAsia="Times New Roman" w:cs="Calibri"/>
                <w:color w:val="000000"/>
                <w:sz w:val="20"/>
                <w:szCs w:val="20"/>
              </w:rPr>
              <w:br/>
              <w:t>or not reported</w:t>
            </w:r>
          </w:p>
        </w:tc>
      </w:tr>
      <w:tr w:rsidR="00016D40" w:rsidRPr="00CA1166" w14:paraId="1CDBED43" w14:textId="77777777" w:rsidTr="00CD1FDD">
        <w:trPr>
          <w:trHeight w:val="450"/>
          <w:jc w:val="center"/>
        </w:trPr>
        <w:tc>
          <w:tcPr>
            <w:tcW w:w="2242" w:type="pct"/>
            <w:vMerge/>
            <w:tcBorders>
              <w:top w:val="nil"/>
              <w:left w:val="nil"/>
              <w:bottom w:val="single" w:sz="8" w:space="0" w:color="auto"/>
              <w:right w:val="nil"/>
            </w:tcBorders>
            <w:vAlign w:val="center"/>
            <w:hideMark/>
          </w:tcPr>
          <w:p w14:paraId="24646D35"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3BBE52A3"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0F751388" w14:textId="77777777" w:rsidR="00016D40" w:rsidRPr="00CA1166" w:rsidRDefault="00016D40" w:rsidP="00CD1FDD">
            <w:pPr>
              <w:spacing w:after="0" w:line="240" w:lineRule="auto"/>
              <w:rPr>
                <w:rFonts w:eastAsia="Times New Roman" w:cs="Calibri"/>
                <w:color w:val="000000"/>
                <w:sz w:val="20"/>
                <w:szCs w:val="20"/>
              </w:rPr>
            </w:pPr>
          </w:p>
        </w:tc>
        <w:tc>
          <w:tcPr>
            <w:tcW w:w="1448" w:type="pct"/>
            <w:vMerge/>
            <w:tcBorders>
              <w:top w:val="nil"/>
              <w:left w:val="nil"/>
              <w:bottom w:val="single" w:sz="8" w:space="0" w:color="auto"/>
              <w:right w:val="nil"/>
            </w:tcBorders>
            <w:vAlign w:val="center"/>
            <w:hideMark/>
          </w:tcPr>
          <w:p w14:paraId="197AF37E" w14:textId="77777777" w:rsidR="00016D40" w:rsidRPr="00CA1166" w:rsidRDefault="00016D40" w:rsidP="00CD1FDD">
            <w:pPr>
              <w:spacing w:after="0" w:line="240" w:lineRule="auto"/>
              <w:rPr>
                <w:rFonts w:eastAsia="Times New Roman" w:cs="Calibri"/>
                <w:color w:val="000000"/>
                <w:sz w:val="20"/>
                <w:szCs w:val="20"/>
              </w:rPr>
            </w:pPr>
          </w:p>
        </w:tc>
      </w:tr>
      <w:tr w:rsidR="00016D40" w:rsidRPr="00CA1166" w14:paraId="30D33005" w14:textId="77777777" w:rsidTr="00CD1FDD">
        <w:trPr>
          <w:trHeight w:val="195"/>
          <w:jc w:val="center"/>
        </w:trPr>
        <w:tc>
          <w:tcPr>
            <w:tcW w:w="2242" w:type="pct"/>
            <w:tcBorders>
              <w:top w:val="single" w:sz="8" w:space="0" w:color="auto"/>
              <w:left w:val="nil"/>
              <w:bottom w:val="nil"/>
              <w:right w:val="nil"/>
            </w:tcBorders>
            <w:shd w:val="clear" w:color="auto" w:fill="auto"/>
            <w:noWrap/>
            <w:vAlign w:val="center"/>
            <w:hideMark/>
          </w:tcPr>
          <w:p w14:paraId="3C29D79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655" w:type="pct"/>
            <w:tcBorders>
              <w:top w:val="single" w:sz="8" w:space="0" w:color="auto"/>
              <w:left w:val="nil"/>
              <w:bottom w:val="nil"/>
              <w:right w:val="nil"/>
            </w:tcBorders>
            <w:shd w:val="clear" w:color="auto" w:fill="auto"/>
            <w:noWrap/>
            <w:vAlign w:val="center"/>
            <w:hideMark/>
          </w:tcPr>
          <w:p w14:paraId="2C3FA04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-0.376***</w:t>
            </w:r>
          </w:p>
        </w:tc>
        <w:tc>
          <w:tcPr>
            <w:tcW w:w="655" w:type="pct"/>
            <w:tcBorders>
              <w:top w:val="single" w:sz="8" w:space="0" w:color="auto"/>
              <w:left w:val="nil"/>
              <w:bottom w:val="nil"/>
              <w:right w:val="nil"/>
            </w:tcBorders>
            <w:shd w:val="clear" w:color="auto" w:fill="auto"/>
            <w:noWrap/>
            <w:vAlign w:val="center"/>
            <w:hideMark/>
          </w:tcPr>
          <w:p w14:paraId="1FF5A6E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-0.398***</w:t>
            </w:r>
          </w:p>
        </w:tc>
        <w:tc>
          <w:tcPr>
            <w:tcW w:w="1448" w:type="pct"/>
            <w:tcBorders>
              <w:top w:val="single" w:sz="8" w:space="0" w:color="auto"/>
              <w:left w:val="nil"/>
              <w:bottom w:val="nil"/>
              <w:right w:val="nil"/>
            </w:tcBorders>
            <w:shd w:val="clear" w:color="auto" w:fill="auto"/>
            <w:noWrap/>
            <w:vAlign w:val="center"/>
            <w:hideMark/>
          </w:tcPr>
          <w:p w14:paraId="2E0FD7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-0.364***</w:t>
            </w:r>
          </w:p>
        </w:tc>
      </w:tr>
      <w:tr w:rsidR="00016D40" w:rsidRPr="00CA1166" w14:paraId="2D6F0D3A"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30E5ED8F"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nil"/>
              <w:left w:val="nil"/>
              <w:bottom w:val="nil"/>
              <w:right w:val="nil"/>
            </w:tcBorders>
            <w:shd w:val="clear" w:color="auto" w:fill="auto"/>
            <w:noWrap/>
            <w:vAlign w:val="center"/>
            <w:hideMark/>
          </w:tcPr>
          <w:p w14:paraId="7FD7543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(-4.85)</w:t>
            </w:r>
          </w:p>
        </w:tc>
        <w:tc>
          <w:tcPr>
            <w:tcW w:w="655" w:type="pct"/>
            <w:tcBorders>
              <w:top w:val="nil"/>
              <w:left w:val="nil"/>
              <w:bottom w:val="nil"/>
              <w:right w:val="nil"/>
            </w:tcBorders>
            <w:shd w:val="clear" w:color="auto" w:fill="auto"/>
            <w:noWrap/>
            <w:vAlign w:val="center"/>
            <w:hideMark/>
          </w:tcPr>
          <w:p w14:paraId="02C60CC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(-3.76)</w:t>
            </w:r>
          </w:p>
        </w:tc>
        <w:tc>
          <w:tcPr>
            <w:tcW w:w="1448" w:type="pct"/>
            <w:tcBorders>
              <w:top w:val="nil"/>
              <w:left w:val="nil"/>
              <w:bottom w:val="nil"/>
              <w:right w:val="nil"/>
            </w:tcBorders>
            <w:shd w:val="clear" w:color="auto" w:fill="auto"/>
            <w:noWrap/>
            <w:vAlign w:val="center"/>
            <w:hideMark/>
          </w:tcPr>
          <w:p w14:paraId="02E52FF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(-4.71)</w:t>
            </w:r>
          </w:p>
        </w:tc>
      </w:tr>
      <w:tr w:rsidR="00016D40" w:rsidRPr="00CA1166" w14:paraId="2D6FAF86"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185B2E67"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655" w:type="pct"/>
            <w:tcBorders>
              <w:top w:val="nil"/>
              <w:left w:val="nil"/>
              <w:bottom w:val="nil"/>
              <w:right w:val="nil"/>
            </w:tcBorders>
            <w:shd w:val="clear" w:color="auto" w:fill="auto"/>
            <w:noWrap/>
            <w:vAlign w:val="center"/>
            <w:hideMark/>
          </w:tcPr>
          <w:p w14:paraId="7D0FEA6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66A13C9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529EB4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5B8A7149"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30AD6100"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066F151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6E89EAC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3BFFB3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0F606A1B"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6928DB7A"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5F78CEF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38A9501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52728B8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3ED2D6F5" w14:textId="77777777" w:rsidTr="00CD1FDD">
        <w:trPr>
          <w:trHeight w:val="205"/>
          <w:jc w:val="center"/>
        </w:trPr>
        <w:tc>
          <w:tcPr>
            <w:tcW w:w="2242" w:type="pct"/>
            <w:tcBorders>
              <w:top w:val="nil"/>
              <w:left w:val="nil"/>
              <w:bottom w:val="nil"/>
              <w:right w:val="nil"/>
            </w:tcBorders>
            <w:shd w:val="clear" w:color="auto" w:fill="auto"/>
            <w:noWrap/>
            <w:vAlign w:val="bottom"/>
            <w:hideMark/>
          </w:tcPr>
          <w:p w14:paraId="00D3450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655" w:type="pct"/>
            <w:tcBorders>
              <w:top w:val="nil"/>
              <w:left w:val="nil"/>
              <w:bottom w:val="nil"/>
              <w:right w:val="nil"/>
            </w:tcBorders>
            <w:shd w:val="clear" w:color="auto" w:fill="auto"/>
            <w:noWrap/>
            <w:vAlign w:val="center"/>
            <w:hideMark/>
          </w:tcPr>
          <w:p w14:paraId="440C18B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0.095</w:t>
            </w:r>
          </w:p>
        </w:tc>
        <w:tc>
          <w:tcPr>
            <w:tcW w:w="655" w:type="pct"/>
            <w:tcBorders>
              <w:top w:val="nil"/>
              <w:left w:val="nil"/>
              <w:bottom w:val="nil"/>
              <w:right w:val="nil"/>
            </w:tcBorders>
            <w:shd w:val="clear" w:color="auto" w:fill="auto"/>
            <w:noWrap/>
            <w:vAlign w:val="center"/>
            <w:hideMark/>
          </w:tcPr>
          <w:p w14:paraId="1F1D62B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0.069</w:t>
            </w:r>
          </w:p>
        </w:tc>
        <w:tc>
          <w:tcPr>
            <w:tcW w:w="1448" w:type="pct"/>
            <w:tcBorders>
              <w:top w:val="nil"/>
              <w:left w:val="nil"/>
              <w:bottom w:val="nil"/>
              <w:right w:val="nil"/>
            </w:tcBorders>
            <w:shd w:val="clear" w:color="auto" w:fill="auto"/>
            <w:noWrap/>
            <w:vAlign w:val="center"/>
            <w:hideMark/>
          </w:tcPr>
          <w:p w14:paraId="45613FA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0.087</w:t>
            </w:r>
          </w:p>
        </w:tc>
      </w:tr>
      <w:tr w:rsidR="00016D40" w:rsidRPr="00CA1166" w14:paraId="1A433499" w14:textId="77777777" w:rsidTr="00CD1FDD">
        <w:trPr>
          <w:trHeight w:val="195"/>
          <w:jc w:val="center"/>
        </w:trPr>
        <w:tc>
          <w:tcPr>
            <w:tcW w:w="2242" w:type="pct"/>
            <w:tcBorders>
              <w:top w:val="nil"/>
              <w:left w:val="nil"/>
              <w:bottom w:val="single" w:sz="12" w:space="0" w:color="auto"/>
              <w:right w:val="nil"/>
            </w:tcBorders>
            <w:shd w:val="clear" w:color="auto" w:fill="auto"/>
            <w:noWrap/>
            <w:vAlign w:val="bottom"/>
            <w:hideMark/>
          </w:tcPr>
          <w:p w14:paraId="398D5C2E"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655" w:type="pct"/>
            <w:tcBorders>
              <w:top w:val="nil"/>
              <w:left w:val="nil"/>
              <w:bottom w:val="single" w:sz="12" w:space="0" w:color="auto"/>
              <w:right w:val="nil"/>
            </w:tcBorders>
            <w:shd w:val="clear" w:color="auto" w:fill="auto"/>
            <w:noWrap/>
            <w:vAlign w:val="center"/>
            <w:hideMark/>
          </w:tcPr>
          <w:p w14:paraId="7F162F1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17798</w:t>
            </w:r>
          </w:p>
        </w:tc>
        <w:tc>
          <w:tcPr>
            <w:tcW w:w="655" w:type="pct"/>
            <w:tcBorders>
              <w:top w:val="nil"/>
              <w:left w:val="nil"/>
              <w:bottom w:val="single" w:sz="12" w:space="0" w:color="auto"/>
              <w:right w:val="nil"/>
            </w:tcBorders>
            <w:shd w:val="clear" w:color="auto" w:fill="auto"/>
            <w:noWrap/>
            <w:vAlign w:val="center"/>
            <w:hideMark/>
          </w:tcPr>
          <w:p w14:paraId="111A8D0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10986</w:t>
            </w:r>
          </w:p>
        </w:tc>
        <w:tc>
          <w:tcPr>
            <w:tcW w:w="1448" w:type="pct"/>
            <w:tcBorders>
              <w:top w:val="nil"/>
              <w:left w:val="nil"/>
              <w:bottom w:val="single" w:sz="12" w:space="0" w:color="auto"/>
              <w:right w:val="nil"/>
            </w:tcBorders>
            <w:shd w:val="clear" w:color="auto" w:fill="auto"/>
            <w:noWrap/>
            <w:vAlign w:val="center"/>
            <w:hideMark/>
          </w:tcPr>
          <w:p w14:paraId="42A049F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25817</w:t>
            </w:r>
          </w:p>
        </w:tc>
      </w:tr>
      <w:tr w:rsidR="00016D40" w:rsidRPr="00CA1166" w14:paraId="361F00EC" w14:textId="77777777" w:rsidTr="00CD1FDD">
        <w:trPr>
          <w:trHeight w:val="195"/>
          <w:jc w:val="center"/>
        </w:trPr>
        <w:tc>
          <w:tcPr>
            <w:tcW w:w="2242" w:type="pct"/>
            <w:tcBorders>
              <w:top w:val="single" w:sz="12" w:space="0" w:color="auto"/>
              <w:left w:val="nil"/>
              <w:bottom w:val="single" w:sz="12" w:space="0" w:color="auto"/>
              <w:right w:val="nil"/>
            </w:tcBorders>
            <w:shd w:val="clear" w:color="auto" w:fill="auto"/>
            <w:noWrap/>
            <w:vAlign w:val="center"/>
            <w:hideMark/>
          </w:tcPr>
          <w:p w14:paraId="1F458236"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48A12709"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696360CE"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1448" w:type="pct"/>
            <w:tcBorders>
              <w:top w:val="single" w:sz="12" w:space="0" w:color="auto"/>
              <w:left w:val="nil"/>
              <w:bottom w:val="single" w:sz="12" w:space="0" w:color="auto"/>
              <w:right w:val="nil"/>
            </w:tcBorders>
            <w:shd w:val="clear" w:color="auto" w:fill="auto"/>
            <w:noWrap/>
            <w:vAlign w:val="center"/>
            <w:hideMark/>
          </w:tcPr>
          <w:p w14:paraId="2485A53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56FB0D8" w14:textId="77777777" w:rsidTr="00CD1FDD">
        <w:trPr>
          <w:trHeight w:val="195"/>
          <w:jc w:val="center"/>
        </w:trPr>
        <w:tc>
          <w:tcPr>
            <w:tcW w:w="5000" w:type="pct"/>
            <w:gridSpan w:val="4"/>
            <w:tcBorders>
              <w:top w:val="single" w:sz="12" w:space="0" w:color="auto"/>
              <w:left w:val="nil"/>
              <w:bottom w:val="single" w:sz="8" w:space="0" w:color="auto"/>
              <w:right w:val="nil"/>
            </w:tcBorders>
            <w:shd w:val="clear" w:color="auto" w:fill="auto"/>
            <w:noWrap/>
            <w:vAlign w:val="center"/>
            <w:hideMark/>
          </w:tcPr>
          <w:p w14:paraId="5E733972" w14:textId="77777777" w:rsidR="00016D40" w:rsidRPr="00CA1166" w:rsidRDefault="00016D40" w:rsidP="00CD1FDD">
            <w:pPr>
              <w:spacing w:after="0" w:line="240" w:lineRule="auto"/>
              <w:rPr>
                <w:rFonts w:ascii="Times New Roman" w:eastAsia="Times New Roman" w:hAnsi="Times New Roman" w:cs="Times New Roman"/>
                <w:b/>
                <w:sz w:val="20"/>
                <w:szCs w:val="20"/>
              </w:rPr>
            </w:pPr>
            <w:r w:rsidRPr="00CA1166">
              <w:rPr>
                <w:rFonts w:eastAsia="Times New Roman" w:cs="Calibri"/>
                <w:b/>
                <w:color w:val="000000"/>
                <w:sz w:val="20"/>
                <w:szCs w:val="20"/>
              </w:rPr>
              <w:t>Panel D: Acquisition expenditures (AQC)</w:t>
            </w:r>
          </w:p>
        </w:tc>
      </w:tr>
      <w:tr w:rsidR="00016D40" w:rsidRPr="00CA1166" w14:paraId="0AA0A977" w14:textId="77777777" w:rsidTr="00CD1FDD">
        <w:trPr>
          <w:trHeight w:val="269"/>
          <w:jc w:val="center"/>
        </w:trPr>
        <w:tc>
          <w:tcPr>
            <w:tcW w:w="2242" w:type="pct"/>
            <w:vMerge w:val="restart"/>
            <w:tcBorders>
              <w:top w:val="single" w:sz="8" w:space="0" w:color="auto"/>
              <w:left w:val="nil"/>
              <w:bottom w:val="nil"/>
              <w:right w:val="nil"/>
            </w:tcBorders>
            <w:shd w:val="clear" w:color="auto" w:fill="auto"/>
            <w:vAlign w:val="center"/>
            <w:hideMark/>
          </w:tcPr>
          <w:p w14:paraId="28E00D8F"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The relation between acquisition</w:t>
            </w:r>
            <w:r w:rsidRPr="00CA1166">
              <w:rPr>
                <w:rFonts w:eastAsia="Times New Roman" w:cs="Calibri"/>
                <w:color w:val="000000"/>
                <w:sz w:val="20"/>
                <w:szCs w:val="20"/>
              </w:rPr>
              <w:br/>
              <w:t>expenses and labo</w:t>
            </w:r>
            <w:r>
              <w:rPr>
                <w:rFonts w:eastAsia="Times New Roman" w:cs="Calibri"/>
                <w:color w:val="000000"/>
                <w:sz w:val="20"/>
                <w:szCs w:val="20"/>
              </w:rPr>
              <w:t>u</w:t>
            </w:r>
            <w:r w:rsidRPr="00CA1166">
              <w:rPr>
                <w:rFonts w:eastAsia="Times New Roman" w:cs="Calibri"/>
                <w:color w:val="000000"/>
                <w:sz w:val="20"/>
                <w:szCs w:val="20"/>
              </w:rPr>
              <w:t xml:space="preserve">r investments is </w:t>
            </w:r>
          </w:p>
        </w:tc>
        <w:tc>
          <w:tcPr>
            <w:tcW w:w="655" w:type="pct"/>
            <w:vMerge w:val="restart"/>
            <w:tcBorders>
              <w:top w:val="single" w:sz="8" w:space="0" w:color="auto"/>
              <w:left w:val="nil"/>
              <w:bottom w:val="nil"/>
              <w:right w:val="nil"/>
            </w:tcBorders>
            <w:shd w:val="clear" w:color="auto" w:fill="auto"/>
            <w:noWrap/>
            <w:vAlign w:val="center"/>
            <w:hideMark/>
          </w:tcPr>
          <w:p w14:paraId="3674FE8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Positive</w:t>
            </w:r>
          </w:p>
        </w:tc>
        <w:tc>
          <w:tcPr>
            <w:tcW w:w="655" w:type="pct"/>
            <w:vMerge w:val="restart"/>
            <w:tcBorders>
              <w:top w:val="single" w:sz="8" w:space="0" w:color="auto"/>
              <w:left w:val="nil"/>
              <w:bottom w:val="nil"/>
              <w:right w:val="nil"/>
            </w:tcBorders>
            <w:shd w:val="clear" w:color="auto" w:fill="auto"/>
            <w:noWrap/>
            <w:vAlign w:val="center"/>
            <w:hideMark/>
          </w:tcPr>
          <w:p w14:paraId="4155DAE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Negative</w:t>
            </w:r>
          </w:p>
        </w:tc>
        <w:tc>
          <w:tcPr>
            <w:tcW w:w="1448" w:type="pct"/>
            <w:vMerge w:val="restart"/>
            <w:tcBorders>
              <w:top w:val="single" w:sz="8" w:space="0" w:color="auto"/>
              <w:left w:val="nil"/>
              <w:bottom w:val="nil"/>
              <w:right w:val="nil"/>
            </w:tcBorders>
            <w:shd w:val="clear" w:color="auto" w:fill="auto"/>
            <w:vAlign w:val="center"/>
            <w:hideMark/>
          </w:tcPr>
          <w:p w14:paraId="15BCE4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 xml:space="preserve">Zero acquisition expense </w:t>
            </w:r>
            <w:r w:rsidRPr="00CA1166">
              <w:rPr>
                <w:rFonts w:eastAsia="Times New Roman" w:cs="Calibri"/>
                <w:color w:val="000000"/>
                <w:sz w:val="20"/>
                <w:szCs w:val="20"/>
              </w:rPr>
              <w:br/>
              <w:t>or not reported</w:t>
            </w:r>
          </w:p>
        </w:tc>
      </w:tr>
      <w:tr w:rsidR="00016D40" w:rsidRPr="00CA1166" w14:paraId="47A1C588" w14:textId="77777777" w:rsidTr="00CD1FDD">
        <w:trPr>
          <w:trHeight w:val="450"/>
          <w:jc w:val="center"/>
        </w:trPr>
        <w:tc>
          <w:tcPr>
            <w:tcW w:w="2242" w:type="pct"/>
            <w:vMerge/>
            <w:tcBorders>
              <w:top w:val="nil"/>
              <w:left w:val="nil"/>
              <w:bottom w:val="single" w:sz="8" w:space="0" w:color="auto"/>
              <w:right w:val="nil"/>
            </w:tcBorders>
            <w:vAlign w:val="center"/>
            <w:hideMark/>
          </w:tcPr>
          <w:p w14:paraId="5091FC8B"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0B9230D3"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0267B758" w14:textId="77777777" w:rsidR="00016D40" w:rsidRPr="00CA1166" w:rsidRDefault="00016D40" w:rsidP="00CD1FDD">
            <w:pPr>
              <w:spacing w:after="0" w:line="240" w:lineRule="auto"/>
              <w:rPr>
                <w:rFonts w:eastAsia="Times New Roman" w:cs="Calibri"/>
                <w:color w:val="000000"/>
                <w:sz w:val="20"/>
                <w:szCs w:val="20"/>
              </w:rPr>
            </w:pPr>
          </w:p>
        </w:tc>
        <w:tc>
          <w:tcPr>
            <w:tcW w:w="1448" w:type="pct"/>
            <w:vMerge/>
            <w:tcBorders>
              <w:top w:val="nil"/>
              <w:left w:val="nil"/>
              <w:bottom w:val="single" w:sz="8" w:space="0" w:color="auto"/>
              <w:right w:val="nil"/>
            </w:tcBorders>
            <w:vAlign w:val="center"/>
            <w:hideMark/>
          </w:tcPr>
          <w:p w14:paraId="5FF15048" w14:textId="77777777" w:rsidR="00016D40" w:rsidRPr="00CA1166" w:rsidRDefault="00016D40" w:rsidP="00CD1FDD">
            <w:pPr>
              <w:spacing w:after="0" w:line="240" w:lineRule="auto"/>
              <w:rPr>
                <w:rFonts w:eastAsia="Times New Roman" w:cs="Calibri"/>
                <w:color w:val="000000"/>
                <w:sz w:val="20"/>
                <w:szCs w:val="20"/>
              </w:rPr>
            </w:pPr>
          </w:p>
        </w:tc>
      </w:tr>
      <w:tr w:rsidR="00016D40" w:rsidRPr="00CA1166" w14:paraId="24EC4A78" w14:textId="77777777" w:rsidTr="00CD1FDD">
        <w:trPr>
          <w:trHeight w:val="195"/>
          <w:jc w:val="center"/>
        </w:trPr>
        <w:tc>
          <w:tcPr>
            <w:tcW w:w="2242" w:type="pct"/>
            <w:tcBorders>
              <w:top w:val="single" w:sz="8" w:space="0" w:color="auto"/>
              <w:left w:val="nil"/>
              <w:bottom w:val="nil"/>
              <w:right w:val="nil"/>
            </w:tcBorders>
            <w:shd w:val="clear" w:color="auto" w:fill="auto"/>
            <w:noWrap/>
            <w:vAlign w:val="center"/>
            <w:hideMark/>
          </w:tcPr>
          <w:p w14:paraId="2423C80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655" w:type="pct"/>
            <w:tcBorders>
              <w:top w:val="single" w:sz="8" w:space="0" w:color="auto"/>
              <w:left w:val="nil"/>
              <w:bottom w:val="nil"/>
              <w:right w:val="nil"/>
            </w:tcBorders>
            <w:shd w:val="clear" w:color="auto" w:fill="auto"/>
            <w:noWrap/>
            <w:vAlign w:val="center"/>
            <w:hideMark/>
          </w:tcPr>
          <w:p w14:paraId="0BBE65C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-0.295***</w:t>
            </w:r>
          </w:p>
        </w:tc>
        <w:tc>
          <w:tcPr>
            <w:tcW w:w="655" w:type="pct"/>
            <w:tcBorders>
              <w:top w:val="single" w:sz="8" w:space="0" w:color="auto"/>
              <w:left w:val="nil"/>
              <w:bottom w:val="nil"/>
              <w:right w:val="nil"/>
            </w:tcBorders>
            <w:shd w:val="clear" w:color="auto" w:fill="auto"/>
            <w:noWrap/>
            <w:vAlign w:val="center"/>
            <w:hideMark/>
          </w:tcPr>
          <w:p w14:paraId="2254437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-0.462***</w:t>
            </w:r>
          </w:p>
        </w:tc>
        <w:tc>
          <w:tcPr>
            <w:tcW w:w="1448" w:type="pct"/>
            <w:tcBorders>
              <w:top w:val="single" w:sz="8" w:space="0" w:color="auto"/>
              <w:left w:val="nil"/>
              <w:bottom w:val="nil"/>
              <w:right w:val="nil"/>
            </w:tcBorders>
            <w:shd w:val="clear" w:color="auto" w:fill="auto"/>
            <w:noWrap/>
            <w:vAlign w:val="center"/>
            <w:hideMark/>
          </w:tcPr>
          <w:p w14:paraId="15ACE57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-0.568***</w:t>
            </w:r>
          </w:p>
        </w:tc>
      </w:tr>
      <w:tr w:rsidR="00016D40" w:rsidRPr="00CA1166" w14:paraId="39BEBCD1"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17F1AC92"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nil"/>
              <w:left w:val="nil"/>
              <w:bottom w:val="nil"/>
              <w:right w:val="nil"/>
            </w:tcBorders>
            <w:shd w:val="clear" w:color="auto" w:fill="auto"/>
            <w:noWrap/>
            <w:vAlign w:val="center"/>
            <w:hideMark/>
          </w:tcPr>
          <w:p w14:paraId="2D7621C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(-4.87)</w:t>
            </w:r>
          </w:p>
        </w:tc>
        <w:tc>
          <w:tcPr>
            <w:tcW w:w="655" w:type="pct"/>
            <w:tcBorders>
              <w:top w:val="nil"/>
              <w:left w:val="nil"/>
              <w:bottom w:val="nil"/>
              <w:right w:val="nil"/>
            </w:tcBorders>
            <w:shd w:val="clear" w:color="auto" w:fill="auto"/>
            <w:noWrap/>
            <w:vAlign w:val="center"/>
            <w:hideMark/>
          </w:tcPr>
          <w:p w14:paraId="27F98BE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(-3.68)</w:t>
            </w:r>
          </w:p>
        </w:tc>
        <w:tc>
          <w:tcPr>
            <w:tcW w:w="1448" w:type="pct"/>
            <w:tcBorders>
              <w:top w:val="nil"/>
              <w:left w:val="nil"/>
              <w:bottom w:val="nil"/>
              <w:right w:val="nil"/>
            </w:tcBorders>
            <w:shd w:val="clear" w:color="auto" w:fill="auto"/>
            <w:noWrap/>
            <w:vAlign w:val="center"/>
            <w:hideMark/>
          </w:tcPr>
          <w:p w14:paraId="2B781B5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(-5.07)</w:t>
            </w:r>
          </w:p>
        </w:tc>
      </w:tr>
      <w:tr w:rsidR="00016D40" w:rsidRPr="00CA1166" w14:paraId="4097DCD0"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655E655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655" w:type="pct"/>
            <w:tcBorders>
              <w:top w:val="nil"/>
              <w:left w:val="nil"/>
              <w:bottom w:val="nil"/>
              <w:right w:val="nil"/>
            </w:tcBorders>
            <w:shd w:val="clear" w:color="auto" w:fill="auto"/>
            <w:noWrap/>
            <w:vAlign w:val="center"/>
            <w:hideMark/>
          </w:tcPr>
          <w:p w14:paraId="71624BB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62FE88A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59CDA0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66A85287"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1CFEE45E"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798BA49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7D3628C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21C6E7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75B2644E"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6272E56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6CD76A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1F1E62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6BC167A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401D554" w14:textId="77777777" w:rsidTr="00CD1FDD">
        <w:trPr>
          <w:trHeight w:val="205"/>
          <w:jc w:val="center"/>
        </w:trPr>
        <w:tc>
          <w:tcPr>
            <w:tcW w:w="2242" w:type="pct"/>
            <w:tcBorders>
              <w:top w:val="nil"/>
              <w:left w:val="nil"/>
              <w:bottom w:val="nil"/>
              <w:right w:val="nil"/>
            </w:tcBorders>
            <w:shd w:val="clear" w:color="auto" w:fill="auto"/>
            <w:noWrap/>
            <w:vAlign w:val="bottom"/>
            <w:hideMark/>
          </w:tcPr>
          <w:p w14:paraId="57BF013E"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655" w:type="pct"/>
            <w:tcBorders>
              <w:top w:val="nil"/>
              <w:left w:val="nil"/>
              <w:bottom w:val="nil"/>
              <w:right w:val="nil"/>
            </w:tcBorders>
            <w:shd w:val="clear" w:color="auto" w:fill="auto"/>
            <w:noWrap/>
            <w:vAlign w:val="center"/>
            <w:hideMark/>
          </w:tcPr>
          <w:p w14:paraId="559F799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0.081</w:t>
            </w:r>
          </w:p>
        </w:tc>
        <w:tc>
          <w:tcPr>
            <w:tcW w:w="655" w:type="pct"/>
            <w:tcBorders>
              <w:top w:val="nil"/>
              <w:left w:val="nil"/>
              <w:bottom w:val="nil"/>
              <w:right w:val="nil"/>
            </w:tcBorders>
            <w:shd w:val="clear" w:color="auto" w:fill="auto"/>
            <w:noWrap/>
            <w:vAlign w:val="center"/>
            <w:hideMark/>
          </w:tcPr>
          <w:p w14:paraId="6207ABE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0.083</w:t>
            </w:r>
          </w:p>
        </w:tc>
        <w:tc>
          <w:tcPr>
            <w:tcW w:w="1448" w:type="pct"/>
            <w:tcBorders>
              <w:top w:val="nil"/>
              <w:left w:val="nil"/>
              <w:bottom w:val="nil"/>
              <w:right w:val="nil"/>
            </w:tcBorders>
            <w:shd w:val="clear" w:color="auto" w:fill="auto"/>
            <w:noWrap/>
            <w:vAlign w:val="center"/>
            <w:hideMark/>
          </w:tcPr>
          <w:p w14:paraId="5B5AC34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0.111</w:t>
            </w:r>
          </w:p>
        </w:tc>
      </w:tr>
      <w:tr w:rsidR="00016D40" w:rsidRPr="00CA1166" w14:paraId="33193CF1" w14:textId="77777777" w:rsidTr="00CD1FDD">
        <w:trPr>
          <w:trHeight w:val="195"/>
          <w:jc w:val="center"/>
        </w:trPr>
        <w:tc>
          <w:tcPr>
            <w:tcW w:w="2242" w:type="pct"/>
            <w:tcBorders>
              <w:top w:val="nil"/>
              <w:left w:val="nil"/>
              <w:bottom w:val="single" w:sz="12" w:space="0" w:color="auto"/>
              <w:right w:val="nil"/>
            </w:tcBorders>
            <w:shd w:val="clear" w:color="auto" w:fill="auto"/>
            <w:noWrap/>
            <w:vAlign w:val="bottom"/>
            <w:hideMark/>
          </w:tcPr>
          <w:p w14:paraId="1561D840"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655" w:type="pct"/>
            <w:tcBorders>
              <w:top w:val="nil"/>
              <w:left w:val="nil"/>
              <w:bottom w:val="single" w:sz="12" w:space="0" w:color="auto"/>
              <w:right w:val="nil"/>
            </w:tcBorders>
            <w:shd w:val="clear" w:color="auto" w:fill="auto"/>
            <w:noWrap/>
            <w:vAlign w:val="center"/>
            <w:hideMark/>
          </w:tcPr>
          <w:p w14:paraId="65B1D5D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35840</w:t>
            </w:r>
          </w:p>
        </w:tc>
        <w:tc>
          <w:tcPr>
            <w:tcW w:w="655" w:type="pct"/>
            <w:tcBorders>
              <w:top w:val="nil"/>
              <w:left w:val="nil"/>
              <w:bottom w:val="single" w:sz="12" w:space="0" w:color="auto"/>
              <w:right w:val="nil"/>
            </w:tcBorders>
            <w:shd w:val="clear" w:color="auto" w:fill="auto"/>
            <w:noWrap/>
            <w:vAlign w:val="center"/>
            <w:hideMark/>
          </w:tcPr>
          <w:p w14:paraId="72652A4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8525</w:t>
            </w:r>
          </w:p>
        </w:tc>
        <w:tc>
          <w:tcPr>
            <w:tcW w:w="1448" w:type="pct"/>
            <w:tcBorders>
              <w:top w:val="nil"/>
              <w:left w:val="nil"/>
              <w:bottom w:val="single" w:sz="12" w:space="0" w:color="auto"/>
              <w:right w:val="nil"/>
            </w:tcBorders>
            <w:shd w:val="clear" w:color="auto" w:fill="auto"/>
            <w:noWrap/>
            <w:vAlign w:val="center"/>
            <w:hideMark/>
          </w:tcPr>
          <w:p w14:paraId="2E133D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10236</w:t>
            </w:r>
          </w:p>
        </w:tc>
      </w:tr>
      <w:tr w:rsidR="00016D40" w:rsidRPr="00CA1166" w14:paraId="5C5611D9" w14:textId="77777777" w:rsidTr="00CD1FDD">
        <w:trPr>
          <w:trHeight w:val="195"/>
          <w:jc w:val="center"/>
        </w:trPr>
        <w:tc>
          <w:tcPr>
            <w:tcW w:w="2242" w:type="pct"/>
            <w:tcBorders>
              <w:top w:val="single" w:sz="12" w:space="0" w:color="auto"/>
              <w:left w:val="nil"/>
              <w:bottom w:val="single" w:sz="12" w:space="0" w:color="auto"/>
              <w:right w:val="nil"/>
            </w:tcBorders>
            <w:shd w:val="clear" w:color="auto" w:fill="auto"/>
            <w:noWrap/>
            <w:vAlign w:val="center"/>
            <w:hideMark/>
          </w:tcPr>
          <w:p w14:paraId="6A43A5A4"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40367858"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655" w:type="pct"/>
            <w:tcBorders>
              <w:top w:val="single" w:sz="12" w:space="0" w:color="auto"/>
              <w:left w:val="nil"/>
              <w:bottom w:val="single" w:sz="12" w:space="0" w:color="auto"/>
              <w:right w:val="nil"/>
            </w:tcBorders>
            <w:shd w:val="clear" w:color="auto" w:fill="auto"/>
            <w:noWrap/>
            <w:vAlign w:val="center"/>
            <w:hideMark/>
          </w:tcPr>
          <w:p w14:paraId="04B393C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1448" w:type="pct"/>
            <w:tcBorders>
              <w:top w:val="single" w:sz="12" w:space="0" w:color="auto"/>
              <w:left w:val="nil"/>
              <w:bottom w:val="single" w:sz="12" w:space="0" w:color="auto"/>
              <w:right w:val="nil"/>
            </w:tcBorders>
            <w:shd w:val="clear" w:color="auto" w:fill="auto"/>
            <w:noWrap/>
            <w:vAlign w:val="center"/>
            <w:hideMark/>
          </w:tcPr>
          <w:p w14:paraId="7839CC0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EFE1F6E" w14:textId="77777777" w:rsidTr="00CD1FDD">
        <w:trPr>
          <w:trHeight w:val="195"/>
          <w:jc w:val="center"/>
        </w:trPr>
        <w:tc>
          <w:tcPr>
            <w:tcW w:w="5000" w:type="pct"/>
            <w:gridSpan w:val="4"/>
            <w:tcBorders>
              <w:top w:val="single" w:sz="12" w:space="0" w:color="auto"/>
              <w:left w:val="nil"/>
              <w:bottom w:val="single" w:sz="8" w:space="0" w:color="auto"/>
              <w:right w:val="nil"/>
            </w:tcBorders>
            <w:shd w:val="clear" w:color="auto" w:fill="auto"/>
            <w:noWrap/>
            <w:vAlign w:val="center"/>
            <w:hideMark/>
          </w:tcPr>
          <w:p w14:paraId="6CF786E0" w14:textId="77777777" w:rsidR="00016D40" w:rsidRPr="00CA1166" w:rsidRDefault="00016D40" w:rsidP="00CD1FDD">
            <w:pPr>
              <w:spacing w:after="0" w:line="240" w:lineRule="auto"/>
              <w:rPr>
                <w:rFonts w:ascii="Times New Roman" w:eastAsia="Times New Roman" w:hAnsi="Times New Roman" w:cs="Times New Roman"/>
                <w:b/>
                <w:sz w:val="20"/>
                <w:szCs w:val="20"/>
              </w:rPr>
            </w:pPr>
            <w:r w:rsidRPr="00CA1166">
              <w:rPr>
                <w:rFonts w:eastAsia="Times New Roman" w:cs="Calibri"/>
                <w:b/>
                <w:color w:val="000000"/>
                <w:sz w:val="20"/>
                <w:szCs w:val="20"/>
              </w:rPr>
              <w:t>Panel E: Total investments in capital (TOC)</w:t>
            </w:r>
          </w:p>
        </w:tc>
      </w:tr>
      <w:tr w:rsidR="00016D40" w:rsidRPr="00CA1166" w14:paraId="5D356119" w14:textId="77777777" w:rsidTr="00CD1FDD">
        <w:trPr>
          <w:trHeight w:val="269"/>
          <w:jc w:val="center"/>
        </w:trPr>
        <w:tc>
          <w:tcPr>
            <w:tcW w:w="2242" w:type="pct"/>
            <w:vMerge w:val="restart"/>
            <w:tcBorders>
              <w:top w:val="single" w:sz="8" w:space="0" w:color="auto"/>
              <w:left w:val="nil"/>
              <w:bottom w:val="nil"/>
              <w:right w:val="nil"/>
            </w:tcBorders>
            <w:shd w:val="clear" w:color="auto" w:fill="auto"/>
            <w:vAlign w:val="center"/>
            <w:hideMark/>
          </w:tcPr>
          <w:p w14:paraId="2608BA12"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The relation between other</w:t>
            </w:r>
            <w:r w:rsidRPr="00CA1166">
              <w:rPr>
                <w:rFonts w:eastAsia="Times New Roman" w:cs="Calibri"/>
                <w:color w:val="000000"/>
                <w:sz w:val="20"/>
                <w:szCs w:val="20"/>
              </w:rPr>
              <w:br/>
              <w:t>investments and labo</w:t>
            </w:r>
            <w:r>
              <w:rPr>
                <w:rFonts w:eastAsia="Times New Roman" w:cs="Calibri"/>
                <w:color w:val="000000"/>
                <w:sz w:val="20"/>
                <w:szCs w:val="20"/>
              </w:rPr>
              <w:t>u</w:t>
            </w:r>
            <w:r w:rsidRPr="00CA1166">
              <w:rPr>
                <w:rFonts w:eastAsia="Times New Roman" w:cs="Calibri"/>
                <w:color w:val="000000"/>
                <w:sz w:val="20"/>
                <w:szCs w:val="20"/>
              </w:rPr>
              <w:t xml:space="preserve">r investments is </w:t>
            </w:r>
          </w:p>
        </w:tc>
        <w:tc>
          <w:tcPr>
            <w:tcW w:w="655" w:type="pct"/>
            <w:vMerge w:val="restart"/>
            <w:tcBorders>
              <w:top w:val="single" w:sz="8" w:space="0" w:color="auto"/>
              <w:left w:val="nil"/>
              <w:bottom w:val="nil"/>
              <w:right w:val="nil"/>
            </w:tcBorders>
            <w:shd w:val="clear" w:color="auto" w:fill="auto"/>
            <w:noWrap/>
            <w:vAlign w:val="center"/>
            <w:hideMark/>
          </w:tcPr>
          <w:p w14:paraId="37D708C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Positive</w:t>
            </w:r>
          </w:p>
        </w:tc>
        <w:tc>
          <w:tcPr>
            <w:tcW w:w="655" w:type="pct"/>
            <w:vMerge w:val="restart"/>
            <w:tcBorders>
              <w:top w:val="single" w:sz="8" w:space="0" w:color="auto"/>
              <w:left w:val="nil"/>
              <w:bottom w:val="nil"/>
              <w:right w:val="nil"/>
            </w:tcBorders>
            <w:shd w:val="clear" w:color="auto" w:fill="auto"/>
            <w:noWrap/>
            <w:vAlign w:val="center"/>
            <w:hideMark/>
          </w:tcPr>
          <w:p w14:paraId="4F79662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Negative</w:t>
            </w:r>
          </w:p>
        </w:tc>
        <w:tc>
          <w:tcPr>
            <w:tcW w:w="1448" w:type="pct"/>
            <w:vMerge w:val="restart"/>
            <w:tcBorders>
              <w:top w:val="single" w:sz="8" w:space="0" w:color="auto"/>
              <w:left w:val="nil"/>
              <w:bottom w:val="nil"/>
              <w:right w:val="nil"/>
            </w:tcBorders>
            <w:shd w:val="clear" w:color="auto" w:fill="auto"/>
            <w:vAlign w:val="center"/>
            <w:hideMark/>
          </w:tcPr>
          <w:p w14:paraId="7F50E3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 xml:space="preserve">Zero other investment </w:t>
            </w:r>
            <w:r w:rsidRPr="00CA1166">
              <w:rPr>
                <w:rFonts w:eastAsia="Times New Roman" w:cs="Calibri"/>
                <w:color w:val="000000"/>
                <w:sz w:val="20"/>
                <w:szCs w:val="20"/>
              </w:rPr>
              <w:br/>
              <w:t>or not reported</w:t>
            </w:r>
          </w:p>
        </w:tc>
      </w:tr>
      <w:tr w:rsidR="00016D40" w:rsidRPr="00CA1166" w14:paraId="742D31A7" w14:textId="77777777" w:rsidTr="00CD1FDD">
        <w:trPr>
          <w:trHeight w:val="450"/>
          <w:jc w:val="center"/>
        </w:trPr>
        <w:tc>
          <w:tcPr>
            <w:tcW w:w="2242" w:type="pct"/>
            <w:vMerge/>
            <w:tcBorders>
              <w:top w:val="nil"/>
              <w:left w:val="nil"/>
              <w:bottom w:val="single" w:sz="8" w:space="0" w:color="auto"/>
              <w:right w:val="nil"/>
            </w:tcBorders>
            <w:vAlign w:val="center"/>
            <w:hideMark/>
          </w:tcPr>
          <w:p w14:paraId="63DAD89E"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5DB50BC0" w14:textId="77777777" w:rsidR="00016D40" w:rsidRPr="00CA1166" w:rsidRDefault="00016D40" w:rsidP="00CD1FDD">
            <w:pPr>
              <w:spacing w:after="0" w:line="240" w:lineRule="auto"/>
              <w:rPr>
                <w:rFonts w:eastAsia="Times New Roman" w:cs="Calibri"/>
                <w:color w:val="000000"/>
                <w:sz w:val="20"/>
                <w:szCs w:val="20"/>
              </w:rPr>
            </w:pPr>
          </w:p>
        </w:tc>
        <w:tc>
          <w:tcPr>
            <w:tcW w:w="655" w:type="pct"/>
            <w:vMerge/>
            <w:tcBorders>
              <w:top w:val="nil"/>
              <w:left w:val="nil"/>
              <w:bottom w:val="single" w:sz="8" w:space="0" w:color="auto"/>
              <w:right w:val="nil"/>
            </w:tcBorders>
            <w:vAlign w:val="center"/>
            <w:hideMark/>
          </w:tcPr>
          <w:p w14:paraId="0590A33D" w14:textId="77777777" w:rsidR="00016D40" w:rsidRPr="00CA1166" w:rsidRDefault="00016D40" w:rsidP="00CD1FDD">
            <w:pPr>
              <w:spacing w:after="0" w:line="240" w:lineRule="auto"/>
              <w:rPr>
                <w:rFonts w:eastAsia="Times New Roman" w:cs="Calibri"/>
                <w:color w:val="000000"/>
                <w:sz w:val="20"/>
                <w:szCs w:val="20"/>
              </w:rPr>
            </w:pPr>
          </w:p>
        </w:tc>
        <w:tc>
          <w:tcPr>
            <w:tcW w:w="1448" w:type="pct"/>
            <w:vMerge/>
            <w:tcBorders>
              <w:top w:val="nil"/>
              <w:left w:val="nil"/>
              <w:bottom w:val="single" w:sz="8" w:space="0" w:color="auto"/>
              <w:right w:val="nil"/>
            </w:tcBorders>
            <w:vAlign w:val="center"/>
            <w:hideMark/>
          </w:tcPr>
          <w:p w14:paraId="18D31083" w14:textId="77777777" w:rsidR="00016D40" w:rsidRPr="00CA1166" w:rsidRDefault="00016D40" w:rsidP="00CD1FDD">
            <w:pPr>
              <w:spacing w:after="0" w:line="240" w:lineRule="auto"/>
              <w:rPr>
                <w:rFonts w:eastAsia="Times New Roman" w:cs="Calibri"/>
                <w:color w:val="000000"/>
                <w:sz w:val="20"/>
                <w:szCs w:val="20"/>
              </w:rPr>
            </w:pPr>
          </w:p>
        </w:tc>
      </w:tr>
      <w:tr w:rsidR="00016D40" w:rsidRPr="00CA1166" w14:paraId="1EA24A6F" w14:textId="77777777" w:rsidTr="00CD1FDD">
        <w:trPr>
          <w:trHeight w:val="195"/>
          <w:jc w:val="center"/>
        </w:trPr>
        <w:tc>
          <w:tcPr>
            <w:tcW w:w="2242" w:type="pct"/>
            <w:tcBorders>
              <w:top w:val="single" w:sz="8" w:space="0" w:color="auto"/>
              <w:left w:val="nil"/>
              <w:bottom w:val="nil"/>
              <w:right w:val="nil"/>
            </w:tcBorders>
            <w:shd w:val="clear" w:color="auto" w:fill="auto"/>
            <w:noWrap/>
            <w:vAlign w:val="center"/>
            <w:hideMark/>
          </w:tcPr>
          <w:p w14:paraId="04D6B920"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655" w:type="pct"/>
            <w:tcBorders>
              <w:top w:val="single" w:sz="8" w:space="0" w:color="auto"/>
              <w:left w:val="nil"/>
              <w:bottom w:val="nil"/>
              <w:right w:val="nil"/>
            </w:tcBorders>
            <w:shd w:val="clear" w:color="auto" w:fill="auto"/>
            <w:noWrap/>
            <w:vAlign w:val="center"/>
            <w:hideMark/>
          </w:tcPr>
          <w:p w14:paraId="3C88B20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-0.251**</w:t>
            </w:r>
          </w:p>
        </w:tc>
        <w:tc>
          <w:tcPr>
            <w:tcW w:w="655" w:type="pct"/>
            <w:tcBorders>
              <w:top w:val="single" w:sz="8" w:space="0" w:color="auto"/>
              <w:left w:val="nil"/>
              <w:bottom w:val="nil"/>
              <w:right w:val="nil"/>
            </w:tcBorders>
            <w:shd w:val="clear" w:color="auto" w:fill="auto"/>
            <w:noWrap/>
            <w:vAlign w:val="center"/>
            <w:hideMark/>
          </w:tcPr>
          <w:p w14:paraId="63219EB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-0.762***</w:t>
            </w:r>
          </w:p>
        </w:tc>
        <w:tc>
          <w:tcPr>
            <w:tcW w:w="1448" w:type="pct"/>
            <w:tcBorders>
              <w:top w:val="single" w:sz="8" w:space="0" w:color="auto"/>
              <w:left w:val="nil"/>
              <w:bottom w:val="nil"/>
              <w:right w:val="nil"/>
            </w:tcBorders>
            <w:shd w:val="clear" w:color="auto" w:fill="auto"/>
            <w:noWrap/>
            <w:vAlign w:val="center"/>
            <w:hideMark/>
          </w:tcPr>
          <w:p w14:paraId="1BD3925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-0.381***</w:t>
            </w:r>
          </w:p>
        </w:tc>
      </w:tr>
      <w:tr w:rsidR="00016D40" w:rsidRPr="00CA1166" w14:paraId="70DAD66F"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530E3F97" w14:textId="77777777" w:rsidR="00016D40" w:rsidRPr="00CA1166" w:rsidRDefault="00016D40" w:rsidP="00CD1FDD">
            <w:pPr>
              <w:spacing w:after="0" w:line="240" w:lineRule="auto"/>
              <w:jc w:val="center"/>
              <w:rPr>
                <w:rFonts w:eastAsia="Times New Roman" w:cs="Calibri"/>
                <w:color w:val="000000"/>
                <w:sz w:val="20"/>
                <w:szCs w:val="20"/>
              </w:rPr>
            </w:pPr>
          </w:p>
        </w:tc>
        <w:tc>
          <w:tcPr>
            <w:tcW w:w="655" w:type="pct"/>
            <w:tcBorders>
              <w:top w:val="nil"/>
              <w:left w:val="nil"/>
              <w:bottom w:val="nil"/>
              <w:right w:val="nil"/>
            </w:tcBorders>
            <w:shd w:val="clear" w:color="auto" w:fill="auto"/>
            <w:noWrap/>
            <w:vAlign w:val="center"/>
            <w:hideMark/>
          </w:tcPr>
          <w:p w14:paraId="64AA77B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(-2.38)</w:t>
            </w:r>
          </w:p>
        </w:tc>
        <w:tc>
          <w:tcPr>
            <w:tcW w:w="655" w:type="pct"/>
            <w:tcBorders>
              <w:top w:val="nil"/>
              <w:left w:val="nil"/>
              <w:bottom w:val="nil"/>
              <w:right w:val="nil"/>
            </w:tcBorders>
            <w:shd w:val="clear" w:color="auto" w:fill="auto"/>
            <w:noWrap/>
            <w:vAlign w:val="center"/>
            <w:hideMark/>
          </w:tcPr>
          <w:p w14:paraId="7ABEBA7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(-3.65)</w:t>
            </w:r>
          </w:p>
        </w:tc>
        <w:tc>
          <w:tcPr>
            <w:tcW w:w="1448" w:type="pct"/>
            <w:tcBorders>
              <w:top w:val="nil"/>
              <w:left w:val="nil"/>
              <w:bottom w:val="nil"/>
              <w:right w:val="nil"/>
            </w:tcBorders>
            <w:shd w:val="clear" w:color="auto" w:fill="auto"/>
            <w:noWrap/>
            <w:vAlign w:val="center"/>
            <w:hideMark/>
          </w:tcPr>
          <w:p w14:paraId="02040FB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(-6.74)</w:t>
            </w:r>
          </w:p>
        </w:tc>
      </w:tr>
      <w:tr w:rsidR="00016D40" w:rsidRPr="00CA1166" w14:paraId="1ADBDBAC"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16615811"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lastRenderedPageBreak/>
              <w:t>Control</w:t>
            </w:r>
          </w:p>
        </w:tc>
        <w:tc>
          <w:tcPr>
            <w:tcW w:w="655" w:type="pct"/>
            <w:tcBorders>
              <w:top w:val="nil"/>
              <w:left w:val="nil"/>
              <w:bottom w:val="nil"/>
              <w:right w:val="nil"/>
            </w:tcBorders>
            <w:shd w:val="clear" w:color="auto" w:fill="auto"/>
            <w:noWrap/>
            <w:vAlign w:val="center"/>
            <w:hideMark/>
          </w:tcPr>
          <w:p w14:paraId="2F7C326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4AA69C6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74CA95A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6C983911"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7F870B5B"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7ACB92E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6ECF70A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27225EB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5D1E5151" w14:textId="77777777" w:rsidTr="00CD1FDD">
        <w:trPr>
          <w:trHeight w:val="195"/>
          <w:jc w:val="center"/>
        </w:trPr>
        <w:tc>
          <w:tcPr>
            <w:tcW w:w="2242" w:type="pct"/>
            <w:tcBorders>
              <w:top w:val="nil"/>
              <w:left w:val="nil"/>
              <w:bottom w:val="nil"/>
              <w:right w:val="nil"/>
            </w:tcBorders>
            <w:shd w:val="clear" w:color="auto" w:fill="auto"/>
            <w:noWrap/>
            <w:vAlign w:val="bottom"/>
            <w:hideMark/>
          </w:tcPr>
          <w:p w14:paraId="26D22FEC"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655" w:type="pct"/>
            <w:tcBorders>
              <w:top w:val="nil"/>
              <w:left w:val="nil"/>
              <w:bottom w:val="nil"/>
              <w:right w:val="nil"/>
            </w:tcBorders>
            <w:shd w:val="clear" w:color="auto" w:fill="auto"/>
            <w:noWrap/>
            <w:vAlign w:val="center"/>
            <w:hideMark/>
          </w:tcPr>
          <w:p w14:paraId="6885363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655" w:type="pct"/>
            <w:tcBorders>
              <w:top w:val="nil"/>
              <w:left w:val="nil"/>
              <w:bottom w:val="nil"/>
              <w:right w:val="nil"/>
            </w:tcBorders>
            <w:shd w:val="clear" w:color="auto" w:fill="auto"/>
            <w:noWrap/>
            <w:vAlign w:val="center"/>
            <w:hideMark/>
          </w:tcPr>
          <w:p w14:paraId="597CDE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1448" w:type="pct"/>
            <w:tcBorders>
              <w:top w:val="nil"/>
              <w:left w:val="nil"/>
              <w:bottom w:val="nil"/>
              <w:right w:val="nil"/>
            </w:tcBorders>
            <w:shd w:val="clear" w:color="auto" w:fill="auto"/>
            <w:noWrap/>
            <w:vAlign w:val="center"/>
            <w:hideMark/>
          </w:tcPr>
          <w:p w14:paraId="26671F0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54BE5DA5" w14:textId="77777777" w:rsidTr="00CD1FDD">
        <w:trPr>
          <w:trHeight w:val="205"/>
          <w:jc w:val="center"/>
        </w:trPr>
        <w:tc>
          <w:tcPr>
            <w:tcW w:w="2242" w:type="pct"/>
            <w:tcBorders>
              <w:top w:val="nil"/>
              <w:left w:val="nil"/>
              <w:bottom w:val="nil"/>
              <w:right w:val="nil"/>
            </w:tcBorders>
            <w:shd w:val="clear" w:color="auto" w:fill="auto"/>
            <w:noWrap/>
            <w:vAlign w:val="bottom"/>
            <w:hideMark/>
          </w:tcPr>
          <w:p w14:paraId="6F228157"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655" w:type="pct"/>
            <w:tcBorders>
              <w:top w:val="nil"/>
              <w:left w:val="nil"/>
              <w:bottom w:val="nil"/>
              <w:right w:val="nil"/>
            </w:tcBorders>
            <w:shd w:val="clear" w:color="auto" w:fill="auto"/>
            <w:noWrap/>
            <w:vAlign w:val="center"/>
            <w:hideMark/>
          </w:tcPr>
          <w:p w14:paraId="19C8DC8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0.100</w:t>
            </w:r>
          </w:p>
        </w:tc>
        <w:tc>
          <w:tcPr>
            <w:tcW w:w="655" w:type="pct"/>
            <w:tcBorders>
              <w:top w:val="nil"/>
              <w:left w:val="nil"/>
              <w:bottom w:val="nil"/>
              <w:right w:val="nil"/>
            </w:tcBorders>
            <w:shd w:val="clear" w:color="auto" w:fill="auto"/>
            <w:noWrap/>
            <w:vAlign w:val="center"/>
            <w:hideMark/>
          </w:tcPr>
          <w:p w14:paraId="49C196B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0.112</w:t>
            </w:r>
          </w:p>
        </w:tc>
        <w:tc>
          <w:tcPr>
            <w:tcW w:w="1448" w:type="pct"/>
            <w:tcBorders>
              <w:top w:val="nil"/>
              <w:left w:val="nil"/>
              <w:bottom w:val="nil"/>
              <w:right w:val="nil"/>
            </w:tcBorders>
            <w:shd w:val="clear" w:color="auto" w:fill="auto"/>
            <w:noWrap/>
            <w:vAlign w:val="center"/>
            <w:hideMark/>
          </w:tcPr>
          <w:p w14:paraId="22C0AD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0.077</w:t>
            </w:r>
          </w:p>
        </w:tc>
      </w:tr>
      <w:tr w:rsidR="00016D40" w:rsidRPr="00CA1166" w14:paraId="0381F43B" w14:textId="77777777" w:rsidTr="00CD1FDD">
        <w:trPr>
          <w:trHeight w:val="195"/>
          <w:jc w:val="center"/>
        </w:trPr>
        <w:tc>
          <w:tcPr>
            <w:tcW w:w="2242" w:type="pct"/>
            <w:tcBorders>
              <w:top w:val="nil"/>
              <w:left w:val="nil"/>
              <w:bottom w:val="single" w:sz="18" w:space="0" w:color="auto"/>
              <w:right w:val="nil"/>
            </w:tcBorders>
            <w:shd w:val="clear" w:color="auto" w:fill="auto"/>
            <w:noWrap/>
            <w:vAlign w:val="bottom"/>
            <w:hideMark/>
          </w:tcPr>
          <w:p w14:paraId="261B658D"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655" w:type="pct"/>
            <w:tcBorders>
              <w:top w:val="nil"/>
              <w:left w:val="nil"/>
              <w:bottom w:val="single" w:sz="18" w:space="0" w:color="auto"/>
              <w:right w:val="nil"/>
            </w:tcBorders>
            <w:shd w:val="clear" w:color="auto" w:fill="auto"/>
            <w:noWrap/>
            <w:vAlign w:val="center"/>
            <w:hideMark/>
          </w:tcPr>
          <w:p w14:paraId="0413873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8301</w:t>
            </w:r>
          </w:p>
        </w:tc>
        <w:tc>
          <w:tcPr>
            <w:tcW w:w="655" w:type="pct"/>
            <w:tcBorders>
              <w:top w:val="nil"/>
              <w:left w:val="nil"/>
              <w:bottom w:val="single" w:sz="18" w:space="0" w:color="auto"/>
              <w:right w:val="nil"/>
            </w:tcBorders>
            <w:shd w:val="clear" w:color="auto" w:fill="auto"/>
            <w:noWrap/>
            <w:vAlign w:val="center"/>
            <w:hideMark/>
          </w:tcPr>
          <w:p w14:paraId="7C36731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2157</w:t>
            </w:r>
          </w:p>
        </w:tc>
        <w:tc>
          <w:tcPr>
            <w:tcW w:w="1448" w:type="pct"/>
            <w:tcBorders>
              <w:top w:val="nil"/>
              <w:left w:val="nil"/>
              <w:bottom w:val="single" w:sz="18" w:space="0" w:color="auto"/>
              <w:right w:val="nil"/>
            </w:tcBorders>
            <w:shd w:val="clear" w:color="auto" w:fill="auto"/>
            <w:noWrap/>
            <w:vAlign w:val="center"/>
            <w:hideMark/>
          </w:tcPr>
          <w:p w14:paraId="4FEAF33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44143</w:t>
            </w:r>
          </w:p>
        </w:tc>
      </w:tr>
    </w:tbl>
    <w:p w14:paraId="2B832E16" w14:textId="77777777" w:rsidR="00016D40" w:rsidRDefault="00016D40" w:rsidP="00016D40">
      <w:pPr>
        <w:spacing w:after="0"/>
        <w:jc w:val="both"/>
      </w:pPr>
    </w:p>
    <w:p w14:paraId="628BD3BD" w14:textId="77777777" w:rsidR="00016D40" w:rsidRPr="00CA1166" w:rsidRDefault="00016D40" w:rsidP="00016D40">
      <w:pPr>
        <w:spacing w:after="0"/>
        <w:jc w:val="both"/>
      </w:pPr>
      <w:r w:rsidRPr="00CA1166">
        <w:t>Note: This table presents the results for the impact of non-labo</w:t>
      </w:r>
      <w:r>
        <w:t>u</w:t>
      </w:r>
      <w:r w:rsidRPr="00CA1166">
        <w:t>r investment on the relationship between accounting comparability and labo</w:t>
      </w:r>
      <w:r>
        <w:t>u</w:t>
      </w:r>
      <w:r w:rsidRPr="00CA1166">
        <w:t>r investment. Panel A reports the results for the sub-samples based on capital expenditure (CAPX). Panel B reports the results for the sub-samples based on advertising expenses (XAD). Panel C reports the results for the sub-samples based on R&amp;D expenses (XRD). Panel D reports the results for the sub-samples based on acquisitions (AQC). Panel E reports the results for the sub-samples based on total investments in capital (TOC) are reported in Panel E. Each panel reports the results for the sub-sample of firms with a positive relationship between the non-</w:t>
      </w:r>
      <w:r>
        <w:t>labour</w:t>
      </w:r>
      <w:r w:rsidRPr="00CA1166">
        <w:t xml:space="preserve"> investment in question and net hiring; for the sub-sample of firms with a negative relationship between the non-labo</w:t>
      </w:r>
      <w:r>
        <w:t>u</w:t>
      </w:r>
      <w:r w:rsidRPr="00CA1166">
        <w:t>r investment in question and net hiring; and for the sub-sample of firms with a zero or missing value for the non-labo</w:t>
      </w:r>
      <w:r>
        <w:t>u</w:t>
      </w:r>
      <w:r w:rsidRPr="00CA1166">
        <w:t>r investment in question. The results for the control variables are not tabulated for brevity. All variables are defined in Appendix A. All regressions include year and industry fixed</w:t>
      </w:r>
      <w:r>
        <w:t>-</w:t>
      </w:r>
      <w:r w:rsidRPr="00CA1166">
        <w:t xml:space="preserve">effects. The </w:t>
      </w:r>
      <w:r w:rsidRPr="002E7D97">
        <w:rPr>
          <w:i/>
        </w:rPr>
        <w:t>t-</w:t>
      </w:r>
      <w:r w:rsidRPr="00CA1166">
        <w:t>statistics are computed based on the heteroscedasticity-robust standard errors clustered by firm and reported in parentheses. *, ** and *** indicate statistical significance at the 0.10, 0.05, and 0.01 levels, respectively, based on two-tailed tests.</w:t>
      </w:r>
    </w:p>
    <w:p w14:paraId="2946DA05" w14:textId="77777777" w:rsidR="00016D40" w:rsidRPr="00CA1166" w:rsidRDefault="00016D40" w:rsidP="00016D40"/>
    <w:p w14:paraId="1E26BBEC" w14:textId="77777777" w:rsidR="00016D40" w:rsidRPr="00CA1166" w:rsidRDefault="00016D40" w:rsidP="00016D40"/>
    <w:p w14:paraId="4F0418DC" w14:textId="77777777" w:rsidR="00016D40" w:rsidRPr="00CA1166" w:rsidRDefault="00016D40" w:rsidP="00016D40"/>
    <w:p w14:paraId="6B3A9EBD" w14:textId="77777777" w:rsidR="00016D40" w:rsidRPr="00CA1166" w:rsidRDefault="00016D40" w:rsidP="00016D40"/>
    <w:p w14:paraId="42E8AB4D" w14:textId="77777777" w:rsidR="00016D40" w:rsidRPr="00CA1166" w:rsidRDefault="00016D40" w:rsidP="00016D40"/>
    <w:p w14:paraId="73007F83" w14:textId="77777777" w:rsidR="00016D40" w:rsidRPr="00CA1166" w:rsidRDefault="00016D40" w:rsidP="00016D40"/>
    <w:p w14:paraId="7528BCEC" w14:textId="77777777" w:rsidR="00016D40" w:rsidRPr="00CA1166" w:rsidRDefault="00016D40" w:rsidP="00016D40"/>
    <w:p w14:paraId="36E49F26" w14:textId="77777777" w:rsidR="00016D40" w:rsidRPr="00CA1166" w:rsidRDefault="00016D40" w:rsidP="00016D40"/>
    <w:p w14:paraId="7BBA408E" w14:textId="77777777" w:rsidR="00016D40" w:rsidRPr="00CA1166" w:rsidRDefault="00016D40" w:rsidP="00016D40"/>
    <w:p w14:paraId="334B79ED" w14:textId="77777777" w:rsidR="00016D40" w:rsidRPr="00CA1166" w:rsidRDefault="00016D40" w:rsidP="00016D40"/>
    <w:p w14:paraId="71915A21" w14:textId="77777777" w:rsidR="00016D40" w:rsidRPr="00CA1166" w:rsidRDefault="00016D40" w:rsidP="00016D40"/>
    <w:p w14:paraId="703B8671" w14:textId="77777777" w:rsidR="00016D40" w:rsidRPr="00CA1166" w:rsidRDefault="00016D40" w:rsidP="00016D40"/>
    <w:p w14:paraId="36A190F7" w14:textId="77777777" w:rsidR="00016D40" w:rsidRPr="00CA1166" w:rsidRDefault="00016D40" w:rsidP="00016D40"/>
    <w:p w14:paraId="6F432D91" w14:textId="77777777" w:rsidR="00016D40" w:rsidRPr="00CA1166" w:rsidRDefault="00016D40" w:rsidP="00016D40"/>
    <w:p w14:paraId="7F380BB5" w14:textId="77777777" w:rsidR="00016D40" w:rsidRDefault="00016D40" w:rsidP="00016D40"/>
    <w:p w14:paraId="24B1D5F0" w14:textId="77777777" w:rsidR="008325AD" w:rsidRPr="00CA1166" w:rsidRDefault="008325AD" w:rsidP="00016D40"/>
    <w:p w14:paraId="24261EA9" w14:textId="77777777" w:rsidR="00016D40" w:rsidRPr="00CA1166" w:rsidRDefault="00016D40" w:rsidP="00016D40"/>
    <w:p w14:paraId="6572EF44" w14:textId="77777777" w:rsidR="00016D40" w:rsidRPr="00CA1166" w:rsidRDefault="00016D40" w:rsidP="00016D40">
      <w:pPr>
        <w:rPr>
          <w:b/>
        </w:rPr>
      </w:pPr>
    </w:p>
    <w:p w14:paraId="0551F48D" w14:textId="77777777" w:rsidR="00016D40" w:rsidRPr="00CA1166" w:rsidRDefault="00016D40" w:rsidP="00016D40">
      <w:r w:rsidRPr="00CA1166">
        <w:rPr>
          <w:b/>
        </w:rPr>
        <w:lastRenderedPageBreak/>
        <w:t xml:space="preserve">Table </w:t>
      </w:r>
      <w:r>
        <w:rPr>
          <w:b/>
        </w:rPr>
        <w:t>6</w:t>
      </w:r>
      <w:r w:rsidRPr="00CA1166">
        <w:t>. Addressing Endogeneity: Propensity Score Matching</w:t>
      </w:r>
    </w:p>
    <w:p w14:paraId="341F6777" w14:textId="77777777" w:rsidR="00016D40" w:rsidRPr="00CA1166" w:rsidRDefault="00016D40" w:rsidP="00016D40">
      <w:pPr>
        <w:spacing w:after="0"/>
      </w:pPr>
    </w:p>
    <w:p w14:paraId="33D11A72" w14:textId="77777777" w:rsidR="00016D40" w:rsidRPr="00CA1166" w:rsidRDefault="00016D40" w:rsidP="00016D40">
      <w:r w:rsidRPr="00CA1166">
        <w:rPr>
          <w:b/>
        </w:rPr>
        <w:t>Panel A:</w:t>
      </w:r>
      <w:r w:rsidRPr="00CA1166">
        <w:t xml:space="preserve"> Difference in </w:t>
      </w:r>
      <w:r>
        <w:t>Labour</w:t>
      </w:r>
      <w:r w:rsidRPr="00CA1166">
        <w:t xml:space="preserve"> Investment Inefficiency for Matched Sample</w:t>
      </w:r>
    </w:p>
    <w:tbl>
      <w:tblPr>
        <w:tblW w:w="5000" w:type="pct"/>
        <w:tblLook w:val="04A0" w:firstRow="1" w:lastRow="0" w:firstColumn="1" w:lastColumn="0" w:noHBand="0" w:noVBand="1"/>
      </w:tblPr>
      <w:tblGrid>
        <w:gridCol w:w="3883"/>
        <w:gridCol w:w="1715"/>
        <w:gridCol w:w="1715"/>
        <w:gridCol w:w="1713"/>
      </w:tblGrid>
      <w:tr w:rsidR="00016D40" w:rsidRPr="00CA1166" w14:paraId="75DE71FB" w14:textId="77777777" w:rsidTr="00CD1FDD">
        <w:trPr>
          <w:trHeight w:val="212"/>
        </w:trPr>
        <w:tc>
          <w:tcPr>
            <w:tcW w:w="2151" w:type="pct"/>
            <w:tcBorders>
              <w:top w:val="single" w:sz="18" w:space="0" w:color="auto"/>
              <w:left w:val="nil"/>
              <w:bottom w:val="single" w:sz="4" w:space="0" w:color="auto"/>
              <w:right w:val="nil"/>
            </w:tcBorders>
            <w:shd w:val="clear" w:color="auto" w:fill="auto"/>
            <w:noWrap/>
            <w:vAlign w:val="center"/>
            <w:hideMark/>
          </w:tcPr>
          <w:p w14:paraId="77F05590" w14:textId="77777777" w:rsidR="00016D40" w:rsidRPr="00CA1166" w:rsidRDefault="00016D40" w:rsidP="00CD1FDD">
            <w:pPr>
              <w:spacing w:after="0" w:line="240" w:lineRule="auto"/>
              <w:rPr>
                <w:rFonts w:ascii="Times New Roman" w:eastAsia="Times New Roman" w:hAnsi="Times New Roman" w:cs="Times New Roman"/>
                <w:sz w:val="24"/>
                <w:szCs w:val="24"/>
              </w:rPr>
            </w:pPr>
          </w:p>
        </w:tc>
        <w:tc>
          <w:tcPr>
            <w:tcW w:w="950" w:type="pct"/>
            <w:tcBorders>
              <w:top w:val="single" w:sz="18" w:space="0" w:color="auto"/>
              <w:left w:val="nil"/>
              <w:bottom w:val="single" w:sz="4" w:space="0" w:color="auto"/>
              <w:right w:val="nil"/>
            </w:tcBorders>
            <w:shd w:val="clear" w:color="auto" w:fill="auto"/>
            <w:noWrap/>
            <w:vAlign w:val="center"/>
            <w:hideMark/>
          </w:tcPr>
          <w:p w14:paraId="5A0F6075"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b/>
              </w:rPr>
              <w:t>NN 1:1</w:t>
            </w:r>
          </w:p>
        </w:tc>
        <w:tc>
          <w:tcPr>
            <w:tcW w:w="950" w:type="pct"/>
            <w:tcBorders>
              <w:top w:val="single" w:sz="18" w:space="0" w:color="auto"/>
              <w:left w:val="nil"/>
              <w:bottom w:val="single" w:sz="4" w:space="0" w:color="auto"/>
              <w:right w:val="nil"/>
            </w:tcBorders>
            <w:shd w:val="clear" w:color="auto" w:fill="auto"/>
            <w:noWrap/>
            <w:vAlign w:val="center"/>
            <w:hideMark/>
          </w:tcPr>
          <w:p w14:paraId="1AF45F1E"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b/>
              </w:rPr>
              <w:t>NN 1:4</w:t>
            </w:r>
          </w:p>
        </w:tc>
        <w:tc>
          <w:tcPr>
            <w:tcW w:w="950" w:type="pct"/>
            <w:tcBorders>
              <w:top w:val="single" w:sz="18" w:space="0" w:color="auto"/>
              <w:left w:val="nil"/>
              <w:bottom w:val="single" w:sz="4" w:space="0" w:color="auto"/>
              <w:right w:val="nil"/>
            </w:tcBorders>
            <w:shd w:val="clear" w:color="auto" w:fill="auto"/>
            <w:noWrap/>
            <w:vAlign w:val="center"/>
            <w:hideMark/>
          </w:tcPr>
          <w:p w14:paraId="2BF1C9FB"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b/>
              </w:rPr>
              <w:t>Radius</w:t>
            </w:r>
          </w:p>
        </w:tc>
      </w:tr>
      <w:tr w:rsidR="00016D40" w:rsidRPr="00CA1166" w14:paraId="3A3C92FD" w14:textId="77777777" w:rsidTr="00CD1FDD">
        <w:trPr>
          <w:trHeight w:val="212"/>
        </w:trPr>
        <w:tc>
          <w:tcPr>
            <w:tcW w:w="2151" w:type="pct"/>
            <w:tcBorders>
              <w:top w:val="single" w:sz="4" w:space="0" w:color="auto"/>
              <w:left w:val="nil"/>
              <w:bottom w:val="nil"/>
              <w:right w:val="nil"/>
            </w:tcBorders>
            <w:shd w:val="clear" w:color="auto" w:fill="auto"/>
            <w:noWrap/>
            <w:vAlign w:val="center"/>
            <w:hideMark/>
          </w:tcPr>
          <w:p w14:paraId="71C7952E"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Diff_CompacctInd</w:t>
            </w:r>
            <w:r w:rsidRPr="00CA1166">
              <w:rPr>
                <w:rFonts w:eastAsia="Times New Roman" w:cs="Calibri"/>
                <w:i/>
                <w:iCs/>
                <w:color w:val="000000"/>
                <w:sz w:val="20"/>
                <w:szCs w:val="20"/>
                <w:vertAlign w:val="subscript"/>
              </w:rPr>
              <w:t>i,t-1</w:t>
            </w:r>
          </w:p>
        </w:tc>
        <w:tc>
          <w:tcPr>
            <w:tcW w:w="950" w:type="pct"/>
            <w:tcBorders>
              <w:top w:val="single" w:sz="4" w:space="0" w:color="auto"/>
              <w:left w:val="nil"/>
              <w:bottom w:val="nil"/>
              <w:right w:val="nil"/>
            </w:tcBorders>
            <w:shd w:val="clear" w:color="auto" w:fill="auto"/>
            <w:noWrap/>
            <w:vAlign w:val="center"/>
            <w:hideMark/>
          </w:tcPr>
          <w:p w14:paraId="10B2EE3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w:t>
            </w:r>
            <w:r>
              <w:rPr>
                <w:rFonts w:eastAsia="Times New Roman" w:cs="Calibri"/>
                <w:color w:val="000000"/>
                <w:sz w:val="20"/>
                <w:szCs w:val="20"/>
              </w:rPr>
              <w:t>25</w:t>
            </w:r>
            <w:r w:rsidRPr="00CA1166">
              <w:rPr>
                <w:rFonts w:eastAsia="Times New Roman" w:cs="Calibri"/>
                <w:color w:val="000000"/>
                <w:sz w:val="20"/>
                <w:szCs w:val="20"/>
              </w:rPr>
              <w:t>***</w:t>
            </w:r>
          </w:p>
        </w:tc>
        <w:tc>
          <w:tcPr>
            <w:tcW w:w="950" w:type="pct"/>
            <w:tcBorders>
              <w:top w:val="single" w:sz="4" w:space="0" w:color="auto"/>
              <w:left w:val="nil"/>
              <w:bottom w:val="nil"/>
              <w:right w:val="nil"/>
            </w:tcBorders>
            <w:shd w:val="clear" w:color="auto" w:fill="auto"/>
            <w:noWrap/>
            <w:vAlign w:val="center"/>
            <w:hideMark/>
          </w:tcPr>
          <w:p w14:paraId="3B6A5C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w:t>
            </w:r>
            <w:r>
              <w:rPr>
                <w:rFonts w:eastAsia="Times New Roman" w:cs="Calibri"/>
                <w:color w:val="000000"/>
                <w:sz w:val="20"/>
                <w:szCs w:val="20"/>
              </w:rPr>
              <w:t>27</w:t>
            </w:r>
            <w:r w:rsidRPr="00CA1166">
              <w:rPr>
                <w:rFonts w:eastAsia="Times New Roman" w:cs="Calibri"/>
                <w:color w:val="000000"/>
                <w:sz w:val="20"/>
                <w:szCs w:val="20"/>
              </w:rPr>
              <w:t>***</w:t>
            </w:r>
          </w:p>
        </w:tc>
        <w:tc>
          <w:tcPr>
            <w:tcW w:w="950" w:type="pct"/>
            <w:tcBorders>
              <w:top w:val="single" w:sz="4" w:space="0" w:color="auto"/>
              <w:left w:val="nil"/>
              <w:bottom w:val="nil"/>
              <w:right w:val="nil"/>
            </w:tcBorders>
            <w:shd w:val="clear" w:color="auto" w:fill="auto"/>
            <w:noWrap/>
            <w:vAlign w:val="center"/>
            <w:hideMark/>
          </w:tcPr>
          <w:p w14:paraId="7A701E05"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-0.028***</w:t>
            </w:r>
          </w:p>
        </w:tc>
      </w:tr>
      <w:tr w:rsidR="00016D40" w:rsidRPr="00CA1166" w14:paraId="1EFDC8C5" w14:textId="77777777" w:rsidTr="00CD1FDD">
        <w:trPr>
          <w:trHeight w:val="212"/>
        </w:trPr>
        <w:tc>
          <w:tcPr>
            <w:tcW w:w="2151" w:type="pct"/>
            <w:tcBorders>
              <w:top w:val="nil"/>
              <w:left w:val="nil"/>
              <w:bottom w:val="nil"/>
              <w:right w:val="nil"/>
            </w:tcBorders>
            <w:shd w:val="clear" w:color="auto" w:fill="auto"/>
            <w:noWrap/>
            <w:vAlign w:val="center"/>
            <w:hideMark/>
          </w:tcPr>
          <w:p w14:paraId="40DFC06A" w14:textId="77777777" w:rsidR="00016D40" w:rsidRPr="00CA1166" w:rsidRDefault="00016D40" w:rsidP="00CD1FDD">
            <w:pPr>
              <w:spacing w:after="0" w:line="240" w:lineRule="auto"/>
              <w:jc w:val="center"/>
              <w:rPr>
                <w:rFonts w:eastAsia="Times New Roman" w:cs="Calibri"/>
                <w:color w:val="000000"/>
                <w:sz w:val="20"/>
                <w:szCs w:val="20"/>
              </w:rPr>
            </w:pPr>
          </w:p>
        </w:tc>
        <w:tc>
          <w:tcPr>
            <w:tcW w:w="950" w:type="pct"/>
            <w:tcBorders>
              <w:top w:val="nil"/>
              <w:left w:val="nil"/>
              <w:bottom w:val="nil"/>
              <w:right w:val="nil"/>
            </w:tcBorders>
            <w:shd w:val="clear" w:color="auto" w:fill="auto"/>
            <w:noWrap/>
            <w:vAlign w:val="center"/>
            <w:hideMark/>
          </w:tcPr>
          <w:p w14:paraId="62E5677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w:t>
            </w:r>
            <w:r>
              <w:rPr>
                <w:rFonts w:eastAsia="Times New Roman" w:cs="Calibri"/>
                <w:color w:val="000000"/>
                <w:sz w:val="20"/>
                <w:szCs w:val="20"/>
              </w:rPr>
              <w:t>8</w:t>
            </w:r>
            <w:r w:rsidRPr="00CA1166">
              <w:rPr>
                <w:rFonts w:eastAsia="Times New Roman" w:cs="Calibri"/>
                <w:color w:val="000000"/>
                <w:sz w:val="20"/>
                <w:szCs w:val="20"/>
              </w:rPr>
              <w:t>.</w:t>
            </w:r>
            <w:r>
              <w:rPr>
                <w:rFonts w:eastAsia="Times New Roman" w:cs="Calibri"/>
                <w:color w:val="000000"/>
                <w:sz w:val="20"/>
                <w:szCs w:val="20"/>
              </w:rPr>
              <w:t>47</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15BE38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w:t>
            </w:r>
            <w:r>
              <w:rPr>
                <w:rFonts w:eastAsia="Times New Roman" w:cs="Calibri"/>
                <w:color w:val="000000"/>
                <w:sz w:val="20"/>
                <w:szCs w:val="20"/>
              </w:rPr>
              <w:t>8</w:t>
            </w:r>
            <w:r w:rsidRPr="00CA1166">
              <w:rPr>
                <w:rFonts w:eastAsia="Times New Roman" w:cs="Calibri"/>
                <w:color w:val="000000"/>
                <w:sz w:val="20"/>
                <w:szCs w:val="20"/>
              </w:rPr>
              <w:t>.</w:t>
            </w:r>
            <w:r>
              <w:rPr>
                <w:rFonts w:eastAsia="Times New Roman" w:cs="Calibri"/>
                <w:color w:val="000000"/>
                <w:sz w:val="20"/>
                <w:szCs w:val="20"/>
              </w:rPr>
              <w:t>85</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3D7A7C42"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(-8.25)</w:t>
            </w:r>
          </w:p>
        </w:tc>
      </w:tr>
      <w:tr w:rsidR="00016D40" w:rsidRPr="00CA1166" w14:paraId="35FB9ECE" w14:textId="77777777" w:rsidTr="00CD1FDD">
        <w:trPr>
          <w:trHeight w:val="212"/>
        </w:trPr>
        <w:tc>
          <w:tcPr>
            <w:tcW w:w="2151" w:type="pct"/>
            <w:tcBorders>
              <w:top w:val="nil"/>
              <w:left w:val="nil"/>
              <w:bottom w:val="nil"/>
              <w:right w:val="nil"/>
            </w:tcBorders>
            <w:shd w:val="clear" w:color="auto" w:fill="auto"/>
            <w:noWrap/>
            <w:vAlign w:val="center"/>
            <w:hideMark/>
          </w:tcPr>
          <w:p w14:paraId="090BEA6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Diff_Compacct10</w:t>
            </w:r>
            <w:r w:rsidRPr="00CA1166">
              <w:rPr>
                <w:rFonts w:eastAsia="Times New Roman" w:cs="Calibri"/>
                <w:i/>
                <w:iCs/>
                <w:color w:val="000000"/>
                <w:sz w:val="20"/>
                <w:szCs w:val="20"/>
                <w:vertAlign w:val="subscript"/>
              </w:rPr>
              <w:t>i,t-1</w:t>
            </w:r>
          </w:p>
        </w:tc>
        <w:tc>
          <w:tcPr>
            <w:tcW w:w="950" w:type="pct"/>
            <w:tcBorders>
              <w:top w:val="nil"/>
              <w:left w:val="nil"/>
              <w:bottom w:val="nil"/>
              <w:right w:val="nil"/>
            </w:tcBorders>
            <w:shd w:val="clear" w:color="auto" w:fill="auto"/>
            <w:noWrap/>
            <w:vAlign w:val="center"/>
            <w:hideMark/>
          </w:tcPr>
          <w:p w14:paraId="292C848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w:t>
            </w:r>
            <w:r>
              <w:rPr>
                <w:rFonts w:eastAsia="Times New Roman" w:cs="Calibri"/>
                <w:color w:val="000000"/>
                <w:sz w:val="20"/>
                <w:szCs w:val="20"/>
              </w:rPr>
              <w:t>24</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2BE411D8" w14:textId="77777777" w:rsidR="00016D40" w:rsidRPr="00B65528" w:rsidRDefault="00016D40" w:rsidP="00CD1FDD">
            <w:pPr>
              <w:spacing w:after="0" w:line="240" w:lineRule="auto"/>
              <w:jc w:val="center"/>
              <w:rPr>
                <w:rFonts w:eastAsia="Times New Roman" w:cs="Calibri"/>
                <w:color w:val="000000"/>
                <w:sz w:val="20"/>
                <w:szCs w:val="20"/>
              </w:rPr>
            </w:pPr>
            <w:r w:rsidRPr="00B65528">
              <w:rPr>
                <w:rFonts w:eastAsia="Times New Roman" w:cs="Calibri"/>
                <w:color w:val="000000"/>
                <w:sz w:val="20"/>
                <w:szCs w:val="20"/>
              </w:rPr>
              <w:t>-0.0</w:t>
            </w:r>
            <w:r>
              <w:rPr>
                <w:rFonts w:eastAsia="Times New Roman" w:cs="Calibri"/>
                <w:color w:val="000000"/>
                <w:sz w:val="20"/>
                <w:szCs w:val="20"/>
              </w:rPr>
              <w:t>27</w:t>
            </w:r>
            <w:r w:rsidRPr="00B65528">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678D6229"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-0.027***</w:t>
            </w:r>
          </w:p>
        </w:tc>
      </w:tr>
      <w:tr w:rsidR="00016D40" w:rsidRPr="00CA1166" w14:paraId="0F987659" w14:textId="77777777" w:rsidTr="00CD1FDD">
        <w:trPr>
          <w:trHeight w:val="212"/>
        </w:trPr>
        <w:tc>
          <w:tcPr>
            <w:tcW w:w="2151" w:type="pct"/>
            <w:tcBorders>
              <w:top w:val="nil"/>
              <w:left w:val="nil"/>
              <w:bottom w:val="nil"/>
              <w:right w:val="nil"/>
            </w:tcBorders>
            <w:shd w:val="clear" w:color="auto" w:fill="auto"/>
            <w:noWrap/>
            <w:vAlign w:val="center"/>
            <w:hideMark/>
          </w:tcPr>
          <w:p w14:paraId="11080B7F" w14:textId="77777777" w:rsidR="00016D40" w:rsidRPr="00CA1166" w:rsidRDefault="00016D40" w:rsidP="00CD1FDD">
            <w:pPr>
              <w:spacing w:after="0" w:line="240" w:lineRule="auto"/>
              <w:jc w:val="center"/>
              <w:rPr>
                <w:rFonts w:eastAsia="Times New Roman" w:cs="Calibri"/>
                <w:color w:val="000000"/>
                <w:sz w:val="20"/>
                <w:szCs w:val="20"/>
              </w:rPr>
            </w:pPr>
          </w:p>
        </w:tc>
        <w:tc>
          <w:tcPr>
            <w:tcW w:w="950" w:type="pct"/>
            <w:tcBorders>
              <w:top w:val="nil"/>
              <w:left w:val="nil"/>
              <w:bottom w:val="nil"/>
              <w:right w:val="nil"/>
            </w:tcBorders>
            <w:shd w:val="clear" w:color="auto" w:fill="auto"/>
            <w:noWrap/>
            <w:vAlign w:val="center"/>
            <w:hideMark/>
          </w:tcPr>
          <w:p w14:paraId="7CADC5A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(-10.73)</w:t>
            </w:r>
          </w:p>
        </w:tc>
        <w:tc>
          <w:tcPr>
            <w:tcW w:w="950" w:type="pct"/>
            <w:tcBorders>
              <w:top w:val="nil"/>
              <w:left w:val="nil"/>
              <w:bottom w:val="nil"/>
              <w:right w:val="nil"/>
            </w:tcBorders>
            <w:shd w:val="clear" w:color="auto" w:fill="auto"/>
            <w:noWrap/>
            <w:vAlign w:val="center"/>
            <w:hideMark/>
          </w:tcPr>
          <w:p w14:paraId="318377B3" w14:textId="77777777" w:rsidR="00016D40" w:rsidRPr="00B65528" w:rsidRDefault="00016D40" w:rsidP="00CD1FDD">
            <w:pPr>
              <w:spacing w:after="0" w:line="240" w:lineRule="auto"/>
              <w:jc w:val="center"/>
              <w:rPr>
                <w:rFonts w:eastAsia="Times New Roman" w:cs="Calibri"/>
                <w:color w:val="000000"/>
                <w:sz w:val="20"/>
                <w:szCs w:val="20"/>
              </w:rPr>
            </w:pPr>
            <w:r w:rsidRPr="00B65528">
              <w:rPr>
                <w:rFonts w:eastAsia="Times New Roman" w:cs="Calibri"/>
                <w:color w:val="000000"/>
                <w:sz w:val="20"/>
                <w:szCs w:val="20"/>
              </w:rPr>
              <w:t>(-</w:t>
            </w:r>
            <w:r>
              <w:rPr>
                <w:rFonts w:eastAsia="Times New Roman" w:cs="Calibri"/>
                <w:color w:val="000000"/>
                <w:sz w:val="20"/>
                <w:szCs w:val="20"/>
              </w:rPr>
              <w:t>8</w:t>
            </w:r>
            <w:r w:rsidRPr="00B65528">
              <w:rPr>
                <w:rFonts w:eastAsia="Times New Roman" w:cs="Calibri"/>
                <w:color w:val="000000"/>
                <w:sz w:val="20"/>
                <w:szCs w:val="20"/>
              </w:rPr>
              <w:t>.</w:t>
            </w:r>
            <w:r>
              <w:rPr>
                <w:rFonts w:eastAsia="Times New Roman" w:cs="Calibri"/>
                <w:color w:val="000000"/>
                <w:sz w:val="20"/>
                <w:szCs w:val="20"/>
              </w:rPr>
              <w:t>20</w:t>
            </w:r>
            <w:r w:rsidRPr="00B65528">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1B93C926"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(-10.37)</w:t>
            </w:r>
          </w:p>
        </w:tc>
      </w:tr>
      <w:tr w:rsidR="00016D40" w:rsidRPr="00CA1166" w14:paraId="48C34D99" w14:textId="77777777" w:rsidTr="00CD1FDD">
        <w:trPr>
          <w:trHeight w:val="212"/>
        </w:trPr>
        <w:tc>
          <w:tcPr>
            <w:tcW w:w="2151" w:type="pct"/>
            <w:tcBorders>
              <w:top w:val="nil"/>
              <w:left w:val="nil"/>
              <w:bottom w:val="nil"/>
              <w:right w:val="nil"/>
            </w:tcBorders>
            <w:shd w:val="clear" w:color="auto" w:fill="auto"/>
            <w:noWrap/>
            <w:vAlign w:val="center"/>
            <w:hideMark/>
          </w:tcPr>
          <w:p w14:paraId="6700E901"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Diff_CompacctBasu</w:t>
            </w:r>
            <w:r w:rsidRPr="00CA1166">
              <w:rPr>
                <w:rFonts w:eastAsia="Times New Roman" w:cs="Calibri"/>
                <w:i/>
                <w:iCs/>
                <w:color w:val="000000"/>
                <w:sz w:val="20"/>
                <w:szCs w:val="20"/>
                <w:vertAlign w:val="subscript"/>
              </w:rPr>
              <w:t>i,t-1</w:t>
            </w:r>
          </w:p>
        </w:tc>
        <w:tc>
          <w:tcPr>
            <w:tcW w:w="950" w:type="pct"/>
            <w:tcBorders>
              <w:top w:val="nil"/>
              <w:left w:val="nil"/>
              <w:bottom w:val="nil"/>
              <w:right w:val="nil"/>
            </w:tcBorders>
            <w:shd w:val="clear" w:color="auto" w:fill="auto"/>
            <w:noWrap/>
            <w:vAlign w:val="center"/>
            <w:hideMark/>
          </w:tcPr>
          <w:p w14:paraId="28F7BFC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w:t>
            </w:r>
            <w:r>
              <w:rPr>
                <w:rFonts w:eastAsia="Times New Roman" w:cs="Calibri"/>
                <w:color w:val="000000"/>
                <w:sz w:val="20"/>
                <w:szCs w:val="20"/>
              </w:rPr>
              <w:t>1</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4385FFA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w:t>
            </w:r>
            <w:r>
              <w:rPr>
                <w:rFonts w:eastAsia="Times New Roman" w:cs="Calibri"/>
                <w:color w:val="000000"/>
                <w:sz w:val="20"/>
                <w:szCs w:val="20"/>
              </w:rPr>
              <w:t>1</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06AD7DE4"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-0.033***</w:t>
            </w:r>
          </w:p>
        </w:tc>
      </w:tr>
      <w:tr w:rsidR="00016D40" w:rsidRPr="00CA1166" w14:paraId="2914345C" w14:textId="77777777" w:rsidTr="00CD1FDD">
        <w:trPr>
          <w:trHeight w:val="212"/>
        </w:trPr>
        <w:tc>
          <w:tcPr>
            <w:tcW w:w="2151" w:type="pct"/>
            <w:tcBorders>
              <w:top w:val="nil"/>
              <w:left w:val="nil"/>
              <w:bottom w:val="nil"/>
              <w:right w:val="nil"/>
            </w:tcBorders>
            <w:shd w:val="clear" w:color="auto" w:fill="auto"/>
            <w:noWrap/>
            <w:vAlign w:val="center"/>
            <w:hideMark/>
          </w:tcPr>
          <w:p w14:paraId="0784C226" w14:textId="77777777" w:rsidR="00016D40" w:rsidRPr="00CA1166" w:rsidRDefault="00016D40" w:rsidP="00CD1FDD">
            <w:pPr>
              <w:spacing w:after="0" w:line="240" w:lineRule="auto"/>
              <w:jc w:val="center"/>
              <w:rPr>
                <w:rFonts w:eastAsia="Times New Roman" w:cs="Calibri"/>
                <w:color w:val="000000"/>
                <w:sz w:val="20"/>
                <w:szCs w:val="20"/>
              </w:rPr>
            </w:pPr>
          </w:p>
        </w:tc>
        <w:tc>
          <w:tcPr>
            <w:tcW w:w="950" w:type="pct"/>
            <w:tcBorders>
              <w:top w:val="nil"/>
              <w:left w:val="nil"/>
              <w:bottom w:val="nil"/>
              <w:right w:val="nil"/>
            </w:tcBorders>
            <w:shd w:val="clear" w:color="auto" w:fill="auto"/>
            <w:noWrap/>
            <w:vAlign w:val="center"/>
            <w:hideMark/>
          </w:tcPr>
          <w:p w14:paraId="0B18DDE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w:t>
            </w:r>
            <w:r>
              <w:rPr>
                <w:rFonts w:eastAsia="Times New Roman" w:cs="Calibri"/>
                <w:color w:val="000000"/>
                <w:sz w:val="20"/>
                <w:szCs w:val="20"/>
              </w:rPr>
              <w:t>1</w:t>
            </w:r>
            <w:r w:rsidRPr="00CA1166">
              <w:rPr>
                <w:rFonts w:eastAsia="Times New Roman" w:cs="Calibri"/>
                <w:color w:val="000000"/>
                <w:sz w:val="20"/>
                <w:szCs w:val="20"/>
              </w:rPr>
              <w:t>.</w:t>
            </w:r>
            <w:r>
              <w:rPr>
                <w:rFonts w:eastAsia="Times New Roman" w:cs="Calibri"/>
                <w:color w:val="000000"/>
                <w:sz w:val="20"/>
                <w:szCs w:val="20"/>
              </w:rPr>
              <w:t>10</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5406E12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(-1</w:t>
            </w:r>
            <w:r>
              <w:rPr>
                <w:rFonts w:eastAsia="Times New Roman" w:cs="Calibri"/>
                <w:color w:val="000000"/>
                <w:sz w:val="20"/>
                <w:szCs w:val="20"/>
              </w:rPr>
              <w:t>0</w:t>
            </w:r>
            <w:r w:rsidRPr="00CA1166">
              <w:rPr>
                <w:rFonts w:eastAsia="Times New Roman" w:cs="Calibri"/>
                <w:color w:val="000000"/>
                <w:sz w:val="20"/>
                <w:szCs w:val="20"/>
              </w:rPr>
              <w:t>.</w:t>
            </w:r>
            <w:r>
              <w:rPr>
                <w:rFonts w:eastAsia="Times New Roman" w:cs="Calibri"/>
                <w:color w:val="000000"/>
                <w:sz w:val="20"/>
                <w:szCs w:val="20"/>
              </w:rPr>
              <w:t>82</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26F89260"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(-10.48)</w:t>
            </w:r>
          </w:p>
        </w:tc>
      </w:tr>
      <w:tr w:rsidR="00016D40" w:rsidRPr="00CA1166" w14:paraId="0693C859" w14:textId="77777777" w:rsidTr="00CD1FDD">
        <w:trPr>
          <w:trHeight w:val="212"/>
        </w:trPr>
        <w:tc>
          <w:tcPr>
            <w:tcW w:w="2151" w:type="pct"/>
            <w:tcBorders>
              <w:top w:val="nil"/>
              <w:left w:val="nil"/>
              <w:bottom w:val="nil"/>
              <w:right w:val="nil"/>
            </w:tcBorders>
            <w:shd w:val="clear" w:color="auto" w:fill="auto"/>
            <w:noWrap/>
            <w:vAlign w:val="center"/>
            <w:hideMark/>
          </w:tcPr>
          <w:p w14:paraId="07296BD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Diff_CompacctPle</w:t>
            </w:r>
            <w:r w:rsidRPr="00CA1166">
              <w:rPr>
                <w:rFonts w:eastAsia="Times New Roman" w:cs="Calibri"/>
                <w:i/>
                <w:iCs/>
                <w:color w:val="000000"/>
                <w:sz w:val="20"/>
                <w:szCs w:val="20"/>
                <w:vertAlign w:val="subscript"/>
              </w:rPr>
              <w:t>i,t-1</w:t>
            </w:r>
          </w:p>
        </w:tc>
        <w:tc>
          <w:tcPr>
            <w:tcW w:w="950" w:type="pct"/>
            <w:tcBorders>
              <w:top w:val="nil"/>
              <w:left w:val="nil"/>
              <w:bottom w:val="nil"/>
              <w:right w:val="nil"/>
            </w:tcBorders>
            <w:shd w:val="clear" w:color="auto" w:fill="auto"/>
            <w:noWrap/>
            <w:vAlign w:val="center"/>
            <w:hideMark/>
          </w:tcPr>
          <w:p w14:paraId="5B1AD65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w:t>
            </w:r>
            <w:r>
              <w:rPr>
                <w:rFonts w:eastAsia="Times New Roman" w:cs="Calibri"/>
                <w:color w:val="000000"/>
                <w:sz w:val="20"/>
                <w:szCs w:val="20"/>
              </w:rPr>
              <w:t>29</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2F9DD37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-0.03</w:t>
            </w:r>
            <w:r>
              <w:rPr>
                <w:rFonts w:eastAsia="Times New Roman" w:cs="Calibri"/>
                <w:color w:val="000000"/>
                <w:sz w:val="20"/>
                <w:szCs w:val="20"/>
              </w:rPr>
              <w:t>1</w:t>
            </w:r>
            <w:r w:rsidRPr="00CA1166">
              <w:rPr>
                <w:rFonts w:eastAsia="Times New Roman" w:cs="Calibri"/>
                <w:color w:val="000000"/>
                <w:sz w:val="20"/>
                <w:szCs w:val="20"/>
              </w:rPr>
              <w:t>***</w:t>
            </w:r>
          </w:p>
        </w:tc>
        <w:tc>
          <w:tcPr>
            <w:tcW w:w="950" w:type="pct"/>
            <w:tcBorders>
              <w:top w:val="nil"/>
              <w:left w:val="nil"/>
              <w:bottom w:val="nil"/>
              <w:right w:val="nil"/>
            </w:tcBorders>
            <w:shd w:val="clear" w:color="auto" w:fill="auto"/>
            <w:noWrap/>
            <w:vAlign w:val="center"/>
            <w:hideMark/>
          </w:tcPr>
          <w:p w14:paraId="54C78DB2"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-0.036***</w:t>
            </w:r>
          </w:p>
        </w:tc>
      </w:tr>
      <w:tr w:rsidR="00016D40" w:rsidRPr="00CA1166" w14:paraId="2CDE3C48" w14:textId="77777777" w:rsidTr="00CD1FDD">
        <w:trPr>
          <w:trHeight w:val="212"/>
        </w:trPr>
        <w:tc>
          <w:tcPr>
            <w:tcW w:w="2151" w:type="pct"/>
            <w:tcBorders>
              <w:top w:val="nil"/>
              <w:left w:val="nil"/>
              <w:bottom w:val="single" w:sz="18" w:space="0" w:color="auto"/>
              <w:right w:val="nil"/>
            </w:tcBorders>
            <w:shd w:val="clear" w:color="auto" w:fill="auto"/>
            <w:noWrap/>
            <w:vAlign w:val="center"/>
            <w:hideMark/>
          </w:tcPr>
          <w:p w14:paraId="6E79BA46" w14:textId="77777777" w:rsidR="00016D40" w:rsidRPr="00CA1166" w:rsidRDefault="00016D40" w:rsidP="00CD1FDD">
            <w:pPr>
              <w:spacing w:after="0" w:line="240" w:lineRule="auto"/>
              <w:jc w:val="center"/>
              <w:rPr>
                <w:rFonts w:eastAsia="Times New Roman" w:cs="Calibri"/>
                <w:color w:val="000000"/>
                <w:sz w:val="20"/>
                <w:szCs w:val="20"/>
              </w:rPr>
            </w:pPr>
          </w:p>
        </w:tc>
        <w:tc>
          <w:tcPr>
            <w:tcW w:w="950" w:type="pct"/>
            <w:tcBorders>
              <w:top w:val="nil"/>
              <w:left w:val="nil"/>
              <w:bottom w:val="single" w:sz="18" w:space="0" w:color="auto"/>
              <w:right w:val="nil"/>
            </w:tcBorders>
            <w:shd w:val="clear" w:color="auto" w:fill="auto"/>
            <w:noWrap/>
            <w:vAlign w:val="center"/>
            <w:hideMark/>
          </w:tcPr>
          <w:p w14:paraId="4EEBF54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w:t>
            </w:r>
            <w:r>
              <w:rPr>
                <w:rFonts w:eastAsia="Times New Roman" w:cs="Calibri"/>
                <w:color w:val="000000"/>
                <w:sz w:val="20"/>
                <w:szCs w:val="20"/>
              </w:rPr>
              <w:t>8</w:t>
            </w:r>
            <w:r w:rsidRPr="00CA1166">
              <w:rPr>
                <w:rFonts w:eastAsia="Times New Roman" w:cs="Calibri"/>
                <w:color w:val="000000"/>
                <w:sz w:val="20"/>
                <w:szCs w:val="20"/>
              </w:rPr>
              <w:t>.</w:t>
            </w:r>
            <w:r>
              <w:rPr>
                <w:rFonts w:eastAsia="Times New Roman" w:cs="Calibri"/>
                <w:color w:val="000000"/>
                <w:sz w:val="20"/>
                <w:szCs w:val="20"/>
              </w:rPr>
              <w:t>78</w:t>
            </w:r>
            <w:r w:rsidRPr="00CA1166">
              <w:rPr>
                <w:rFonts w:eastAsia="Times New Roman" w:cs="Calibri"/>
                <w:color w:val="000000"/>
                <w:sz w:val="20"/>
                <w:szCs w:val="20"/>
              </w:rPr>
              <w:t>)</w:t>
            </w:r>
          </w:p>
        </w:tc>
        <w:tc>
          <w:tcPr>
            <w:tcW w:w="950" w:type="pct"/>
            <w:tcBorders>
              <w:top w:val="nil"/>
              <w:left w:val="nil"/>
              <w:bottom w:val="single" w:sz="18" w:space="0" w:color="auto"/>
              <w:right w:val="nil"/>
            </w:tcBorders>
            <w:shd w:val="clear" w:color="auto" w:fill="auto"/>
            <w:noWrap/>
            <w:vAlign w:val="center"/>
            <w:hideMark/>
          </w:tcPr>
          <w:p w14:paraId="4D2CB91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w:t>
            </w:r>
            <w:r>
              <w:rPr>
                <w:rFonts w:eastAsia="Times New Roman" w:cs="Calibri"/>
                <w:color w:val="000000"/>
                <w:sz w:val="20"/>
                <w:szCs w:val="20"/>
              </w:rPr>
              <w:t>9</w:t>
            </w:r>
            <w:r w:rsidRPr="00CA1166">
              <w:rPr>
                <w:rFonts w:eastAsia="Times New Roman" w:cs="Calibri"/>
                <w:color w:val="000000"/>
                <w:sz w:val="20"/>
                <w:szCs w:val="20"/>
              </w:rPr>
              <w:t>.</w:t>
            </w:r>
            <w:r>
              <w:rPr>
                <w:rFonts w:eastAsia="Times New Roman" w:cs="Calibri"/>
                <w:color w:val="000000"/>
                <w:sz w:val="20"/>
                <w:szCs w:val="20"/>
              </w:rPr>
              <w:t>79</w:t>
            </w:r>
            <w:r w:rsidRPr="00CA1166">
              <w:rPr>
                <w:rFonts w:eastAsia="Times New Roman" w:cs="Calibri"/>
                <w:color w:val="000000"/>
                <w:sz w:val="20"/>
                <w:szCs w:val="20"/>
              </w:rPr>
              <w:t>)</w:t>
            </w:r>
          </w:p>
        </w:tc>
        <w:tc>
          <w:tcPr>
            <w:tcW w:w="950" w:type="pct"/>
            <w:tcBorders>
              <w:top w:val="nil"/>
              <w:left w:val="nil"/>
              <w:bottom w:val="single" w:sz="18" w:space="0" w:color="auto"/>
              <w:right w:val="nil"/>
            </w:tcBorders>
            <w:shd w:val="clear" w:color="auto" w:fill="auto"/>
            <w:noWrap/>
            <w:vAlign w:val="center"/>
            <w:hideMark/>
          </w:tcPr>
          <w:p w14:paraId="47C6B36D" w14:textId="77777777" w:rsidR="00016D40" w:rsidRPr="00A764F0" w:rsidRDefault="00016D40" w:rsidP="00CD1FDD">
            <w:pPr>
              <w:spacing w:after="0" w:line="240" w:lineRule="auto"/>
              <w:jc w:val="center"/>
              <w:rPr>
                <w:rFonts w:eastAsia="Times New Roman" w:cs="Calibri"/>
                <w:color w:val="000000"/>
                <w:sz w:val="20"/>
                <w:szCs w:val="20"/>
              </w:rPr>
            </w:pPr>
            <w:r w:rsidRPr="00A764F0">
              <w:rPr>
                <w:rFonts w:eastAsia="Times New Roman" w:cs="Calibri"/>
                <w:color w:val="000000"/>
                <w:sz w:val="20"/>
                <w:szCs w:val="20"/>
              </w:rPr>
              <w:t>(-8.77)</w:t>
            </w:r>
          </w:p>
        </w:tc>
      </w:tr>
    </w:tbl>
    <w:p w14:paraId="64BB6E45" w14:textId="77777777" w:rsidR="00016D40" w:rsidRDefault="00016D40" w:rsidP="00016D40"/>
    <w:p w14:paraId="05823E49" w14:textId="77777777" w:rsidR="00016D40" w:rsidRPr="00CA1166" w:rsidRDefault="00016D40" w:rsidP="00016D40"/>
    <w:p w14:paraId="709C3B9A" w14:textId="77777777" w:rsidR="00016D40" w:rsidRPr="00CA1166" w:rsidRDefault="00016D40" w:rsidP="00016D40">
      <w:r w:rsidRPr="00CA1166">
        <w:rPr>
          <w:b/>
        </w:rPr>
        <w:t>Panel B</w:t>
      </w:r>
      <w:r w:rsidRPr="00CA1166">
        <w:t>: Regression for Matched Sample</w:t>
      </w:r>
    </w:p>
    <w:tbl>
      <w:tblPr>
        <w:tblW w:w="5000" w:type="pct"/>
        <w:tblLook w:val="04A0" w:firstRow="1" w:lastRow="0" w:firstColumn="1" w:lastColumn="0" w:noHBand="0" w:noVBand="1"/>
      </w:tblPr>
      <w:tblGrid>
        <w:gridCol w:w="3400"/>
        <w:gridCol w:w="1408"/>
        <w:gridCol w:w="1406"/>
        <w:gridCol w:w="1406"/>
        <w:gridCol w:w="1406"/>
      </w:tblGrid>
      <w:tr w:rsidR="00016D40" w:rsidRPr="00CA1166" w14:paraId="155A8DD1" w14:textId="77777777" w:rsidTr="00CD1FDD">
        <w:trPr>
          <w:trHeight w:val="260"/>
        </w:trPr>
        <w:tc>
          <w:tcPr>
            <w:tcW w:w="1883" w:type="pct"/>
            <w:tcBorders>
              <w:top w:val="single" w:sz="18" w:space="0" w:color="auto"/>
              <w:left w:val="nil"/>
              <w:bottom w:val="single" w:sz="4" w:space="0" w:color="auto"/>
              <w:right w:val="nil"/>
            </w:tcBorders>
            <w:shd w:val="clear" w:color="auto" w:fill="auto"/>
            <w:noWrap/>
            <w:vAlign w:val="center"/>
            <w:hideMark/>
          </w:tcPr>
          <w:p w14:paraId="34A76EEB"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780" w:type="pct"/>
            <w:tcBorders>
              <w:top w:val="single" w:sz="18" w:space="0" w:color="auto"/>
              <w:left w:val="nil"/>
              <w:bottom w:val="single" w:sz="4" w:space="0" w:color="auto"/>
              <w:right w:val="nil"/>
            </w:tcBorders>
            <w:shd w:val="clear" w:color="auto" w:fill="auto"/>
            <w:noWrap/>
            <w:vAlign w:val="center"/>
            <w:hideMark/>
          </w:tcPr>
          <w:p w14:paraId="1656FD79"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(1)</w:t>
            </w:r>
          </w:p>
        </w:tc>
        <w:tc>
          <w:tcPr>
            <w:tcW w:w="779" w:type="pct"/>
            <w:tcBorders>
              <w:top w:val="single" w:sz="18" w:space="0" w:color="auto"/>
              <w:left w:val="nil"/>
              <w:bottom w:val="single" w:sz="4" w:space="0" w:color="auto"/>
              <w:right w:val="nil"/>
            </w:tcBorders>
            <w:shd w:val="clear" w:color="auto" w:fill="auto"/>
            <w:noWrap/>
            <w:vAlign w:val="center"/>
            <w:hideMark/>
          </w:tcPr>
          <w:p w14:paraId="2246C51B"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(2)</w:t>
            </w:r>
          </w:p>
        </w:tc>
        <w:tc>
          <w:tcPr>
            <w:tcW w:w="779" w:type="pct"/>
            <w:tcBorders>
              <w:top w:val="single" w:sz="18" w:space="0" w:color="auto"/>
              <w:left w:val="nil"/>
              <w:bottom w:val="single" w:sz="4" w:space="0" w:color="auto"/>
              <w:right w:val="nil"/>
            </w:tcBorders>
            <w:shd w:val="clear" w:color="auto" w:fill="auto"/>
            <w:noWrap/>
            <w:vAlign w:val="center"/>
            <w:hideMark/>
          </w:tcPr>
          <w:p w14:paraId="10044E7D"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(3)</w:t>
            </w:r>
          </w:p>
        </w:tc>
        <w:tc>
          <w:tcPr>
            <w:tcW w:w="779" w:type="pct"/>
            <w:tcBorders>
              <w:top w:val="single" w:sz="18" w:space="0" w:color="auto"/>
              <w:left w:val="nil"/>
              <w:bottom w:val="single" w:sz="4" w:space="0" w:color="auto"/>
              <w:right w:val="nil"/>
            </w:tcBorders>
            <w:shd w:val="clear" w:color="auto" w:fill="auto"/>
            <w:noWrap/>
            <w:vAlign w:val="center"/>
            <w:hideMark/>
          </w:tcPr>
          <w:p w14:paraId="1043D54C" w14:textId="77777777" w:rsidR="00016D40" w:rsidRPr="00CA1166" w:rsidRDefault="00016D40" w:rsidP="00CD1FDD">
            <w:pPr>
              <w:spacing w:after="0" w:line="240" w:lineRule="auto"/>
              <w:jc w:val="center"/>
              <w:rPr>
                <w:rFonts w:eastAsia="Times New Roman" w:cs="Calibri"/>
                <w:b/>
                <w:bCs/>
                <w:color w:val="000000"/>
                <w:sz w:val="20"/>
                <w:szCs w:val="20"/>
              </w:rPr>
            </w:pPr>
            <w:r w:rsidRPr="00CA1166">
              <w:rPr>
                <w:rFonts w:eastAsia="Times New Roman" w:cs="Calibri"/>
                <w:b/>
                <w:bCs/>
                <w:color w:val="000000"/>
                <w:sz w:val="20"/>
                <w:szCs w:val="20"/>
              </w:rPr>
              <w:t>(4)</w:t>
            </w:r>
          </w:p>
        </w:tc>
      </w:tr>
      <w:tr w:rsidR="00016D40" w:rsidRPr="00CA1166" w14:paraId="1C2A4F30" w14:textId="77777777" w:rsidTr="00CD1FDD">
        <w:trPr>
          <w:trHeight w:val="260"/>
        </w:trPr>
        <w:tc>
          <w:tcPr>
            <w:tcW w:w="1883" w:type="pct"/>
            <w:tcBorders>
              <w:top w:val="single" w:sz="4" w:space="0" w:color="auto"/>
              <w:left w:val="nil"/>
              <w:bottom w:val="nil"/>
              <w:right w:val="nil"/>
            </w:tcBorders>
            <w:shd w:val="clear" w:color="auto" w:fill="auto"/>
            <w:noWrap/>
            <w:vAlign w:val="center"/>
            <w:hideMark/>
          </w:tcPr>
          <w:p w14:paraId="4DFF502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780" w:type="pct"/>
            <w:tcBorders>
              <w:top w:val="single" w:sz="4" w:space="0" w:color="auto"/>
              <w:left w:val="nil"/>
              <w:bottom w:val="nil"/>
              <w:right w:val="nil"/>
            </w:tcBorders>
            <w:shd w:val="clear" w:color="auto" w:fill="auto"/>
            <w:noWrap/>
            <w:vAlign w:val="center"/>
            <w:hideMark/>
          </w:tcPr>
          <w:p w14:paraId="56B308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-0.238***</w:t>
            </w:r>
          </w:p>
        </w:tc>
        <w:tc>
          <w:tcPr>
            <w:tcW w:w="779" w:type="pct"/>
            <w:tcBorders>
              <w:top w:val="single" w:sz="4" w:space="0" w:color="auto"/>
              <w:left w:val="nil"/>
              <w:bottom w:val="nil"/>
              <w:right w:val="nil"/>
            </w:tcBorders>
            <w:shd w:val="clear" w:color="auto" w:fill="auto"/>
            <w:noWrap/>
            <w:vAlign w:val="center"/>
            <w:hideMark/>
          </w:tcPr>
          <w:p w14:paraId="2D579ED5" w14:textId="77777777" w:rsidR="00016D40" w:rsidRPr="00CA1166" w:rsidRDefault="00016D40" w:rsidP="00CD1FDD">
            <w:pPr>
              <w:spacing w:after="0" w:line="240" w:lineRule="auto"/>
              <w:jc w:val="center"/>
              <w:rPr>
                <w:rFonts w:eastAsia="Times New Roman" w:cs="Calibri"/>
                <w:color w:val="000000"/>
                <w:sz w:val="20"/>
                <w:szCs w:val="20"/>
              </w:rPr>
            </w:pPr>
          </w:p>
        </w:tc>
        <w:tc>
          <w:tcPr>
            <w:tcW w:w="779" w:type="pct"/>
            <w:tcBorders>
              <w:top w:val="single" w:sz="4" w:space="0" w:color="auto"/>
              <w:left w:val="nil"/>
              <w:bottom w:val="nil"/>
              <w:right w:val="nil"/>
            </w:tcBorders>
            <w:shd w:val="clear" w:color="auto" w:fill="auto"/>
            <w:noWrap/>
            <w:vAlign w:val="center"/>
            <w:hideMark/>
          </w:tcPr>
          <w:p w14:paraId="15752BA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single" w:sz="4" w:space="0" w:color="auto"/>
              <w:left w:val="nil"/>
              <w:bottom w:val="nil"/>
              <w:right w:val="nil"/>
            </w:tcBorders>
            <w:shd w:val="clear" w:color="auto" w:fill="auto"/>
            <w:noWrap/>
            <w:vAlign w:val="center"/>
            <w:hideMark/>
          </w:tcPr>
          <w:p w14:paraId="4B19143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29D79595" w14:textId="77777777" w:rsidTr="00CD1FDD">
        <w:trPr>
          <w:trHeight w:val="260"/>
        </w:trPr>
        <w:tc>
          <w:tcPr>
            <w:tcW w:w="1883" w:type="pct"/>
            <w:tcBorders>
              <w:top w:val="nil"/>
              <w:left w:val="nil"/>
              <w:bottom w:val="nil"/>
              <w:right w:val="nil"/>
            </w:tcBorders>
            <w:shd w:val="clear" w:color="auto" w:fill="auto"/>
            <w:noWrap/>
            <w:vAlign w:val="center"/>
            <w:hideMark/>
          </w:tcPr>
          <w:p w14:paraId="1E2CB4E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80" w:type="pct"/>
            <w:tcBorders>
              <w:top w:val="nil"/>
              <w:left w:val="nil"/>
              <w:bottom w:val="nil"/>
              <w:right w:val="nil"/>
            </w:tcBorders>
            <w:shd w:val="clear" w:color="auto" w:fill="auto"/>
            <w:noWrap/>
            <w:vAlign w:val="center"/>
            <w:hideMark/>
          </w:tcPr>
          <w:p w14:paraId="34252BA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(-2.93)</w:t>
            </w:r>
          </w:p>
        </w:tc>
        <w:tc>
          <w:tcPr>
            <w:tcW w:w="779" w:type="pct"/>
            <w:tcBorders>
              <w:top w:val="nil"/>
              <w:left w:val="nil"/>
              <w:bottom w:val="nil"/>
              <w:right w:val="nil"/>
            </w:tcBorders>
            <w:shd w:val="clear" w:color="auto" w:fill="auto"/>
            <w:noWrap/>
            <w:vAlign w:val="center"/>
            <w:hideMark/>
          </w:tcPr>
          <w:p w14:paraId="1107A94A" w14:textId="77777777" w:rsidR="00016D40" w:rsidRPr="00CA1166" w:rsidRDefault="00016D40" w:rsidP="00CD1FDD">
            <w:pPr>
              <w:spacing w:after="0" w:line="240" w:lineRule="auto"/>
              <w:jc w:val="center"/>
              <w:rPr>
                <w:rFonts w:eastAsia="Times New Roman" w:cs="Calibri"/>
                <w:color w:val="000000"/>
                <w:sz w:val="20"/>
                <w:szCs w:val="20"/>
              </w:rPr>
            </w:pPr>
          </w:p>
        </w:tc>
        <w:tc>
          <w:tcPr>
            <w:tcW w:w="779" w:type="pct"/>
            <w:tcBorders>
              <w:top w:val="nil"/>
              <w:left w:val="nil"/>
              <w:bottom w:val="nil"/>
              <w:right w:val="nil"/>
            </w:tcBorders>
            <w:shd w:val="clear" w:color="auto" w:fill="auto"/>
            <w:noWrap/>
            <w:vAlign w:val="center"/>
            <w:hideMark/>
          </w:tcPr>
          <w:p w14:paraId="6DF641A3"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1B410E8A"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1784B444" w14:textId="77777777" w:rsidTr="00CD1FDD">
        <w:trPr>
          <w:trHeight w:val="260"/>
        </w:trPr>
        <w:tc>
          <w:tcPr>
            <w:tcW w:w="1883" w:type="pct"/>
            <w:tcBorders>
              <w:top w:val="nil"/>
              <w:left w:val="nil"/>
              <w:bottom w:val="nil"/>
              <w:right w:val="nil"/>
            </w:tcBorders>
            <w:shd w:val="clear" w:color="auto" w:fill="auto"/>
            <w:noWrap/>
            <w:vAlign w:val="center"/>
            <w:hideMark/>
          </w:tcPr>
          <w:p w14:paraId="4E92399D"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780" w:type="pct"/>
            <w:tcBorders>
              <w:top w:val="nil"/>
              <w:left w:val="nil"/>
              <w:bottom w:val="nil"/>
              <w:right w:val="nil"/>
            </w:tcBorders>
            <w:shd w:val="clear" w:color="auto" w:fill="auto"/>
            <w:noWrap/>
            <w:vAlign w:val="center"/>
            <w:hideMark/>
          </w:tcPr>
          <w:p w14:paraId="5AB9169F" w14:textId="77777777" w:rsidR="00016D40" w:rsidRPr="00CA1166" w:rsidRDefault="00016D40" w:rsidP="00CD1FDD">
            <w:pPr>
              <w:spacing w:after="0" w:line="240" w:lineRule="auto"/>
              <w:rPr>
                <w:rFonts w:eastAsia="Times New Roman" w:cs="Calibri"/>
                <w:i/>
                <w:iCs/>
                <w:color w:val="000000"/>
                <w:sz w:val="20"/>
                <w:szCs w:val="20"/>
              </w:rPr>
            </w:pPr>
          </w:p>
        </w:tc>
        <w:tc>
          <w:tcPr>
            <w:tcW w:w="779" w:type="pct"/>
            <w:tcBorders>
              <w:top w:val="nil"/>
              <w:left w:val="nil"/>
              <w:bottom w:val="nil"/>
              <w:right w:val="nil"/>
            </w:tcBorders>
            <w:shd w:val="clear" w:color="auto" w:fill="auto"/>
            <w:noWrap/>
            <w:vAlign w:val="center"/>
            <w:hideMark/>
          </w:tcPr>
          <w:p w14:paraId="09A5C2C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-0.312**</w:t>
            </w:r>
          </w:p>
        </w:tc>
        <w:tc>
          <w:tcPr>
            <w:tcW w:w="779" w:type="pct"/>
            <w:tcBorders>
              <w:top w:val="nil"/>
              <w:left w:val="nil"/>
              <w:bottom w:val="nil"/>
              <w:right w:val="nil"/>
            </w:tcBorders>
            <w:shd w:val="clear" w:color="auto" w:fill="auto"/>
            <w:noWrap/>
            <w:vAlign w:val="center"/>
            <w:hideMark/>
          </w:tcPr>
          <w:p w14:paraId="372D3CA8" w14:textId="77777777" w:rsidR="00016D40" w:rsidRPr="00CA1166" w:rsidRDefault="00016D40" w:rsidP="00CD1FDD">
            <w:pPr>
              <w:spacing w:after="0" w:line="240" w:lineRule="auto"/>
              <w:jc w:val="center"/>
              <w:rPr>
                <w:rFonts w:eastAsia="Times New Roman" w:cs="Calibri"/>
                <w:color w:val="000000"/>
                <w:sz w:val="20"/>
                <w:szCs w:val="20"/>
              </w:rPr>
            </w:pPr>
          </w:p>
        </w:tc>
        <w:tc>
          <w:tcPr>
            <w:tcW w:w="779" w:type="pct"/>
            <w:tcBorders>
              <w:top w:val="nil"/>
              <w:left w:val="nil"/>
              <w:bottom w:val="nil"/>
              <w:right w:val="nil"/>
            </w:tcBorders>
            <w:shd w:val="clear" w:color="auto" w:fill="auto"/>
            <w:noWrap/>
            <w:vAlign w:val="center"/>
            <w:hideMark/>
          </w:tcPr>
          <w:p w14:paraId="5D7CCB0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7525DC5" w14:textId="77777777" w:rsidTr="00CD1FDD">
        <w:trPr>
          <w:trHeight w:val="260"/>
        </w:trPr>
        <w:tc>
          <w:tcPr>
            <w:tcW w:w="1883" w:type="pct"/>
            <w:tcBorders>
              <w:top w:val="nil"/>
              <w:left w:val="nil"/>
              <w:bottom w:val="nil"/>
              <w:right w:val="nil"/>
            </w:tcBorders>
            <w:shd w:val="clear" w:color="auto" w:fill="auto"/>
            <w:noWrap/>
            <w:vAlign w:val="center"/>
            <w:hideMark/>
          </w:tcPr>
          <w:p w14:paraId="5904527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80" w:type="pct"/>
            <w:tcBorders>
              <w:top w:val="nil"/>
              <w:left w:val="nil"/>
              <w:bottom w:val="nil"/>
              <w:right w:val="nil"/>
            </w:tcBorders>
            <w:shd w:val="clear" w:color="auto" w:fill="auto"/>
            <w:noWrap/>
            <w:vAlign w:val="center"/>
            <w:hideMark/>
          </w:tcPr>
          <w:p w14:paraId="15DBACAB"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277BDA0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(-2.32)</w:t>
            </w:r>
          </w:p>
        </w:tc>
        <w:tc>
          <w:tcPr>
            <w:tcW w:w="779" w:type="pct"/>
            <w:tcBorders>
              <w:top w:val="nil"/>
              <w:left w:val="nil"/>
              <w:bottom w:val="nil"/>
              <w:right w:val="nil"/>
            </w:tcBorders>
            <w:shd w:val="clear" w:color="auto" w:fill="auto"/>
            <w:noWrap/>
            <w:vAlign w:val="center"/>
            <w:hideMark/>
          </w:tcPr>
          <w:p w14:paraId="55678047" w14:textId="77777777" w:rsidR="00016D40" w:rsidRPr="00CA1166" w:rsidRDefault="00016D40" w:rsidP="00CD1FDD">
            <w:pPr>
              <w:spacing w:after="0" w:line="240" w:lineRule="auto"/>
              <w:jc w:val="center"/>
              <w:rPr>
                <w:rFonts w:eastAsia="Times New Roman" w:cs="Calibri"/>
                <w:color w:val="000000"/>
                <w:sz w:val="20"/>
                <w:szCs w:val="20"/>
              </w:rPr>
            </w:pPr>
          </w:p>
        </w:tc>
        <w:tc>
          <w:tcPr>
            <w:tcW w:w="779" w:type="pct"/>
            <w:tcBorders>
              <w:top w:val="nil"/>
              <w:left w:val="nil"/>
              <w:bottom w:val="nil"/>
              <w:right w:val="nil"/>
            </w:tcBorders>
            <w:shd w:val="clear" w:color="auto" w:fill="auto"/>
            <w:noWrap/>
            <w:vAlign w:val="center"/>
            <w:hideMark/>
          </w:tcPr>
          <w:p w14:paraId="7EB0FFC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8E6D35F" w14:textId="77777777" w:rsidTr="00CD1FDD">
        <w:trPr>
          <w:trHeight w:val="260"/>
        </w:trPr>
        <w:tc>
          <w:tcPr>
            <w:tcW w:w="1883" w:type="pct"/>
            <w:tcBorders>
              <w:top w:val="nil"/>
              <w:left w:val="nil"/>
              <w:bottom w:val="nil"/>
              <w:right w:val="nil"/>
            </w:tcBorders>
            <w:shd w:val="clear" w:color="auto" w:fill="auto"/>
            <w:noWrap/>
            <w:vAlign w:val="center"/>
            <w:hideMark/>
          </w:tcPr>
          <w:p w14:paraId="5DE449F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780" w:type="pct"/>
            <w:tcBorders>
              <w:top w:val="nil"/>
              <w:left w:val="nil"/>
              <w:bottom w:val="nil"/>
              <w:right w:val="nil"/>
            </w:tcBorders>
            <w:shd w:val="clear" w:color="auto" w:fill="auto"/>
            <w:noWrap/>
            <w:vAlign w:val="center"/>
            <w:hideMark/>
          </w:tcPr>
          <w:p w14:paraId="19F6B585" w14:textId="77777777" w:rsidR="00016D40" w:rsidRPr="00CA1166" w:rsidRDefault="00016D40" w:rsidP="00CD1FDD">
            <w:pPr>
              <w:spacing w:after="0" w:line="240" w:lineRule="auto"/>
              <w:rPr>
                <w:rFonts w:eastAsia="Times New Roman" w:cs="Calibri"/>
                <w:i/>
                <w:iCs/>
                <w:color w:val="000000"/>
                <w:sz w:val="20"/>
                <w:szCs w:val="20"/>
              </w:rPr>
            </w:pPr>
          </w:p>
        </w:tc>
        <w:tc>
          <w:tcPr>
            <w:tcW w:w="779" w:type="pct"/>
            <w:tcBorders>
              <w:top w:val="nil"/>
              <w:left w:val="nil"/>
              <w:bottom w:val="nil"/>
              <w:right w:val="nil"/>
            </w:tcBorders>
            <w:shd w:val="clear" w:color="auto" w:fill="auto"/>
            <w:noWrap/>
            <w:vAlign w:val="center"/>
            <w:hideMark/>
          </w:tcPr>
          <w:p w14:paraId="289E5D8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5E77A07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-0.279***</w:t>
            </w:r>
          </w:p>
        </w:tc>
        <w:tc>
          <w:tcPr>
            <w:tcW w:w="779" w:type="pct"/>
            <w:tcBorders>
              <w:top w:val="nil"/>
              <w:left w:val="nil"/>
              <w:bottom w:val="nil"/>
              <w:right w:val="nil"/>
            </w:tcBorders>
            <w:shd w:val="clear" w:color="auto" w:fill="auto"/>
            <w:noWrap/>
            <w:vAlign w:val="center"/>
            <w:hideMark/>
          </w:tcPr>
          <w:p w14:paraId="2E5408EA"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49FC3098" w14:textId="77777777" w:rsidTr="00CD1FDD">
        <w:trPr>
          <w:trHeight w:val="260"/>
        </w:trPr>
        <w:tc>
          <w:tcPr>
            <w:tcW w:w="1883" w:type="pct"/>
            <w:tcBorders>
              <w:top w:val="nil"/>
              <w:left w:val="nil"/>
              <w:bottom w:val="nil"/>
              <w:right w:val="nil"/>
            </w:tcBorders>
            <w:shd w:val="clear" w:color="auto" w:fill="auto"/>
            <w:noWrap/>
            <w:vAlign w:val="center"/>
            <w:hideMark/>
          </w:tcPr>
          <w:p w14:paraId="7A47BF9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80" w:type="pct"/>
            <w:tcBorders>
              <w:top w:val="nil"/>
              <w:left w:val="nil"/>
              <w:bottom w:val="nil"/>
              <w:right w:val="nil"/>
            </w:tcBorders>
            <w:shd w:val="clear" w:color="auto" w:fill="auto"/>
            <w:noWrap/>
            <w:vAlign w:val="center"/>
            <w:hideMark/>
          </w:tcPr>
          <w:p w14:paraId="2D8E337D"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435A1342"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71A1A4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(-3.28)</w:t>
            </w:r>
          </w:p>
        </w:tc>
        <w:tc>
          <w:tcPr>
            <w:tcW w:w="779" w:type="pct"/>
            <w:tcBorders>
              <w:top w:val="nil"/>
              <w:left w:val="nil"/>
              <w:bottom w:val="nil"/>
              <w:right w:val="nil"/>
            </w:tcBorders>
            <w:shd w:val="clear" w:color="auto" w:fill="auto"/>
            <w:noWrap/>
            <w:vAlign w:val="center"/>
            <w:hideMark/>
          </w:tcPr>
          <w:p w14:paraId="612E583E"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680316F9" w14:textId="77777777" w:rsidTr="00CD1FDD">
        <w:trPr>
          <w:trHeight w:val="260"/>
        </w:trPr>
        <w:tc>
          <w:tcPr>
            <w:tcW w:w="1883" w:type="pct"/>
            <w:tcBorders>
              <w:top w:val="nil"/>
              <w:left w:val="nil"/>
              <w:bottom w:val="nil"/>
              <w:right w:val="nil"/>
            </w:tcBorders>
            <w:shd w:val="clear" w:color="auto" w:fill="auto"/>
            <w:noWrap/>
            <w:vAlign w:val="center"/>
            <w:hideMark/>
          </w:tcPr>
          <w:p w14:paraId="6AE10A8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780" w:type="pct"/>
            <w:tcBorders>
              <w:top w:val="nil"/>
              <w:left w:val="nil"/>
              <w:bottom w:val="nil"/>
              <w:right w:val="nil"/>
            </w:tcBorders>
            <w:shd w:val="clear" w:color="auto" w:fill="auto"/>
            <w:noWrap/>
            <w:vAlign w:val="center"/>
            <w:hideMark/>
          </w:tcPr>
          <w:p w14:paraId="565E295F" w14:textId="77777777" w:rsidR="00016D40" w:rsidRPr="00CA1166" w:rsidRDefault="00016D40" w:rsidP="00CD1FDD">
            <w:pPr>
              <w:spacing w:after="0" w:line="240" w:lineRule="auto"/>
              <w:rPr>
                <w:rFonts w:eastAsia="Times New Roman" w:cs="Calibri"/>
                <w:i/>
                <w:iCs/>
                <w:color w:val="000000"/>
                <w:sz w:val="20"/>
                <w:szCs w:val="20"/>
              </w:rPr>
            </w:pPr>
          </w:p>
        </w:tc>
        <w:tc>
          <w:tcPr>
            <w:tcW w:w="779" w:type="pct"/>
            <w:tcBorders>
              <w:top w:val="nil"/>
              <w:left w:val="nil"/>
              <w:bottom w:val="nil"/>
              <w:right w:val="nil"/>
            </w:tcBorders>
            <w:shd w:val="clear" w:color="auto" w:fill="auto"/>
            <w:noWrap/>
            <w:vAlign w:val="center"/>
            <w:hideMark/>
          </w:tcPr>
          <w:p w14:paraId="7566083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6656E71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2EED7DE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-0.382***</w:t>
            </w:r>
          </w:p>
        </w:tc>
      </w:tr>
      <w:tr w:rsidR="00016D40" w:rsidRPr="00CA1166" w14:paraId="16523B3E" w14:textId="77777777" w:rsidTr="00CD1FDD">
        <w:trPr>
          <w:trHeight w:val="260"/>
        </w:trPr>
        <w:tc>
          <w:tcPr>
            <w:tcW w:w="1883" w:type="pct"/>
            <w:tcBorders>
              <w:top w:val="nil"/>
              <w:left w:val="nil"/>
              <w:bottom w:val="nil"/>
              <w:right w:val="nil"/>
            </w:tcBorders>
            <w:shd w:val="clear" w:color="auto" w:fill="auto"/>
            <w:noWrap/>
            <w:vAlign w:val="center"/>
            <w:hideMark/>
          </w:tcPr>
          <w:p w14:paraId="5995406C" w14:textId="77777777" w:rsidR="00016D40" w:rsidRPr="00CA1166" w:rsidRDefault="00016D40" w:rsidP="00CD1FDD">
            <w:pPr>
              <w:spacing w:after="0" w:line="240" w:lineRule="auto"/>
              <w:jc w:val="center"/>
              <w:rPr>
                <w:rFonts w:eastAsia="Times New Roman" w:cs="Calibri"/>
                <w:color w:val="000000"/>
                <w:sz w:val="20"/>
                <w:szCs w:val="20"/>
              </w:rPr>
            </w:pPr>
          </w:p>
        </w:tc>
        <w:tc>
          <w:tcPr>
            <w:tcW w:w="780" w:type="pct"/>
            <w:tcBorders>
              <w:top w:val="nil"/>
              <w:left w:val="nil"/>
              <w:bottom w:val="nil"/>
              <w:right w:val="nil"/>
            </w:tcBorders>
            <w:shd w:val="clear" w:color="auto" w:fill="auto"/>
            <w:noWrap/>
            <w:vAlign w:val="center"/>
            <w:hideMark/>
          </w:tcPr>
          <w:p w14:paraId="4DD553A3"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0BF67D5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0A334661"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779" w:type="pct"/>
            <w:tcBorders>
              <w:top w:val="nil"/>
              <w:left w:val="nil"/>
              <w:bottom w:val="nil"/>
              <w:right w:val="nil"/>
            </w:tcBorders>
            <w:shd w:val="clear" w:color="auto" w:fill="auto"/>
            <w:noWrap/>
            <w:vAlign w:val="center"/>
            <w:hideMark/>
          </w:tcPr>
          <w:p w14:paraId="6C1FAD8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(-3.59)</w:t>
            </w:r>
          </w:p>
        </w:tc>
      </w:tr>
      <w:tr w:rsidR="00016D40" w:rsidRPr="00CA1166" w14:paraId="41ED3CBD" w14:textId="77777777" w:rsidTr="00CD1FDD">
        <w:trPr>
          <w:trHeight w:val="260"/>
        </w:trPr>
        <w:tc>
          <w:tcPr>
            <w:tcW w:w="1883" w:type="pct"/>
            <w:tcBorders>
              <w:top w:val="nil"/>
              <w:left w:val="nil"/>
              <w:bottom w:val="nil"/>
              <w:right w:val="nil"/>
            </w:tcBorders>
            <w:shd w:val="clear" w:color="auto" w:fill="auto"/>
            <w:noWrap/>
            <w:vAlign w:val="center"/>
            <w:hideMark/>
          </w:tcPr>
          <w:p w14:paraId="6BB76966"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780" w:type="pct"/>
            <w:tcBorders>
              <w:top w:val="nil"/>
              <w:left w:val="nil"/>
              <w:bottom w:val="nil"/>
              <w:right w:val="nil"/>
            </w:tcBorders>
            <w:shd w:val="clear" w:color="auto" w:fill="auto"/>
            <w:noWrap/>
            <w:vAlign w:val="center"/>
            <w:hideMark/>
          </w:tcPr>
          <w:p w14:paraId="765370E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7A1E47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76A112A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1C569DB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3DF240F3" w14:textId="77777777" w:rsidTr="00CD1FDD">
        <w:trPr>
          <w:trHeight w:val="260"/>
        </w:trPr>
        <w:tc>
          <w:tcPr>
            <w:tcW w:w="1883" w:type="pct"/>
            <w:tcBorders>
              <w:top w:val="nil"/>
              <w:left w:val="nil"/>
              <w:bottom w:val="nil"/>
              <w:right w:val="nil"/>
            </w:tcBorders>
            <w:shd w:val="clear" w:color="auto" w:fill="auto"/>
            <w:noWrap/>
            <w:vAlign w:val="center"/>
            <w:hideMark/>
          </w:tcPr>
          <w:p w14:paraId="453FEE89"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Industry fixed</w:t>
            </w:r>
            <w:r>
              <w:rPr>
                <w:rFonts w:eastAsia="Times New Roman" w:cs="Calibri"/>
                <w:color w:val="000000"/>
                <w:sz w:val="20"/>
                <w:szCs w:val="20"/>
              </w:rPr>
              <w:t>-</w:t>
            </w:r>
            <w:r w:rsidRPr="00CA1166">
              <w:rPr>
                <w:rFonts w:eastAsia="Times New Roman" w:cs="Calibri"/>
                <w:color w:val="000000"/>
                <w:sz w:val="20"/>
                <w:szCs w:val="20"/>
              </w:rPr>
              <w:t>effects</w:t>
            </w:r>
          </w:p>
        </w:tc>
        <w:tc>
          <w:tcPr>
            <w:tcW w:w="780" w:type="pct"/>
            <w:tcBorders>
              <w:top w:val="nil"/>
              <w:left w:val="nil"/>
              <w:bottom w:val="nil"/>
              <w:right w:val="nil"/>
            </w:tcBorders>
            <w:shd w:val="clear" w:color="auto" w:fill="auto"/>
            <w:noWrap/>
            <w:vAlign w:val="center"/>
            <w:hideMark/>
          </w:tcPr>
          <w:p w14:paraId="40AEC95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0C7025E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456B6B2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44F9CB1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B86BEA7" w14:textId="77777777" w:rsidTr="00CD1FDD">
        <w:trPr>
          <w:trHeight w:val="260"/>
        </w:trPr>
        <w:tc>
          <w:tcPr>
            <w:tcW w:w="1883" w:type="pct"/>
            <w:tcBorders>
              <w:top w:val="nil"/>
              <w:left w:val="nil"/>
              <w:bottom w:val="nil"/>
              <w:right w:val="nil"/>
            </w:tcBorders>
            <w:shd w:val="clear" w:color="auto" w:fill="auto"/>
            <w:noWrap/>
            <w:vAlign w:val="center"/>
            <w:hideMark/>
          </w:tcPr>
          <w:p w14:paraId="11B27835"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w:t>
            </w:r>
            <w:r>
              <w:rPr>
                <w:rFonts w:eastAsia="Times New Roman" w:cs="Calibri"/>
                <w:color w:val="000000"/>
                <w:sz w:val="20"/>
                <w:szCs w:val="20"/>
              </w:rPr>
              <w:t>-</w:t>
            </w:r>
            <w:r w:rsidRPr="00CA1166">
              <w:rPr>
                <w:rFonts w:eastAsia="Times New Roman" w:cs="Calibri"/>
                <w:color w:val="000000"/>
                <w:sz w:val="20"/>
                <w:szCs w:val="20"/>
              </w:rPr>
              <w:t>effects</w:t>
            </w:r>
          </w:p>
        </w:tc>
        <w:tc>
          <w:tcPr>
            <w:tcW w:w="780" w:type="pct"/>
            <w:tcBorders>
              <w:top w:val="nil"/>
              <w:left w:val="nil"/>
              <w:bottom w:val="nil"/>
              <w:right w:val="nil"/>
            </w:tcBorders>
            <w:shd w:val="clear" w:color="auto" w:fill="auto"/>
            <w:noWrap/>
            <w:vAlign w:val="center"/>
            <w:hideMark/>
          </w:tcPr>
          <w:p w14:paraId="06BA3923"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312EA9D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66356FF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779" w:type="pct"/>
            <w:tcBorders>
              <w:top w:val="nil"/>
              <w:left w:val="nil"/>
              <w:bottom w:val="nil"/>
              <w:right w:val="nil"/>
            </w:tcBorders>
            <w:shd w:val="clear" w:color="auto" w:fill="auto"/>
            <w:noWrap/>
            <w:vAlign w:val="center"/>
            <w:hideMark/>
          </w:tcPr>
          <w:p w14:paraId="2B14798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49130464" w14:textId="77777777" w:rsidTr="00CD1FDD">
        <w:trPr>
          <w:trHeight w:val="260"/>
        </w:trPr>
        <w:tc>
          <w:tcPr>
            <w:tcW w:w="1883" w:type="pct"/>
            <w:tcBorders>
              <w:top w:val="nil"/>
              <w:left w:val="nil"/>
              <w:bottom w:val="nil"/>
              <w:right w:val="nil"/>
            </w:tcBorders>
            <w:shd w:val="clear" w:color="auto" w:fill="auto"/>
            <w:noWrap/>
            <w:vAlign w:val="center"/>
            <w:hideMark/>
          </w:tcPr>
          <w:p w14:paraId="0B4CF69F"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Adj. R</w:t>
            </w:r>
            <w:r w:rsidRPr="00CA1166">
              <w:rPr>
                <w:rFonts w:eastAsia="Times New Roman" w:cs="Calibri"/>
                <w:color w:val="000000"/>
                <w:sz w:val="20"/>
                <w:szCs w:val="20"/>
                <w:vertAlign w:val="superscript"/>
              </w:rPr>
              <w:t>2</w:t>
            </w:r>
          </w:p>
        </w:tc>
        <w:tc>
          <w:tcPr>
            <w:tcW w:w="780" w:type="pct"/>
            <w:tcBorders>
              <w:top w:val="nil"/>
              <w:left w:val="nil"/>
              <w:bottom w:val="nil"/>
              <w:right w:val="nil"/>
            </w:tcBorders>
            <w:shd w:val="clear" w:color="auto" w:fill="auto"/>
            <w:noWrap/>
            <w:vAlign w:val="center"/>
            <w:hideMark/>
          </w:tcPr>
          <w:p w14:paraId="229DDF1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0.068</w:t>
            </w:r>
          </w:p>
        </w:tc>
        <w:tc>
          <w:tcPr>
            <w:tcW w:w="779" w:type="pct"/>
            <w:tcBorders>
              <w:top w:val="nil"/>
              <w:left w:val="nil"/>
              <w:bottom w:val="nil"/>
              <w:right w:val="nil"/>
            </w:tcBorders>
            <w:shd w:val="clear" w:color="auto" w:fill="auto"/>
            <w:noWrap/>
            <w:vAlign w:val="center"/>
            <w:hideMark/>
          </w:tcPr>
          <w:p w14:paraId="1D84717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0.065</w:t>
            </w:r>
          </w:p>
        </w:tc>
        <w:tc>
          <w:tcPr>
            <w:tcW w:w="779" w:type="pct"/>
            <w:tcBorders>
              <w:top w:val="nil"/>
              <w:left w:val="nil"/>
              <w:bottom w:val="nil"/>
              <w:right w:val="nil"/>
            </w:tcBorders>
            <w:shd w:val="clear" w:color="auto" w:fill="auto"/>
            <w:noWrap/>
            <w:vAlign w:val="center"/>
            <w:hideMark/>
          </w:tcPr>
          <w:p w14:paraId="7D00A7B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0.064</w:t>
            </w:r>
          </w:p>
        </w:tc>
        <w:tc>
          <w:tcPr>
            <w:tcW w:w="779" w:type="pct"/>
            <w:tcBorders>
              <w:top w:val="nil"/>
              <w:left w:val="nil"/>
              <w:bottom w:val="nil"/>
              <w:right w:val="nil"/>
            </w:tcBorders>
            <w:shd w:val="clear" w:color="auto" w:fill="auto"/>
            <w:noWrap/>
            <w:vAlign w:val="center"/>
            <w:hideMark/>
          </w:tcPr>
          <w:p w14:paraId="1D2FAD2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0.065</w:t>
            </w:r>
          </w:p>
        </w:tc>
      </w:tr>
      <w:tr w:rsidR="00016D40" w:rsidRPr="00CA1166" w14:paraId="0080EFC2" w14:textId="77777777" w:rsidTr="00CD1FDD">
        <w:trPr>
          <w:trHeight w:val="260"/>
        </w:trPr>
        <w:tc>
          <w:tcPr>
            <w:tcW w:w="1883" w:type="pct"/>
            <w:tcBorders>
              <w:top w:val="nil"/>
              <w:left w:val="nil"/>
              <w:bottom w:val="single" w:sz="18" w:space="0" w:color="auto"/>
              <w:right w:val="nil"/>
            </w:tcBorders>
            <w:shd w:val="clear" w:color="auto" w:fill="auto"/>
            <w:noWrap/>
            <w:vAlign w:val="center"/>
            <w:hideMark/>
          </w:tcPr>
          <w:p w14:paraId="799C4BE3"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Obs.</w:t>
            </w:r>
          </w:p>
        </w:tc>
        <w:tc>
          <w:tcPr>
            <w:tcW w:w="780" w:type="pct"/>
            <w:tcBorders>
              <w:top w:val="nil"/>
              <w:left w:val="nil"/>
              <w:bottom w:val="single" w:sz="18" w:space="0" w:color="auto"/>
              <w:right w:val="nil"/>
            </w:tcBorders>
            <w:shd w:val="clear" w:color="auto" w:fill="auto"/>
            <w:noWrap/>
            <w:vAlign w:val="center"/>
            <w:hideMark/>
          </w:tcPr>
          <w:p w14:paraId="7C18425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27607</w:t>
            </w:r>
          </w:p>
        </w:tc>
        <w:tc>
          <w:tcPr>
            <w:tcW w:w="779" w:type="pct"/>
            <w:tcBorders>
              <w:top w:val="nil"/>
              <w:left w:val="nil"/>
              <w:bottom w:val="single" w:sz="18" w:space="0" w:color="auto"/>
              <w:right w:val="nil"/>
            </w:tcBorders>
            <w:shd w:val="clear" w:color="auto" w:fill="auto"/>
            <w:noWrap/>
            <w:vAlign w:val="center"/>
            <w:hideMark/>
          </w:tcPr>
          <w:p w14:paraId="49B50B32"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27850</w:t>
            </w:r>
          </w:p>
        </w:tc>
        <w:tc>
          <w:tcPr>
            <w:tcW w:w="779" w:type="pct"/>
            <w:tcBorders>
              <w:top w:val="nil"/>
              <w:left w:val="nil"/>
              <w:bottom w:val="single" w:sz="18" w:space="0" w:color="auto"/>
              <w:right w:val="nil"/>
            </w:tcBorders>
            <w:shd w:val="clear" w:color="auto" w:fill="auto"/>
            <w:noWrap/>
            <w:vAlign w:val="center"/>
            <w:hideMark/>
          </w:tcPr>
          <w:p w14:paraId="417B5B0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27332</w:t>
            </w:r>
          </w:p>
        </w:tc>
        <w:tc>
          <w:tcPr>
            <w:tcW w:w="779" w:type="pct"/>
            <w:tcBorders>
              <w:top w:val="nil"/>
              <w:left w:val="nil"/>
              <w:bottom w:val="single" w:sz="18" w:space="0" w:color="auto"/>
              <w:right w:val="nil"/>
            </w:tcBorders>
            <w:shd w:val="clear" w:color="auto" w:fill="auto"/>
            <w:noWrap/>
            <w:vAlign w:val="center"/>
            <w:hideMark/>
          </w:tcPr>
          <w:p w14:paraId="3460CC0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26475</w:t>
            </w:r>
          </w:p>
        </w:tc>
      </w:tr>
    </w:tbl>
    <w:p w14:paraId="6D7AA191" w14:textId="77777777" w:rsidR="00016D40" w:rsidRDefault="00016D40" w:rsidP="00016D40">
      <w:pPr>
        <w:spacing w:after="0"/>
        <w:jc w:val="both"/>
      </w:pPr>
    </w:p>
    <w:p w14:paraId="14952B72" w14:textId="77777777" w:rsidR="00016D40" w:rsidRPr="00CA1166" w:rsidRDefault="00016D40" w:rsidP="00016D40">
      <w:pPr>
        <w:spacing w:after="0"/>
        <w:jc w:val="both"/>
      </w:pPr>
      <w:r w:rsidRPr="00CA1166">
        <w:t xml:space="preserve">Note: This table reports our findings for matched samples with varying accounting comparability levels. Panel A presents the results of the propensity score matching used to test for the difference in abnormal net hiring between firms with above-median level of comparability and matched firms with below-median level of comparability, using the one-to-one nearest neighbourhood </w:t>
      </w:r>
      <w:r w:rsidRPr="000D17D8">
        <w:t>(without replacement)</w:t>
      </w:r>
      <w:r>
        <w:t xml:space="preserve"> </w:t>
      </w:r>
      <w:r w:rsidRPr="00CA1166">
        <w:t xml:space="preserve">(NN 1:1), one-to-four nearest neighbourhood (NN 1:4) and radius (Radius) matching techniques </w:t>
      </w:r>
      <w:r w:rsidRPr="000D17D8">
        <w:t xml:space="preserve">with common support </w:t>
      </w:r>
      <w:r>
        <w:t xml:space="preserve">and </w:t>
      </w:r>
      <w:r w:rsidRPr="00CA1166">
        <w:t xml:space="preserve">with a caliper width of 0.05. We use the firm characteristics (market-to-book ratio, firm size, loss, return on asset, and auditor type), and year and industry dummies to perform the matching. </w:t>
      </w:r>
      <w:r w:rsidRPr="002E7D97">
        <w:rPr>
          <w:i/>
        </w:rPr>
        <w:t>Z</w:t>
      </w:r>
      <w:r w:rsidRPr="00CA1166">
        <w:t>-statistics are computed based on bootstrap procedure and reported in parentheses. Panel B presents the results for the impact of accounting comparability on the labo</w:t>
      </w:r>
      <w:r>
        <w:t>u</w:t>
      </w:r>
      <w:r w:rsidRPr="00CA1166">
        <w:t xml:space="preserve">r investment inefficiency, using the matched samples. We match on firm characteristics, and year and industry dummies using one-to-one nearest neighbourhood </w:t>
      </w:r>
      <w:r w:rsidRPr="000D17D8">
        <w:t>(without replacement)</w:t>
      </w:r>
      <w:r w:rsidRPr="00CA1166">
        <w:t xml:space="preserve"> techniques. The results for the control variables are not tabulated for brevity. All regressions include year and industry fixed</w:t>
      </w:r>
      <w:r>
        <w:t>-</w:t>
      </w:r>
      <w:r w:rsidRPr="00CA1166">
        <w:t xml:space="preserve">effects. The </w:t>
      </w:r>
      <w:r w:rsidRPr="002E7D97">
        <w:rPr>
          <w:i/>
        </w:rPr>
        <w:t>t</w:t>
      </w:r>
      <w:r w:rsidRPr="00CA1166">
        <w:t>-statistics are computed based on the heteroscedasticity-robust standard errors clustered by firm and reported in parentheses. *, ** and *** indicate statistical significance at the 0.10, 0.05, and 0.01 levels, respectively, based on two-tailed tests.</w:t>
      </w:r>
    </w:p>
    <w:p w14:paraId="6A39D7D5" w14:textId="77777777" w:rsidR="008325AD" w:rsidRDefault="008325AD" w:rsidP="00016D40">
      <w:pPr>
        <w:rPr>
          <w:b/>
        </w:rPr>
      </w:pPr>
    </w:p>
    <w:p w14:paraId="4819F69F" w14:textId="77777777" w:rsidR="008325AD" w:rsidRDefault="008325AD" w:rsidP="00016D40">
      <w:pPr>
        <w:rPr>
          <w:b/>
        </w:rPr>
      </w:pPr>
    </w:p>
    <w:p w14:paraId="39B0657E" w14:textId="77777777" w:rsidR="00016D40" w:rsidRPr="00CA1166" w:rsidRDefault="00016D40" w:rsidP="00016D40">
      <w:r w:rsidRPr="00CA1166">
        <w:rPr>
          <w:b/>
        </w:rPr>
        <w:lastRenderedPageBreak/>
        <w:t xml:space="preserve">Table </w:t>
      </w:r>
      <w:r>
        <w:rPr>
          <w:b/>
        </w:rPr>
        <w:t>7</w:t>
      </w:r>
      <w:r w:rsidRPr="00CA1166">
        <w:rPr>
          <w:b/>
        </w:rPr>
        <w:t>.</w:t>
      </w:r>
      <w:r w:rsidRPr="00CA1166">
        <w:t xml:space="preserve"> Addressing Endogeneity: Dynamic System GMM</w:t>
      </w:r>
    </w:p>
    <w:tbl>
      <w:tblPr>
        <w:tblW w:w="8453" w:type="dxa"/>
        <w:jc w:val="center"/>
        <w:tblLook w:val="04A0" w:firstRow="1" w:lastRow="0" w:firstColumn="1" w:lastColumn="0" w:noHBand="0" w:noVBand="1"/>
      </w:tblPr>
      <w:tblGrid>
        <w:gridCol w:w="4035"/>
        <w:gridCol w:w="1132"/>
        <w:gridCol w:w="1022"/>
        <w:gridCol w:w="1132"/>
        <w:gridCol w:w="1132"/>
      </w:tblGrid>
      <w:tr w:rsidR="00016D40" w:rsidRPr="00CA1166" w14:paraId="69526891" w14:textId="77777777" w:rsidTr="00CD1FDD">
        <w:trPr>
          <w:trHeight w:val="207"/>
          <w:jc w:val="center"/>
        </w:trPr>
        <w:tc>
          <w:tcPr>
            <w:tcW w:w="0" w:type="auto"/>
            <w:tcBorders>
              <w:top w:val="single" w:sz="12" w:space="0" w:color="auto"/>
              <w:left w:val="nil"/>
              <w:bottom w:val="single" w:sz="4" w:space="0" w:color="auto"/>
              <w:right w:val="nil"/>
            </w:tcBorders>
            <w:shd w:val="clear" w:color="auto" w:fill="auto"/>
            <w:noWrap/>
            <w:vAlign w:val="center"/>
            <w:hideMark/>
          </w:tcPr>
          <w:p w14:paraId="3F326BA4"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0" w:type="auto"/>
            <w:tcBorders>
              <w:top w:val="single" w:sz="12" w:space="0" w:color="auto"/>
              <w:left w:val="nil"/>
              <w:bottom w:val="single" w:sz="4" w:space="0" w:color="auto"/>
              <w:right w:val="nil"/>
            </w:tcBorders>
            <w:shd w:val="clear" w:color="auto" w:fill="auto"/>
            <w:noWrap/>
            <w:vAlign w:val="center"/>
            <w:hideMark/>
          </w:tcPr>
          <w:p w14:paraId="0C583664"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(1)</w:t>
            </w:r>
          </w:p>
        </w:tc>
        <w:tc>
          <w:tcPr>
            <w:tcW w:w="0" w:type="auto"/>
            <w:tcBorders>
              <w:top w:val="single" w:sz="12" w:space="0" w:color="auto"/>
              <w:left w:val="nil"/>
              <w:bottom w:val="single" w:sz="4" w:space="0" w:color="auto"/>
              <w:right w:val="nil"/>
            </w:tcBorders>
            <w:shd w:val="clear" w:color="auto" w:fill="auto"/>
            <w:noWrap/>
            <w:vAlign w:val="center"/>
            <w:hideMark/>
          </w:tcPr>
          <w:p w14:paraId="2F2B5C91"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(2)</w:t>
            </w:r>
          </w:p>
        </w:tc>
        <w:tc>
          <w:tcPr>
            <w:tcW w:w="0" w:type="auto"/>
            <w:tcBorders>
              <w:top w:val="single" w:sz="12" w:space="0" w:color="auto"/>
              <w:left w:val="nil"/>
              <w:bottom w:val="single" w:sz="4" w:space="0" w:color="auto"/>
              <w:right w:val="nil"/>
            </w:tcBorders>
            <w:shd w:val="clear" w:color="auto" w:fill="auto"/>
            <w:noWrap/>
            <w:vAlign w:val="center"/>
            <w:hideMark/>
          </w:tcPr>
          <w:p w14:paraId="2D8AF008"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(3)</w:t>
            </w:r>
          </w:p>
        </w:tc>
        <w:tc>
          <w:tcPr>
            <w:tcW w:w="0" w:type="auto"/>
            <w:tcBorders>
              <w:top w:val="single" w:sz="12" w:space="0" w:color="auto"/>
              <w:left w:val="nil"/>
              <w:bottom w:val="single" w:sz="4" w:space="0" w:color="auto"/>
              <w:right w:val="nil"/>
            </w:tcBorders>
            <w:shd w:val="clear" w:color="auto" w:fill="auto"/>
            <w:noWrap/>
            <w:vAlign w:val="center"/>
            <w:hideMark/>
          </w:tcPr>
          <w:p w14:paraId="46273614" w14:textId="77777777" w:rsidR="00016D40" w:rsidRPr="00CA1166" w:rsidRDefault="00016D40" w:rsidP="00CD1FDD">
            <w:pPr>
              <w:spacing w:after="0" w:line="240" w:lineRule="auto"/>
              <w:jc w:val="center"/>
              <w:rPr>
                <w:rFonts w:eastAsia="Times New Roman" w:cs="Calibri"/>
                <w:b/>
                <w:color w:val="000000"/>
                <w:sz w:val="20"/>
                <w:szCs w:val="20"/>
              </w:rPr>
            </w:pPr>
            <w:r w:rsidRPr="00CA1166">
              <w:rPr>
                <w:rFonts w:eastAsia="Times New Roman" w:cs="Calibri"/>
                <w:b/>
                <w:color w:val="000000"/>
                <w:sz w:val="20"/>
                <w:szCs w:val="20"/>
              </w:rPr>
              <w:t>(4)</w:t>
            </w:r>
          </w:p>
        </w:tc>
      </w:tr>
      <w:tr w:rsidR="00016D40" w:rsidRPr="00CA1166" w14:paraId="14F3FBEC" w14:textId="77777777" w:rsidTr="00CD1FDD">
        <w:trPr>
          <w:trHeight w:val="248"/>
          <w:jc w:val="center"/>
        </w:trPr>
        <w:tc>
          <w:tcPr>
            <w:tcW w:w="0" w:type="auto"/>
            <w:tcBorders>
              <w:top w:val="single" w:sz="4" w:space="0" w:color="auto"/>
              <w:left w:val="nil"/>
              <w:bottom w:val="nil"/>
              <w:right w:val="nil"/>
            </w:tcBorders>
            <w:shd w:val="clear" w:color="auto" w:fill="auto"/>
            <w:noWrap/>
            <w:vAlign w:val="center"/>
            <w:hideMark/>
          </w:tcPr>
          <w:p w14:paraId="19827193"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CompacctInd</w:t>
            </w:r>
            <w:r w:rsidRPr="00CA1166">
              <w:rPr>
                <w:rFonts w:eastAsia="Times New Roman" w:cs="Calibri"/>
                <w:i/>
                <w:iCs/>
                <w:color w:val="000000"/>
                <w:sz w:val="20"/>
                <w:szCs w:val="20"/>
                <w:vertAlign w:val="subscript"/>
              </w:rPr>
              <w:t>i,t-1</w:t>
            </w:r>
          </w:p>
        </w:tc>
        <w:tc>
          <w:tcPr>
            <w:tcW w:w="0" w:type="auto"/>
            <w:tcBorders>
              <w:top w:val="single" w:sz="4" w:space="0" w:color="auto"/>
              <w:left w:val="nil"/>
              <w:bottom w:val="nil"/>
              <w:right w:val="nil"/>
            </w:tcBorders>
            <w:shd w:val="clear" w:color="auto" w:fill="auto"/>
            <w:noWrap/>
            <w:vAlign w:val="center"/>
            <w:hideMark/>
          </w:tcPr>
          <w:p w14:paraId="3C4BC14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-0.457***</w:t>
            </w:r>
          </w:p>
        </w:tc>
        <w:tc>
          <w:tcPr>
            <w:tcW w:w="0" w:type="auto"/>
            <w:tcBorders>
              <w:top w:val="single" w:sz="4" w:space="0" w:color="auto"/>
              <w:left w:val="nil"/>
              <w:bottom w:val="nil"/>
              <w:right w:val="nil"/>
            </w:tcBorders>
            <w:shd w:val="clear" w:color="auto" w:fill="auto"/>
            <w:noWrap/>
            <w:vAlign w:val="center"/>
            <w:hideMark/>
          </w:tcPr>
          <w:p w14:paraId="4142DFCB" w14:textId="77777777" w:rsidR="00016D40" w:rsidRPr="00CA1166" w:rsidRDefault="00016D40" w:rsidP="00CD1FDD">
            <w:pPr>
              <w:spacing w:after="0" w:line="240" w:lineRule="auto"/>
              <w:jc w:val="center"/>
              <w:rPr>
                <w:rFonts w:eastAsia="Times New Roman" w:cs="Calibri"/>
                <w:color w:val="000000"/>
                <w:sz w:val="20"/>
                <w:szCs w:val="20"/>
              </w:rPr>
            </w:pPr>
          </w:p>
        </w:tc>
        <w:tc>
          <w:tcPr>
            <w:tcW w:w="0" w:type="auto"/>
            <w:tcBorders>
              <w:top w:val="single" w:sz="4" w:space="0" w:color="auto"/>
              <w:left w:val="nil"/>
              <w:bottom w:val="nil"/>
              <w:right w:val="nil"/>
            </w:tcBorders>
            <w:shd w:val="clear" w:color="auto" w:fill="auto"/>
            <w:noWrap/>
            <w:vAlign w:val="center"/>
            <w:hideMark/>
          </w:tcPr>
          <w:p w14:paraId="3D903328"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shd w:val="clear" w:color="auto" w:fill="auto"/>
            <w:noWrap/>
            <w:vAlign w:val="center"/>
            <w:hideMark/>
          </w:tcPr>
          <w:p w14:paraId="6007592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2F6FAAE"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6F143C8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6634F9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(-3.16)</w:t>
            </w:r>
          </w:p>
        </w:tc>
        <w:tc>
          <w:tcPr>
            <w:tcW w:w="0" w:type="auto"/>
            <w:tcBorders>
              <w:top w:val="nil"/>
              <w:left w:val="nil"/>
              <w:bottom w:val="nil"/>
              <w:right w:val="nil"/>
            </w:tcBorders>
            <w:shd w:val="clear" w:color="auto" w:fill="auto"/>
            <w:noWrap/>
            <w:vAlign w:val="center"/>
            <w:hideMark/>
          </w:tcPr>
          <w:p w14:paraId="5AF290B4" w14:textId="77777777" w:rsidR="00016D40" w:rsidRPr="00CA1166" w:rsidRDefault="00016D40" w:rsidP="00CD1FDD">
            <w:pPr>
              <w:spacing w:after="0" w:line="240" w:lineRule="auto"/>
              <w:jc w:val="center"/>
              <w:rPr>
                <w:rFonts w:eastAsia="Times New Roman" w:cs="Calibri"/>
                <w:color w:val="000000"/>
                <w:sz w:val="20"/>
                <w:szCs w:val="20"/>
              </w:rPr>
            </w:pPr>
          </w:p>
        </w:tc>
        <w:tc>
          <w:tcPr>
            <w:tcW w:w="0" w:type="auto"/>
            <w:tcBorders>
              <w:top w:val="nil"/>
              <w:left w:val="nil"/>
              <w:bottom w:val="nil"/>
              <w:right w:val="nil"/>
            </w:tcBorders>
            <w:shd w:val="clear" w:color="auto" w:fill="auto"/>
            <w:noWrap/>
            <w:vAlign w:val="center"/>
            <w:hideMark/>
          </w:tcPr>
          <w:p w14:paraId="26A632A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0F2857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5E08CD21" w14:textId="77777777" w:rsidTr="00CD1FDD">
        <w:trPr>
          <w:trHeight w:val="248"/>
          <w:jc w:val="center"/>
        </w:trPr>
        <w:tc>
          <w:tcPr>
            <w:tcW w:w="0" w:type="auto"/>
            <w:tcBorders>
              <w:top w:val="nil"/>
              <w:left w:val="nil"/>
              <w:bottom w:val="nil"/>
              <w:right w:val="nil"/>
            </w:tcBorders>
            <w:shd w:val="clear" w:color="auto" w:fill="auto"/>
            <w:noWrap/>
            <w:vAlign w:val="center"/>
            <w:hideMark/>
          </w:tcPr>
          <w:p w14:paraId="57FB8D85"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Compacct10</w:t>
            </w:r>
            <w:r w:rsidRPr="00CA1166">
              <w:rPr>
                <w:rFonts w:eastAsia="Times New Roman" w:cs="Calibri"/>
                <w:i/>
                <w:iCs/>
                <w:color w:val="000000"/>
                <w:sz w:val="20"/>
                <w:szCs w:val="20"/>
                <w:vertAlign w:val="subscript"/>
              </w:rPr>
              <w:t>i,t-1</w:t>
            </w:r>
          </w:p>
        </w:tc>
        <w:tc>
          <w:tcPr>
            <w:tcW w:w="0" w:type="auto"/>
            <w:tcBorders>
              <w:top w:val="nil"/>
              <w:left w:val="nil"/>
              <w:bottom w:val="nil"/>
              <w:right w:val="nil"/>
            </w:tcBorders>
            <w:shd w:val="clear" w:color="auto" w:fill="auto"/>
            <w:noWrap/>
            <w:vAlign w:val="center"/>
            <w:hideMark/>
          </w:tcPr>
          <w:p w14:paraId="68711CE1" w14:textId="77777777" w:rsidR="00016D40" w:rsidRPr="00CA1166" w:rsidRDefault="00016D40" w:rsidP="00CD1FDD">
            <w:pPr>
              <w:spacing w:after="0" w:line="240" w:lineRule="auto"/>
              <w:rPr>
                <w:rFonts w:eastAsia="Times New Roman" w:cs="Calibri"/>
                <w:i/>
                <w:iCs/>
                <w:color w:val="000000"/>
                <w:sz w:val="20"/>
                <w:szCs w:val="20"/>
              </w:rPr>
            </w:pPr>
          </w:p>
        </w:tc>
        <w:tc>
          <w:tcPr>
            <w:tcW w:w="0" w:type="auto"/>
            <w:tcBorders>
              <w:top w:val="nil"/>
              <w:left w:val="nil"/>
              <w:bottom w:val="nil"/>
              <w:right w:val="nil"/>
            </w:tcBorders>
            <w:shd w:val="clear" w:color="auto" w:fill="auto"/>
            <w:noWrap/>
            <w:vAlign w:val="center"/>
            <w:hideMark/>
          </w:tcPr>
          <w:p w14:paraId="566DD45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-0.487**</w:t>
            </w:r>
          </w:p>
        </w:tc>
        <w:tc>
          <w:tcPr>
            <w:tcW w:w="0" w:type="auto"/>
            <w:tcBorders>
              <w:top w:val="nil"/>
              <w:left w:val="nil"/>
              <w:bottom w:val="nil"/>
              <w:right w:val="nil"/>
            </w:tcBorders>
            <w:shd w:val="clear" w:color="auto" w:fill="auto"/>
            <w:noWrap/>
            <w:vAlign w:val="center"/>
            <w:hideMark/>
          </w:tcPr>
          <w:p w14:paraId="4E78811F" w14:textId="77777777" w:rsidR="00016D40" w:rsidRPr="00CA1166" w:rsidRDefault="00016D40" w:rsidP="00CD1FDD">
            <w:pPr>
              <w:spacing w:after="0" w:line="240" w:lineRule="auto"/>
              <w:jc w:val="center"/>
              <w:rPr>
                <w:rFonts w:eastAsia="Times New Roman" w:cs="Calibri"/>
                <w:color w:val="000000"/>
                <w:sz w:val="20"/>
                <w:szCs w:val="20"/>
              </w:rPr>
            </w:pPr>
          </w:p>
        </w:tc>
        <w:tc>
          <w:tcPr>
            <w:tcW w:w="0" w:type="auto"/>
            <w:tcBorders>
              <w:top w:val="nil"/>
              <w:left w:val="nil"/>
              <w:bottom w:val="nil"/>
              <w:right w:val="nil"/>
            </w:tcBorders>
            <w:shd w:val="clear" w:color="auto" w:fill="auto"/>
            <w:noWrap/>
            <w:vAlign w:val="center"/>
            <w:hideMark/>
          </w:tcPr>
          <w:p w14:paraId="7FFE68D6"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67A2968A"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12B260B4"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60349A94"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5D1AFAA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(-2.13)</w:t>
            </w:r>
          </w:p>
        </w:tc>
        <w:tc>
          <w:tcPr>
            <w:tcW w:w="0" w:type="auto"/>
            <w:tcBorders>
              <w:top w:val="nil"/>
              <w:left w:val="nil"/>
              <w:bottom w:val="nil"/>
              <w:right w:val="nil"/>
            </w:tcBorders>
            <w:shd w:val="clear" w:color="auto" w:fill="auto"/>
            <w:noWrap/>
            <w:vAlign w:val="center"/>
            <w:hideMark/>
          </w:tcPr>
          <w:p w14:paraId="6F0EBF2B" w14:textId="77777777" w:rsidR="00016D40" w:rsidRPr="00CA1166" w:rsidRDefault="00016D40" w:rsidP="00CD1FDD">
            <w:pPr>
              <w:spacing w:after="0" w:line="240" w:lineRule="auto"/>
              <w:jc w:val="center"/>
              <w:rPr>
                <w:rFonts w:eastAsia="Times New Roman" w:cs="Calibri"/>
                <w:color w:val="000000"/>
                <w:sz w:val="20"/>
                <w:szCs w:val="20"/>
              </w:rPr>
            </w:pPr>
          </w:p>
        </w:tc>
        <w:tc>
          <w:tcPr>
            <w:tcW w:w="0" w:type="auto"/>
            <w:tcBorders>
              <w:top w:val="nil"/>
              <w:left w:val="nil"/>
              <w:bottom w:val="nil"/>
              <w:right w:val="nil"/>
            </w:tcBorders>
            <w:shd w:val="clear" w:color="auto" w:fill="auto"/>
            <w:noWrap/>
            <w:vAlign w:val="center"/>
            <w:hideMark/>
          </w:tcPr>
          <w:p w14:paraId="23C8C10B"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r>
      <w:tr w:rsidR="00016D40" w:rsidRPr="00CA1166" w14:paraId="0A812C2C" w14:textId="77777777" w:rsidTr="00CD1FDD">
        <w:trPr>
          <w:trHeight w:val="248"/>
          <w:jc w:val="center"/>
        </w:trPr>
        <w:tc>
          <w:tcPr>
            <w:tcW w:w="0" w:type="auto"/>
            <w:tcBorders>
              <w:top w:val="nil"/>
              <w:left w:val="nil"/>
              <w:bottom w:val="nil"/>
              <w:right w:val="nil"/>
            </w:tcBorders>
            <w:shd w:val="clear" w:color="auto" w:fill="auto"/>
            <w:noWrap/>
            <w:vAlign w:val="center"/>
            <w:hideMark/>
          </w:tcPr>
          <w:p w14:paraId="63761A4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CompacctBasu</w:t>
            </w:r>
            <w:r w:rsidRPr="00CA1166">
              <w:rPr>
                <w:rFonts w:eastAsia="Times New Roman" w:cs="Calibri"/>
                <w:i/>
                <w:iCs/>
                <w:color w:val="000000"/>
                <w:sz w:val="20"/>
                <w:szCs w:val="20"/>
                <w:vertAlign w:val="subscript"/>
              </w:rPr>
              <w:t>i,t-1</w:t>
            </w:r>
          </w:p>
        </w:tc>
        <w:tc>
          <w:tcPr>
            <w:tcW w:w="0" w:type="auto"/>
            <w:tcBorders>
              <w:top w:val="nil"/>
              <w:left w:val="nil"/>
              <w:bottom w:val="nil"/>
              <w:right w:val="nil"/>
            </w:tcBorders>
            <w:shd w:val="clear" w:color="auto" w:fill="auto"/>
            <w:noWrap/>
            <w:vAlign w:val="center"/>
            <w:hideMark/>
          </w:tcPr>
          <w:p w14:paraId="44DAF015" w14:textId="77777777" w:rsidR="00016D40" w:rsidRPr="00CA1166" w:rsidRDefault="00016D40" w:rsidP="00CD1FDD">
            <w:pPr>
              <w:spacing w:after="0" w:line="240" w:lineRule="auto"/>
              <w:rPr>
                <w:rFonts w:eastAsia="Times New Roman" w:cs="Calibri"/>
                <w:i/>
                <w:iCs/>
                <w:color w:val="000000"/>
                <w:sz w:val="20"/>
                <w:szCs w:val="20"/>
              </w:rPr>
            </w:pPr>
          </w:p>
        </w:tc>
        <w:tc>
          <w:tcPr>
            <w:tcW w:w="0" w:type="auto"/>
            <w:tcBorders>
              <w:top w:val="nil"/>
              <w:left w:val="nil"/>
              <w:bottom w:val="nil"/>
              <w:right w:val="nil"/>
            </w:tcBorders>
            <w:shd w:val="clear" w:color="auto" w:fill="auto"/>
            <w:noWrap/>
            <w:vAlign w:val="center"/>
            <w:hideMark/>
          </w:tcPr>
          <w:p w14:paraId="1E392AC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229C86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-0.642***</w:t>
            </w:r>
          </w:p>
        </w:tc>
        <w:tc>
          <w:tcPr>
            <w:tcW w:w="0" w:type="auto"/>
            <w:tcBorders>
              <w:top w:val="nil"/>
              <w:left w:val="nil"/>
              <w:bottom w:val="nil"/>
              <w:right w:val="nil"/>
            </w:tcBorders>
            <w:shd w:val="clear" w:color="auto" w:fill="auto"/>
            <w:noWrap/>
            <w:vAlign w:val="center"/>
            <w:hideMark/>
          </w:tcPr>
          <w:p w14:paraId="67FA5AFB"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6D4A7051"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1888576C"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418E8FFE"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536E13D"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756B8C17"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(-4.00)</w:t>
            </w:r>
          </w:p>
        </w:tc>
        <w:tc>
          <w:tcPr>
            <w:tcW w:w="0" w:type="auto"/>
            <w:tcBorders>
              <w:top w:val="nil"/>
              <w:left w:val="nil"/>
              <w:bottom w:val="nil"/>
              <w:right w:val="nil"/>
            </w:tcBorders>
            <w:shd w:val="clear" w:color="auto" w:fill="auto"/>
            <w:noWrap/>
            <w:vAlign w:val="center"/>
            <w:hideMark/>
          </w:tcPr>
          <w:p w14:paraId="39EA51A1" w14:textId="77777777" w:rsidR="00016D40" w:rsidRPr="00CA1166" w:rsidRDefault="00016D40" w:rsidP="00CD1FDD">
            <w:pPr>
              <w:spacing w:after="0" w:line="240" w:lineRule="auto"/>
              <w:jc w:val="center"/>
              <w:rPr>
                <w:rFonts w:eastAsia="Times New Roman" w:cs="Calibri"/>
                <w:color w:val="000000"/>
                <w:sz w:val="20"/>
                <w:szCs w:val="20"/>
              </w:rPr>
            </w:pPr>
          </w:p>
        </w:tc>
      </w:tr>
      <w:tr w:rsidR="00016D40" w:rsidRPr="00CA1166" w14:paraId="2BD307E4" w14:textId="77777777" w:rsidTr="00CD1FDD">
        <w:trPr>
          <w:trHeight w:val="248"/>
          <w:jc w:val="center"/>
        </w:trPr>
        <w:tc>
          <w:tcPr>
            <w:tcW w:w="0" w:type="auto"/>
            <w:tcBorders>
              <w:top w:val="nil"/>
              <w:left w:val="nil"/>
              <w:bottom w:val="nil"/>
              <w:right w:val="nil"/>
            </w:tcBorders>
            <w:shd w:val="clear" w:color="auto" w:fill="auto"/>
            <w:noWrap/>
            <w:vAlign w:val="center"/>
            <w:hideMark/>
          </w:tcPr>
          <w:p w14:paraId="5BC3C3AB"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CompacctPle</w:t>
            </w:r>
            <w:r w:rsidRPr="00CA1166">
              <w:rPr>
                <w:rFonts w:eastAsia="Times New Roman" w:cs="Calibri"/>
                <w:i/>
                <w:iCs/>
                <w:color w:val="000000"/>
                <w:sz w:val="20"/>
                <w:szCs w:val="20"/>
                <w:vertAlign w:val="subscript"/>
              </w:rPr>
              <w:t>i,t-1</w:t>
            </w:r>
          </w:p>
        </w:tc>
        <w:tc>
          <w:tcPr>
            <w:tcW w:w="0" w:type="auto"/>
            <w:tcBorders>
              <w:top w:val="nil"/>
              <w:left w:val="nil"/>
              <w:bottom w:val="nil"/>
              <w:right w:val="nil"/>
            </w:tcBorders>
            <w:shd w:val="clear" w:color="auto" w:fill="auto"/>
            <w:noWrap/>
            <w:vAlign w:val="center"/>
            <w:hideMark/>
          </w:tcPr>
          <w:p w14:paraId="003654DC" w14:textId="77777777" w:rsidR="00016D40" w:rsidRPr="00CA1166" w:rsidRDefault="00016D40" w:rsidP="00CD1FDD">
            <w:pPr>
              <w:spacing w:after="0" w:line="240" w:lineRule="auto"/>
              <w:rPr>
                <w:rFonts w:eastAsia="Times New Roman" w:cs="Calibri"/>
                <w:i/>
                <w:iCs/>
                <w:color w:val="000000"/>
                <w:sz w:val="20"/>
                <w:szCs w:val="20"/>
              </w:rPr>
            </w:pPr>
          </w:p>
        </w:tc>
        <w:tc>
          <w:tcPr>
            <w:tcW w:w="0" w:type="auto"/>
            <w:tcBorders>
              <w:top w:val="nil"/>
              <w:left w:val="nil"/>
              <w:bottom w:val="nil"/>
              <w:right w:val="nil"/>
            </w:tcBorders>
            <w:shd w:val="clear" w:color="auto" w:fill="auto"/>
            <w:noWrap/>
            <w:vAlign w:val="center"/>
            <w:hideMark/>
          </w:tcPr>
          <w:p w14:paraId="3F623850"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6173E57"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4BF595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-0.533***</w:t>
            </w:r>
          </w:p>
        </w:tc>
      </w:tr>
      <w:tr w:rsidR="00016D40" w:rsidRPr="00CA1166" w14:paraId="3003C74B"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59E292E3" w14:textId="77777777" w:rsidR="00016D40" w:rsidRPr="00CA1166" w:rsidRDefault="00016D40" w:rsidP="00CD1FDD">
            <w:pPr>
              <w:spacing w:after="0" w:line="240" w:lineRule="auto"/>
              <w:jc w:val="center"/>
              <w:rPr>
                <w:rFonts w:eastAsia="Times New Roman" w:cs="Calibri"/>
                <w:color w:val="000000"/>
                <w:sz w:val="20"/>
                <w:szCs w:val="20"/>
              </w:rPr>
            </w:pPr>
          </w:p>
        </w:tc>
        <w:tc>
          <w:tcPr>
            <w:tcW w:w="0" w:type="auto"/>
            <w:tcBorders>
              <w:top w:val="nil"/>
              <w:left w:val="nil"/>
              <w:bottom w:val="nil"/>
              <w:right w:val="nil"/>
            </w:tcBorders>
            <w:shd w:val="clear" w:color="auto" w:fill="auto"/>
            <w:noWrap/>
            <w:vAlign w:val="center"/>
            <w:hideMark/>
          </w:tcPr>
          <w:p w14:paraId="6429FF3B" w14:textId="77777777" w:rsidR="00016D40" w:rsidRPr="00CA1166" w:rsidRDefault="00016D40" w:rsidP="00CD1FD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3A31626F"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39A1AA9" w14:textId="77777777" w:rsidR="00016D40" w:rsidRPr="00CA1166" w:rsidRDefault="00016D40" w:rsidP="00CD1FD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14:paraId="19FD932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(-3.16)</w:t>
            </w:r>
          </w:p>
        </w:tc>
      </w:tr>
      <w:tr w:rsidR="00016D40" w:rsidRPr="00CA1166" w14:paraId="2192D47E"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1C014697"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Control</w:t>
            </w:r>
          </w:p>
        </w:tc>
        <w:tc>
          <w:tcPr>
            <w:tcW w:w="0" w:type="auto"/>
            <w:tcBorders>
              <w:top w:val="nil"/>
              <w:left w:val="nil"/>
              <w:bottom w:val="nil"/>
              <w:right w:val="nil"/>
            </w:tcBorders>
            <w:shd w:val="clear" w:color="auto" w:fill="auto"/>
            <w:noWrap/>
            <w:vAlign w:val="center"/>
            <w:hideMark/>
          </w:tcPr>
          <w:p w14:paraId="77FDC72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5DCD00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1C905BC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691D3BF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1636BAB1"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18EEA41E" w14:textId="77777777" w:rsidR="00016D40" w:rsidRPr="00CA1166" w:rsidRDefault="00016D40" w:rsidP="00CD1FDD">
            <w:pPr>
              <w:spacing w:after="0" w:line="240" w:lineRule="auto"/>
              <w:rPr>
                <w:rFonts w:eastAsia="Times New Roman" w:cs="Calibri"/>
                <w:color w:val="000000"/>
                <w:sz w:val="20"/>
                <w:szCs w:val="20"/>
              </w:rPr>
            </w:pPr>
            <w:r w:rsidRPr="00CA1166">
              <w:rPr>
                <w:rFonts w:eastAsia="Times New Roman" w:cs="Calibri"/>
                <w:color w:val="000000"/>
                <w:sz w:val="20"/>
                <w:szCs w:val="20"/>
              </w:rPr>
              <w:t>Year fixed effects</w:t>
            </w:r>
          </w:p>
        </w:tc>
        <w:tc>
          <w:tcPr>
            <w:tcW w:w="0" w:type="auto"/>
            <w:tcBorders>
              <w:top w:val="nil"/>
              <w:left w:val="nil"/>
              <w:bottom w:val="nil"/>
              <w:right w:val="nil"/>
            </w:tcBorders>
            <w:shd w:val="clear" w:color="auto" w:fill="auto"/>
            <w:noWrap/>
            <w:vAlign w:val="center"/>
            <w:hideMark/>
          </w:tcPr>
          <w:p w14:paraId="161ACB2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1CF11A4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6889A740"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c>
          <w:tcPr>
            <w:tcW w:w="0" w:type="auto"/>
            <w:tcBorders>
              <w:top w:val="nil"/>
              <w:left w:val="nil"/>
              <w:bottom w:val="nil"/>
              <w:right w:val="nil"/>
            </w:tcBorders>
            <w:shd w:val="clear" w:color="auto" w:fill="auto"/>
            <w:noWrap/>
            <w:vAlign w:val="center"/>
            <w:hideMark/>
          </w:tcPr>
          <w:p w14:paraId="03E2287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Yes</w:t>
            </w:r>
          </w:p>
        </w:tc>
      </w:tr>
      <w:tr w:rsidR="00016D40" w:rsidRPr="00CA1166" w14:paraId="0DC2089C"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4CA4D5E4"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Obs.</w:t>
            </w:r>
          </w:p>
        </w:tc>
        <w:tc>
          <w:tcPr>
            <w:tcW w:w="0" w:type="auto"/>
            <w:tcBorders>
              <w:top w:val="nil"/>
              <w:left w:val="nil"/>
              <w:bottom w:val="nil"/>
              <w:right w:val="nil"/>
            </w:tcBorders>
            <w:shd w:val="clear" w:color="auto" w:fill="auto"/>
            <w:noWrap/>
            <w:vAlign w:val="center"/>
            <w:hideMark/>
          </w:tcPr>
          <w:p w14:paraId="6AAE7181"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54228</w:t>
            </w:r>
          </w:p>
        </w:tc>
        <w:tc>
          <w:tcPr>
            <w:tcW w:w="0" w:type="auto"/>
            <w:tcBorders>
              <w:top w:val="nil"/>
              <w:left w:val="nil"/>
              <w:bottom w:val="nil"/>
              <w:right w:val="nil"/>
            </w:tcBorders>
            <w:shd w:val="clear" w:color="auto" w:fill="auto"/>
            <w:noWrap/>
            <w:vAlign w:val="center"/>
            <w:hideMark/>
          </w:tcPr>
          <w:p w14:paraId="41454E5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54228</w:t>
            </w:r>
          </w:p>
        </w:tc>
        <w:tc>
          <w:tcPr>
            <w:tcW w:w="0" w:type="auto"/>
            <w:tcBorders>
              <w:top w:val="nil"/>
              <w:left w:val="nil"/>
              <w:bottom w:val="nil"/>
              <w:right w:val="nil"/>
            </w:tcBorders>
            <w:shd w:val="clear" w:color="auto" w:fill="auto"/>
            <w:noWrap/>
            <w:vAlign w:val="center"/>
            <w:hideMark/>
          </w:tcPr>
          <w:p w14:paraId="1ADBF9D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53512</w:t>
            </w:r>
          </w:p>
        </w:tc>
        <w:tc>
          <w:tcPr>
            <w:tcW w:w="0" w:type="auto"/>
            <w:tcBorders>
              <w:top w:val="nil"/>
              <w:left w:val="nil"/>
              <w:bottom w:val="nil"/>
              <w:right w:val="nil"/>
            </w:tcBorders>
            <w:shd w:val="clear" w:color="auto" w:fill="auto"/>
            <w:noWrap/>
            <w:vAlign w:val="center"/>
            <w:hideMark/>
          </w:tcPr>
          <w:p w14:paraId="040D4FF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51019</w:t>
            </w:r>
          </w:p>
        </w:tc>
      </w:tr>
      <w:tr w:rsidR="00016D40" w:rsidRPr="00CA1166" w14:paraId="74E81DD0"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67D0F38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AR(1) test (p-value)</w:t>
            </w:r>
          </w:p>
        </w:tc>
        <w:tc>
          <w:tcPr>
            <w:tcW w:w="0" w:type="auto"/>
            <w:tcBorders>
              <w:top w:val="nil"/>
              <w:left w:val="nil"/>
              <w:bottom w:val="nil"/>
              <w:right w:val="nil"/>
            </w:tcBorders>
            <w:shd w:val="clear" w:color="auto" w:fill="auto"/>
            <w:noWrap/>
            <w:vAlign w:val="center"/>
            <w:hideMark/>
          </w:tcPr>
          <w:p w14:paraId="561B7E59"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0" w:type="auto"/>
            <w:tcBorders>
              <w:top w:val="nil"/>
              <w:left w:val="nil"/>
              <w:bottom w:val="nil"/>
              <w:right w:val="nil"/>
            </w:tcBorders>
            <w:shd w:val="clear" w:color="auto" w:fill="auto"/>
            <w:noWrap/>
            <w:vAlign w:val="center"/>
            <w:hideMark/>
          </w:tcPr>
          <w:p w14:paraId="77CB034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0" w:type="auto"/>
            <w:tcBorders>
              <w:top w:val="nil"/>
              <w:left w:val="nil"/>
              <w:bottom w:val="nil"/>
              <w:right w:val="nil"/>
            </w:tcBorders>
            <w:shd w:val="clear" w:color="auto" w:fill="auto"/>
            <w:noWrap/>
            <w:vAlign w:val="center"/>
            <w:hideMark/>
          </w:tcPr>
          <w:p w14:paraId="4249D1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c>
          <w:tcPr>
            <w:tcW w:w="0" w:type="auto"/>
            <w:tcBorders>
              <w:top w:val="nil"/>
              <w:left w:val="nil"/>
              <w:bottom w:val="nil"/>
              <w:right w:val="nil"/>
            </w:tcBorders>
            <w:shd w:val="clear" w:color="auto" w:fill="auto"/>
            <w:noWrap/>
            <w:vAlign w:val="center"/>
            <w:hideMark/>
          </w:tcPr>
          <w:p w14:paraId="24E4B45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0.000</w:t>
            </w:r>
          </w:p>
        </w:tc>
      </w:tr>
      <w:tr w:rsidR="00016D40" w:rsidRPr="00CA1166" w14:paraId="0437F3A7"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07CCA017"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AR(2) test (p-value)</w:t>
            </w:r>
          </w:p>
        </w:tc>
        <w:tc>
          <w:tcPr>
            <w:tcW w:w="0" w:type="auto"/>
            <w:tcBorders>
              <w:top w:val="nil"/>
              <w:left w:val="nil"/>
              <w:bottom w:val="nil"/>
              <w:right w:val="nil"/>
            </w:tcBorders>
            <w:shd w:val="clear" w:color="auto" w:fill="auto"/>
            <w:noWrap/>
            <w:vAlign w:val="center"/>
            <w:hideMark/>
          </w:tcPr>
          <w:p w14:paraId="502638A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0.496</w:t>
            </w:r>
          </w:p>
        </w:tc>
        <w:tc>
          <w:tcPr>
            <w:tcW w:w="0" w:type="auto"/>
            <w:tcBorders>
              <w:top w:val="nil"/>
              <w:left w:val="nil"/>
              <w:bottom w:val="nil"/>
              <w:right w:val="nil"/>
            </w:tcBorders>
            <w:shd w:val="clear" w:color="auto" w:fill="auto"/>
            <w:noWrap/>
            <w:vAlign w:val="center"/>
            <w:hideMark/>
          </w:tcPr>
          <w:p w14:paraId="6557E4CF"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0.556</w:t>
            </w:r>
          </w:p>
        </w:tc>
        <w:tc>
          <w:tcPr>
            <w:tcW w:w="0" w:type="auto"/>
            <w:tcBorders>
              <w:top w:val="nil"/>
              <w:left w:val="nil"/>
              <w:bottom w:val="nil"/>
              <w:right w:val="nil"/>
            </w:tcBorders>
            <w:shd w:val="clear" w:color="auto" w:fill="auto"/>
            <w:noWrap/>
            <w:vAlign w:val="center"/>
            <w:hideMark/>
          </w:tcPr>
          <w:p w14:paraId="77F1D55A"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0.999</w:t>
            </w:r>
          </w:p>
        </w:tc>
        <w:tc>
          <w:tcPr>
            <w:tcW w:w="0" w:type="auto"/>
            <w:tcBorders>
              <w:top w:val="nil"/>
              <w:left w:val="nil"/>
              <w:bottom w:val="nil"/>
              <w:right w:val="nil"/>
            </w:tcBorders>
            <w:shd w:val="clear" w:color="auto" w:fill="auto"/>
            <w:noWrap/>
            <w:vAlign w:val="center"/>
            <w:hideMark/>
          </w:tcPr>
          <w:p w14:paraId="1392DD14"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0.742</w:t>
            </w:r>
          </w:p>
        </w:tc>
      </w:tr>
      <w:tr w:rsidR="00016D40" w:rsidRPr="00CA1166" w14:paraId="485CA736" w14:textId="77777777" w:rsidTr="00CD1FDD">
        <w:trPr>
          <w:trHeight w:val="207"/>
          <w:jc w:val="center"/>
        </w:trPr>
        <w:tc>
          <w:tcPr>
            <w:tcW w:w="0" w:type="auto"/>
            <w:tcBorders>
              <w:top w:val="nil"/>
              <w:left w:val="nil"/>
              <w:bottom w:val="nil"/>
              <w:right w:val="nil"/>
            </w:tcBorders>
            <w:shd w:val="clear" w:color="auto" w:fill="auto"/>
            <w:noWrap/>
            <w:vAlign w:val="center"/>
            <w:hideMark/>
          </w:tcPr>
          <w:p w14:paraId="718B07A9"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Hansen test of over-identification (p-value)</w:t>
            </w:r>
          </w:p>
        </w:tc>
        <w:tc>
          <w:tcPr>
            <w:tcW w:w="0" w:type="auto"/>
            <w:tcBorders>
              <w:top w:val="nil"/>
              <w:left w:val="nil"/>
              <w:bottom w:val="nil"/>
              <w:right w:val="nil"/>
            </w:tcBorders>
            <w:shd w:val="clear" w:color="auto" w:fill="auto"/>
            <w:noWrap/>
            <w:vAlign w:val="center"/>
            <w:hideMark/>
          </w:tcPr>
          <w:p w14:paraId="7DB1CEDC"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0.194</w:t>
            </w:r>
          </w:p>
        </w:tc>
        <w:tc>
          <w:tcPr>
            <w:tcW w:w="0" w:type="auto"/>
            <w:tcBorders>
              <w:top w:val="nil"/>
              <w:left w:val="nil"/>
              <w:bottom w:val="nil"/>
              <w:right w:val="nil"/>
            </w:tcBorders>
            <w:shd w:val="clear" w:color="auto" w:fill="auto"/>
            <w:noWrap/>
            <w:vAlign w:val="center"/>
            <w:hideMark/>
          </w:tcPr>
          <w:p w14:paraId="2959C07D"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0.307</w:t>
            </w:r>
          </w:p>
        </w:tc>
        <w:tc>
          <w:tcPr>
            <w:tcW w:w="0" w:type="auto"/>
            <w:tcBorders>
              <w:top w:val="nil"/>
              <w:left w:val="nil"/>
              <w:bottom w:val="nil"/>
              <w:right w:val="nil"/>
            </w:tcBorders>
            <w:shd w:val="clear" w:color="auto" w:fill="auto"/>
            <w:noWrap/>
            <w:vAlign w:val="center"/>
            <w:hideMark/>
          </w:tcPr>
          <w:p w14:paraId="733A4AE8"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0.587</w:t>
            </w:r>
          </w:p>
        </w:tc>
        <w:tc>
          <w:tcPr>
            <w:tcW w:w="0" w:type="auto"/>
            <w:tcBorders>
              <w:top w:val="nil"/>
              <w:left w:val="nil"/>
              <w:bottom w:val="nil"/>
              <w:right w:val="nil"/>
            </w:tcBorders>
            <w:shd w:val="clear" w:color="auto" w:fill="auto"/>
            <w:noWrap/>
            <w:vAlign w:val="center"/>
            <w:hideMark/>
          </w:tcPr>
          <w:p w14:paraId="1E589BC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0.176</w:t>
            </w:r>
          </w:p>
        </w:tc>
      </w:tr>
      <w:tr w:rsidR="00016D40" w:rsidRPr="00CA1166" w14:paraId="5ED48193" w14:textId="77777777" w:rsidTr="00CD1FDD">
        <w:trPr>
          <w:trHeight w:val="207"/>
          <w:jc w:val="center"/>
        </w:trPr>
        <w:tc>
          <w:tcPr>
            <w:tcW w:w="0" w:type="auto"/>
            <w:tcBorders>
              <w:top w:val="nil"/>
              <w:left w:val="nil"/>
              <w:bottom w:val="single" w:sz="12" w:space="0" w:color="auto"/>
              <w:right w:val="nil"/>
            </w:tcBorders>
            <w:shd w:val="clear" w:color="auto" w:fill="auto"/>
            <w:noWrap/>
            <w:vAlign w:val="center"/>
            <w:hideMark/>
          </w:tcPr>
          <w:p w14:paraId="2587A9DF" w14:textId="77777777" w:rsidR="00016D40" w:rsidRPr="00CA1166" w:rsidRDefault="00016D40" w:rsidP="00CD1FDD">
            <w:pPr>
              <w:spacing w:after="0" w:line="240" w:lineRule="auto"/>
              <w:rPr>
                <w:rFonts w:eastAsia="Times New Roman" w:cs="Calibri"/>
                <w:i/>
                <w:iCs/>
                <w:color w:val="000000"/>
                <w:sz w:val="20"/>
                <w:szCs w:val="20"/>
              </w:rPr>
            </w:pPr>
            <w:r w:rsidRPr="00CA1166">
              <w:rPr>
                <w:rFonts w:eastAsia="Times New Roman" w:cs="Calibri"/>
                <w:i/>
                <w:iCs/>
                <w:color w:val="000000"/>
                <w:sz w:val="20"/>
                <w:szCs w:val="20"/>
              </w:rPr>
              <w:t>Diff-in-Hansen test of exogeneity (p-value)</w:t>
            </w:r>
          </w:p>
        </w:tc>
        <w:tc>
          <w:tcPr>
            <w:tcW w:w="0" w:type="auto"/>
            <w:tcBorders>
              <w:top w:val="nil"/>
              <w:left w:val="nil"/>
              <w:bottom w:val="single" w:sz="12" w:space="0" w:color="auto"/>
              <w:right w:val="nil"/>
            </w:tcBorders>
            <w:shd w:val="clear" w:color="auto" w:fill="auto"/>
            <w:noWrap/>
            <w:vAlign w:val="center"/>
            <w:hideMark/>
          </w:tcPr>
          <w:p w14:paraId="608C8F06"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0.190</w:t>
            </w:r>
          </w:p>
        </w:tc>
        <w:tc>
          <w:tcPr>
            <w:tcW w:w="0" w:type="auto"/>
            <w:tcBorders>
              <w:top w:val="nil"/>
              <w:left w:val="nil"/>
              <w:bottom w:val="single" w:sz="12" w:space="0" w:color="auto"/>
              <w:right w:val="nil"/>
            </w:tcBorders>
            <w:shd w:val="clear" w:color="auto" w:fill="auto"/>
            <w:noWrap/>
            <w:vAlign w:val="center"/>
            <w:hideMark/>
          </w:tcPr>
          <w:p w14:paraId="0B57D02B"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0.215</w:t>
            </w:r>
          </w:p>
        </w:tc>
        <w:tc>
          <w:tcPr>
            <w:tcW w:w="0" w:type="auto"/>
            <w:tcBorders>
              <w:top w:val="nil"/>
              <w:left w:val="nil"/>
              <w:bottom w:val="single" w:sz="12" w:space="0" w:color="auto"/>
              <w:right w:val="nil"/>
            </w:tcBorders>
            <w:shd w:val="clear" w:color="auto" w:fill="auto"/>
            <w:noWrap/>
            <w:vAlign w:val="center"/>
            <w:hideMark/>
          </w:tcPr>
          <w:p w14:paraId="42D9C62E"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0.484</w:t>
            </w:r>
          </w:p>
        </w:tc>
        <w:tc>
          <w:tcPr>
            <w:tcW w:w="0" w:type="auto"/>
            <w:tcBorders>
              <w:top w:val="nil"/>
              <w:left w:val="nil"/>
              <w:bottom w:val="single" w:sz="12" w:space="0" w:color="auto"/>
              <w:right w:val="nil"/>
            </w:tcBorders>
            <w:shd w:val="clear" w:color="auto" w:fill="auto"/>
            <w:noWrap/>
            <w:vAlign w:val="center"/>
            <w:hideMark/>
          </w:tcPr>
          <w:p w14:paraId="3794B445" w14:textId="77777777" w:rsidR="00016D40" w:rsidRPr="00CA1166" w:rsidRDefault="00016D40" w:rsidP="00CD1FDD">
            <w:pPr>
              <w:spacing w:after="0" w:line="240" w:lineRule="auto"/>
              <w:jc w:val="center"/>
              <w:rPr>
                <w:rFonts w:eastAsia="Times New Roman" w:cs="Calibri"/>
                <w:color w:val="000000"/>
                <w:sz w:val="20"/>
                <w:szCs w:val="20"/>
              </w:rPr>
            </w:pPr>
            <w:r w:rsidRPr="00CA1166">
              <w:rPr>
                <w:rFonts w:eastAsia="Times New Roman" w:cs="Calibri"/>
                <w:color w:val="000000"/>
                <w:sz w:val="20"/>
                <w:szCs w:val="20"/>
              </w:rPr>
              <w:t>0.262</w:t>
            </w:r>
          </w:p>
        </w:tc>
      </w:tr>
    </w:tbl>
    <w:p w14:paraId="197BBB52" w14:textId="77777777" w:rsidR="00016D40" w:rsidRDefault="00016D40" w:rsidP="00016D40">
      <w:pPr>
        <w:spacing w:after="0"/>
        <w:jc w:val="both"/>
      </w:pPr>
    </w:p>
    <w:p w14:paraId="3ACE073D" w14:textId="77777777" w:rsidR="00016D40" w:rsidRPr="00CA1166" w:rsidRDefault="00016D40" w:rsidP="00016D40">
      <w:pPr>
        <w:jc w:val="both"/>
      </w:pPr>
      <w:r w:rsidRPr="00CA1166">
        <w:t xml:space="preserve">Note: This table presents the results for dynamic system </w:t>
      </w:r>
      <w:r w:rsidRPr="002E7D97">
        <w:rPr>
          <w:i/>
        </w:rPr>
        <w:t>GMM</w:t>
      </w:r>
      <w:r w:rsidRPr="00CA1166">
        <w:t xml:space="preserve"> regressions of abnormal net hiring on accounting comparability, and control variables, allowing for two lags of the dependent variable.  In this system </w:t>
      </w:r>
      <w:r w:rsidRPr="002E7D97">
        <w:rPr>
          <w:i/>
        </w:rPr>
        <w:t>GMM</w:t>
      </w:r>
      <w:r w:rsidRPr="00CA1166">
        <w:t xml:space="preserve"> estimator, we assume that all control variables are endogenous with the exception of industry-level unioni</w:t>
      </w:r>
      <w:r>
        <w:t>s</w:t>
      </w:r>
      <w:r w:rsidRPr="00CA1166">
        <w:t>ation rate (</w:t>
      </w:r>
      <w:r w:rsidRPr="00CA1166">
        <w:rPr>
          <w:i/>
        </w:rPr>
        <w:t>Union</w:t>
      </w:r>
      <w:r w:rsidRPr="00CA1166">
        <w:rPr>
          <w:i/>
          <w:vertAlign w:val="subscript"/>
        </w:rPr>
        <w:t>i,t-1</w:t>
      </w:r>
      <w:r w:rsidRPr="00CA1166">
        <w:t xml:space="preserve">) and year dummies. We use lagged levels as instruments for the differenced equation, and lagged differences as instruments for the level equation. The </w:t>
      </w:r>
      <w:r w:rsidRPr="002E7D97">
        <w:rPr>
          <w:i/>
        </w:rPr>
        <w:t>AR</w:t>
      </w:r>
      <w:r w:rsidRPr="00CA1166">
        <w:t xml:space="preserve">(1) and </w:t>
      </w:r>
      <w:r w:rsidRPr="002E7D97">
        <w:rPr>
          <w:i/>
        </w:rPr>
        <w:t>AR</w:t>
      </w:r>
      <w:r w:rsidRPr="00CA1166">
        <w:t xml:space="preserve">(2) are tests for ﬁrst-order and second-order serial correlation under the null of no serial correlation. The </w:t>
      </w:r>
      <w:r w:rsidRPr="002E7D97">
        <w:rPr>
          <w:i/>
        </w:rPr>
        <w:t>Hansen</w:t>
      </w:r>
      <w:r w:rsidRPr="00CA1166">
        <w:t xml:space="preserve"> test of over-identiﬁcation is under the null that all instruments are valid. The </w:t>
      </w:r>
      <w:r w:rsidRPr="002E7D97">
        <w:rPr>
          <w:i/>
        </w:rPr>
        <w:t>Diff-in-Hansen</w:t>
      </w:r>
      <w:r w:rsidRPr="00CA1166">
        <w:t xml:space="preserve"> test of exogeneity is under the null that instruments used for the equations in levels are exogenous (Roodman, 2009). The results for the control variables are not tabulated for brevity. All variables are defined in Appendix A. The </w:t>
      </w:r>
      <w:r w:rsidRPr="002E7D97">
        <w:rPr>
          <w:i/>
        </w:rPr>
        <w:t>t-</w:t>
      </w:r>
      <w:r w:rsidRPr="00CA1166">
        <w:t xml:space="preserve">statistics are computed based on the heteroscedasticity-robust standard errors clustered by firm and reported in parentheses. *, ** and *** indicate statistical significance at the 0.10, 0.05, and 0.01 levels, respectively, based on two-tailed tests. </w:t>
      </w:r>
    </w:p>
    <w:p w14:paraId="0CF88FD2" w14:textId="77777777" w:rsidR="00016D40" w:rsidRPr="00CA1166" w:rsidRDefault="00016D40" w:rsidP="00016D40"/>
    <w:p w14:paraId="36B22AE7" w14:textId="77777777" w:rsidR="00016D40" w:rsidRPr="00CA1166" w:rsidRDefault="00016D40" w:rsidP="00016D40"/>
    <w:p w14:paraId="6C24C1EC" w14:textId="77777777" w:rsidR="00016D40" w:rsidRDefault="00016D40" w:rsidP="00016D40"/>
    <w:p w14:paraId="59306B0D" w14:textId="77777777" w:rsidR="00016D40" w:rsidRDefault="00016D40" w:rsidP="00016D40"/>
    <w:p w14:paraId="3187B65A" w14:textId="77777777" w:rsidR="00016D40" w:rsidRDefault="00016D40" w:rsidP="00016D40"/>
    <w:p w14:paraId="3E6B725D" w14:textId="77777777" w:rsidR="00016D40" w:rsidRDefault="00016D40" w:rsidP="00016D40"/>
    <w:p w14:paraId="3B0F2131" w14:textId="77777777" w:rsidR="00016D40" w:rsidRDefault="00016D40" w:rsidP="00016D40"/>
    <w:p w14:paraId="4E79329C" w14:textId="77777777" w:rsidR="00016D40" w:rsidRDefault="00016D40" w:rsidP="00016D40"/>
    <w:p w14:paraId="5569297C" w14:textId="77777777" w:rsidR="008325AD" w:rsidRDefault="008325AD" w:rsidP="00016D40"/>
    <w:p w14:paraId="3E6956F5" w14:textId="77777777" w:rsidR="008325AD" w:rsidRDefault="008325AD" w:rsidP="00016D40"/>
    <w:p w14:paraId="1A977466" w14:textId="77777777" w:rsidR="00016D40" w:rsidRDefault="00016D40" w:rsidP="00016D40"/>
    <w:p w14:paraId="3F592BD8" w14:textId="77777777" w:rsidR="00016D40" w:rsidRPr="00CA1166" w:rsidRDefault="00016D40" w:rsidP="00016D40"/>
    <w:p w14:paraId="5AF3DF8C" w14:textId="77777777" w:rsidR="00016D40" w:rsidRDefault="00016D40" w:rsidP="00016D40">
      <w:pPr>
        <w:pStyle w:val="1"/>
      </w:pPr>
      <w:r w:rsidRPr="004B2B1F">
        <w:lastRenderedPageBreak/>
        <w:t>Appendix</w:t>
      </w:r>
      <w:r>
        <w:t xml:space="preserve"> A. </w:t>
      </w:r>
      <w:r w:rsidRPr="004B2B1F">
        <w:t>Variable Definitions</w:t>
      </w:r>
    </w:p>
    <w:p w14:paraId="58D3F525" w14:textId="77777777" w:rsidR="00016D40" w:rsidRPr="00610B98" w:rsidRDefault="00016D40" w:rsidP="00016D40"/>
    <w:tbl>
      <w:tblPr>
        <w:tblW w:w="5000" w:type="pct"/>
        <w:tblLook w:val="04A0" w:firstRow="1" w:lastRow="0" w:firstColumn="1" w:lastColumn="0" w:noHBand="0" w:noVBand="1"/>
      </w:tblPr>
      <w:tblGrid>
        <w:gridCol w:w="2157"/>
        <w:gridCol w:w="6869"/>
      </w:tblGrid>
      <w:tr w:rsidR="00016D40" w:rsidRPr="004B2B1F" w14:paraId="4F8469C8" w14:textId="77777777" w:rsidTr="00CD1FDD">
        <w:tc>
          <w:tcPr>
            <w:tcW w:w="1195" w:type="pct"/>
            <w:tcBorders>
              <w:top w:val="single" w:sz="18" w:space="0" w:color="auto"/>
              <w:bottom w:val="single" w:sz="4" w:space="0" w:color="auto"/>
            </w:tcBorders>
            <w:shd w:val="clear" w:color="auto" w:fill="auto"/>
          </w:tcPr>
          <w:p w14:paraId="56706CE0" w14:textId="77777777" w:rsidR="00016D40" w:rsidRPr="004B2B1F" w:rsidRDefault="00016D40" w:rsidP="00CD1FDD">
            <w:pPr>
              <w:spacing w:after="0" w:line="240" w:lineRule="auto"/>
            </w:pPr>
            <w:r w:rsidRPr="004B2B1F">
              <w:t>Variable</w:t>
            </w:r>
          </w:p>
        </w:tc>
        <w:tc>
          <w:tcPr>
            <w:tcW w:w="3805" w:type="pct"/>
            <w:tcBorders>
              <w:top w:val="single" w:sz="18" w:space="0" w:color="auto"/>
              <w:bottom w:val="single" w:sz="4" w:space="0" w:color="auto"/>
            </w:tcBorders>
            <w:shd w:val="clear" w:color="auto" w:fill="auto"/>
          </w:tcPr>
          <w:p w14:paraId="320D9E73" w14:textId="77777777" w:rsidR="00016D40" w:rsidRPr="004B2B1F" w:rsidRDefault="00016D40" w:rsidP="00CD1FDD">
            <w:pPr>
              <w:spacing w:after="0" w:line="240" w:lineRule="auto"/>
            </w:pPr>
            <w:r w:rsidRPr="004B2B1F">
              <w:t>Definition (COMPUSTAT data items in parentheses)</w:t>
            </w:r>
          </w:p>
        </w:tc>
      </w:tr>
      <w:tr w:rsidR="00016D40" w:rsidRPr="004B2B1F" w14:paraId="5F88CFF3" w14:textId="77777777" w:rsidTr="00CD1FDD">
        <w:tc>
          <w:tcPr>
            <w:tcW w:w="5000" w:type="pct"/>
            <w:gridSpan w:val="2"/>
            <w:shd w:val="clear" w:color="auto" w:fill="auto"/>
          </w:tcPr>
          <w:p w14:paraId="25DB0CDA" w14:textId="77777777" w:rsidR="00016D40" w:rsidRPr="004B2B1F" w:rsidRDefault="00016D40" w:rsidP="00CD1FDD">
            <w:pPr>
              <w:spacing w:after="0" w:line="240" w:lineRule="auto"/>
              <w:rPr>
                <w:b/>
                <w:u w:val="single"/>
              </w:rPr>
            </w:pPr>
            <w:r w:rsidRPr="004B2B1F">
              <w:rPr>
                <w:b/>
                <w:u w:val="single"/>
              </w:rPr>
              <w:t>Comparability variables</w:t>
            </w:r>
          </w:p>
        </w:tc>
      </w:tr>
      <w:tr w:rsidR="00016D40" w:rsidRPr="004B2B1F" w14:paraId="1A1C3A8C" w14:textId="77777777" w:rsidTr="00CD1FDD">
        <w:tc>
          <w:tcPr>
            <w:tcW w:w="1195" w:type="pct"/>
            <w:shd w:val="clear" w:color="auto" w:fill="auto"/>
          </w:tcPr>
          <w:p w14:paraId="1E9E856E" w14:textId="77777777" w:rsidR="00016D40" w:rsidRPr="004B2B1F" w:rsidRDefault="00016D40" w:rsidP="00CD1FDD">
            <w:pPr>
              <w:spacing w:after="0" w:line="240" w:lineRule="auto"/>
              <w:rPr>
                <w:i/>
              </w:rPr>
            </w:pPr>
            <w:r w:rsidRPr="004B2B1F">
              <w:rPr>
                <w:i/>
              </w:rPr>
              <w:t>Compacct</w:t>
            </w:r>
          </w:p>
        </w:tc>
        <w:tc>
          <w:tcPr>
            <w:tcW w:w="3805" w:type="pct"/>
            <w:shd w:val="clear" w:color="auto" w:fill="auto"/>
          </w:tcPr>
          <w:p w14:paraId="427192DF" w14:textId="77777777" w:rsidR="00016D40" w:rsidRPr="004B2B1F" w:rsidRDefault="00016D40" w:rsidP="00CD1FDD">
            <w:pPr>
              <w:spacing w:after="0" w:line="240" w:lineRule="auto"/>
              <w:jc w:val="both"/>
            </w:pPr>
            <w:r w:rsidRPr="004B2B1F">
              <w:t xml:space="preserve">Negative value of the average absolute difference of the predicted value of a regression of firm </w:t>
            </w:r>
            <w:r w:rsidRPr="002E7D97">
              <w:rPr>
                <w:i/>
              </w:rPr>
              <w:t>i</w:t>
            </w:r>
            <w:r w:rsidRPr="004B2B1F">
              <w:t xml:space="preserve">’s quarterly earnings on its quarterly return using the estimated coefficients for firm </w:t>
            </w:r>
            <w:r w:rsidRPr="002E7D97">
              <w:rPr>
                <w:i/>
              </w:rPr>
              <w:t>i</w:t>
            </w:r>
            <w:r w:rsidRPr="004B2B1F">
              <w:t xml:space="preserve"> and firm </w:t>
            </w:r>
            <w:r w:rsidRPr="002E7D97">
              <w:rPr>
                <w:i/>
              </w:rPr>
              <w:t>j</w:t>
            </w:r>
            <w:r w:rsidRPr="004B2B1F">
              <w:t xml:space="preserve">, respectively, over the past 16 quarters. It is calculated for each firm </w:t>
            </w:r>
            <w:r w:rsidRPr="002E7D97">
              <w:rPr>
                <w:i/>
              </w:rPr>
              <w:t>i</w:t>
            </w:r>
            <w:r w:rsidRPr="004B2B1F">
              <w:t xml:space="preserve"> – firm </w:t>
            </w:r>
            <w:r w:rsidRPr="002E7D97">
              <w:rPr>
                <w:i/>
              </w:rPr>
              <w:t>j</w:t>
            </w:r>
            <w:r w:rsidRPr="004B2B1F">
              <w:t xml:space="preserve"> combination (i</w:t>
            </w:r>
            <w:r w:rsidRPr="004B2B1F">
              <w:rPr>
                <w:rFonts w:cs="Calibri"/>
              </w:rPr>
              <w:t>≠</w:t>
            </w:r>
            <w:r w:rsidRPr="004B2B1F">
              <w:t xml:space="preserve">j, </w:t>
            </w:r>
            <w:r w:rsidRPr="002E7D97">
              <w:rPr>
                <w:i/>
              </w:rPr>
              <w:t>j</w:t>
            </w:r>
            <w:r w:rsidRPr="004B2B1F">
              <w:t>=1,…,</w:t>
            </w:r>
            <w:r w:rsidRPr="002E7D97">
              <w:rPr>
                <w:i/>
              </w:rPr>
              <w:t>J</w:t>
            </w:r>
            <w:r w:rsidRPr="004B2B1F">
              <w:t xml:space="preserve">), for </w:t>
            </w:r>
            <w:r w:rsidRPr="002E7D97">
              <w:rPr>
                <w:i/>
              </w:rPr>
              <w:t>J</w:t>
            </w:r>
            <w:r w:rsidRPr="004B2B1F">
              <w:t xml:space="preserve"> firms in the same two-digit SIC industry as firm </w:t>
            </w:r>
            <w:r w:rsidRPr="002E7D97">
              <w:rPr>
                <w:i/>
              </w:rPr>
              <w:t>i.</w:t>
            </w:r>
            <w:r w:rsidRPr="004B2B1F">
              <w:t xml:space="preserve"> </w:t>
            </w:r>
          </w:p>
        </w:tc>
      </w:tr>
      <w:tr w:rsidR="00016D40" w:rsidRPr="004B2B1F" w14:paraId="2E3A2EE9" w14:textId="77777777" w:rsidTr="00CD1FDD">
        <w:tc>
          <w:tcPr>
            <w:tcW w:w="1195" w:type="pct"/>
            <w:shd w:val="clear" w:color="auto" w:fill="auto"/>
          </w:tcPr>
          <w:p w14:paraId="47FED5EA" w14:textId="77777777" w:rsidR="00016D40" w:rsidRPr="004B2B1F" w:rsidRDefault="00016D40" w:rsidP="00CD1FDD">
            <w:pPr>
              <w:spacing w:after="0" w:line="240" w:lineRule="auto"/>
              <w:rPr>
                <w:i/>
              </w:rPr>
            </w:pPr>
            <w:r w:rsidRPr="004B2B1F">
              <w:rPr>
                <w:i/>
              </w:rPr>
              <w:t>CompacctInd</w:t>
            </w:r>
          </w:p>
        </w:tc>
        <w:tc>
          <w:tcPr>
            <w:tcW w:w="3805" w:type="pct"/>
            <w:shd w:val="clear" w:color="auto" w:fill="auto"/>
          </w:tcPr>
          <w:p w14:paraId="16614FAC" w14:textId="77777777" w:rsidR="00016D40" w:rsidRPr="004B2B1F" w:rsidRDefault="00016D40" w:rsidP="00CD1FDD">
            <w:pPr>
              <w:spacing w:after="0" w:line="240" w:lineRule="auto"/>
              <w:jc w:val="both"/>
            </w:pPr>
            <w:r w:rsidRPr="004B2B1F">
              <w:t xml:space="preserve">The </w:t>
            </w:r>
            <w:r>
              <w:t>median</w:t>
            </w:r>
            <w:r w:rsidRPr="004B2B1F">
              <w:t xml:space="preserve"> </w:t>
            </w:r>
            <w:r w:rsidRPr="004B2B1F">
              <w:rPr>
                <w:i/>
              </w:rPr>
              <w:t>Compacct</w:t>
            </w:r>
            <w:r w:rsidRPr="004B2B1F">
              <w:t xml:space="preserve"> for all firms </w:t>
            </w:r>
            <w:r w:rsidRPr="002E7D97">
              <w:rPr>
                <w:i/>
              </w:rPr>
              <w:t>j</w:t>
            </w:r>
            <w:r w:rsidRPr="004B2B1F">
              <w:t xml:space="preserve"> in the same industry as firm i.</w:t>
            </w:r>
          </w:p>
        </w:tc>
      </w:tr>
      <w:tr w:rsidR="00016D40" w:rsidRPr="004B2B1F" w14:paraId="1CF271AE" w14:textId="77777777" w:rsidTr="00CD1FDD">
        <w:tc>
          <w:tcPr>
            <w:tcW w:w="1195" w:type="pct"/>
            <w:shd w:val="clear" w:color="auto" w:fill="auto"/>
          </w:tcPr>
          <w:p w14:paraId="092667AE" w14:textId="77777777" w:rsidR="00016D40" w:rsidRPr="004B2B1F" w:rsidRDefault="00016D40" w:rsidP="00CD1FDD">
            <w:pPr>
              <w:spacing w:after="0" w:line="240" w:lineRule="auto"/>
              <w:rPr>
                <w:i/>
              </w:rPr>
            </w:pPr>
            <w:r w:rsidRPr="004B2B1F">
              <w:rPr>
                <w:i/>
              </w:rPr>
              <w:t>Compacct10</w:t>
            </w:r>
          </w:p>
        </w:tc>
        <w:tc>
          <w:tcPr>
            <w:tcW w:w="3805" w:type="pct"/>
            <w:shd w:val="clear" w:color="auto" w:fill="auto"/>
          </w:tcPr>
          <w:p w14:paraId="2164392F" w14:textId="77777777" w:rsidR="00016D40" w:rsidRPr="004B2B1F" w:rsidRDefault="00016D40" w:rsidP="00CD1FDD">
            <w:pPr>
              <w:spacing w:after="0" w:line="240" w:lineRule="auto"/>
              <w:jc w:val="both"/>
            </w:pPr>
            <w:r w:rsidRPr="004B2B1F">
              <w:t xml:space="preserve">Average </w:t>
            </w:r>
            <w:r w:rsidRPr="004B2B1F">
              <w:rPr>
                <w:i/>
              </w:rPr>
              <w:t>Compacct</w:t>
            </w:r>
            <w:r w:rsidRPr="004B2B1F">
              <w:t xml:space="preserve"> of the 10 firms </w:t>
            </w:r>
            <w:r w:rsidRPr="002E7D97">
              <w:rPr>
                <w:i/>
              </w:rPr>
              <w:t xml:space="preserve">j </w:t>
            </w:r>
            <w:r w:rsidRPr="004B2B1F">
              <w:t xml:space="preserve">with the highest comparability to firm </w:t>
            </w:r>
            <w:r w:rsidRPr="002E7D97">
              <w:rPr>
                <w:i/>
              </w:rPr>
              <w:t>i</w:t>
            </w:r>
            <w:r w:rsidRPr="004B2B1F">
              <w:t>.</w:t>
            </w:r>
          </w:p>
        </w:tc>
      </w:tr>
      <w:tr w:rsidR="00016D40" w:rsidRPr="004B2B1F" w14:paraId="57F2D049" w14:textId="77777777" w:rsidTr="00CD1FDD">
        <w:tc>
          <w:tcPr>
            <w:tcW w:w="1195" w:type="pct"/>
            <w:shd w:val="clear" w:color="auto" w:fill="auto"/>
          </w:tcPr>
          <w:p w14:paraId="1BFFDD21" w14:textId="77777777" w:rsidR="00016D40" w:rsidRPr="004B2B1F" w:rsidRDefault="00016D40" w:rsidP="00CD1FDD">
            <w:pPr>
              <w:spacing w:after="0" w:line="240" w:lineRule="auto"/>
              <w:rPr>
                <w:i/>
              </w:rPr>
            </w:pPr>
            <w:r w:rsidRPr="004B2B1F">
              <w:rPr>
                <w:i/>
              </w:rPr>
              <w:t>CompacctInd_PLE</w:t>
            </w:r>
          </w:p>
        </w:tc>
        <w:tc>
          <w:tcPr>
            <w:tcW w:w="3805" w:type="pct"/>
            <w:shd w:val="clear" w:color="auto" w:fill="auto"/>
          </w:tcPr>
          <w:p w14:paraId="41D30851" w14:textId="77777777" w:rsidR="00016D40" w:rsidRPr="004B2B1F" w:rsidRDefault="00016D40" w:rsidP="00CD1FDD">
            <w:pPr>
              <w:spacing w:after="0" w:line="240" w:lineRule="auto"/>
              <w:jc w:val="both"/>
            </w:pPr>
            <w:r w:rsidRPr="004B2B1F">
              <w:t xml:space="preserve">A firm-level alternative measure of </w:t>
            </w:r>
            <w:r w:rsidRPr="004B2B1F">
              <w:rPr>
                <w:i/>
              </w:rPr>
              <w:t>CompacctInd</w:t>
            </w:r>
            <w:r w:rsidRPr="004B2B1F">
              <w:t xml:space="preserve"> that is adjusted for lead-lag relation between stock price and earnings.</w:t>
            </w:r>
          </w:p>
        </w:tc>
      </w:tr>
      <w:tr w:rsidR="00016D40" w:rsidRPr="004B2B1F" w14:paraId="5C9D1D27" w14:textId="77777777" w:rsidTr="00CD1FDD">
        <w:tc>
          <w:tcPr>
            <w:tcW w:w="1195" w:type="pct"/>
            <w:shd w:val="clear" w:color="auto" w:fill="auto"/>
          </w:tcPr>
          <w:p w14:paraId="192D5797" w14:textId="77777777" w:rsidR="00016D40" w:rsidRPr="004B2B1F" w:rsidRDefault="00016D40" w:rsidP="00CD1FDD">
            <w:pPr>
              <w:spacing w:after="0" w:line="240" w:lineRule="auto"/>
              <w:rPr>
                <w:i/>
              </w:rPr>
            </w:pPr>
            <w:r w:rsidRPr="004B2B1F">
              <w:rPr>
                <w:i/>
              </w:rPr>
              <w:t>CompacctInd_Basu</w:t>
            </w:r>
          </w:p>
        </w:tc>
        <w:tc>
          <w:tcPr>
            <w:tcW w:w="3805" w:type="pct"/>
            <w:shd w:val="clear" w:color="auto" w:fill="auto"/>
          </w:tcPr>
          <w:p w14:paraId="7B85F1E0" w14:textId="77777777" w:rsidR="00016D40" w:rsidRPr="004B2B1F" w:rsidRDefault="00016D40" w:rsidP="00CD1FDD">
            <w:pPr>
              <w:spacing w:after="0" w:line="240" w:lineRule="auto"/>
              <w:jc w:val="both"/>
            </w:pPr>
            <w:r w:rsidRPr="004B2B1F">
              <w:t xml:space="preserve">A firm-level alternative measure of </w:t>
            </w:r>
            <w:r w:rsidRPr="004B2B1F">
              <w:rPr>
                <w:i/>
              </w:rPr>
              <w:t>CompacctInd</w:t>
            </w:r>
            <w:r w:rsidRPr="004B2B1F">
              <w:t xml:space="preserve"> that is adjusted for asymmetric timeliness of earnings.</w:t>
            </w:r>
          </w:p>
        </w:tc>
      </w:tr>
      <w:tr w:rsidR="00016D40" w:rsidRPr="004B2B1F" w14:paraId="4A7480A3" w14:textId="77777777" w:rsidTr="00CD1FDD">
        <w:tc>
          <w:tcPr>
            <w:tcW w:w="1195" w:type="pct"/>
            <w:shd w:val="clear" w:color="auto" w:fill="auto"/>
          </w:tcPr>
          <w:p w14:paraId="127447E6" w14:textId="77777777" w:rsidR="00016D40" w:rsidRPr="004B2B1F" w:rsidRDefault="00016D40" w:rsidP="00CD1FDD">
            <w:pPr>
              <w:spacing w:after="0" w:line="240" w:lineRule="auto"/>
            </w:pPr>
          </w:p>
        </w:tc>
        <w:tc>
          <w:tcPr>
            <w:tcW w:w="3805" w:type="pct"/>
            <w:shd w:val="clear" w:color="auto" w:fill="auto"/>
          </w:tcPr>
          <w:p w14:paraId="11F6F728" w14:textId="77777777" w:rsidR="00016D40" w:rsidRPr="004B2B1F" w:rsidRDefault="00016D40" w:rsidP="00CD1FDD">
            <w:pPr>
              <w:spacing w:after="0" w:line="240" w:lineRule="auto"/>
            </w:pPr>
          </w:p>
        </w:tc>
      </w:tr>
      <w:tr w:rsidR="00016D40" w:rsidRPr="004B2B1F" w14:paraId="7A46FCCB" w14:textId="77777777" w:rsidTr="00CD1FDD">
        <w:tc>
          <w:tcPr>
            <w:tcW w:w="5000" w:type="pct"/>
            <w:gridSpan w:val="2"/>
            <w:shd w:val="clear" w:color="auto" w:fill="auto"/>
          </w:tcPr>
          <w:p w14:paraId="7277D583" w14:textId="77777777" w:rsidR="00016D40" w:rsidRPr="004B2B1F" w:rsidRDefault="00016D40" w:rsidP="00CD1FDD">
            <w:pPr>
              <w:spacing w:after="0" w:line="240" w:lineRule="auto"/>
              <w:rPr>
                <w:b/>
                <w:u w:val="single"/>
              </w:rPr>
            </w:pPr>
            <w:r>
              <w:rPr>
                <w:b/>
                <w:u w:val="single"/>
              </w:rPr>
              <w:t>Labour</w:t>
            </w:r>
            <w:r w:rsidRPr="004B2B1F">
              <w:rPr>
                <w:b/>
                <w:u w:val="single"/>
              </w:rPr>
              <w:t xml:space="preserve"> investment variables</w:t>
            </w:r>
          </w:p>
        </w:tc>
      </w:tr>
      <w:tr w:rsidR="00016D40" w:rsidRPr="004B2B1F" w14:paraId="6B801B1A" w14:textId="77777777" w:rsidTr="00CD1FDD">
        <w:tc>
          <w:tcPr>
            <w:tcW w:w="1195" w:type="pct"/>
            <w:shd w:val="clear" w:color="auto" w:fill="auto"/>
          </w:tcPr>
          <w:p w14:paraId="105D01D8" w14:textId="77777777" w:rsidR="00016D40" w:rsidRPr="004B2B1F" w:rsidRDefault="00016D40" w:rsidP="00CD1FDD">
            <w:pPr>
              <w:spacing w:after="0" w:line="240" w:lineRule="auto"/>
              <w:rPr>
                <w:i/>
              </w:rPr>
            </w:pPr>
            <w:r w:rsidRPr="004B2B1F">
              <w:rPr>
                <w:i/>
              </w:rPr>
              <w:t>Net_Hiring</w:t>
            </w:r>
          </w:p>
        </w:tc>
        <w:tc>
          <w:tcPr>
            <w:tcW w:w="3805" w:type="pct"/>
            <w:shd w:val="clear" w:color="auto" w:fill="auto"/>
          </w:tcPr>
          <w:p w14:paraId="5B1C65F4" w14:textId="77777777" w:rsidR="00016D40" w:rsidRPr="004B2B1F" w:rsidRDefault="00016D40" w:rsidP="00CD1FDD">
            <w:pPr>
              <w:spacing w:after="0" w:line="240" w:lineRule="auto"/>
              <w:jc w:val="both"/>
            </w:pPr>
            <w:r w:rsidRPr="004B2B1F">
              <w:t>Percentage change in the number of employees (EMP).</w:t>
            </w:r>
          </w:p>
        </w:tc>
      </w:tr>
      <w:tr w:rsidR="00016D40" w:rsidRPr="004B2B1F" w14:paraId="5F0C2BDC" w14:textId="77777777" w:rsidTr="00CD1FDD">
        <w:tc>
          <w:tcPr>
            <w:tcW w:w="1195" w:type="pct"/>
            <w:shd w:val="clear" w:color="auto" w:fill="auto"/>
          </w:tcPr>
          <w:p w14:paraId="2C9CB001" w14:textId="77777777" w:rsidR="00016D40" w:rsidRPr="004B2B1F" w:rsidRDefault="00016D40" w:rsidP="00CD1FDD">
            <w:pPr>
              <w:spacing w:after="0" w:line="240" w:lineRule="auto"/>
              <w:rPr>
                <w:i/>
              </w:rPr>
            </w:pPr>
            <w:r w:rsidRPr="004B2B1F">
              <w:t>|</w:t>
            </w:r>
            <w:r w:rsidRPr="004B2B1F">
              <w:rPr>
                <w:i/>
              </w:rPr>
              <w:t>Ab_Net_Hiring</w:t>
            </w:r>
            <w:r w:rsidRPr="004B2B1F">
              <w:t>|</w:t>
            </w:r>
          </w:p>
        </w:tc>
        <w:tc>
          <w:tcPr>
            <w:tcW w:w="3805" w:type="pct"/>
            <w:shd w:val="clear" w:color="auto" w:fill="auto"/>
          </w:tcPr>
          <w:p w14:paraId="1218DE13" w14:textId="77777777" w:rsidR="00016D40" w:rsidRPr="004B2B1F" w:rsidRDefault="00016D40" w:rsidP="00CD1FDD">
            <w:pPr>
              <w:spacing w:after="0" w:line="240" w:lineRule="auto"/>
              <w:jc w:val="both"/>
            </w:pPr>
            <w:r w:rsidRPr="004B2B1F">
              <w:t>Absolute difference between the actual net hiring and the expected net hiring. Expected net hiring is estimated value based on the Pinnuck and Lillis’s (2007) model.</w:t>
            </w:r>
          </w:p>
        </w:tc>
      </w:tr>
      <w:tr w:rsidR="00016D40" w:rsidRPr="004B2B1F" w14:paraId="2BC9BE01" w14:textId="77777777" w:rsidTr="00CD1FDD">
        <w:tc>
          <w:tcPr>
            <w:tcW w:w="1195" w:type="pct"/>
            <w:shd w:val="clear" w:color="auto" w:fill="auto"/>
          </w:tcPr>
          <w:p w14:paraId="70FB7029" w14:textId="77777777" w:rsidR="00016D40" w:rsidRPr="004B2B1F" w:rsidRDefault="00016D40" w:rsidP="00CD1FDD">
            <w:pPr>
              <w:spacing w:after="0" w:line="240" w:lineRule="auto"/>
            </w:pPr>
          </w:p>
        </w:tc>
        <w:tc>
          <w:tcPr>
            <w:tcW w:w="3805" w:type="pct"/>
            <w:shd w:val="clear" w:color="auto" w:fill="auto"/>
          </w:tcPr>
          <w:p w14:paraId="790ABB8B" w14:textId="77777777" w:rsidR="00016D40" w:rsidRPr="004B2B1F" w:rsidRDefault="00016D40" w:rsidP="00CD1FDD">
            <w:pPr>
              <w:spacing w:after="0" w:line="240" w:lineRule="auto"/>
            </w:pPr>
          </w:p>
        </w:tc>
      </w:tr>
      <w:tr w:rsidR="00016D40" w:rsidRPr="004B2B1F" w14:paraId="7162CB98" w14:textId="77777777" w:rsidTr="00CD1FDD">
        <w:tc>
          <w:tcPr>
            <w:tcW w:w="5000" w:type="pct"/>
            <w:gridSpan w:val="2"/>
            <w:shd w:val="clear" w:color="auto" w:fill="auto"/>
          </w:tcPr>
          <w:p w14:paraId="758B059A" w14:textId="77777777" w:rsidR="00016D40" w:rsidRPr="004B2B1F" w:rsidRDefault="00016D40" w:rsidP="00CD1FDD">
            <w:pPr>
              <w:spacing w:after="0" w:line="240" w:lineRule="auto"/>
              <w:rPr>
                <w:b/>
                <w:u w:val="single"/>
              </w:rPr>
            </w:pPr>
            <w:bookmarkStart w:id="3" w:name="_Hlk26906474"/>
            <w:r w:rsidRPr="004B2B1F">
              <w:rPr>
                <w:b/>
                <w:u w:val="single"/>
              </w:rPr>
              <w:t>Firm characteristics variables</w:t>
            </w:r>
          </w:p>
        </w:tc>
      </w:tr>
      <w:tr w:rsidR="00016D40" w:rsidRPr="004B2B1F" w14:paraId="6E5C43EC" w14:textId="77777777" w:rsidTr="00CD1FDD">
        <w:tc>
          <w:tcPr>
            <w:tcW w:w="1195" w:type="pct"/>
            <w:shd w:val="clear" w:color="auto" w:fill="auto"/>
          </w:tcPr>
          <w:p w14:paraId="762980B9" w14:textId="77777777" w:rsidR="00016D40" w:rsidRPr="004B2B1F" w:rsidRDefault="00016D40" w:rsidP="00CD1FDD">
            <w:pPr>
              <w:spacing w:after="0" w:line="240" w:lineRule="auto"/>
              <w:rPr>
                <w:i/>
              </w:rPr>
            </w:pPr>
            <w:r w:rsidRPr="004B2B1F">
              <w:rPr>
                <w:i/>
              </w:rPr>
              <w:t>Sales_Growth</w:t>
            </w:r>
          </w:p>
        </w:tc>
        <w:tc>
          <w:tcPr>
            <w:tcW w:w="3805" w:type="pct"/>
            <w:shd w:val="clear" w:color="auto" w:fill="auto"/>
          </w:tcPr>
          <w:p w14:paraId="313C38D0" w14:textId="77777777" w:rsidR="00016D40" w:rsidRPr="004B2B1F" w:rsidRDefault="00016D40" w:rsidP="00CD1FDD">
            <w:pPr>
              <w:spacing w:after="0" w:line="240" w:lineRule="auto"/>
              <w:jc w:val="both"/>
            </w:pPr>
            <w:r w:rsidRPr="004B2B1F">
              <w:t>Percentage change in sales revenue (SALE).</w:t>
            </w:r>
          </w:p>
        </w:tc>
      </w:tr>
      <w:tr w:rsidR="00016D40" w:rsidRPr="004B2B1F" w14:paraId="1583C16A" w14:textId="77777777" w:rsidTr="00CD1FDD">
        <w:tc>
          <w:tcPr>
            <w:tcW w:w="1195" w:type="pct"/>
            <w:shd w:val="clear" w:color="auto" w:fill="auto"/>
          </w:tcPr>
          <w:p w14:paraId="64A6B60F" w14:textId="77777777" w:rsidR="00016D40" w:rsidRPr="004B2B1F" w:rsidRDefault="00016D40" w:rsidP="00CD1FDD">
            <w:pPr>
              <w:spacing w:after="0" w:line="240" w:lineRule="auto"/>
              <w:rPr>
                <w:i/>
              </w:rPr>
            </w:pPr>
            <w:r w:rsidRPr="004B2B1F">
              <w:rPr>
                <w:i/>
              </w:rPr>
              <w:t>ROA</w:t>
            </w:r>
          </w:p>
        </w:tc>
        <w:tc>
          <w:tcPr>
            <w:tcW w:w="3805" w:type="pct"/>
            <w:shd w:val="clear" w:color="auto" w:fill="auto"/>
          </w:tcPr>
          <w:p w14:paraId="6AA34B11" w14:textId="77777777" w:rsidR="00016D40" w:rsidRPr="004B2B1F" w:rsidRDefault="00016D40" w:rsidP="00CD1FDD">
            <w:pPr>
              <w:spacing w:after="0" w:line="240" w:lineRule="auto"/>
              <w:jc w:val="both"/>
            </w:pPr>
            <w:r w:rsidRPr="004B2B1F">
              <w:t>Ratio of net income (NI) over beginning-of-year total assets (AT).</w:t>
            </w:r>
          </w:p>
        </w:tc>
      </w:tr>
      <w:tr w:rsidR="00016D40" w:rsidRPr="004B2B1F" w14:paraId="2EF15187" w14:textId="77777777" w:rsidTr="00CD1FDD">
        <w:tc>
          <w:tcPr>
            <w:tcW w:w="1195" w:type="pct"/>
            <w:shd w:val="clear" w:color="auto" w:fill="auto"/>
          </w:tcPr>
          <w:p w14:paraId="7A9FCB1B" w14:textId="77777777" w:rsidR="00016D40" w:rsidRPr="004B2B1F" w:rsidRDefault="00016D40" w:rsidP="00CD1FDD">
            <w:pPr>
              <w:spacing w:after="0" w:line="240" w:lineRule="auto"/>
              <w:rPr>
                <w:i/>
              </w:rPr>
            </w:pPr>
            <w:r w:rsidRPr="004B2B1F">
              <w:rPr>
                <w:rFonts w:cs="Calibri"/>
                <w:i/>
              </w:rPr>
              <w:t>∆ROA</w:t>
            </w:r>
          </w:p>
        </w:tc>
        <w:tc>
          <w:tcPr>
            <w:tcW w:w="3805" w:type="pct"/>
            <w:shd w:val="clear" w:color="auto" w:fill="auto"/>
          </w:tcPr>
          <w:p w14:paraId="5F3FD593" w14:textId="77777777" w:rsidR="00016D40" w:rsidRPr="004B2B1F" w:rsidRDefault="00016D40" w:rsidP="00CD1FDD">
            <w:pPr>
              <w:spacing w:after="0" w:line="240" w:lineRule="auto"/>
              <w:jc w:val="both"/>
            </w:pPr>
            <w:r w:rsidRPr="004B2B1F">
              <w:t xml:space="preserve">Change in </w:t>
            </w:r>
            <w:r w:rsidRPr="004B2B1F">
              <w:rPr>
                <w:i/>
              </w:rPr>
              <w:t>ROA</w:t>
            </w:r>
            <w:r w:rsidRPr="004B2B1F">
              <w:t>.</w:t>
            </w:r>
          </w:p>
        </w:tc>
      </w:tr>
      <w:tr w:rsidR="00016D40" w:rsidRPr="004B2B1F" w14:paraId="5E8DE040" w14:textId="77777777" w:rsidTr="00CD1FDD">
        <w:tc>
          <w:tcPr>
            <w:tcW w:w="1195" w:type="pct"/>
            <w:shd w:val="clear" w:color="auto" w:fill="auto"/>
          </w:tcPr>
          <w:p w14:paraId="7AD17BCF" w14:textId="77777777" w:rsidR="00016D40" w:rsidRPr="004B2B1F" w:rsidRDefault="00016D40" w:rsidP="00CD1FDD">
            <w:pPr>
              <w:spacing w:after="0" w:line="240" w:lineRule="auto"/>
              <w:rPr>
                <w:i/>
              </w:rPr>
            </w:pPr>
            <w:r w:rsidRPr="004B2B1F">
              <w:rPr>
                <w:i/>
              </w:rPr>
              <w:t>Return</w:t>
            </w:r>
          </w:p>
        </w:tc>
        <w:tc>
          <w:tcPr>
            <w:tcW w:w="3805" w:type="pct"/>
            <w:shd w:val="clear" w:color="auto" w:fill="auto"/>
          </w:tcPr>
          <w:p w14:paraId="5187B740" w14:textId="77777777" w:rsidR="00016D40" w:rsidRPr="004B2B1F" w:rsidRDefault="00016D40" w:rsidP="00CD1FDD">
            <w:pPr>
              <w:spacing w:after="0" w:line="240" w:lineRule="auto"/>
              <w:jc w:val="both"/>
            </w:pPr>
            <w:r w:rsidRPr="004B2B1F">
              <w:t>Total annual stock return.</w:t>
            </w:r>
          </w:p>
        </w:tc>
      </w:tr>
      <w:tr w:rsidR="00016D40" w:rsidRPr="004B2B1F" w14:paraId="31405003" w14:textId="77777777" w:rsidTr="00CD1FDD">
        <w:tc>
          <w:tcPr>
            <w:tcW w:w="1195" w:type="pct"/>
            <w:shd w:val="clear" w:color="auto" w:fill="auto"/>
          </w:tcPr>
          <w:p w14:paraId="03E0D477" w14:textId="77777777" w:rsidR="00016D40" w:rsidRPr="004B2B1F" w:rsidRDefault="00016D40" w:rsidP="00CD1FDD">
            <w:pPr>
              <w:spacing w:after="0" w:line="240" w:lineRule="auto"/>
              <w:rPr>
                <w:i/>
              </w:rPr>
            </w:pPr>
            <w:r w:rsidRPr="004B2B1F">
              <w:rPr>
                <w:i/>
              </w:rPr>
              <w:t>Size</w:t>
            </w:r>
          </w:p>
        </w:tc>
        <w:tc>
          <w:tcPr>
            <w:tcW w:w="3805" w:type="pct"/>
            <w:shd w:val="clear" w:color="auto" w:fill="auto"/>
          </w:tcPr>
          <w:p w14:paraId="63438B35" w14:textId="77777777" w:rsidR="00016D40" w:rsidRPr="004B2B1F" w:rsidRDefault="00016D40" w:rsidP="00CD1FDD">
            <w:pPr>
              <w:spacing w:after="0" w:line="240" w:lineRule="auto"/>
              <w:jc w:val="both"/>
            </w:pPr>
            <w:r w:rsidRPr="004B2B1F">
              <w:t>Logarithm of the firm’s book value of assets (AT).</w:t>
            </w:r>
          </w:p>
        </w:tc>
      </w:tr>
      <w:tr w:rsidR="00016D40" w:rsidRPr="004B2B1F" w14:paraId="3CA62E17" w14:textId="77777777" w:rsidTr="00CD1FDD">
        <w:tc>
          <w:tcPr>
            <w:tcW w:w="1195" w:type="pct"/>
            <w:shd w:val="clear" w:color="auto" w:fill="auto"/>
          </w:tcPr>
          <w:p w14:paraId="0B4A622D" w14:textId="77777777" w:rsidR="00016D40" w:rsidRPr="004B2B1F" w:rsidRDefault="00016D40" w:rsidP="00CD1FDD">
            <w:pPr>
              <w:spacing w:after="0" w:line="240" w:lineRule="auto"/>
              <w:rPr>
                <w:i/>
              </w:rPr>
            </w:pPr>
            <w:r w:rsidRPr="004B2B1F">
              <w:rPr>
                <w:i/>
              </w:rPr>
              <w:t>Quick</w:t>
            </w:r>
          </w:p>
        </w:tc>
        <w:tc>
          <w:tcPr>
            <w:tcW w:w="3805" w:type="pct"/>
            <w:shd w:val="clear" w:color="auto" w:fill="auto"/>
          </w:tcPr>
          <w:p w14:paraId="3FA51F15" w14:textId="77777777" w:rsidR="00016D40" w:rsidRPr="004B2B1F" w:rsidRDefault="00016D40" w:rsidP="00CD1FDD">
            <w:pPr>
              <w:spacing w:after="0" w:line="240" w:lineRule="auto"/>
              <w:jc w:val="both"/>
            </w:pPr>
            <w:r w:rsidRPr="004B2B1F">
              <w:t>Sum of cash and short-term investments (CHE) and receivables (RECT), scaled by the current liabilities (LCT).</w:t>
            </w:r>
          </w:p>
        </w:tc>
      </w:tr>
      <w:bookmarkEnd w:id="3"/>
      <w:tr w:rsidR="00016D40" w:rsidRPr="004B2B1F" w14:paraId="512D10CA" w14:textId="77777777" w:rsidTr="00CD1FDD">
        <w:tc>
          <w:tcPr>
            <w:tcW w:w="1195" w:type="pct"/>
            <w:shd w:val="clear" w:color="auto" w:fill="auto"/>
          </w:tcPr>
          <w:p w14:paraId="4E42EA71" w14:textId="77777777" w:rsidR="00016D40" w:rsidRPr="004B2B1F" w:rsidRDefault="00016D40" w:rsidP="00CD1FDD">
            <w:pPr>
              <w:spacing w:after="0" w:line="240" w:lineRule="auto"/>
              <w:rPr>
                <w:i/>
              </w:rPr>
            </w:pPr>
            <w:r w:rsidRPr="004B2B1F">
              <w:rPr>
                <w:rFonts w:cs="Calibri"/>
                <w:i/>
              </w:rPr>
              <w:t>∆Quick</w:t>
            </w:r>
          </w:p>
        </w:tc>
        <w:tc>
          <w:tcPr>
            <w:tcW w:w="3805" w:type="pct"/>
            <w:shd w:val="clear" w:color="auto" w:fill="auto"/>
          </w:tcPr>
          <w:p w14:paraId="7828D2D4" w14:textId="77777777" w:rsidR="00016D40" w:rsidRPr="004B2B1F" w:rsidRDefault="00016D40" w:rsidP="00CD1FDD">
            <w:pPr>
              <w:spacing w:after="0" w:line="240" w:lineRule="auto"/>
              <w:jc w:val="both"/>
            </w:pPr>
            <w:r w:rsidRPr="004B2B1F">
              <w:t xml:space="preserve">Change in </w:t>
            </w:r>
            <w:r w:rsidRPr="004B2B1F">
              <w:rPr>
                <w:i/>
              </w:rPr>
              <w:t>Quick</w:t>
            </w:r>
            <w:r w:rsidRPr="004B2B1F">
              <w:t>.</w:t>
            </w:r>
          </w:p>
        </w:tc>
      </w:tr>
      <w:tr w:rsidR="00016D40" w:rsidRPr="004B2B1F" w14:paraId="105CDBF5" w14:textId="77777777" w:rsidTr="00CD1FDD">
        <w:tc>
          <w:tcPr>
            <w:tcW w:w="1195" w:type="pct"/>
            <w:shd w:val="clear" w:color="auto" w:fill="auto"/>
          </w:tcPr>
          <w:p w14:paraId="48EA064D" w14:textId="77777777" w:rsidR="00016D40" w:rsidRPr="004B2B1F" w:rsidRDefault="00016D40" w:rsidP="00CD1FDD">
            <w:pPr>
              <w:spacing w:after="0" w:line="240" w:lineRule="auto"/>
              <w:rPr>
                <w:i/>
              </w:rPr>
            </w:pPr>
            <w:r w:rsidRPr="004B2B1F">
              <w:rPr>
                <w:i/>
              </w:rPr>
              <w:t>Lev</w:t>
            </w:r>
          </w:p>
        </w:tc>
        <w:tc>
          <w:tcPr>
            <w:tcW w:w="3805" w:type="pct"/>
            <w:shd w:val="clear" w:color="auto" w:fill="auto"/>
          </w:tcPr>
          <w:p w14:paraId="5500878C" w14:textId="77777777" w:rsidR="00016D40" w:rsidRPr="004B2B1F" w:rsidRDefault="00016D40" w:rsidP="00CD1FDD">
            <w:pPr>
              <w:spacing w:after="0" w:line="240" w:lineRule="auto"/>
              <w:jc w:val="both"/>
            </w:pPr>
            <w:r w:rsidRPr="004B2B1F">
              <w:t>Ratio of long-term debt (DLTT) plus debt in current liabilities (DLC) to the book value of assets (AT).</w:t>
            </w:r>
          </w:p>
        </w:tc>
      </w:tr>
      <w:tr w:rsidR="00016D40" w:rsidRPr="004B2B1F" w14:paraId="5662C7F5" w14:textId="77777777" w:rsidTr="00CD1FDD">
        <w:tc>
          <w:tcPr>
            <w:tcW w:w="1195" w:type="pct"/>
            <w:shd w:val="clear" w:color="auto" w:fill="auto"/>
          </w:tcPr>
          <w:p w14:paraId="556EEE2A" w14:textId="77777777" w:rsidR="00016D40" w:rsidRPr="004B2B1F" w:rsidRDefault="00016D40" w:rsidP="00CD1FDD">
            <w:pPr>
              <w:spacing w:after="0" w:line="240" w:lineRule="auto"/>
              <w:rPr>
                <w:i/>
                <w:vertAlign w:val="superscript"/>
              </w:rPr>
            </w:pPr>
            <w:r w:rsidRPr="004B2B1F">
              <w:rPr>
                <w:i/>
              </w:rPr>
              <w:t>Loss_Bin</w:t>
            </w:r>
            <w:r w:rsidRPr="004B2B1F">
              <w:rPr>
                <w:i/>
                <w:vertAlign w:val="superscript"/>
              </w:rPr>
              <w:t>k</w:t>
            </w:r>
          </w:p>
        </w:tc>
        <w:tc>
          <w:tcPr>
            <w:tcW w:w="3805" w:type="pct"/>
            <w:shd w:val="clear" w:color="auto" w:fill="auto"/>
          </w:tcPr>
          <w:p w14:paraId="1BB3A8E3" w14:textId="77777777" w:rsidR="00016D40" w:rsidRPr="004B2B1F" w:rsidRDefault="00016D40" w:rsidP="00CD1FDD">
            <w:pPr>
              <w:spacing w:after="0" w:line="240" w:lineRule="auto"/>
              <w:jc w:val="both"/>
            </w:pPr>
            <w:r w:rsidRPr="004B2B1F">
              <w:t xml:space="preserve">Five dummy variables indicating each 0.005 interval of ROA from 0 to -0.025. </w:t>
            </w:r>
            <w:r w:rsidRPr="004B2B1F">
              <w:rPr>
                <w:rFonts w:hint="eastAsia"/>
              </w:rPr>
              <w:t xml:space="preserve">For instance, </w:t>
            </w:r>
            <w:r w:rsidRPr="004B2B1F">
              <w:rPr>
                <w:i/>
              </w:rPr>
              <w:t>Loss_Bin</w:t>
            </w:r>
            <w:r w:rsidRPr="004B2B1F">
              <w:rPr>
                <w:i/>
                <w:vertAlign w:val="superscript"/>
              </w:rPr>
              <w:t>1</w:t>
            </w:r>
            <w:r w:rsidRPr="004B2B1F">
              <w:rPr>
                <w:rFonts w:hint="eastAsia"/>
              </w:rPr>
              <w:t xml:space="preserve"> equals to 1 if ROA is between -0.005 and 0, and zero otherwise, and so on for the other </w:t>
            </w:r>
            <w:r w:rsidRPr="004B2B1F">
              <w:rPr>
                <w:rFonts w:hint="eastAsia"/>
                <w:i/>
              </w:rPr>
              <w:t>Loss_Bin</w:t>
            </w:r>
            <w:r w:rsidRPr="004B2B1F">
              <w:rPr>
                <w:rFonts w:hint="eastAsia"/>
              </w:rPr>
              <w:t>.</w:t>
            </w:r>
          </w:p>
        </w:tc>
      </w:tr>
      <w:tr w:rsidR="00016D40" w:rsidRPr="004B2B1F" w14:paraId="0C97C902" w14:textId="77777777" w:rsidTr="00CD1FDD">
        <w:tc>
          <w:tcPr>
            <w:tcW w:w="1195" w:type="pct"/>
            <w:shd w:val="clear" w:color="auto" w:fill="auto"/>
          </w:tcPr>
          <w:p w14:paraId="269DE463" w14:textId="77777777" w:rsidR="00016D40" w:rsidRPr="004B2B1F" w:rsidRDefault="00016D40" w:rsidP="00CD1FDD">
            <w:pPr>
              <w:spacing w:after="0" w:line="240" w:lineRule="auto"/>
              <w:rPr>
                <w:i/>
              </w:rPr>
            </w:pPr>
            <w:r w:rsidRPr="004B2B1F">
              <w:rPr>
                <w:i/>
              </w:rPr>
              <w:t>MTBV</w:t>
            </w:r>
          </w:p>
        </w:tc>
        <w:tc>
          <w:tcPr>
            <w:tcW w:w="3805" w:type="pct"/>
            <w:shd w:val="clear" w:color="auto" w:fill="auto"/>
          </w:tcPr>
          <w:p w14:paraId="124F7067" w14:textId="77777777" w:rsidR="00016D40" w:rsidRPr="004B2B1F" w:rsidRDefault="00016D40" w:rsidP="00CD1FDD">
            <w:pPr>
              <w:spacing w:after="0" w:line="240" w:lineRule="auto"/>
              <w:jc w:val="both"/>
            </w:pPr>
            <w:r>
              <w:t>The ratio of the market value of equity to the book value of equity</w:t>
            </w:r>
            <w:r w:rsidRPr="004B2B1F">
              <w:t>.</w:t>
            </w:r>
          </w:p>
        </w:tc>
      </w:tr>
      <w:tr w:rsidR="00016D40" w:rsidRPr="004B2B1F" w14:paraId="0D4CE750" w14:textId="77777777" w:rsidTr="00CD1FDD">
        <w:tc>
          <w:tcPr>
            <w:tcW w:w="1195" w:type="pct"/>
            <w:shd w:val="clear" w:color="auto" w:fill="auto"/>
          </w:tcPr>
          <w:p w14:paraId="3606FDEF" w14:textId="77777777" w:rsidR="00016D40" w:rsidRPr="004B2B1F" w:rsidRDefault="00016D40" w:rsidP="00CD1FDD">
            <w:pPr>
              <w:spacing w:after="0" w:line="240" w:lineRule="auto"/>
              <w:rPr>
                <w:i/>
              </w:rPr>
            </w:pPr>
            <w:r w:rsidRPr="004B2B1F">
              <w:rPr>
                <w:i/>
              </w:rPr>
              <w:t>Div_Payer</w:t>
            </w:r>
          </w:p>
        </w:tc>
        <w:tc>
          <w:tcPr>
            <w:tcW w:w="3805" w:type="pct"/>
            <w:shd w:val="clear" w:color="auto" w:fill="auto"/>
          </w:tcPr>
          <w:p w14:paraId="45489A1B" w14:textId="77777777" w:rsidR="00016D40" w:rsidRPr="004B2B1F" w:rsidRDefault="00016D40" w:rsidP="00CD1FDD">
            <w:pPr>
              <w:spacing w:after="0" w:line="240" w:lineRule="auto"/>
              <w:jc w:val="both"/>
            </w:pPr>
            <w:r w:rsidRPr="004B2B1F">
              <w:t>A dummy variable set equal to 1 if the firm pays common dividends (DVC), and zero otherwise.</w:t>
            </w:r>
          </w:p>
        </w:tc>
      </w:tr>
      <w:tr w:rsidR="00016D40" w:rsidRPr="004B2B1F" w14:paraId="58469C38" w14:textId="77777777" w:rsidTr="00CD1FDD">
        <w:tc>
          <w:tcPr>
            <w:tcW w:w="1195" w:type="pct"/>
            <w:shd w:val="clear" w:color="auto" w:fill="auto"/>
          </w:tcPr>
          <w:p w14:paraId="5A5291F2" w14:textId="77777777" w:rsidR="00016D40" w:rsidRPr="004B2B1F" w:rsidRDefault="00016D40" w:rsidP="00CD1FDD">
            <w:pPr>
              <w:spacing w:after="0" w:line="240" w:lineRule="auto"/>
              <w:rPr>
                <w:i/>
              </w:rPr>
            </w:pPr>
            <w:r w:rsidRPr="004B2B1F">
              <w:rPr>
                <w:i/>
              </w:rPr>
              <w:t>Tangible</w:t>
            </w:r>
          </w:p>
        </w:tc>
        <w:tc>
          <w:tcPr>
            <w:tcW w:w="3805" w:type="pct"/>
            <w:shd w:val="clear" w:color="auto" w:fill="auto"/>
          </w:tcPr>
          <w:p w14:paraId="2CB5DF5C" w14:textId="77777777" w:rsidR="00016D40" w:rsidRPr="004B2B1F" w:rsidRDefault="00016D40" w:rsidP="00CD1FDD">
            <w:pPr>
              <w:spacing w:after="0" w:line="240" w:lineRule="auto"/>
              <w:jc w:val="both"/>
            </w:pPr>
            <w:r w:rsidRPr="004B2B1F">
              <w:t>Property, plant, and equipment (PPENT) scaled by total assets (AT).</w:t>
            </w:r>
          </w:p>
        </w:tc>
      </w:tr>
      <w:tr w:rsidR="00016D40" w:rsidRPr="004B2B1F" w14:paraId="34B9D7BD" w14:textId="77777777" w:rsidTr="00CD1FDD">
        <w:tc>
          <w:tcPr>
            <w:tcW w:w="1195" w:type="pct"/>
            <w:shd w:val="clear" w:color="auto" w:fill="auto"/>
          </w:tcPr>
          <w:p w14:paraId="27E3FB58" w14:textId="77777777" w:rsidR="00016D40" w:rsidRPr="004B2B1F" w:rsidRDefault="00016D40" w:rsidP="00CD1FDD">
            <w:pPr>
              <w:spacing w:after="0" w:line="240" w:lineRule="auto"/>
              <w:rPr>
                <w:i/>
              </w:rPr>
            </w:pPr>
            <w:r w:rsidRPr="004B2B1F">
              <w:rPr>
                <w:i/>
              </w:rPr>
              <w:t>Loss</w:t>
            </w:r>
          </w:p>
        </w:tc>
        <w:tc>
          <w:tcPr>
            <w:tcW w:w="3805" w:type="pct"/>
            <w:shd w:val="clear" w:color="auto" w:fill="auto"/>
          </w:tcPr>
          <w:p w14:paraId="702E2121" w14:textId="77777777" w:rsidR="00016D40" w:rsidRPr="004B2B1F" w:rsidRDefault="00016D40" w:rsidP="00CD1FDD">
            <w:pPr>
              <w:spacing w:after="0" w:line="240" w:lineRule="auto"/>
              <w:jc w:val="both"/>
            </w:pPr>
            <w:r w:rsidRPr="004B2B1F">
              <w:t xml:space="preserve">A dummy variable set equal to 1 if </w:t>
            </w:r>
            <w:r w:rsidRPr="004B2B1F">
              <w:rPr>
                <w:i/>
              </w:rPr>
              <w:t>ROA</w:t>
            </w:r>
            <w:r w:rsidRPr="004B2B1F">
              <w:t xml:space="preserve"> is negative, and zero otherwise.</w:t>
            </w:r>
          </w:p>
        </w:tc>
      </w:tr>
      <w:tr w:rsidR="00016D40" w:rsidRPr="004B2B1F" w14:paraId="664EF3DF" w14:textId="77777777" w:rsidTr="00CD1FDD">
        <w:tc>
          <w:tcPr>
            <w:tcW w:w="1195" w:type="pct"/>
            <w:shd w:val="clear" w:color="auto" w:fill="auto"/>
          </w:tcPr>
          <w:p w14:paraId="5896451A" w14:textId="77777777" w:rsidR="00016D40" w:rsidRPr="004B2B1F" w:rsidRDefault="00016D40" w:rsidP="00CD1FDD">
            <w:pPr>
              <w:spacing w:after="0" w:line="240" w:lineRule="auto"/>
              <w:rPr>
                <w:i/>
              </w:rPr>
            </w:pPr>
            <w:r w:rsidRPr="004B2B1F">
              <w:rPr>
                <w:i/>
              </w:rPr>
              <w:t>CFO_Vol</w:t>
            </w:r>
          </w:p>
        </w:tc>
        <w:tc>
          <w:tcPr>
            <w:tcW w:w="3805" w:type="pct"/>
            <w:shd w:val="clear" w:color="auto" w:fill="auto"/>
          </w:tcPr>
          <w:p w14:paraId="17E5CF50" w14:textId="77777777" w:rsidR="00016D40" w:rsidRPr="004B2B1F" w:rsidRDefault="00016D40" w:rsidP="00CD1FDD">
            <w:pPr>
              <w:spacing w:after="0" w:line="240" w:lineRule="auto"/>
              <w:jc w:val="both"/>
            </w:pPr>
            <w:r w:rsidRPr="004B2B1F">
              <w:t>The standard deviation of cash flow from operation (OANVF) over the previous five years.</w:t>
            </w:r>
          </w:p>
        </w:tc>
      </w:tr>
      <w:tr w:rsidR="00016D40" w:rsidRPr="004B2B1F" w14:paraId="4935C993" w14:textId="77777777" w:rsidTr="00CD1FDD">
        <w:tc>
          <w:tcPr>
            <w:tcW w:w="1195" w:type="pct"/>
            <w:shd w:val="clear" w:color="auto" w:fill="auto"/>
          </w:tcPr>
          <w:p w14:paraId="7DEE9A9C" w14:textId="77777777" w:rsidR="00016D40" w:rsidRPr="004B2B1F" w:rsidRDefault="00016D40" w:rsidP="00CD1FDD">
            <w:pPr>
              <w:spacing w:after="0" w:line="240" w:lineRule="auto"/>
              <w:rPr>
                <w:i/>
              </w:rPr>
            </w:pPr>
            <w:r w:rsidRPr="004B2B1F">
              <w:rPr>
                <w:i/>
              </w:rPr>
              <w:t>Sales_Vol</w:t>
            </w:r>
          </w:p>
        </w:tc>
        <w:tc>
          <w:tcPr>
            <w:tcW w:w="3805" w:type="pct"/>
            <w:shd w:val="clear" w:color="auto" w:fill="auto"/>
          </w:tcPr>
          <w:p w14:paraId="45AE4264" w14:textId="77777777" w:rsidR="00016D40" w:rsidRPr="004B2B1F" w:rsidRDefault="00016D40" w:rsidP="00CD1FDD">
            <w:pPr>
              <w:spacing w:after="0" w:line="240" w:lineRule="auto"/>
              <w:jc w:val="both"/>
            </w:pPr>
            <w:r w:rsidRPr="004B2B1F">
              <w:t>The standard deviation of sales revenue (SALE) over the previous five years.</w:t>
            </w:r>
          </w:p>
        </w:tc>
      </w:tr>
      <w:tr w:rsidR="00016D40" w:rsidRPr="004B2B1F" w14:paraId="44115299" w14:textId="77777777" w:rsidTr="00CD1FDD">
        <w:tc>
          <w:tcPr>
            <w:tcW w:w="1195" w:type="pct"/>
            <w:shd w:val="clear" w:color="auto" w:fill="auto"/>
          </w:tcPr>
          <w:p w14:paraId="2F82DEAD" w14:textId="77777777" w:rsidR="00016D40" w:rsidRPr="004B2B1F" w:rsidRDefault="00016D40" w:rsidP="00CD1FDD">
            <w:pPr>
              <w:spacing w:after="0" w:line="240" w:lineRule="auto"/>
              <w:rPr>
                <w:i/>
              </w:rPr>
            </w:pPr>
            <w:r w:rsidRPr="004B2B1F">
              <w:rPr>
                <w:i/>
              </w:rPr>
              <w:t>IO</w:t>
            </w:r>
          </w:p>
        </w:tc>
        <w:tc>
          <w:tcPr>
            <w:tcW w:w="3805" w:type="pct"/>
            <w:shd w:val="clear" w:color="auto" w:fill="auto"/>
          </w:tcPr>
          <w:p w14:paraId="4AA55742" w14:textId="77777777" w:rsidR="00016D40" w:rsidRPr="004B2B1F" w:rsidRDefault="00016D40" w:rsidP="00CD1FDD">
            <w:pPr>
              <w:spacing w:after="0" w:line="240" w:lineRule="auto"/>
              <w:jc w:val="both"/>
            </w:pPr>
            <w:r w:rsidRPr="004B2B1F">
              <w:t>The fraction of outstanding shares held by institutional investors.</w:t>
            </w:r>
          </w:p>
        </w:tc>
      </w:tr>
      <w:tr w:rsidR="00016D40" w:rsidRPr="004B2B1F" w14:paraId="266C3EDB" w14:textId="77777777" w:rsidTr="00CD1FDD">
        <w:tc>
          <w:tcPr>
            <w:tcW w:w="1195" w:type="pct"/>
            <w:shd w:val="clear" w:color="auto" w:fill="auto"/>
          </w:tcPr>
          <w:p w14:paraId="679A8654" w14:textId="77777777" w:rsidR="00016D40" w:rsidRPr="004B2B1F" w:rsidRDefault="00016D40" w:rsidP="00CD1FDD">
            <w:pPr>
              <w:spacing w:after="0" w:line="240" w:lineRule="auto"/>
              <w:rPr>
                <w:i/>
              </w:rPr>
            </w:pPr>
            <w:r w:rsidRPr="004B2B1F">
              <w:rPr>
                <w:i/>
              </w:rPr>
              <w:t>Stock_Cov</w:t>
            </w:r>
          </w:p>
        </w:tc>
        <w:tc>
          <w:tcPr>
            <w:tcW w:w="3805" w:type="pct"/>
            <w:shd w:val="clear" w:color="auto" w:fill="auto"/>
          </w:tcPr>
          <w:p w14:paraId="2E20410C" w14:textId="77777777" w:rsidR="00016D40" w:rsidRPr="004B2B1F" w:rsidRDefault="00016D40" w:rsidP="00CD1FDD">
            <w:pPr>
              <w:spacing w:after="0" w:line="240" w:lineRule="auto"/>
              <w:jc w:val="both"/>
            </w:pPr>
            <w:r w:rsidRPr="004B2B1F">
              <w:t>Stock return co-movement. Firm</w:t>
            </w:r>
            <w:r w:rsidRPr="002E7D97">
              <w:rPr>
                <w:i/>
              </w:rPr>
              <w:t xml:space="preserve"> i</w:t>
            </w:r>
            <w:r w:rsidRPr="004B2B1F">
              <w:t xml:space="preserve"> </w:t>
            </w:r>
            <w:r>
              <w:t>-</w:t>
            </w:r>
            <w:r w:rsidRPr="004B2B1F">
              <w:t xml:space="preserve"> firm j stock return co-movement is the adjusted R</w:t>
            </w:r>
            <w:r w:rsidRPr="004B2B1F">
              <w:rPr>
                <w:vertAlign w:val="superscript"/>
              </w:rPr>
              <w:t>2</w:t>
            </w:r>
            <w:r w:rsidRPr="004B2B1F">
              <w:t xml:space="preserve"> from a regression of firm </w:t>
            </w:r>
            <w:r w:rsidRPr="002E7D97">
              <w:rPr>
                <w:i/>
              </w:rPr>
              <w:t>i’</w:t>
            </w:r>
            <w:r w:rsidRPr="004B2B1F">
              <w:t xml:space="preserve">s monthly stock return on the monthly stock return of firm </w:t>
            </w:r>
            <w:r w:rsidRPr="002E7D97">
              <w:rPr>
                <w:i/>
              </w:rPr>
              <w:t>j</w:t>
            </w:r>
            <w:r w:rsidRPr="004B2B1F">
              <w:t xml:space="preserve"> over the past 48 months. </w:t>
            </w:r>
            <w:r w:rsidRPr="004B2B1F">
              <w:rPr>
                <w:rFonts w:hint="eastAsia"/>
              </w:rPr>
              <w:t xml:space="preserve">It is calculated for each firm </w:t>
            </w:r>
            <w:r w:rsidRPr="002E7D97">
              <w:rPr>
                <w:i/>
              </w:rPr>
              <w:t>i</w:t>
            </w:r>
            <w:r w:rsidRPr="004B2B1F">
              <w:rPr>
                <w:rFonts w:hint="eastAsia"/>
              </w:rPr>
              <w:t xml:space="preserve"> </w:t>
            </w:r>
            <w:r>
              <w:rPr>
                <w:rFonts w:hint="eastAsia"/>
              </w:rPr>
              <w:t>-</w:t>
            </w:r>
            <w:r w:rsidRPr="004B2B1F">
              <w:rPr>
                <w:rFonts w:hint="eastAsia"/>
              </w:rPr>
              <w:t xml:space="preserve"> firm </w:t>
            </w:r>
            <w:r w:rsidRPr="002E7D97">
              <w:rPr>
                <w:i/>
              </w:rPr>
              <w:t>j</w:t>
            </w:r>
            <w:r w:rsidRPr="004B2B1F">
              <w:rPr>
                <w:rFonts w:hint="eastAsia"/>
              </w:rPr>
              <w:t xml:space="preserve"> combination (i</w:t>
            </w:r>
            <w:r w:rsidRPr="004B2B1F">
              <w:rPr>
                <w:rFonts w:hint="eastAsia"/>
              </w:rPr>
              <w:t>≠</w:t>
            </w:r>
            <w:r w:rsidRPr="002E7D97">
              <w:rPr>
                <w:i/>
              </w:rPr>
              <w:t>j</w:t>
            </w:r>
            <w:r w:rsidRPr="004B2B1F">
              <w:rPr>
                <w:rFonts w:hint="eastAsia"/>
              </w:rPr>
              <w:t xml:space="preserve">, </w:t>
            </w:r>
            <w:r w:rsidRPr="002E7D97">
              <w:rPr>
                <w:i/>
              </w:rPr>
              <w:t>j</w:t>
            </w:r>
            <w:r w:rsidRPr="004B2B1F">
              <w:rPr>
                <w:rFonts w:hint="eastAsia"/>
              </w:rPr>
              <w:t>=1,</w:t>
            </w:r>
            <w:r>
              <w:t xml:space="preserve"> </w:t>
            </w:r>
            <w:r w:rsidRPr="004B2B1F">
              <w:rPr>
                <w:rFonts w:hint="eastAsia"/>
              </w:rPr>
              <w:t>…</w:t>
            </w:r>
            <w:r w:rsidRPr="004B2B1F">
              <w:rPr>
                <w:rFonts w:hint="eastAsia"/>
              </w:rPr>
              <w:t>,</w:t>
            </w:r>
            <w:r>
              <w:t xml:space="preserve"> </w:t>
            </w:r>
            <w:r w:rsidRPr="002E7D97">
              <w:rPr>
                <w:i/>
              </w:rPr>
              <w:t>J</w:t>
            </w:r>
            <w:r w:rsidRPr="004B2B1F">
              <w:rPr>
                <w:rFonts w:hint="eastAsia"/>
              </w:rPr>
              <w:t xml:space="preserve">), for </w:t>
            </w:r>
            <w:r w:rsidRPr="002E7D97">
              <w:rPr>
                <w:i/>
              </w:rPr>
              <w:t>J</w:t>
            </w:r>
            <w:r w:rsidRPr="004B2B1F">
              <w:rPr>
                <w:rFonts w:hint="eastAsia"/>
              </w:rPr>
              <w:t xml:space="preserve"> firms in the same two-</w:t>
            </w:r>
            <w:r w:rsidRPr="004B2B1F">
              <w:rPr>
                <w:rFonts w:hint="eastAsia"/>
              </w:rPr>
              <w:lastRenderedPageBreak/>
              <w:t>digit SIC industry as firm i</w:t>
            </w:r>
            <w:r w:rsidRPr="004B2B1F">
              <w:t xml:space="preserve">. A firm-level measure is calculated by taking the average of firm </w:t>
            </w:r>
            <w:r w:rsidRPr="002E7D97">
              <w:rPr>
                <w:i/>
              </w:rPr>
              <w:t>i</w:t>
            </w:r>
            <w:r w:rsidRPr="004B2B1F">
              <w:t xml:space="preserve"> – firm </w:t>
            </w:r>
            <w:r w:rsidRPr="002E7D97">
              <w:rPr>
                <w:i/>
              </w:rPr>
              <w:t xml:space="preserve">j </w:t>
            </w:r>
            <w:r w:rsidRPr="004B2B1F">
              <w:t xml:space="preserve">stock return co-movement for all firms </w:t>
            </w:r>
            <w:r w:rsidRPr="002E7D97">
              <w:rPr>
                <w:i/>
              </w:rPr>
              <w:t>j</w:t>
            </w:r>
            <w:r w:rsidRPr="004B2B1F">
              <w:t xml:space="preserve"> in the same industry as firm </w:t>
            </w:r>
            <w:r w:rsidRPr="002E7D97">
              <w:rPr>
                <w:i/>
              </w:rPr>
              <w:t>i</w:t>
            </w:r>
            <w:r w:rsidRPr="004B2B1F">
              <w:t>.</w:t>
            </w:r>
          </w:p>
        </w:tc>
      </w:tr>
      <w:tr w:rsidR="00016D40" w:rsidRPr="004B2B1F" w14:paraId="328937D6" w14:textId="77777777" w:rsidTr="00CD1FDD">
        <w:tc>
          <w:tcPr>
            <w:tcW w:w="1195" w:type="pct"/>
            <w:shd w:val="clear" w:color="auto" w:fill="auto"/>
          </w:tcPr>
          <w:p w14:paraId="21B414B4" w14:textId="77777777" w:rsidR="00016D40" w:rsidRPr="004B2B1F" w:rsidRDefault="00016D40" w:rsidP="00CD1FDD">
            <w:pPr>
              <w:spacing w:after="0" w:line="240" w:lineRule="auto"/>
              <w:rPr>
                <w:i/>
              </w:rPr>
            </w:pPr>
            <w:r w:rsidRPr="004B2B1F">
              <w:rPr>
                <w:i/>
              </w:rPr>
              <w:lastRenderedPageBreak/>
              <w:t>AQ</w:t>
            </w:r>
          </w:p>
        </w:tc>
        <w:tc>
          <w:tcPr>
            <w:tcW w:w="3805" w:type="pct"/>
            <w:shd w:val="clear" w:color="auto" w:fill="auto"/>
          </w:tcPr>
          <w:p w14:paraId="148AF943" w14:textId="77777777" w:rsidR="00016D40" w:rsidRPr="004B2B1F" w:rsidRDefault="00016D40" w:rsidP="00CD1FDD">
            <w:pPr>
              <w:spacing w:after="0" w:line="240" w:lineRule="auto"/>
              <w:jc w:val="both"/>
            </w:pPr>
            <w:r w:rsidRPr="004B2B1F">
              <w:t>Accounting quality. Defined based on Dechow and Dichev’s (2002) model augmented by McNichols (2002). Specifically, the model is a regression of working capital accruals on lagged, current, and lead operating cash flows, property, plant and equipment, and changes in revenue. The earnings quality is the standard deviation of the resid</w:t>
            </w:r>
            <w:r>
              <w:t xml:space="preserve">uals over years </w:t>
            </w:r>
            <w:r w:rsidRPr="002E7D97">
              <w:rPr>
                <w:i/>
              </w:rPr>
              <w:t>t</w:t>
            </w:r>
            <w:r>
              <w:t xml:space="preserve">-4 through </w:t>
            </w:r>
            <w:r w:rsidRPr="002E7D97">
              <w:rPr>
                <w:i/>
              </w:rPr>
              <w:t>t</w:t>
            </w:r>
            <w:r>
              <w:t xml:space="preserve">. </w:t>
            </w:r>
            <w:r w:rsidRPr="004B2B1F">
              <w:t>The standard deviation is then multiplied by -1 to facilitate interpretation of results.</w:t>
            </w:r>
          </w:p>
        </w:tc>
      </w:tr>
      <w:tr w:rsidR="00016D40" w:rsidRPr="004B2B1F" w14:paraId="0DCA7F45" w14:textId="77777777" w:rsidTr="00CD1FDD">
        <w:tc>
          <w:tcPr>
            <w:tcW w:w="1195" w:type="pct"/>
            <w:shd w:val="clear" w:color="auto" w:fill="auto"/>
          </w:tcPr>
          <w:p w14:paraId="552FE4EF" w14:textId="77777777" w:rsidR="00016D40" w:rsidRPr="004B2B1F" w:rsidRDefault="00016D40" w:rsidP="00CD1FDD">
            <w:pPr>
              <w:spacing w:after="0" w:line="240" w:lineRule="auto"/>
              <w:rPr>
                <w:i/>
              </w:rPr>
            </w:pPr>
            <w:r w:rsidRPr="004B2B1F">
              <w:rPr>
                <w:i/>
              </w:rPr>
              <w:t>HHI</w:t>
            </w:r>
          </w:p>
        </w:tc>
        <w:tc>
          <w:tcPr>
            <w:tcW w:w="3805" w:type="pct"/>
            <w:shd w:val="clear" w:color="auto" w:fill="auto"/>
          </w:tcPr>
          <w:p w14:paraId="296E76A6" w14:textId="77777777" w:rsidR="00016D40" w:rsidRPr="004B2B1F" w:rsidRDefault="00016D40" w:rsidP="00CD1FDD">
            <w:pPr>
              <w:spacing w:after="0" w:line="240" w:lineRule="auto"/>
              <w:jc w:val="both"/>
            </w:pPr>
            <w:r w:rsidRPr="004B2B1F">
              <w:t>Herfindahl-Hirschman index is the sum of squared shares of market shares of the firms in each 2-digit SIC industry.</w:t>
            </w:r>
          </w:p>
        </w:tc>
      </w:tr>
      <w:tr w:rsidR="00016D40" w:rsidRPr="004B2B1F" w14:paraId="3D861901" w14:textId="77777777" w:rsidTr="00CD1FDD">
        <w:tc>
          <w:tcPr>
            <w:tcW w:w="1195" w:type="pct"/>
            <w:shd w:val="clear" w:color="auto" w:fill="auto"/>
          </w:tcPr>
          <w:p w14:paraId="2C81400D" w14:textId="77777777" w:rsidR="00016D40" w:rsidRPr="004B2B1F" w:rsidRDefault="00016D40" w:rsidP="00CD1FDD">
            <w:pPr>
              <w:spacing w:after="0" w:line="240" w:lineRule="auto"/>
              <w:rPr>
                <w:i/>
              </w:rPr>
            </w:pPr>
            <w:r>
              <w:rPr>
                <w:i/>
              </w:rPr>
              <w:t>Pop</w:t>
            </w:r>
          </w:p>
        </w:tc>
        <w:tc>
          <w:tcPr>
            <w:tcW w:w="3805" w:type="pct"/>
            <w:shd w:val="clear" w:color="auto" w:fill="auto"/>
          </w:tcPr>
          <w:p w14:paraId="7582FF39" w14:textId="77777777" w:rsidR="00016D40" w:rsidRPr="004B2B1F" w:rsidRDefault="00016D40" w:rsidP="00CD1FDD">
            <w:pPr>
              <w:spacing w:after="0" w:line="240" w:lineRule="auto"/>
              <w:jc w:val="both"/>
            </w:pPr>
            <w:r>
              <w:t xml:space="preserve">The natural log of </w:t>
            </w:r>
            <w:r w:rsidRPr="00465226">
              <w:t>population</w:t>
            </w:r>
            <w:r>
              <w:t xml:space="preserve"> size of the county where a firm is headquartered, as reported in </w:t>
            </w:r>
            <w:r w:rsidRPr="0028458D">
              <w:t>the 2010 Census</w:t>
            </w:r>
            <w:r>
              <w:t>.</w:t>
            </w:r>
          </w:p>
        </w:tc>
      </w:tr>
      <w:tr w:rsidR="00016D40" w:rsidRPr="004B2B1F" w14:paraId="0889C095" w14:textId="77777777" w:rsidTr="00CD1FDD">
        <w:tc>
          <w:tcPr>
            <w:tcW w:w="1195" w:type="pct"/>
            <w:shd w:val="clear" w:color="auto" w:fill="auto"/>
          </w:tcPr>
          <w:p w14:paraId="5C7A1966" w14:textId="77777777" w:rsidR="00016D40" w:rsidRPr="004B2B1F" w:rsidRDefault="00016D40" w:rsidP="00CD1FDD">
            <w:pPr>
              <w:spacing w:after="0" w:line="240" w:lineRule="auto"/>
              <w:rPr>
                <w:i/>
              </w:rPr>
            </w:pPr>
            <w:r>
              <w:rPr>
                <w:i/>
              </w:rPr>
              <w:t>Central</w:t>
            </w:r>
          </w:p>
        </w:tc>
        <w:tc>
          <w:tcPr>
            <w:tcW w:w="3805" w:type="pct"/>
            <w:shd w:val="clear" w:color="auto" w:fill="auto"/>
          </w:tcPr>
          <w:p w14:paraId="532D3652" w14:textId="77777777" w:rsidR="00016D40" w:rsidRPr="004B2B1F" w:rsidRDefault="00016D40" w:rsidP="00CD1FDD">
            <w:pPr>
              <w:spacing w:after="0" w:line="240" w:lineRule="auto"/>
              <w:jc w:val="both"/>
            </w:pPr>
            <w:r>
              <w:t>A dummy variable equally to one if the firm is headquartered in top ten metropolitan areas, and zero otherwise.</w:t>
            </w:r>
          </w:p>
        </w:tc>
      </w:tr>
      <w:tr w:rsidR="00016D40" w:rsidRPr="004B2B1F" w14:paraId="15AA68E9" w14:textId="77777777" w:rsidTr="00CD1FDD">
        <w:tc>
          <w:tcPr>
            <w:tcW w:w="1195" w:type="pct"/>
            <w:shd w:val="clear" w:color="auto" w:fill="auto"/>
          </w:tcPr>
          <w:p w14:paraId="27ADD0F9" w14:textId="77777777" w:rsidR="00016D40" w:rsidRPr="004B2B1F" w:rsidRDefault="00016D40" w:rsidP="00CD1FDD">
            <w:pPr>
              <w:spacing w:after="0" w:line="240" w:lineRule="auto"/>
              <w:rPr>
                <w:i/>
              </w:rPr>
            </w:pPr>
            <w:r w:rsidRPr="004B2B1F">
              <w:rPr>
                <w:i/>
              </w:rPr>
              <w:t>Net_Hiring_Vol</w:t>
            </w:r>
          </w:p>
        </w:tc>
        <w:tc>
          <w:tcPr>
            <w:tcW w:w="3805" w:type="pct"/>
            <w:shd w:val="clear" w:color="auto" w:fill="auto"/>
          </w:tcPr>
          <w:p w14:paraId="5236A6D0" w14:textId="77777777" w:rsidR="00016D40" w:rsidRPr="004B2B1F" w:rsidRDefault="00016D40" w:rsidP="00CD1FDD">
            <w:pPr>
              <w:spacing w:after="0" w:line="240" w:lineRule="auto"/>
              <w:jc w:val="both"/>
            </w:pPr>
            <w:r w:rsidRPr="004B2B1F">
              <w:t>The standard deviation of percentage change in employees over previous five years.</w:t>
            </w:r>
          </w:p>
        </w:tc>
      </w:tr>
      <w:tr w:rsidR="00016D40" w:rsidRPr="004B2B1F" w14:paraId="181C3ECF" w14:textId="77777777" w:rsidTr="00CD1FDD">
        <w:tc>
          <w:tcPr>
            <w:tcW w:w="1195" w:type="pct"/>
            <w:shd w:val="clear" w:color="auto" w:fill="auto"/>
          </w:tcPr>
          <w:p w14:paraId="458762F9" w14:textId="77777777" w:rsidR="00016D40" w:rsidRPr="004B2B1F" w:rsidRDefault="00016D40" w:rsidP="00CD1FDD">
            <w:pPr>
              <w:spacing w:after="0" w:line="240" w:lineRule="auto"/>
              <w:rPr>
                <w:i/>
              </w:rPr>
            </w:pPr>
            <w:r>
              <w:rPr>
                <w:i/>
              </w:rPr>
              <w:t>Labour</w:t>
            </w:r>
            <w:r w:rsidRPr="004B2B1F">
              <w:rPr>
                <w:i/>
              </w:rPr>
              <w:t>_Intensity</w:t>
            </w:r>
          </w:p>
        </w:tc>
        <w:tc>
          <w:tcPr>
            <w:tcW w:w="3805" w:type="pct"/>
            <w:shd w:val="clear" w:color="auto" w:fill="auto"/>
          </w:tcPr>
          <w:p w14:paraId="75ECCA5D" w14:textId="77777777" w:rsidR="00016D40" w:rsidRPr="004B2B1F" w:rsidRDefault="00016D40" w:rsidP="00CD1FDD">
            <w:pPr>
              <w:spacing w:after="0" w:line="240" w:lineRule="auto"/>
              <w:jc w:val="both"/>
            </w:pPr>
            <w:r w:rsidRPr="004B2B1F">
              <w:t>The ratio of number of employees (EMP) over total assets (AT).</w:t>
            </w:r>
          </w:p>
        </w:tc>
      </w:tr>
      <w:tr w:rsidR="00016D40" w:rsidRPr="004B2B1F" w14:paraId="0045B387" w14:textId="77777777" w:rsidTr="00CD1FDD">
        <w:tc>
          <w:tcPr>
            <w:tcW w:w="1195" w:type="pct"/>
            <w:shd w:val="clear" w:color="auto" w:fill="auto"/>
          </w:tcPr>
          <w:p w14:paraId="0EA249C5" w14:textId="77777777" w:rsidR="00016D40" w:rsidRPr="004B2B1F" w:rsidRDefault="00016D40" w:rsidP="00CD1FDD">
            <w:pPr>
              <w:spacing w:after="0" w:line="240" w:lineRule="auto"/>
              <w:rPr>
                <w:i/>
              </w:rPr>
            </w:pPr>
            <w:r w:rsidRPr="004B2B1F">
              <w:rPr>
                <w:i/>
              </w:rPr>
              <w:t>Union</w:t>
            </w:r>
          </w:p>
        </w:tc>
        <w:tc>
          <w:tcPr>
            <w:tcW w:w="3805" w:type="pct"/>
            <w:shd w:val="clear" w:color="auto" w:fill="auto"/>
          </w:tcPr>
          <w:p w14:paraId="02F4B162" w14:textId="77777777" w:rsidR="00016D40" w:rsidRPr="004B2B1F" w:rsidRDefault="00016D40" w:rsidP="00CD1FDD">
            <w:pPr>
              <w:spacing w:after="0" w:line="240" w:lineRule="auto"/>
              <w:jc w:val="both"/>
            </w:pPr>
            <w:r w:rsidRPr="004B2B1F">
              <w:t>Industry-level unionization rate.</w:t>
            </w:r>
          </w:p>
        </w:tc>
      </w:tr>
      <w:tr w:rsidR="00016D40" w:rsidRPr="004B2B1F" w14:paraId="74BDF700" w14:textId="77777777" w:rsidTr="00CD1FDD">
        <w:tc>
          <w:tcPr>
            <w:tcW w:w="1195" w:type="pct"/>
            <w:shd w:val="clear" w:color="auto" w:fill="auto"/>
          </w:tcPr>
          <w:p w14:paraId="0D04FAFF" w14:textId="77777777" w:rsidR="00016D40" w:rsidRPr="004B2B1F" w:rsidRDefault="00016D40" w:rsidP="00CD1FDD">
            <w:pPr>
              <w:spacing w:after="0" w:line="240" w:lineRule="auto"/>
              <w:rPr>
                <w:i/>
              </w:rPr>
            </w:pPr>
            <w:r w:rsidRPr="004B2B1F">
              <w:t>|</w:t>
            </w:r>
            <w:r w:rsidRPr="004B2B1F">
              <w:rPr>
                <w:i/>
              </w:rPr>
              <w:t>Ab_Other_Invest</w:t>
            </w:r>
            <w:r w:rsidRPr="004B2B1F">
              <w:t>|</w:t>
            </w:r>
          </w:p>
        </w:tc>
        <w:tc>
          <w:tcPr>
            <w:tcW w:w="3805" w:type="pct"/>
            <w:shd w:val="clear" w:color="auto" w:fill="auto"/>
          </w:tcPr>
          <w:p w14:paraId="131DAE8C" w14:textId="77777777" w:rsidR="00016D40" w:rsidRPr="004B2B1F" w:rsidRDefault="00016D40" w:rsidP="00CD1FDD">
            <w:pPr>
              <w:spacing w:after="0" w:line="240" w:lineRule="auto"/>
              <w:jc w:val="both"/>
            </w:pPr>
            <w:r w:rsidRPr="004B2B1F">
              <w:t>Abnormal non-</w:t>
            </w:r>
            <w:r>
              <w:t>labour</w:t>
            </w:r>
            <w:r w:rsidRPr="004B2B1F">
              <w:t xml:space="preserve"> (other) investments, defined as the absolute value of residuals from the following model: </w:t>
            </w:r>
            <m:oMath>
              <m:sSub>
                <m:sSubPr>
                  <m:ctrlPr>
                    <w:rPr>
                      <w:rFonts w:ascii="Cambria Math" w:hAnsi="Cambria Math"/>
                    </w:rPr>
                  </m:ctrlPr>
                </m:sSubPr>
                <m:e>
                  <m:r>
                    <w:rPr>
                      <w:rFonts w:ascii="Cambria Math" w:hAnsi="Cambria Math"/>
                    </w:rPr>
                    <m:t>Other_Invest</m:t>
                  </m:r>
                </m:e>
                <m:sub>
                  <m:r>
                    <w:rPr>
                      <w:rFonts w:ascii="Cambria Math" w:hAnsi="Cambria Math"/>
                    </w:rPr>
                    <m:t>i,t</m:t>
                  </m:r>
                </m:sub>
              </m:sSub>
              <m:r>
                <m:rPr>
                  <m:sty m:val="p"/>
                </m:rPr>
                <w:rPr>
                  <w:rFonts w:ascii="Cambria Math" w:hAnsi="Cambria Math"/>
                </w:rPr>
                <m:t>=α+</m:t>
              </m:r>
              <m:sSub>
                <m:sSubPr>
                  <m:ctrlPr>
                    <w:rPr>
                      <w:rFonts w:ascii="Cambria Math" w:hAnsi="Cambria Math"/>
                    </w:rPr>
                  </m:ctrlPr>
                </m:sSubPr>
                <m:e>
                  <m:r>
                    <m:rPr>
                      <m:sty m:val="p"/>
                    </m:rP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Sales_Growth</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m:t>
              </m:r>
            </m:oMath>
            <w:r w:rsidRPr="004B2B1F">
              <w:t xml:space="preserve">where </w:t>
            </w:r>
            <m:oMath>
              <m:r>
                <w:rPr>
                  <w:rFonts w:ascii="Cambria Math" w:hAnsi="Cambria Math"/>
                </w:rPr>
                <m:t>Other</m:t>
              </m:r>
              <m:r>
                <m:rPr>
                  <m:sty m:val="p"/>
                </m:rPr>
                <w:rPr>
                  <w:rFonts w:ascii="Cambria Math" w:hAnsi="Cambria Math"/>
                </w:rPr>
                <m:t>_</m:t>
              </m:r>
              <m:r>
                <w:rPr>
                  <w:rFonts w:ascii="Cambria Math" w:hAnsi="Cambria Math"/>
                </w:rPr>
                <m:t>Invest</m:t>
              </m:r>
            </m:oMath>
            <w:r w:rsidRPr="004B2B1F">
              <w:t xml:space="preserve"> is the sum of capital expenditures (CAPX), R&amp;D expenditures (XRD), and acquisition expenditures (AQC), less cash receipts from the proceeds from the sale of property, plant, and equipment (SPPE), scaled by lagged total assets (AT).</w:t>
            </w:r>
          </w:p>
        </w:tc>
      </w:tr>
      <w:tr w:rsidR="00016D40" w:rsidRPr="004B2B1F" w14:paraId="2B06F05E" w14:textId="77777777" w:rsidTr="00CD1FDD">
        <w:tc>
          <w:tcPr>
            <w:tcW w:w="1195" w:type="pct"/>
            <w:shd w:val="clear" w:color="auto" w:fill="auto"/>
          </w:tcPr>
          <w:p w14:paraId="36B9A4B0" w14:textId="77777777" w:rsidR="00016D40" w:rsidRPr="00EB269A" w:rsidRDefault="00016D40" w:rsidP="00CD1FDD">
            <w:pPr>
              <w:spacing w:after="0" w:line="240" w:lineRule="auto"/>
              <w:rPr>
                <w:i/>
              </w:rPr>
            </w:pPr>
            <w:r w:rsidRPr="00EB269A">
              <w:rPr>
                <w:i/>
              </w:rPr>
              <w:t>Analyst</w:t>
            </w:r>
          </w:p>
        </w:tc>
        <w:tc>
          <w:tcPr>
            <w:tcW w:w="3805" w:type="pct"/>
            <w:shd w:val="clear" w:color="auto" w:fill="auto"/>
          </w:tcPr>
          <w:p w14:paraId="0AEFC28A" w14:textId="77777777" w:rsidR="00016D40" w:rsidRPr="00EB269A" w:rsidRDefault="00016D40" w:rsidP="00CD1FDD">
            <w:pPr>
              <w:spacing w:after="0" w:line="240" w:lineRule="auto"/>
              <w:jc w:val="both"/>
            </w:pPr>
            <w:r w:rsidRPr="00EB269A">
              <w:t xml:space="preserve">Analyst coverage. Defined as the natural logarithm of the number of analysts the firm. </w:t>
            </w:r>
          </w:p>
        </w:tc>
      </w:tr>
      <w:tr w:rsidR="00016D40" w:rsidRPr="004B2B1F" w14:paraId="6C082DD0" w14:textId="77777777" w:rsidTr="00CD1FDD">
        <w:tc>
          <w:tcPr>
            <w:tcW w:w="1195" w:type="pct"/>
            <w:shd w:val="clear" w:color="auto" w:fill="auto"/>
          </w:tcPr>
          <w:p w14:paraId="443FFD85" w14:textId="77777777" w:rsidR="00016D40" w:rsidRPr="004B2B1F" w:rsidRDefault="00016D40" w:rsidP="00CD1FDD">
            <w:pPr>
              <w:spacing w:after="0" w:line="240" w:lineRule="auto"/>
              <w:rPr>
                <w:i/>
              </w:rPr>
            </w:pPr>
            <w:r w:rsidRPr="004B2B1F">
              <w:rPr>
                <w:i/>
              </w:rPr>
              <w:t>IOC</w:t>
            </w:r>
          </w:p>
        </w:tc>
        <w:tc>
          <w:tcPr>
            <w:tcW w:w="3805" w:type="pct"/>
            <w:shd w:val="clear" w:color="auto" w:fill="auto"/>
          </w:tcPr>
          <w:p w14:paraId="65EDBA12" w14:textId="77777777" w:rsidR="00016D40" w:rsidRPr="004B2B1F" w:rsidRDefault="00016D40" w:rsidP="00CD1FDD">
            <w:pPr>
              <w:spacing w:after="0" w:line="240" w:lineRule="auto"/>
              <w:jc w:val="both"/>
            </w:pPr>
            <w:r w:rsidRPr="004B2B1F">
              <w:t xml:space="preserve">Institutional </w:t>
            </w:r>
            <w:r>
              <w:t>ownership concentration</w:t>
            </w:r>
            <w:r w:rsidRPr="004B2B1F">
              <w:t>. Defined as the proportion of the institutional investor ownership accounted for by the top five institutional investors in the firm. The holdings of the top five institutions are calculated as the shares held by five largest 13-</w:t>
            </w:r>
            <w:r w:rsidRPr="002E7D97">
              <w:rPr>
                <w:i/>
              </w:rPr>
              <w:t>f</w:t>
            </w:r>
            <w:r w:rsidRPr="004B2B1F">
              <w:t xml:space="preserve"> institutional investors divided by the total number of shares outstanding.</w:t>
            </w:r>
          </w:p>
        </w:tc>
      </w:tr>
      <w:tr w:rsidR="00016D40" w:rsidRPr="004B2B1F" w14:paraId="076D2545" w14:textId="77777777" w:rsidTr="00CD1FDD">
        <w:tc>
          <w:tcPr>
            <w:tcW w:w="1195" w:type="pct"/>
            <w:shd w:val="clear" w:color="auto" w:fill="auto"/>
          </w:tcPr>
          <w:p w14:paraId="10D26646" w14:textId="77777777" w:rsidR="00016D40" w:rsidRPr="004B2B1F" w:rsidRDefault="00016D40" w:rsidP="00CD1FDD">
            <w:pPr>
              <w:spacing w:after="0" w:line="240" w:lineRule="auto"/>
              <w:rPr>
                <w:i/>
              </w:rPr>
            </w:pPr>
            <w:r w:rsidRPr="004B2B1F">
              <w:rPr>
                <w:i/>
              </w:rPr>
              <w:t>Big4</w:t>
            </w:r>
          </w:p>
        </w:tc>
        <w:tc>
          <w:tcPr>
            <w:tcW w:w="3805" w:type="pct"/>
            <w:shd w:val="clear" w:color="auto" w:fill="auto"/>
          </w:tcPr>
          <w:p w14:paraId="72AA3982" w14:textId="77777777" w:rsidR="00016D40" w:rsidRPr="004B2B1F" w:rsidRDefault="00016D40" w:rsidP="00CD1FDD">
            <w:pPr>
              <w:spacing w:after="0" w:line="240" w:lineRule="auto"/>
              <w:jc w:val="both"/>
            </w:pPr>
            <w:r w:rsidRPr="004B2B1F">
              <w:t>A dummy set equal to 1 if a firm</w:t>
            </w:r>
            <w:r>
              <w:t xml:space="preserve"> is audited by a</w:t>
            </w:r>
            <w:r w:rsidRPr="004B2B1F">
              <w:t xml:space="preserve"> </w:t>
            </w:r>
            <w:r>
              <w:t>“</w:t>
            </w:r>
            <w:r w:rsidRPr="004B2B1F">
              <w:t xml:space="preserve">Big </w:t>
            </w:r>
            <w:r>
              <w:t>Four”</w:t>
            </w:r>
            <w:r w:rsidRPr="004B2B1F">
              <w:t xml:space="preserve"> auditor, and zero otherwise.</w:t>
            </w:r>
          </w:p>
        </w:tc>
      </w:tr>
      <w:tr w:rsidR="00016D40" w:rsidRPr="004B2B1F" w14:paraId="4CF14352" w14:textId="77777777" w:rsidTr="00CD1FDD">
        <w:tc>
          <w:tcPr>
            <w:tcW w:w="1195" w:type="pct"/>
            <w:shd w:val="clear" w:color="auto" w:fill="auto"/>
          </w:tcPr>
          <w:p w14:paraId="013B710E" w14:textId="77777777" w:rsidR="00016D40" w:rsidRPr="004B2B1F" w:rsidRDefault="00016D40" w:rsidP="00CD1FDD">
            <w:pPr>
              <w:spacing w:after="0" w:line="240" w:lineRule="auto"/>
              <w:rPr>
                <w:i/>
              </w:rPr>
            </w:pPr>
            <w:r>
              <w:rPr>
                <w:i/>
              </w:rPr>
              <w:t>Busy Board</w:t>
            </w:r>
          </w:p>
        </w:tc>
        <w:tc>
          <w:tcPr>
            <w:tcW w:w="3805" w:type="pct"/>
            <w:shd w:val="clear" w:color="auto" w:fill="auto"/>
          </w:tcPr>
          <w:p w14:paraId="606CE746" w14:textId="77777777" w:rsidR="00016D40" w:rsidRPr="004B2B1F" w:rsidRDefault="00016D40" w:rsidP="00CD1FDD">
            <w:pPr>
              <w:spacing w:after="0" w:line="240" w:lineRule="auto"/>
              <w:jc w:val="both"/>
            </w:pPr>
            <w:r w:rsidRPr="007E63AB">
              <w:t>The ratio of independent directors holding three or more external board seats to the number of independent directors.</w:t>
            </w:r>
          </w:p>
        </w:tc>
      </w:tr>
      <w:tr w:rsidR="00016D40" w:rsidRPr="004B2B1F" w14:paraId="43CA1B0F" w14:textId="77777777" w:rsidTr="00CD1FDD">
        <w:tc>
          <w:tcPr>
            <w:tcW w:w="1195" w:type="pct"/>
            <w:tcBorders>
              <w:bottom w:val="single" w:sz="18" w:space="0" w:color="auto"/>
            </w:tcBorders>
            <w:shd w:val="clear" w:color="auto" w:fill="auto"/>
          </w:tcPr>
          <w:p w14:paraId="5EB06C64" w14:textId="77777777" w:rsidR="00016D40" w:rsidRPr="004B2B1F" w:rsidRDefault="00016D40" w:rsidP="00CD1FDD">
            <w:pPr>
              <w:spacing w:after="0" w:line="240" w:lineRule="auto"/>
              <w:rPr>
                <w:i/>
              </w:rPr>
            </w:pPr>
            <w:r w:rsidRPr="004B2B1F">
              <w:rPr>
                <w:i/>
              </w:rPr>
              <w:t>Managerial Ability</w:t>
            </w:r>
          </w:p>
        </w:tc>
        <w:tc>
          <w:tcPr>
            <w:tcW w:w="3805" w:type="pct"/>
            <w:tcBorders>
              <w:bottom w:val="single" w:sz="18" w:space="0" w:color="auto"/>
            </w:tcBorders>
            <w:shd w:val="clear" w:color="auto" w:fill="auto"/>
          </w:tcPr>
          <w:p w14:paraId="313B1CBC" w14:textId="77777777" w:rsidR="00016D40" w:rsidRPr="004B2B1F" w:rsidRDefault="00016D40" w:rsidP="00CD1FDD">
            <w:pPr>
              <w:spacing w:after="0" w:line="240" w:lineRule="auto"/>
              <w:jc w:val="both"/>
            </w:pPr>
            <w:r w:rsidRPr="004B2B1F">
              <w:t>Managers’ efficiency, relative to their industry peers, in transforming corporate resources to revenues based on Demerjian et al. (2012).</w:t>
            </w:r>
          </w:p>
        </w:tc>
      </w:tr>
    </w:tbl>
    <w:p w14:paraId="3B7CE238" w14:textId="77777777" w:rsidR="00016D40" w:rsidRDefault="00016D40" w:rsidP="00016D40">
      <w:pPr>
        <w:spacing w:after="0" w:line="360" w:lineRule="auto"/>
        <w:jc w:val="both"/>
        <w:rPr>
          <w:sz w:val="24"/>
          <w:szCs w:val="24"/>
        </w:rPr>
      </w:pPr>
    </w:p>
    <w:p w14:paraId="27170F59" w14:textId="77777777" w:rsidR="008325AD" w:rsidRDefault="008325AD" w:rsidP="00016D40">
      <w:pPr>
        <w:spacing w:after="0" w:line="360" w:lineRule="auto"/>
        <w:jc w:val="both"/>
        <w:rPr>
          <w:sz w:val="24"/>
          <w:szCs w:val="24"/>
        </w:rPr>
      </w:pPr>
    </w:p>
    <w:p w14:paraId="3AB49E27" w14:textId="77777777" w:rsidR="008325AD" w:rsidRDefault="008325AD" w:rsidP="00016D40">
      <w:pPr>
        <w:spacing w:after="0" w:line="360" w:lineRule="auto"/>
        <w:jc w:val="both"/>
        <w:rPr>
          <w:sz w:val="24"/>
          <w:szCs w:val="24"/>
        </w:rPr>
      </w:pPr>
    </w:p>
    <w:p w14:paraId="3E240952" w14:textId="77777777" w:rsidR="008325AD" w:rsidRDefault="008325AD" w:rsidP="00016D40">
      <w:pPr>
        <w:spacing w:after="0" w:line="360" w:lineRule="auto"/>
        <w:jc w:val="both"/>
        <w:rPr>
          <w:sz w:val="24"/>
          <w:szCs w:val="24"/>
        </w:rPr>
      </w:pPr>
    </w:p>
    <w:p w14:paraId="07866FC0" w14:textId="77777777" w:rsidR="008325AD" w:rsidRDefault="008325AD" w:rsidP="00016D40">
      <w:pPr>
        <w:spacing w:after="0" w:line="360" w:lineRule="auto"/>
        <w:jc w:val="both"/>
        <w:rPr>
          <w:sz w:val="24"/>
          <w:szCs w:val="24"/>
        </w:rPr>
      </w:pPr>
    </w:p>
    <w:p w14:paraId="4B79CDE0" w14:textId="77777777" w:rsidR="008325AD" w:rsidRPr="004B2B1F" w:rsidRDefault="008325AD" w:rsidP="00016D40">
      <w:pPr>
        <w:spacing w:after="0" w:line="360" w:lineRule="auto"/>
        <w:jc w:val="both"/>
        <w:rPr>
          <w:sz w:val="24"/>
          <w:szCs w:val="24"/>
        </w:rPr>
      </w:pPr>
    </w:p>
    <w:p w14:paraId="40FF5B08" w14:textId="77777777" w:rsidR="00016D40" w:rsidRDefault="00016D40" w:rsidP="00016D40">
      <w:pPr>
        <w:pStyle w:val="1"/>
      </w:pPr>
      <w:r w:rsidRPr="004B2B1F">
        <w:lastRenderedPageBreak/>
        <w:t>Appendix</w:t>
      </w:r>
      <w:r>
        <w:t xml:space="preserve"> B. Sub-sample</w:t>
      </w:r>
      <w:r w:rsidRPr="004B2B1F">
        <w:t xml:space="preserve"> Definitions</w:t>
      </w:r>
    </w:p>
    <w:tbl>
      <w:tblPr>
        <w:tblW w:w="5000" w:type="pct"/>
        <w:tblLook w:val="04A0" w:firstRow="1" w:lastRow="0" w:firstColumn="1" w:lastColumn="0" w:noHBand="0" w:noVBand="1"/>
      </w:tblPr>
      <w:tblGrid>
        <w:gridCol w:w="3697"/>
        <w:gridCol w:w="5329"/>
      </w:tblGrid>
      <w:tr w:rsidR="00016D40" w:rsidRPr="004B2B1F" w14:paraId="781F9438" w14:textId="77777777" w:rsidTr="00CD1FDD">
        <w:tc>
          <w:tcPr>
            <w:tcW w:w="2048" w:type="pct"/>
            <w:tcBorders>
              <w:top w:val="single" w:sz="18" w:space="0" w:color="auto"/>
              <w:bottom w:val="single" w:sz="4" w:space="0" w:color="auto"/>
            </w:tcBorders>
            <w:shd w:val="clear" w:color="auto" w:fill="auto"/>
          </w:tcPr>
          <w:p w14:paraId="1F540FD6" w14:textId="77777777" w:rsidR="00016D40" w:rsidRPr="004B2B1F" w:rsidRDefault="00016D40" w:rsidP="00CD1FDD">
            <w:pPr>
              <w:spacing w:after="0" w:line="240" w:lineRule="auto"/>
            </w:pPr>
            <w:r>
              <w:t>Sub-samples</w:t>
            </w:r>
          </w:p>
        </w:tc>
        <w:tc>
          <w:tcPr>
            <w:tcW w:w="2952" w:type="pct"/>
            <w:tcBorders>
              <w:top w:val="single" w:sz="18" w:space="0" w:color="auto"/>
              <w:bottom w:val="single" w:sz="4" w:space="0" w:color="auto"/>
            </w:tcBorders>
            <w:shd w:val="clear" w:color="auto" w:fill="auto"/>
          </w:tcPr>
          <w:p w14:paraId="76F0349E" w14:textId="77777777" w:rsidR="00016D40" w:rsidRPr="004B2B1F" w:rsidRDefault="00016D40" w:rsidP="00CD1FDD">
            <w:pPr>
              <w:spacing w:after="0" w:line="240" w:lineRule="auto"/>
            </w:pPr>
            <w:r w:rsidRPr="004B2B1F">
              <w:t xml:space="preserve">Definition </w:t>
            </w:r>
          </w:p>
        </w:tc>
      </w:tr>
      <w:tr w:rsidR="00016D40" w:rsidRPr="004B2B1F" w14:paraId="62780E6E" w14:textId="77777777" w:rsidTr="00CD1FDD">
        <w:tc>
          <w:tcPr>
            <w:tcW w:w="2048" w:type="pct"/>
            <w:shd w:val="clear" w:color="auto" w:fill="auto"/>
          </w:tcPr>
          <w:p w14:paraId="6E862E3D" w14:textId="77777777" w:rsidR="00016D40" w:rsidRPr="004B2B1F" w:rsidRDefault="00016D40" w:rsidP="00CD1FDD">
            <w:pPr>
              <w:spacing w:after="0" w:line="240" w:lineRule="auto"/>
              <w:rPr>
                <w:i/>
              </w:rPr>
            </w:pPr>
            <w:r>
              <w:rPr>
                <w:i/>
              </w:rPr>
              <w:t>Strong/Weak Analyst Monitoring</w:t>
            </w:r>
          </w:p>
        </w:tc>
        <w:tc>
          <w:tcPr>
            <w:tcW w:w="2952" w:type="pct"/>
            <w:shd w:val="clear" w:color="auto" w:fill="auto"/>
          </w:tcPr>
          <w:p w14:paraId="2CA8CAC7" w14:textId="77777777" w:rsidR="00016D40" w:rsidRPr="004B2B1F" w:rsidRDefault="00016D40" w:rsidP="00CD1FDD">
            <w:pPr>
              <w:spacing w:after="0" w:line="240" w:lineRule="auto"/>
              <w:jc w:val="both"/>
            </w:pPr>
            <w:r>
              <w:t>Strong (or Weak) Analyst Monitoring sub-sample includes firms with analyst coverage (</w:t>
            </w:r>
            <w:r w:rsidRPr="001026E0">
              <w:rPr>
                <w:i/>
                <w:iCs/>
              </w:rPr>
              <w:t>Analyst</w:t>
            </w:r>
            <w:r>
              <w:t>) above (or below) the median each year.</w:t>
            </w:r>
          </w:p>
        </w:tc>
      </w:tr>
      <w:tr w:rsidR="00016D40" w:rsidRPr="004B2B1F" w14:paraId="58C75313" w14:textId="77777777" w:rsidTr="00CD1FDD">
        <w:tc>
          <w:tcPr>
            <w:tcW w:w="2048" w:type="pct"/>
            <w:shd w:val="clear" w:color="auto" w:fill="auto"/>
          </w:tcPr>
          <w:p w14:paraId="32CE7F82" w14:textId="77777777" w:rsidR="00016D40" w:rsidRPr="004B2B1F" w:rsidRDefault="00016D40" w:rsidP="00CD1FDD">
            <w:pPr>
              <w:spacing w:after="0" w:line="240" w:lineRule="auto"/>
              <w:rPr>
                <w:i/>
              </w:rPr>
            </w:pPr>
            <w:r>
              <w:rPr>
                <w:i/>
              </w:rPr>
              <w:t>Strong/Weak Institutional Investor Monitoring</w:t>
            </w:r>
          </w:p>
        </w:tc>
        <w:tc>
          <w:tcPr>
            <w:tcW w:w="2952" w:type="pct"/>
            <w:shd w:val="clear" w:color="auto" w:fill="auto"/>
          </w:tcPr>
          <w:p w14:paraId="36FE6722" w14:textId="77777777" w:rsidR="00016D40" w:rsidRPr="004B2B1F" w:rsidRDefault="00016D40" w:rsidP="00CD1FDD">
            <w:pPr>
              <w:spacing w:after="0" w:line="240" w:lineRule="auto"/>
              <w:jc w:val="both"/>
            </w:pPr>
            <w:r>
              <w:t xml:space="preserve">Strong (or Weak) </w:t>
            </w:r>
            <w:r w:rsidRPr="00803C2C">
              <w:t>Institutional Investor</w:t>
            </w:r>
            <w:r>
              <w:t xml:space="preserve"> Monitoring sub-sample includes firms with </w:t>
            </w:r>
            <w:r w:rsidRPr="00803C2C">
              <w:t>institutional ownership concentration (</w:t>
            </w:r>
            <w:r w:rsidRPr="00803C2C">
              <w:rPr>
                <w:i/>
                <w:iCs/>
              </w:rPr>
              <w:t>IOC</w:t>
            </w:r>
            <w:r w:rsidRPr="00803C2C">
              <w:t>)</w:t>
            </w:r>
            <w:r>
              <w:t xml:space="preserve"> above (or below) the median each year.</w:t>
            </w:r>
          </w:p>
        </w:tc>
      </w:tr>
      <w:tr w:rsidR="00016D40" w:rsidRPr="004B2B1F" w14:paraId="31050A56" w14:textId="77777777" w:rsidTr="00CD1FDD">
        <w:tc>
          <w:tcPr>
            <w:tcW w:w="2048" w:type="pct"/>
            <w:shd w:val="clear" w:color="auto" w:fill="auto"/>
          </w:tcPr>
          <w:p w14:paraId="71CAE3EE" w14:textId="77777777" w:rsidR="00016D40" w:rsidRPr="004B2B1F" w:rsidRDefault="00016D40" w:rsidP="00CD1FDD">
            <w:pPr>
              <w:spacing w:after="0" w:line="240" w:lineRule="auto"/>
              <w:rPr>
                <w:i/>
              </w:rPr>
            </w:pPr>
            <w:r>
              <w:rPr>
                <w:i/>
              </w:rPr>
              <w:t>Strong/Weak</w:t>
            </w:r>
            <w:r>
              <w:rPr>
                <w:rFonts w:cs="Calibri"/>
                <w:i/>
              </w:rPr>
              <w:t xml:space="preserve"> Auditor Monitoring</w:t>
            </w:r>
          </w:p>
        </w:tc>
        <w:tc>
          <w:tcPr>
            <w:tcW w:w="2952" w:type="pct"/>
            <w:shd w:val="clear" w:color="auto" w:fill="auto"/>
          </w:tcPr>
          <w:p w14:paraId="0F970E1C" w14:textId="77777777" w:rsidR="00016D40" w:rsidRPr="004B2B1F" w:rsidRDefault="00016D40" w:rsidP="00CD1FDD">
            <w:pPr>
              <w:spacing w:after="0" w:line="240" w:lineRule="auto"/>
              <w:jc w:val="both"/>
            </w:pPr>
            <w:r>
              <w:t xml:space="preserve">Strong (or Weak) </w:t>
            </w:r>
            <w:r w:rsidRPr="00803C2C">
              <w:t>Auditor</w:t>
            </w:r>
            <w:r>
              <w:t xml:space="preserve"> Monitoring sub-sample includes firms with </w:t>
            </w:r>
            <w:r w:rsidRPr="00FB189C">
              <w:t xml:space="preserve">Big4 indicator </w:t>
            </w:r>
            <w:r>
              <w:t>(</w:t>
            </w:r>
            <w:r w:rsidRPr="00FB189C">
              <w:rPr>
                <w:i/>
                <w:iCs/>
              </w:rPr>
              <w:t>Big4</w:t>
            </w:r>
            <w:r>
              <w:t xml:space="preserve">) </w:t>
            </w:r>
            <w:r w:rsidRPr="00FB189C">
              <w:t xml:space="preserve">equal to </w:t>
            </w:r>
            <w:r>
              <w:t>1 (or 0).</w:t>
            </w:r>
          </w:p>
        </w:tc>
      </w:tr>
      <w:tr w:rsidR="00016D40" w:rsidRPr="004B2B1F" w14:paraId="681F3D95" w14:textId="77777777" w:rsidTr="00CD1FDD">
        <w:tc>
          <w:tcPr>
            <w:tcW w:w="2048" w:type="pct"/>
            <w:shd w:val="clear" w:color="auto" w:fill="auto"/>
          </w:tcPr>
          <w:p w14:paraId="296A47A1" w14:textId="77777777" w:rsidR="00016D40" w:rsidRPr="004B2B1F" w:rsidRDefault="00016D40" w:rsidP="00CD1FDD">
            <w:pPr>
              <w:spacing w:after="0" w:line="240" w:lineRule="auto"/>
              <w:rPr>
                <w:i/>
              </w:rPr>
            </w:pPr>
            <w:r>
              <w:rPr>
                <w:i/>
              </w:rPr>
              <w:t>Strong/Weak Labour Union Monitoring</w:t>
            </w:r>
          </w:p>
        </w:tc>
        <w:tc>
          <w:tcPr>
            <w:tcW w:w="2952" w:type="pct"/>
            <w:shd w:val="clear" w:color="auto" w:fill="auto"/>
          </w:tcPr>
          <w:p w14:paraId="6D4AC2C7" w14:textId="77777777" w:rsidR="00016D40" w:rsidRPr="00803C2C" w:rsidRDefault="00016D40" w:rsidP="00CD1FDD">
            <w:pPr>
              <w:spacing w:after="0" w:line="240" w:lineRule="auto"/>
              <w:jc w:val="both"/>
            </w:pPr>
            <w:r w:rsidRPr="00803C2C">
              <w:t>Strong (or Weak) Labour Union sub-sample includes firms with industry-level unionisation rate (</w:t>
            </w:r>
            <w:r w:rsidRPr="00803C2C">
              <w:rPr>
                <w:i/>
              </w:rPr>
              <w:t>Union</w:t>
            </w:r>
            <w:r w:rsidRPr="00803C2C">
              <w:t xml:space="preserve">) </w:t>
            </w:r>
            <w:r>
              <w:t>above (or below)</w:t>
            </w:r>
            <w:r w:rsidRPr="00803C2C">
              <w:t xml:space="preserve"> </w:t>
            </w:r>
            <w:r>
              <w:t xml:space="preserve">the </w:t>
            </w:r>
            <w:r w:rsidRPr="00803C2C">
              <w:t>median each year.</w:t>
            </w:r>
          </w:p>
        </w:tc>
      </w:tr>
      <w:tr w:rsidR="00016D40" w:rsidRPr="004B2B1F" w14:paraId="42E799BB" w14:textId="77777777" w:rsidTr="00CD1FDD">
        <w:tc>
          <w:tcPr>
            <w:tcW w:w="2048" w:type="pct"/>
            <w:tcBorders>
              <w:bottom w:val="single" w:sz="18" w:space="0" w:color="auto"/>
            </w:tcBorders>
            <w:shd w:val="clear" w:color="auto" w:fill="auto"/>
          </w:tcPr>
          <w:p w14:paraId="118A6F8C" w14:textId="77777777" w:rsidR="00016D40" w:rsidRPr="004B2B1F" w:rsidRDefault="00016D40" w:rsidP="00CD1FDD">
            <w:pPr>
              <w:spacing w:after="0" w:line="240" w:lineRule="auto"/>
              <w:rPr>
                <w:i/>
              </w:rPr>
            </w:pPr>
            <w:r>
              <w:rPr>
                <w:i/>
              </w:rPr>
              <w:t>Strong/Weak Board Monitoring</w:t>
            </w:r>
          </w:p>
        </w:tc>
        <w:tc>
          <w:tcPr>
            <w:tcW w:w="2952" w:type="pct"/>
            <w:tcBorders>
              <w:bottom w:val="single" w:sz="18" w:space="0" w:color="auto"/>
            </w:tcBorders>
            <w:shd w:val="clear" w:color="auto" w:fill="auto"/>
          </w:tcPr>
          <w:p w14:paraId="06E60F5A" w14:textId="77777777" w:rsidR="00016D40" w:rsidRPr="004B2B1F" w:rsidRDefault="00016D40" w:rsidP="00CD1FDD">
            <w:pPr>
              <w:spacing w:after="0" w:line="240" w:lineRule="auto"/>
              <w:jc w:val="both"/>
            </w:pPr>
            <w:r>
              <w:t xml:space="preserve">Strong (or Weak) Board Monitoring sub-sample includes firms with </w:t>
            </w:r>
            <w:r w:rsidRPr="007E63AB">
              <w:t xml:space="preserve">the fraction of independent directors holding three or more external board seats </w:t>
            </w:r>
            <w:r>
              <w:t>(</w:t>
            </w:r>
            <w:r w:rsidRPr="00576790">
              <w:rPr>
                <w:i/>
              </w:rPr>
              <w:t>Busy Board</w:t>
            </w:r>
            <w:r>
              <w:t>) below (or above) the median each year.</w:t>
            </w:r>
          </w:p>
        </w:tc>
      </w:tr>
    </w:tbl>
    <w:p w14:paraId="4A0170F3" w14:textId="77777777" w:rsidR="00016D40" w:rsidRDefault="00016D40" w:rsidP="00016D40">
      <w:pPr>
        <w:rPr>
          <w:b/>
        </w:rPr>
      </w:pPr>
    </w:p>
    <w:p w14:paraId="34570833" w14:textId="77777777" w:rsidR="00016D40" w:rsidRDefault="00016D40" w:rsidP="00016D40">
      <w:pPr>
        <w:rPr>
          <w:b/>
        </w:rPr>
      </w:pPr>
    </w:p>
    <w:p w14:paraId="09E251EA" w14:textId="77777777" w:rsidR="00016D40" w:rsidRDefault="00016D40" w:rsidP="00016D40">
      <w:pPr>
        <w:rPr>
          <w:b/>
        </w:rPr>
      </w:pPr>
    </w:p>
    <w:p w14:paraId="4A6D3920" w14:textId="77777777" w:rsidR="00016D40" w:rsidRDefault="00016D40" w:rsidP="00016D40">
      <w:pPr>
        <w:pStyle w:val="1"/>
      </w:pPr>
      <w:r>
        <w:t>Appendix C. Alternative measures of comparability</w:t>
      </w:r>
    </w:p>
    <w:p w14:paraId="5B356687" w14:textId="77777777" w:rsidR="00016D40" w:rsidRPr="00922740" w:rsidRDefault="00016D40" w:rsidP="00016D40"/>
    <w:p w14:paraId="2AAB2415" w14:textId="77777777" w:rsidR="00016D40" w:rsidRPr="00922740" w:rsidRDefault="00016D40" w:rsidP="00016D40">
      <w:pPr>
        <w:pStyle w:val="2"/>
      </w:pPr>
      <w:r>
        <w:t>C.1. Comparability measure based on Basu’s (1997) piece-wise linear model</w:t>
      </w:r>
    </w:p>
    <w:p w14:paraId="029407B5" w14:textId="77777777" w:rsidR="00016D40" w:rsidRPr="004B2B1F" w:rsidRDefault="00016D40" w:rsidP="00016D40">
      <w:pPr>
        <w:spacing w:after="0" w:line="360" w:lineRule="auto"/>
        <w:jc w:val="both"/>
        <w:rPr>
          <w:sz w:val="24"/>
          <w:szCs w:val="24"/>
        </w:rPr>
      </w:pPr>
      <w:r>
        <w:rPr>
          <w:sz w:val="24"/>
          <w:szCs w:val="24"/>
        </w:rPr>
        <w:t>Following</w:t>
      </w:r>
      <w:r w:rsidRPr="004B2B1F">
        <w:rPr>
          <w:sz w:val="24"/>
          <w:szCs w:val="24"/>
        </w:rPr>
        <w:t xml:space="preserve"> </w:t>
      </w:r>
      <w:r>
        <w:rPr>
          <w:sz w:val="24"/>
          <w:szCs w:val="24"/>
        </w:rPr>
        <w:t>De Franco et al.’s (2011)</w:t>
      </w:r>
      <w:r w:rsidRPr="004B2B1F">
        <w:rPr>
          <w:sz w:val="24"/>
          <w:szCs w:val="24"/>
        </w:rPr>
        <w:t xml:space="preserve">, we adopt Basu’s </w:t>
      </w:r>
      <w:r w:rsidRPr="004B2B1F">
        <w:rPr>
          <w:sz w:val="24"/>
          <w:szCs w:val="24"/>
        </w:rPr>
        <w:fldChar w:fldCharType="begin" w:fldLock="1"/>
      </w:r>
      <w:r w:rsidRPr="004B2B1F">
        <w:rPr>
          <w:sz w:val="24"/>
          <w:szCs w:val="24"/>
        </w:rPr>
        <w:instrText>ADDIN CSL_CITATION {"citationItems":[{"id":"ITEM-1","itemData":{"ISSN":"0165-4101","abstract":"I interpret conservatism as resulting in earnings reflecting ‘bad news’ more quickly than ‘good news’. This interpretation implies systematic differences between bad news and good news periods in the timeliness and persistence of earnings. Using firms’ stock returns to measure news, the contemporaneous sensitivity of earnings to negative returns is two to six times that of earnings to positive returns. I also predict and find that negative earnings changes are less persistent than positive earnings changes. Earnings response coefficients (ERCs) are higher for positive earnings changes than for negative earnings changes, consistent with this asymmetric persistence. ¢ 1997 Elsevier Science B.V. All rights reserved.","author":[{"dropping-particle":"","family":"Basu","given":"Sudipta","non-dropping-particle":"","parse-names":false,"suffix":""}],"container-title":"Journal of Accounting and Economics","id":"ITEM-1","issue":"1","issued":{"date-parts":[["1997","12","1"]]},"page":"3-37","publisher":"North-Holland","title":"The conservatism principle and the asymmetric timeliness of earnings","type":"article-journal","volume":"24"},"suppress-author":1,"uris":["http://www.mendeley.com/documents/?uuid=7acae41a-df1d-31e4-be2b-65dd2b206f51"]}],"mendeley":{"formattedCitation":"(1997)","plainTextFormattedCitation":"(1997)","previouslyFormattedCitation":"(1997)"},"properties":{"noteIndex":0},"schema":"https://github.com/citation-style-language/schema/raw/master/csl-citation.json"}</w:instrText>
      </w:r>
      <w:r w:rsidRPr="004B2B1F">
        <w:rPr>
          <w:sz w:val="24"/>
          <w:szCs w:val="24"/>
        </w:rPr>
        <w:fldChar w:fldCharType="separate"/>
      </w:r>
      <w:r w:rsidRPr="004B2B1F">
        <w:rPr>
          <w:noProof/>
          <w:sz w:val="24"/>
          <w:szCs w:val="24"/>
        </w:rPr>
        <w:t>(1997)</w:t>
      </w:r>
      <w:r w:rsidRPr="004B2B1F">
        <w:rPr>
          <w:sz w:val="24"/>
          <w:szCs w:val="24"/>
        </w:rPr>
        <w:fldChar w:fldCharType="end"/>
      </w:r>
      <w:r w:rsidRPr="004B2B1F">
        <w:rPr>
          <w:sz w:val="24"/>
          <w:szCs w:val="24"/>
        </w:rPr>
        <w:t xml:space="preserve"> piece-wise linear model as a firm-specific accounting system</w:t>
      </w:r>
      <w:r>
        <w:rPr>
          <w:sz w:val="24"/>
          <w:szCs w:val="24"/>
        </w:rPr>
        <w:t xml:space="preserve">, which </w:t>
      </w:r>
      <w:r w:rsidRPr="00610B98">
        <w:rPr>
          <w:sz w:val="24"/>
          <w:szCs w:val="24"/>
        </w:rPr>
        <w:t>incorporate</w:t>
      </w:r>
      <w:r>
        <w:rPr>
          <w:sz w:val="24"/>
          <w:szCs w:val="24"/>
        </w:rPr>
        <w:t>s</w:t>
      </w:r>
      <w:r w:rsidRPr="00610B98">
        <w:rPr>
          <w:sz w:val="24"/>
          <w:szCs w:val="24"/>
        </w:rPr>
        <w:t xml:space="preserve"> the asymmetric accounting responses to gains and losses</w:t>
      </w:r>
      <w:r w:rsidRPr="004B2B1F">
        <w:rPr>
          <w:sz w:val="24"/>
          <w:szCs w:val="24"/>
        </w:rPr>
        <w:t>. Specifically, we estimate the following time-series equation with the 16 previous quarters of data,</w:t>
      </w:r>
    </w:p>
    <w:p w14:paraId="03F86893" w14:textId="77777777" w:rsidR="00016D40" w:rsidRPr="004B2B1F" w:rsidRDefault="00016D40" w:rsidP="00016D40">
      <w:pPr>
        <w:spacing w:after="0" w:line="360" w:lineRule="auto"/>
        <w:jc w:val="both"/>
        <w:rPr>
          <w:sz w:val="24"/>
          <w:szCs w:val="24"/>
        </w:rPr>
      </w:pPr>
      <w:r w:rsidRPr="004B2B1F">
        <w:rPr>
          <w:sz w:val="24"/>
          <w:szCs w:val="24"/>
        </w:rPr>
        <w:t xml:space="preserve"> </w:t>
      </w:r>
    </w:p>
    <w:p w14:paraId="6BD07D42" w14:textId="77777777" w:rsidR="00016D40" w:rsidRPr="004B2B1F" w:rsidRDefault="00016D40" w:rsidP="00016D40">
      <w:pPr>
        <w:spacing w:after="0" w:line="360" w:lineRule="auto"/>
        <w:jc w:val="right"/>
        <w:rPr>
          <w:sz w:val="24"/>
          <w:szCs w:val="24"/>
        </w:rPr>
      </w:pPr>
      <w:r w:rsidRPr="004B2B1F">
        <w:rPr>
          <w:sz w:val="24"/>
          <w:szCs w:val="24"/>
        </w:rPr>
        <w:t xml:space="preserve">    </w:t>
      </w:r>
      <w:r w:rsidRPr="004B2B1F">
        <w:rPr>
          <w:position w:val="-14"/>
          <w:sz w:val="24"/>
          <w:szCs w:val="24"/>
        </w:rPr>
        <w:object w:dxaOrig="6399" w:dyaOrig="380" w14:anchorId="4EC8D1C2">
          <v:shape id="_x0000_i1032" type="#_x0000_t75" style="width:316.55pt;height:21.75pt" o:ole="">
            <v:imagedata r:id="rId24" o:title=""/>
          </v:shape>
          <o:OLEObject Type="Embed" ProgID="Equation.DSMT4" ShapeID="_x0000_i1032" DrawAspect="Content" ObjectID="_1655669388" r:id="rId25"/>
        </w:object>
      </w:r>
      <w:r>
        <w:rPr>
          <w:sz w:val="24"/>
          <w:szCs w:val="24"/>
        </w:rPr>
        <w:t xml:space="preserve">     </w:t>
      </w:r>
      <w:r w:rsidRPr="004B2B1F">
        <w:rPr>
          <w:sz w:val="24"/>
          <w:szCs w:val="24"/>
        </w:rPr>
        <w:t xml:space="preserve"> </w:t>
      </w:r>
      <w:r>
        <w:rPr>
          <w:sz w:val="24"/>
          <w:szCs w:val="24"/>
        </w:rPr>
        <w:t xml:space="preserve">  </w:t>
      </w:r>
      <w:r w:rsidRPr="004B2B1F">
        <w:rPr>
          <w:sz w:val="24"/>
          <w:szCs w:val="24"/>
        </w:rPr>
        <w:t xml:space="preserve">      (</w:t>
      </w:r>
      <w:r>
        <w:rPr>
          <w:sz w:val="24"/>
          <w:szCs w:val="24"/>
        </w:rPr>
        <w:t>A.2</w:t>
      </w:r>
      <w:r w:rsidRPr="004B2B1F">
        <w:rPr>
          <w:sz w:val="24"/>
          <w:szCs w:val="24"/>
        </w:rPr>
        <w:t>)</w:t>
      </w:r>
    </w:p>
    <w:p w14:paraId="3862441B" w14:textId="77777777" w:rsidR="00016D40" w:rsidRPr="004B2B1F" w:rsidRDefault="00016D40" w:rsidP="00016D40">
      <w:pPr>
        <w:spacing w:after="0" w:line="360" w:lineRule="auto"/>
        <w:rPr>
          <w:sz w:val="24"/>
          <w:szCs w:val="24"/>
        </w:rPr>
      </w:pPr>
    </w:p>
    <w:p w14:paraId="2CDB832C" w14:textId="77777777" w:rsidR="00016D40" w:rsidRPr="004B2B1F" w:rsidRDefault="00016D40" w:rsidP="00016D40">
      <w:pPr>
        <w:spacing w:after="0" w:line="360" w:lineRule="auto"/>
        <w:jc w:val="both"/>
        <w:rPr>
          <w:sz w:val="24"/>
          <w:szCs w:val="24"/>
        </w:rPr>
      </w:pPr>
      <w:r w:rsidRPr="004B2B1F">
        <w:rPr>
          <w:sz w:val="24"/>
          <w:szCs w:val="24"/>
        </w:rPr>
        <w:t xml:space="preserve">where </w:t>
      </w:r>
      <w:r w:rsidRPr="004B2B1F">
        <w:rPr>
          <w:i/>
          <w:sz w:val="24"/>
          <w:szCs w:val="24"/>
        </w:rPr>
        <w:t>Neg</w:t>
      </w:r>
      <w:r w:rsidRPr="004B2B1F">
        <w:rPr>
          <w:i/>
          <w:sz w:val="24"/>
          <w:szCs w:val="24"/>
          <w:vertAlign w:val="subscript"/>
        </w:rPr>
        <w:t>i,t</w:t>
      </w:r>
      <w:r w:rsidRPr="004B2B1F">
        <w:rPr>
          <w:sz w:val="24"/>
          <w:szCs w:val="24"/>
          <w:vertAlign w:val="subscript"/>
        </w:rPr>
        <w:t xml:space="preserve"> </w:t>
      </w:r>
      <w:r w:rsidRPr="004B2B1F">
        <w:rPr>
          <w:sz w:val="24"/>
          <w:szCs w:val="24"/>
        </w:rPr>
        <w:t xml:space="preserve">is an indicator for negative </w:t>
      </w:r>
      <w:r w:rsidRPr="004B2B1F">
        <w:rPr>
          <w:i/>
          <w:sz w:val="24"/>
          <w:szCs w:val="24"/>
        </w:rPr>
        <w:t>Return</w:t>
      </w:r>
      <w:r w:rsidRPr="004B2B1F">
        <w:rPr>
          <w:i/>
          <w:sz w:val="24"/>
          <w:szCs w:val="24"/>
          <w:vertAlign w:val="subscript"/>
        </w:rPr>
        <w:t>i,t</w:t>
      </w:r>
      <w:r w:rsidRPr="004B2B1F">
        <w:rPr>
          <w:sz w:val="24"/>
          <w:szCs w:val="24"/>
        </w:rPr>
        <w:t xml:space="preserve">. We then follow the algorithm used to compute </w:t>
      </w:r>
      <w:r w:rsidRPr="00DA0DAE">
        <w:rPr>
          <w:i/>
          <w:sz w:val="24"/>
          <w:szCs w:val="24"/>
        </w:rPr>
        <w:t>CompacctInd</w:t>
      </w:r>
      <w:r w:rsidRPr="004B2B1F">
        <w:rPr>
          <w:sz w:val="24"/>
          <w:szCs w:val="24"/>
        </w:rPr>
        <w:t xml:space="preserve"> to derive </w:t>
      </w:r>
      <w:r>
        <w:rPr>
          <w:sz w:val="24"/>
          <w:szCs w:val="24"/>
        </w:rPr>
        <w:t xml:space="preserve">this </w:t>
      </w:r>
      <w:r w:rsidRPr="004B2B1F">
        <w:rPr>
          <w:sz w:val="24"/>
          <w:szCs w:val="24"/>
        </w:rPr>
        <w:t xml:space="preserve">comparability </w:t>
      </w:r>
      <w:r>
        <w:rPr>
          <w:sz w:val="24"/>
          <w:szCs w:val="24"/>
        </w:rPr>
        <w:t xml:space="preserve">measure based on Basu’s (1997) piece-wise linear model </w:t>
      </w:r>
      <w:r w:rsidRPr="004B2B1F">
        <w:rPr>
          <w:sz w:val="24"/>
          <w:szCs w:val="24"/>
        </w:rPr>
        <w:t>(</w:t>
      </w:r>
      <w:r w:rsidRPr="004B2B1F">
        <w:rPr>
          <w:i/>
          <w:sz w:val="24"/>
          <w:szCs w:val="24"/>
        </w:rPr>
        <w:t>CompacctInd_Basu</w:t>
      </w:r>
      <w:r w:rsidRPr="004B2B1F">
        <w:rPr>
          <w:sz w:val="24"/>
          <w:szCs w:val="24"/>
        </w:rPr>
        <w:t xml:space="preserve">). </w:t>
      </w:r>
    </w:p>
    <w:p w14:paraId="7C43EDC5" w14:textId="77777777" w:rsidR="00016D40" w:rsidRDefault="00016D40" w:rsidP="00016D40">
      <w:pPr>
        <w:spacing w:after="0" w:line="360" w:lineRule="auto"/>
        <w:jc w:val="both"/>
        <w:rPr>
          <w:sz w:val="24"/>
          <w:szCs w:val="24"/>
        </w:rPr>
      </w:pPr>
    </w:p>
    <w:p w14:paraId="5505A703" w14:textId="77777777" w:rsidR="00016D40" w:rsidRPr="00922740" w:rsidRDefault="00016D40" w:rsidP="00016D40">
      <w:pPr>
        <w:pStyle w:val="2"/>
      </w:pPr>
      <w:r>
        <w:lastRenderedPageBreak/>
        <w:t>C</w:t>
      </w:r>
      <w:r w:rsidRPr="00DA0DAE">
        <w:t>.</w:t>
      </w:r>
      <w:r>
        <w:t>2. Comparability measures based on “price lead earnings” model</w:t>
      </w:r>
    </w:p>
    <w:p w14:paraId="54E4EF16" w14:textId="77777777" w:rsidR="00016D40" w:rsidRPr="004B2B1F" w:rsidRDefault="00016D40" w:rsidP="00016D40">
      <w:pPr>
        <w:spacing w:after="0" w:line="360" w:lineRule="auto"/>
        <w:jc w:val="both"/>
        <w:rPr>
          <w:sz w:val="24"/>
          <w:szCs w:val="24"/>
        </w:rPr>
      </w:pPr>
      <w:r w:rsidRPr="004B2B1F">
        <w:rPr>
          <w:sz w:val="24"/>
          <w:szCs w:val="24"/>
        </w:rPr>
        <w:t>Collins et al. (1994) find that firm-specific news is reflected in stock prices before being reported in accounting earnings</w:t>
      </w:r>
      <w:r>
        <w:rPr>
          <w:sz w:val="24"/>
          <w:szCs w:val="24"/>
        </w:rPr>
        <w:t xml:space="preserve">, in other words, </w:t>
      </w:r>
      <w:r w:rsidRPr="004B2B1F">
        <w:rPr>
          <w:sz w:val="24"/>
          <w:szCs w:val="24"/>
        </w:rPr>
        <w:t xml:space="preserve">prices lead earnings. </w:t>
      </w:r>
      <w:r>
        <w:rPr>
          <w:sz w:val="24"/>
          <w:szCs w:val="24"/>
        </w:rPr>
        <w:t>W</w:t>
      </w:r>
      <w:r w:rsidRPr="004B2B1F">
        <w:rPr>
          <w:sz w:val="24"/>
          <w:szCs w:val="24"/>
        </w:rPr>
        <w:t xml:space="preserve">e incorporate lagged stock return into </w:t>
      </w:r>
      <w:r>
        <w:rPr>
          <w:sz w:val="24"/>
          <w:szCs w:val="24"/>
        </w:rPr>
        <w:t>the</w:t>
      </w:r>
      <w:r w:rsidRPr="004B2B1F">
        <w:rPr>
          <w:sz w:val="24"/>
          <w:szCs w:val="24"/>
        </w:rPr>
        <w:t xml:space="preserve"> accounting model by re-estimating the accounting comparability proxies using the following model,</w:t>
      </w:r>
    </w:p>
    <w:p w14:paraId="6DB50664" w14:textId="77777777" w:rsidR="00016D40" w:rsidRPr="004B2B1F" w:rsidRDefault="00016D40" w:rsidP="00016D40">
      <w:pPr>
        <w:spacing w:after="0" w:line="360" w:lineRule="auto"/>
        <w:jc w:val="both"/>
        <w:rPr>
          <w:sz w:val="24"/>
          <w:szCs w:val="24"/>
        </w:rPr>
      </w:pPr>
    </w:p>
    <w:p w14:paraId="54C31DA4" w14:textId="77777777" w:rsidR="00016D40" w:rsidRPr="004B2B1F" w:rsidRDefault="00016D40" w:rsidP="00016D40">
      <w:pPr>
        <w:spacing w:after="0" w:line="360" w:lineRule="auto"/>
        <w:jc w:val="center"/>
        <w:rPr>
          <w:sz w:val="24"/>
          <w:szCs w:val="24"/>
        </w:rPr>
      </w:pPr>
      <w:r>
        <w:rPr>
          <w:sz w:val="24"/>
          <w:szCs w:val="24"/>
        </w:rPr>
        <w:t xml:space="preserve">                         </w:t>
      </w:r>
      <w:r w:rsidRPr="004B2B1F">
        <w:rPr>
          <w:position w:val="-14"/>
          <w:sz w:val="24"/>
          <w:szCs w:val="24"/>
        </w:rPr>
        <w:object w:dxaOrig="4720" w:dyaOrig="380" w14:anchorId="0923D858">
          <v:shape id="_x0000_i1033" type="#_x0000_t75" style="width:237.75pt;height:21.75pt" o:ole="">
            <v:imagedata r:id="rId26" o:title=""/>
          </v:shape>
          <o:OLEObject Type="Embed" ProgID="Equation.DSMT4" ShapeID="_x0000_i1033" DrawAspect="Content" ObjectID="_1655669389" r:id="rId27"/>
        </w:object>
      </w:r>
      <w:r w:rsidRPr="004B2B1F">
        <w:rPr>
          <w:sz w:val="24"/>
          <w:szCs w:val="24"/>
        </w:rPr>
        <w:t xml:space="preserve">        </w:t>
      </w:r>
      <w:r>
        <w:rPr>
          <w:sz w:val="24"/>
          <w:szCs w:val="24"/>
        </w:rPr>
        <w:t xml:space="preserve">   </w:t>
      </w:r>
      <w:r w:rsidRPr="004B2B1F">
        <w:rPr>
          <w:sz w:val="24"/>
          <w:szCs w:val="24"/>
        </w:rPr>
        <w:t xml:space="preserve">   </w:t>
      </w:r>
      <w:r>
        <w:rPr>
          <w:sz w:val="24"/>
          <w:szCs w:val="24"/>
        </w:rPr>
        <w:t xml:space="preserve"> </w:t>
      </w:r>
      <w:r w:rsidRPr="004B2B1F">
        <w:rPr>
          <w:sz w:val="24"/>
          <w:szCs w:val="24"/>
        </w:rPr>
        <w:t xml:space="preserve">                (</w:t>
      </w:r>
      <w:r>
        <w:rPr>
          <w:sz w:val="24"/>
          <w:szCs w:val="24"/>
        </w:rPr>
        <w:t>A.1</w:t>
      </w:r>
      <w:r w:rsidRPr="004B2B1F">
        <w:rPr>
          <w:sz w:val="24"/>
          <w:szCs w:val="24"/>
        </w:rPr>
        <w:t>)</w:t>
      </w:r>
    </w:p>
    <w:p w14:paraId="5C550B65" w14:textId="77777777" w:rsidR="00016D40" w:rsidRPr="004B2B1F" w:rsidRDefault="00016D40" w:rsidP="00016D40">
      <w:pPr>
        <w:spacing w:after="0" w:line="360" w:lineRule="auto"/>
        <w:jc w:val="center"/>
        <w:rPr>
          <w:sz w:val="24"/>
          <w:szCs w:val="24"/>
        </w:rPr>
      </w:pPr>
    </w:p>
    <w:p w14:paraId="45A31455" w14:textId="77777777" w:rsidR="00016D40" w:rsidRPr="004B2B1F" w:rsidRDefault="00016D40" w:rsidP="00016D40">
      <w:pPr>
        <w:spacing w:after="0" w:line="360" w:lineRule="auto"/>
        <w:jc w:val="both"/>
        <w:rPr>
          <w:sz w:val="24"/>
          <w:szCs w:val="24"/>
        </w:rPr>
      </w:pPr>
      <w:r w:rsidRPr="004B2B1F">
        <w:rPr>
          <w:sz w:val="24"/>
          <w:szCs w:val="24"/>
        </w:rPr>
        <w:t xml:space="preserve">where </w:t>
      </w:r>
      <w:r w:rsidRPr="004B2B1F">
        <w:rPr>
          <w:i/>
          <w:sz w:val="24"/>
          <w:szCs w:val="24"/>
        </w:rPr>
        <w:t>Return</w:t>
      </w:r>
      <w:r w:rsidRPr="004B2B1F">
        <w:rPr>
          <w:i/>
          <w:sz w:val="24"/>
          <w:szCs w:val="24"/>
          <w:vertAlign w:val="subscript"/>
        </w:rPr>
        <w:t>i,t-1</w:t>
      </w:r>
      <w:r w:rsidRPr="004B2B1F">
        <w:rPr>
          <w:sz w:val="24"/>
          <w:szCs w:val="24"/>
        </w:rPr>
        <w:t xml:space="preserve"> is the stock return during the prior quarter. We follow the algorithm used to calculate the distance between accounting functions to compute the comparability measure based on this “prices lead earnings” model</w:t>
      </w:r>
      <w:r>
        <w:rPr>
          <w:sz w:val="24"/>
          <w:szCs w:val="24"/>
        </w:rPr>
        <w:t xml:space="preserve"> </w:t>
      </w:r>
      <w:r w:rsidRPr="004B2B1F">
        <w:rPr>
          <w:sz w:val="24"/>
          <w:szCs w:val="24"/>
        </w:rPr>
        <w:t>(</w:t>
      </w:r>
      <w:r w:rsidRPr="004B2B1F">
        <w:rPr>
          <w:i/>
          <w:sz w:val="24"/>
          <w:szCs w:val="24"/>
        </w:rPr>
        <w:t>CompacctInd_PLE</w:t>
      </w:r>
      <w:r w:rsidRPr="004B2B1F">
        <w:rPr>
          <w:sz w:val="24"/>
          <w:szCs w:val="24"/>
        </w:rPr>
        <w:t xml:space="preserve">). </w:t>
      </w:r>
    </w:p>
    <w:p w14:paraId="2836334D" w14:textId="77777777" w:rsidR="00016D40" w:rsidRDefault="00016D40" w:rsidP="0049075E">
      <w:pPr>
        <w:jc w:val="both"/>
      </w:pPr>
    </w:p>
    <w:sectPr w:rsidR="00016D40" w:rsidSect="008325AD">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8E4F" w16cex:dateUtc="2020-06-30T09:11:00Z"/>
  <w16cex:commentExtensible w16cex:durableId="22A59120" w16cex:dateUtc="2020-06-30T09:23:00Z"/>
  <w16cex:commentExtensible w16cex:durableId="22A5910D" w16cex:dateUtc="2020-06-30T09:23:00Z"/>
  <w16cex:commentExtensible w16cex:durableId="22A82E43" w16cex:dateUtc="2020-07-02T08:58:00Z"/>
  <w16cex:commentExtensible w16cex:durableId="22A82FE4" w16cex:dateUtc="2020-07-02T09:05:00Z"/>
  <w16cex:commentExtensible w16cex:durableId="22A83003" w16cex:dateUtc="2020-07-02T09:05:00Z"/>
  <w16cex:commentExtensible w16cex:durableId="22A8303A" w16cex:dateUtc="2020-07-02T09:06:00Z"/>
  <w16cex:commentExtensible w16cex:durableId="22A83A86" w16cex:dateUtc="2020-07-02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28960" w16cid:durableId="22A58E4F"/>
  <w16cid:commentId w16cid:paraId="4735570D" w16cid:durableId="22A59120"/>
  <w16cid:commentId w16cid:paraId="2A78C3D0" w16cid:durableId="22A5910D"/>
  <w16cid:commentId w16cid:paraId="3CB9DBB9" w16cid:durableId="22A82E43"/>
  <w16cid:commentId w16cid:paraId="4B75F258" w16cid:durableId="22A82FE4"/>
  <w16cid:commentId w16cid:paraId="077B4078" w16cid:durableId="22A83003"/>
  <w16cid:commentId w16cid:paraId="0A71872E" w16cid:durableId="22A8303A"/>
  <w16cid:commentId w16cid:paraId="51854231" w16cid:durableId="22A83A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23AB" w14:textId="77777777" w:rsidR="00882290" w:rsidRDefault="00882290" w:rsidP="005071D3">
      <w:pPr>
        <w:spacing w:after="0" w:line="240" w:lineRule="auto"/>
      </w:pPr>
      <w:r>
        <w:separator/>
      </w:r>
    </w:p>
  </w:endnote>
  <w:endnote w:type="continuationSeparator" w:id="0">
    <w:p w14:paraId="0CCCE930" w14:textId="77777777" w:rsidR="00882290" w:rsidRDefault="00882290" w:rsidP="0050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D746" w14:textId="77777777" w:rsidR="00CD1FDD" w:rsidRDefault="00CD1FDD">
    <w:pPr>
      <w:pStyle w:val="a4"/>
      <w:jc w:val="center"/>
    </w:pPr>
    <w:r>
      <w:fldChar w:fldCharType="begin"/>
    </w:r>
    <w:r>
      <w:instrText>PAGE   \* MERGEFORMAT</w:instrText>
    </w:r>
    <w:r>
      <w:fldChar w:fldCharType="separate"/>
    </w:r>
    <w:r w:rsidR="00240BE9" w:rsidRPr="00240BE9">
      <w:rPr>
        <w:noProof/>
        <w:lang w:val="zh-CN"/>
      </w:rPr>
      <w:t>37</w:t>
    </w:r>
    <w:r>
      <w:fldChar w:fldCharType="end"/>
    </w:r>
  </w:p>
  <w:p w14:paraId="3E025C77" w14:textId="77777777" w:rsidR="00CD1FDD" w:rsidRDefault="00CD1F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7D6F" w14:textId="038DD641" w:rsidR="008325AD" w:rsidRDefault="008325AD">
    <w:pPr>
      <w:pStyle w:val="a4"/>
      <w:jc w:val="center"/>
    </w:pPr>
  </w:p>
  <w:p w14:paraId="7EC2AA46" w14:textId="77777777" w:rsidR="008325AD" w:rsidRDefault="008325AD" w:rsidP="008325A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65B9" w14:textId="77777777" w:rsidR="00882290" w:rsidRDefault="00882290" w:rsidP="005071D3">
      <w:pPr>
        <w:spacing w:after="0" w:line="240" w:lineRule="auto"/>
      </w:pPr>
      <w:r>
        <w:separator/>
      </w:r>
    </w:p>
  </w:footnote>
  <w:footnote w:type="continuationSeparator" w:id="0">
    <w:p w14:paraId="767382A8" w14:textId="77777777" w:rsidR="00882290" w:rsidRDefault="00882290" w:rsidP="005071D3">
      <w:pPr>
        <w:spacing w:after="0" w:line="240" w:lineRule="auto"/>
      </w:pPr>
      <w:r>
        <w:continuationSeparator/>
      </w:r>
    </w:p>
  </w:footnote>
  <w:footnote w:id="1">
    <w:p w14:paraId="2731C931" w14:textId="256EF5D7" w:rsidR="00CD1FDD" w:rsidRDefault="00CD1FDD" w:rsidP="00C96383">
      <w:pPr>
        <w:pStyle w:val="a7"/>
        <w:jc w:val="both"/>
      </w:pPr>
      <w:r>
        <w:rPr>
          <w:rStyle w:val="a8"/>
        </w:rPr>
        <w:footnoteRef/>
      </w:r>
      <w:r>
        <w:t xml:space="preserve">For simplicity, the phrase ‘corporate employment decision-making’ is used interchangeably with ‘labour investment efficiency’. </w:t>
      </w:r>
    </w:p>
  </w:footnote>
  <w:footnote w:id="2">
    <w:p w14:paraId="0EA61528" w14:textId="5C2B41B0" w:rsidR="00CD1FDD" w:rsidRDefault="00CD1FDD">
      <w:pPr>
        <w:pStyle w:val="a7"/>
      </w:pPr>
      <w:r w:rsidRPr="005112DC">
        <w:rPr>
          <w:rStyle w:val="a8"/>
        </w:rPr>
        <w:footnoteRef/>
      </w:r>
      <w:r w:rsidRPr="00FA58DE">
        <w:t>This economic</w:t>
      </w:r>
      <w:r>
        <w:t xml:space="preserve"> </w:t>
      </w:r>
      <w:r w:rsidRPr="00FA58DE">
        <w:t>effect</w:t>
      </w:r>
      <w:r>
        <w:t xml:space="preserve"> </w:t>
      </w:r>
      <w:r w:rsidRPr="00FA58DE">
        <w:t>is</w:t>
      </w:r>
      <w:r>
        <w:t xml:space="preserve"> </w:t>
      </w:r>
      <w:r w:rsidRPr="00FA58DE">
        <w:t>based</w:t>
      </w:r>
      <w:r>
        <w:t xml:space="preserve"> </w:t>
      </w:r>
      <w:r w:rsidRPr="00FA58DE">
        <w:t>on</w:t>
      </w:r>
      <w:r>
        <w:t xml:space="preserve"> </w:t>
      </w:r>
      <w:r w:rsidRPr="00FA58DE">
        <w:t>the</w:t>
      </w:r>
      <w:r>
        <w:t xml:space="preserve"> </w:t>
      </w:r>
      <w:r w:rsidRPr="00FA58DE">
        <w:t>results</w:t>
      </w:r>
      <w:r>
        <w:t xml:space="preserve"> </w:t>
      </w:r>
      <w:r w:rsidRPr="00FA58DE">
        <w:t>shown</w:t>
      </w:r>
      <w:r>
        <w:t xml:space="preserve"> </w:t>
      </w:r>
      <w:r w:rsidRPr="00FA58DE">
        <w:t>in Table</w:t>
      </w:r>
      <w:r>
        <w:t xml:space="preserve"> 2</w:t>
      </w:r>
      <w:r w:rsidRPr="00FA58DE">
        <w:t>.</w:t>
      </w:r>
    </w:p>
  </w:footnote>
  <w:footnote w:id="3">
    <w:p w14:paraId="5A1C61E7" w14:textId="301495E9" w:rsidR="00CD1FDD" w:rsidRDefault="00CD1FDD" w:rsidP="00660ED5">
      <w:pPr>
        <w:pStyle w:val="a7"/>
        <w:jc w:val="both"/>
      </w:pPr>
      <w:r>
        <w:rPr>
          <w:rStyle w:val="a8"/>
        </w:rPr>
        <w:footnoteRef/>
      </w:r>
      <w:r>
        <w:t>In this paper, we focus on the monitoring role of comparability in employment decisions. However, it is possible that enhanced comparability reduces inefficiency in employment decisions via increasing the funds available for labour investments. W</w:t>
      </w:r>
      <w:r w:rsidRPr="00E60263">
        <w:t xml:space="preserve">ith lower information acquisition and processing costs, outside capital suppliers </w:t>
      </w:r>
      <w:r>
        <w:t>will tend to</w:t>
      </w:r>
      <w:r w:rsidRPr="00E60263">
        <w:t xml:space="preserve"> provide firms with </w:t>
      </w:r>
      <w:r>
        <w:t xml:space="preserve">more </w:t>
      </w:r>
      <w:r w:rsidRPr="00E60263">
        <w:t xml:space="preserve">sufficient funding </w:t>
      </w:r>
      <w:r>
        <w:t xml:space="preserve">and </w:t>
      </w:r>
      <w:r w:rsidRPr="00E60263">
        <w:t xml:space="preserve">charge less for </w:t>
      </w:r>
      <w:r>
        <w:t>it</w:t>
      </w:r>
      <w:r w:rsidRPr="00E60263">
        <w:t xml:space="preserve"> </w:t>
      </w:r>
      <w:r>
        <w:fldChar w:fldCharType="begin" w:fldLock="1"/>
      </w:r>
      <w:r>
        <w:instrText>ADDIN CSL_CITATION {"citationItems":[{"id":"ITEM-1","itemData":{"ISSN":"1380-6653","author":[{"dropping-particle":"","family":"Kim","given":"S.","non-dropping-particle":"","parse-names":false,"suffix":""},{"dropping-particle":"","family":"Kraft","given":"Pepa","non-dropping-particle":"","parse-names":false,"suffix":""},{"dropping-particle":"","family":"Ryan","given":"Stephen G.","non-dropping-particle":"","parse-names":false,"suffix":""}],"container-title":"Review of Accounting Studies","id":"ITEM-1","issue":"3","issued":{"date-parts":[["2013","9","13"]]},"page":"783-823","publisher":"Springer US","title":"Financial statement comparability and credit risk","type":"article-journal","volume":"18"},"uris":["http://www.mendeley.com/documents/?uuid=e972df64-99d1-3933-8dc6-d33829ee5701"]},{"id":"ITEM-2","itemData":{"ISSN":"1556-5068","author":[{"dropping-particle":"","family":"Shane","given":"Philip B.","non-dropping-particle":"","parse-names":false,"suffix":""},{"dropping-particle":"","family":"Smith","given":"David B.","non-dropping-particle":"","parse-names":false,"suffix":""},{"dropping-particle":"","family":"Zhang","given":"Suning","non-dropping-particle":"","parse-names":false,"suffix":""}],"container-title":"Available at: SSRN 12372965","id":"ITEM-2","issued":{"date-parts":[["2014","2","27"]]},"title":"Financial statement comparability and valuation of seasoned equity offerings","type":"article-journal"},"uris":["http://www.mendeley.com/documents/?uuid=d8089ebb-e1ce-3e92-8264-09dee276f013"]}],"mendeley":{"formattedCitation":"(S. Kim et al., 2013; Shane et al., 2014)","manualFormatting":"(Kim et al., 2013; Shane, Smith, &amp; Zhang, 2014)","plainTextFormattedCitation":"(S. Kim et al., 2013; Shane et al., 2014)","previouslyFormattedCitation":"(S. Kim et al., 2013; Shane et al., 2014)"},"properties":{"noteIndex":0},"schema":"https://github.com/citation-style-language/schema/raw/master/csl-citation.json"}</w:instrText>
      </w:r>
      <w:r>
        <w:fldChar w:fldCharType="separate"/>
      </w:r>
      <w:r>
        <w:rPr>
          <w:noProof/>
        </w:rPr>
        <w:t>(</w:t>
      </w:r>
      <w:r w:rsidRPr="00AE6B07">
        <w:rPr>
          <w:noProof/>
        </w:rPr>
        <w:t>Kim et al., 2013; Shane, Smith, &amp; Zhang, 2014)</w:t>
      </w:r>
      <w:r>
        <w:fldChar w:fldCharType="end"/>
      </w:r>
      <w:r w:rsidRPr="00E60263">
        <w:t>, which allows managers to optim</w:t>
      </w:r>
      <w:r>
        <w:t>ise</w:t>
      </w:r>
      <w:r w:rsidRPr="00E60263">
        <w:t xml:space="preserve"> labour investment.</w:t>
      </w:r>
      <w:r>
        <w:t xml:space="preserve"> In an untabulated test, we examine the impact of comparability on labour investment inefficiency for sub-samples with high and low degrees of financial constraint, which is proxied by the Whited-Wu index </w:t>
      </w:r>
      <w:r>
        <w:fldChar w:fldCharType="begin" w:fldLock="1"/>
      </w:r>
      <w:r>
        <w:instrText>ADDIN CSL_CITATION {"citationItems":[{"id":"ITEM-1","itemData":{"ISSN":"0893-9454","author":[{"dropping-particle":"","family":"Whited","given":"Toni M.","non-dropping-particle":"","parse-names":false,"suffix":""},{"dropping-particle":"","family":"Wu","given":"Guojun","non-dropping-particle":"","parse-names":false,"suffix":""}],"container-title":"Review of Financial Studies","id":"ITEM-1","issue":"2","issued":{"date-parts":[["2006"]]},"page":"531-559","title":"Financial constraints risk","type":"article-journal","volume":"19"},"uris":["http://www.mendeley.com/documents/?uuid=a05c08d4-110a-3249-8c7c-9d5eb6c7a663"]}],"mendeley":{"formattedCitation":"(Whited &amp; Wu, 2006)","plainTextFormattedCitation":"(Whited &amp; Wu, 2006)","previouslyFormattedCitation":"(Whited &amp; Wu, 2006)"},"properties":{"noteIndex":0},"schema":"https://github.com/citation-style-language/schema/raw/master/csl-citation.json"}</w:instrText>
      </w:r>
      <w:r>
        <w:fldChar w:fldCharType="separate"/>
      </w:r>
      <w:r w:rsidRPr="00AE6B07">
        <w:rPr>
          <w:noProof/>
        </w:rPr>
        <w:t>(Whited &amp; Wu, 2006)</w:t>
      </w:r>
      <w:r>
        <w:fldChar w:fldCharType="end"/>
      </w:r>
      <w:r>
        <w:t>.</w:t>
      </w:r>
      <w:r w:rsidRPr="009B105B">
        <w:t xml:space="preserve"> </w:t>
      </w:r>
      <w:r w:rsidRPr="00B47316">
        <w:t xml:space="preserve">We partition our sample into firms </w:t>
      </w:r>
      <w:r>
        <w:t>with high financial constraints</w:t>
      </w:r>
      <w:r w:rsidRPr="00B47316">
        <w:t xml:space="preserve"> (those with a</w:t>
      </w:r>
      <w:r>
        <w:t>n</w:t>
      </w:r>
      <w:r w:rsidRPr="00B47316">
        <w:t xml:space="preserve"> </w:t>
      </w:r>
      <w:r>
        <w:t>above</w:t>
      </w:r>
      <w:r w:rsidRPr="00B47316">
        <w:t xml:space="preserve">-median </w:t>
      </w:r>
      <w:r>
        <w:t xml:space="preserve">Whited-Wu index </w:t>
      </w:r>
      <w:r w:rsidRPr="00B47316">
        <w:t xml:space="preserve">each year) versus firms </w:t>
      </w:r>
      <w:r>
        <w:t>with low financial constraints</w:t>
      </w:r>
      <w:r w:rsidRPr="00B47316">
        <w:t xml:space="preserve"> (those with a </w:t>
      </w:r>
      <w:r>
        <w:t>below</w:t>
      </w:r>
      <w:r w:rsidRPr="00B47316">
        <w:t xml:space="preserve">-median </w:t>
      </w:r>
      <w:r>
        <w:t>Whited-Wu index</w:t>
      </w:r>
      <w:r w:rsidRPr="00B47316">
        <w:t xml:space="preserve"> each year). </w:t>
      </w:r>
      <w:r>
        <w:t xml:space="preserve">The results show that </w:t>
      </w:r>
      <w:r w:rsidRPr="00CF68C9">
        <w:t xml:space="preserve">the coefficients on the comparability proxies are statistically and negatively significant </w:t>
      </w:r>
      <w:r>
        <w:t xml:space="preserve">only </w:t>
      </w:r>
      <w:r w:rsidRPr="00CF68C9">
        <w:t xml:space="preserve">for </w:t>
      </w:r>
      <w:r>
        <w:t xml:space="preserve">the </w:t>
      </w:r>
      <w:r w:rsidRPr="00CF68C9">
        <w:t xml:space="preserve">sub-sample with </w:t>
      </w:r>
      <w:r>
        <w:t xml:space="preserve">high financial constraints. This implies that accounting comparability could also improve employment decision-making by increasing funds available for labour investment. </w:t>
      </w:r>
    </w:p>
  </w:footnote>
  <w:footnote w:id="4">
    <w:p w14:paraId="211ABA4E" w14:textId="6FAFCE3E" w:rsidR="00CD1FDD" w:rsidRDefault="00CD1FDD" w:rsidP="00465179">
      <w:pPr>
        <w:pStyle w:val="a7"/>
        <w:jc w:val="both"/>
      </w:pPr>
      <w:r w:rsidRPr="005112DC">
        <w:rPr>
          <w:rStyle w:val="a8"/>
        </w:rPr>
        <w:footnoteRef/>
      </w:r>
      <w:r w:rsidRPr="00497F7A">
        <w:t xml:space="preserve">In line with Pinnuck and Lillis </w:t>
      </w:r>
      <w:r>
        <w:fldChar w:fldCharType="begin" w:fldLock="1"/>
      </w:r>
      <w:r>
        <w:instrText>ADDIN CSL_CITATION {"citationItems":[{"id":"ITEM-1","itemData":{"ISBN":"00014826","ISSN":"00014826","abstract":"The binary classification of firms into profits or losses represents a pow-erful heuristic. The literature that has examined the impact on the firm of this earnings heuristic has focused on the earnings management actions of small profit firms. The impact of this earnings heuristic on the actions of firms reporting accounting losses and the decision-making effects the heuristic may have other than earnings manage-ment have not been examined. In this study we hypothesize that reporting an account-ing loss acts as a heuristic trigger for firms to exercise the abandonment option and discard unproductive investments. The results are consistent with the hypothesis. We find that there is a sharp and economically significant discontinuity around zero in the level of investment in labor between small profit and small loss firms. The discontinuity is due to loss firms having a lower-than-expected level of investment in labor, given their economic fundamentals. Further tests show that this discontinuity is due to the exercise of the abandonment option. We find that firms switching from a profit to a loss cut labor to a greater extent than other firms with similar changes in earnings that do not pass the loss threshold. Taken together the results are consistent with the accounting loss heuristic acting as a major disciplinary or incentive altering event that resolves agency problems.","author":[{"dropping-particle":"","family":"Pinnuck","given":"Matt","non-dropping-particle":"","parse-names":false,"suffix":""},{"dropping-particle":"","family":"Lillis","given":"Anne M.","non-dropping-particle":"","parse-names":false,"suffix":""}],"container-title":"Accounting Review","id":"ITEM-1","issue":"4","issued":{"date-parts":[["2007"]]},"page":"1031-1053","title":"Profits versus losses: Does reporting an accounting loss act as a heuristic trigger to exercise the abandonment option and divest employees?","type":"article-journal","volume":"82"},"suppress-author":1,"uris":["http://www.mendeley.com/documents/?uuid=f9b15269-da93-4155-ace1-4ce8ea5f860b"]}],"mendeley":{"formattedCitation":"(2007)","plainTextFormattedCitation":"(2007)","previouslyFormattedCitation":"(2007)"},"properties":{"noteIndex":0},"schema":"https://github.com/citation-style-language/schema/raw/master/csl-citation.json"}</w:instrText>
      </w:r>
      <w:r>
        <w:fldChar w:fldCharType="separate"/>
      </w:r>
      <w:r w:rsidRPr="0053664A">
        <w:rPr>
          <w:noProof/>
        </w:rPr>
        <w:t>(2007)</w:t>
      </w:r>
      <w:r>
        <w:fldChar w:fldCharType="end"/>
      </w:r>
      <w:r w:rsidRPr="00497F7A">
        <w:t>, we find that net hiring is positively related to sales growth, return on assets, annual stock return, firm size and quick ratio, and negatively associated with leverage and loss interval indicators.</w:t>
      </w:r>
    </w:p>
  </w:footnote>
  <w:footnote w:id="5">
    <w:p w14:paraId="196A1668" w14:textId="77777777" w:rsidR="00CD1FDD" w:rsidRPr="00A06287" w:rsidRDefault="00CD1FDD" w:rsidP="00465179">
      <w:pPr>
        <w:pStyle w:val="a7"/>
        <w:jc w:val="both"/>
      </w:pPr>
      <w:r w:rsidRPr="005112DC">
        <w:rPr>
          <w:rStyle w:val="a8"/>
        </w:rPr>
        <w:footnoteRef/>
      </w:r>
      <w:r>
        <w:t xml:space="preserve">The choice of how many firms should be included in the set of comparable firms is ad hoc (De Franco et al. </w:t>
      </w:r>
      <w:r w:rsidRPr="00165B21">
        <w:t xml:space="preserve">2011), </w:t>
      </w:r>
      <w:r w:rsidRPr="002E7D97">
        <w:rPr>
          <w:i/>
        </w:rPr>
        <w:t>t.</w:t>
      </w:r>
      <w:r>
        <w:t xml:space="preserve"> </w:t>
      </w:r>
      <w:r w:rsidRPr="00165B21">
        <w:t>In untabulated results</w:t>
      </w:r>
      <w:r>
        <w:t>,</w:t>
      </w:r>
      <w:r w:rsidRPr="00165B21">
        <w:t xml:space="preserve"> we obtain similar finding</w:t>
      </w:r>
      <w:r>
        <w:t xml:space="preserve">s using </w:t>
      </w:r>
      <w:r w:rsidRPr="00510C6C">
        <w:t xml:space="preserve">the average </w:t>
      </w:r>
      <m:oMath>
        <m:sSub>
          <m:sSubPr>
            <m:ctrlPr>
              <w:rPr>
                <w:rFonts w:ascii="Cambria Math" w:hAnsi="Cambria Math"/>
              </w:rPr>
            </m:ctrlPr>
          </m:sSubPr>
          <m:e>
            <m:r>
              <w:rPr>
                <w:rFonts w:ascii="Cambria Math" w:hAnsi="Cambria Math"/>
              </w:rPr>
              <m:t>Compacct</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t</m:t>
            </m:r>
          </m:sub>
        </m:sSub>
      </m:oMath>
      <w:r w:rsidRPr="00510C6C">
        <w:t xml:space="preserve"> of the </w:t>
      </w:r>
      <w:r>
        <w:t>four</w:t>
      </w:r>
      <w:r w:rsidRPr="00510C6C">
        <w:t xml:space="preserve"> firms </w:t>
      </w:r>
      <w:r w:rsidRPr="002E7D97">
        <w:rPr>
          <w:i/>
        </w:rPr>
        <w:t>j</w:t>
      </w:r>
      <w:r>
        <w:t>,</w:t>
      </w:r>
      <w:r w:rsidRPr="00510C6C">
        <w:t xml:space="preserve"> with the highest comparability to firm </w:t>
      </w:r>
      <w:r w:rsidRPr="002E7D97">
        <w:rPr>
          <w:i/>
        </w:rPr>
        <w:t>i</w:t>
      </w:r>
      <w:r w:rsidRPr="00510C6C">
        <w:t xml:space="preserve"> during year </w:t>
      </w:r>
      <w:r w:rsidRPr="002E7D97">
        <w:rPr>
          <w:i/>
        </w:rPr>
        <w:t>t</w:t>
      </w:r>
      <w:r>
        <w:t xml:space="preserve">, and the </w:t>
      </w:r>
      <w:r w:rsidRPr="00510C6C">
        <w:rPr>
          <w:rFonts w:hint="eastAsia"/>
        </w:rPr>
        <w:t xml:space="preserve">average </w:t>
      </w:r>
      <m:oMath>
        <m:sSub>
          <m:sSubPr>
            <m:ctrlPr>
              <w:rPr>
                <w:rFonts w:ascii="Cambria Math" w:hAnsi="Cambria Math"/>
              </w:rPr>
            </m:ctrlPr>
          </m:sSubPr>
          <m:e>
            <m:r>
              <w:rPr>
                <w:rFonts w:ascii="Cambria Math" w:hAnsi="Cambria Math"/>
              </w:rPr>
              <m:t>Compacct</m:t>
            </m:r>
          </m:e>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t</m:t>
            </m:r>
          </m:sub>
        </m:sSub>
      </m:oMath>
      <w:r w:rsidRPr="00510C6C">
        <w:rPr>
          <w:rFonts w:hint="eastAsia"/>
        </w:rPr>
        <w:t xml:space="preserve"> </w:t>
      </w:r>
      <w:r w:rsidRPr="00510C6C">
        <w:t xml:space="preserve">for all firms </w:t>
      </w:r>
      <w:r w:rsidRPr="002E7D97">
        <w:rPr>
          <w:i/>
        </w:rPr>
        <w:t>j</w:t>
      </w:r>
      <w:r w:rsidRPr="00510C6C">
        <w:t xml:space="preserve"> in the same industry as firm</w:t>
      </w:r>
      <w:r w:rsidRPr="002E7D97">
        <w:rPr>
          <w:i/>
        </w:rPr>
        <w:t xml:space="preserve"> i</w:t>
      </w:r>
      <w:r w:rsidRPr="00510C6C">
        <w:t xml:space="preserve"> during year </w:t>
      </w:r>
      <w:r w:rsidRPr="002E7D97">
        <w:rPr>
          <w:i/>
        </w:rPr>
        <w:t>t</w:t>
      </w:r>
      <w:r w:rsidRPr="00510C6C">
        <w:rPr>
          <w:rFonts w:hint="eastAsia"/>
        </w:rPr>
        <w:t>.</w:t>
      </w:r>
    </w:p>
    <w:p w14:paraId="15EA65FB" w14:textId="77777777" w:rsidR="00CD1FDD" w:rsidRPr="00A06287" w:rsidRDefault="00CD1FDD" w:rsidP="00465179">
      <w:pPr>
        <w:pStyle w:val="a7"/>
      </w:pPr>
    </w:p>
  </w:footnote>
  <w:footnote w:id="6">
    <w:p w14:paraId="5C570BA0" w14:textId="77777777" w:rsidR="00CD1FDD" w:rsidRDefault="00CD1FDD" w:rsidP="00465179">
      <w:pPr>
        <w:pStyle w:val="a7"/>
        <w:jc w:val="both"/>
      </w:pPr>
      <w:r w:rsidRPr="005112DC">
        <w:rPr>
          <w:rStyle w:val="a8"/>
        </w:rPr>
        <w:footnoteRef/>
      </w:r>
      <w:r>
        <w:t>W</w:t>
      </w:r>
      <w:r w:rsidRPr="003B25B9">
        <w:t xml:space="preserve">e </w:t>
      </w:r>
      <w:r>
        <w:t xml:space="preserve">also </w:t>
      </w:r>
      <w:r w:rsidRPr="003B25B9">
        <w:t>perform our analysi</w:t>
      </w:r>
      <w:r>
        <w:t>s controlling for other earning</w:t>
      </w:r>
      <w:r w:rsidRPr="003B25B9">
        <w:t xml:space="preserve"> attributes, such as earnings predictability </w:t>
      </w:r>
      <w:r>
        <w:fldChar w:fldCharType="begin" w:fldLock="1"/>
      </w:r>
      <w:r>
        <w:instrText>ADDIN CSL_CITATION {"citationItems":[{"id":"ITEM-1","itemData":{"ISSN":"0001-4826","abstract":"This paper suggests a new measure of one aspect of the quality of working capital accruals and earnings. One role of accruals is to shift or adjust the recognition of cash flows over time so that the adjusted numbers (earnings) better measure firm performance. However, accruals require assumptions and estimates of future cash flows. We argue that the quality of accruals and earnings is decreasing in the magnitud</w:instrText>
      </w:r>
      <w:r>
        <w:rPr>
          <w:rFonts w:hint="eastAsia"/>
        </w:rPr>
        <w:instrText>e of estimation error in accruals. We derive an empirical measure of accrual quality as the residuals from firm</w:instrText>
      </w:r>
      <w:r>
        <w:rPr>
          <w:rFonts w:hint="eastAsia"/>
        </w:rPr>
        <w:instrText>‐</w:instrText>
      </w:r>
      <w:r>
        <w:rPr>
          <w:rFonts w:hint="eastAsia"/>
        </w:rPr>
        <w:instrText>specific regressions of changes in working capital on past, present, and future operating cash flows. We document that observable firm characte</w:instrText>
      </w:r>
      <w:r>
        <w:instrText>ristics can be used as instruments for accrual quality (e.g., volatility of accruals and volatility of earnings). Finally, we show that our measure of accrual quality is positively related to earnings persistence.","author":[{"dropping-particle":"","family":"Dechow","given":"Patricia M.","non-dropping-particle":"","parse-names":false,"suffix":""},{"dropping-particle":"","family":"Dichev","given":"Ilia D.","non-dropping-particle":"","parse-names":false,"suffix":""}],"container-title":"The Accounting Review","id":"ITEM-1","issue":"s-1","issued":{"date-parts":[["2002","3","30"]]},"page":"35-59","title":"The quality of accruals and earnings: The role of accrual estimation errors","type":"article-journal","volume":"77"},"uris":["http://www.mendeley.com/documents/?uuid=e6e0c3ea-0793-39cc-bbdd-abaf3dff682a"]}],"mendeley":{"formattedCitation":"(Dechow &amp; Dichev, 2002)","plainTextFormattedCitation":"(Dechow &amp; Dichev, 2002)","previouslyFormattedCitation":"(Dechow &amp; Dichev, 2002)"},"properties":{"noteIndex":0},"schema":"https://github.com/citation-style-language/schema/raw/master/csl-citation.json"}</w:instrText>
      </w:r>
      <w:r>
        <w:fldChar w:fldCharType="separate"/>
      </w:r>
      <w:r w:rsidRPr="00DA7F4F">
        <w:rPr>
          <w:noProof/>
        </w:rPr>
        <w:t>(Dechow &amp; Dichev, 2002)</w:t>
      </w:r>
      <w:r>
        <w:fldChar w:fldCharType="end"/>
      </w:r>
      <w:r w:rsidRPr="003B25B9">
        <w:t xml:space="preserve">, earnings smoothness </w:t>
      </w:r>
      <w:r>
        <w:fldChar w:fldCharType="begin" w:fldLock="1"/>
      </w:r>
      <w:r>
        <w:instrText>ADDIN CSL_CITATION {"citationItems":[{"id":"ITEM-1","itemData":{"ISSN":"0165-4101","abstract":"We examine the specification and power of tests based on performance-matched discretionary accruals, and make comparisons with tests using traditional discretionary accrual measures (e.g., Jones and modified-Jones models). Performance matching on return on assets controls for the effect of performance on measured discretionary accruals. The results suggest that performance-matched discretionary accrual measures enhance the reliability of inferences from earnings management research when the hypothesis being tested does not imply that earnings management will vary with performance, or where the control firms are not expected to have engaged in earnings management.","author":[{"dropping-particle":"","family":"Kothari","given":"S.P.","non-dropping-particle":"","parse-names":false,"suffix":""},{"dropping-particle":"","family":"Leone","given":"Andrew J.","non-dropping-particle":"","parse-names":false,"suffix":""},{"dropping-particle":"","family":"Wasley","given":"Charles E.","non-dropping-particle":"","parse-names":false,"suffix":""}],"container-title":"Journal of Accounting and Economics","id":"ITEM-1","issue":"1","issued":{"date-parts":[["2005","2","1"]]},"page":"163-197","publisher":"North-Holland","title":"Performance matched discretionary accrual measures","type":"article-journal","volume":"39"},"uris":["http://www.mendeley.com/documents/?uuid=ce0fcdd7-9643-3445-8e01-815f4be5ccea"]}],"mendeley":{"formattedCitation":"(Kothari, Leone, &amp; Wasley, 2005)","plainTextFormattedCitation":"(Kothari, Leone, &amp; Wasley, 2005)","previouslyFormattedCitation":"(Kothari, Leone, &amp; Wasley, 2005)"},"properties":{"noteIndex":0},"schema":"https://github.com/citation-style-language/schema/raw/master/csl-citation.json"}</w:instrText>
      </w:r>
      <w:r>
        <w:fldChar w:fldCharType="separate"/>
      </w:r>
      <w:r w:rsidRPr="00DA7F4F">
        <w:rPr>
          <w:noProof/>
        </w:rPr>
        <w:t>(Kothari, Leone, &amp; Wasley, 2005)</w:t>
      </w:r>
      <w:r>
        <w:fldChar w:fldCharType="end"/>
      </w:r>
      <w:r w:rsidRPr="003B25B9">
        <w:t xml:space="preserve">, </w:t>
      </w:r>
      <w:r>
        <w:t xml:space="preserve">and </w:t>
      </w:r>
      <w:r w:rsidRPr="003B25B9">
        <w:t>conditional cons</w:t>
      </w:r>
      <w:r>
        <w:t xml:space="preserve">ervatism </w:t>
      </w:r>
      <w:r>
        <w:fldChar w:fldCharType="begin" w:fldLock="1"/>
      </w:r>
      <w:r>
        <w:instrText>ADDIN CSL_CITATION {"citationItems":[{"id":"ITEM-1","itemData":{"ISSN":"0165-4101","abstract":"We estimate a firm-year measure of accounting conservatism, examine its empirical properties as a metric, and illustrate applications by testing new hypotheses that shed further light on the nature and effects of conservatism. The results are consistent with the measure, C_Score, capturing variation in conservatism and also predicting asymmetric earnings timeliness at horizons of up to 3 years ahead. Cross-sectional hypothesis tests suggest firms with longer investment cycles, higher idiosyncratic uncertainty and higher information asymmetry have higher accounting conservatism. Event studies suggest increased conservatism is a response to increases in information asymmetry and idiosyncratic uncertainty.","author":[{"dropping-particle":"","family":"Khan","given":"Mozaffar","non-dropping-particle":"","parse-names":false,"suffix":""},{"dropping-particle":"","family":"Watts","given":"Ross L.","non-dropping-particle":"","parse-names":false,"suffix":""}],"container-title":"Journal of Accounting and Economics","id":"ITEM-1","issue":"2-3","issued":{"date-parts":[["2009","12","1"]]},"page":"132-150","publisher":"North-Holland","title":"Estimation and empirical properties of a firm-year measure of accounting conservatism","type":"article-journal","volume":"48"},"uris":["http://www.mendeley.com/documents/?uuid=e5eced58-872a-3704-942b-df01bda22f99"]}],"mendeley":{"formattedCitation":"(Khan &amp; Watts, 2009)","plainTextFormattedCitation":"(Khan &amp; Watts, 2009)","previouslyFormattedCitation":"(Khan &amp; Watts, 2009)"},"properties":{"noteIndex":0},"schema":"https://github.com/citation-style-language/schema/raw/master/csl-citation.json"}</w:instrText>
      </w:r>
      <w:r>
        <w:fldChar w:fldCharType="separate"/>
      </w:r>
      <w:r w:rsidRPr="00DA7F4F">
        <w:rPr>
          <w:noProof/>
        </w:rPr>
        <w:t>(Khan &amp; Watts, 2009)</w:t>
      </w:r>
      <w:r>
        <w:fldChar w:fldCharType="end"/>
      </w:r>
      <w:r w:rsidRPr="003B25B9">
        <w:t>. Untabulated results show that our inferences remain the same after controlling for these factors.</w:t>
      </w:r>
    </w:p>
  </w:footnote>
  <w:footnote w:id="7">
    <w:p w14:paraId="1265D0DE" w14:textId="77777777" w:rsidR="00CD1FDD" w:rsidRPr="00B558D0" w:rsidRDefault="00CD1FDD" w:rsidP="00465179">
      <w:pPr>
        <w:pStyle w:val="a7"/>
        <w:jc w:val="both"/>
      </w:pPr>
      <w:r w:rsidRPr="005112DC">
        <w:rPr>
          <w:rStyle w:val="a8"/>
        </w:rPr>
        <w:footnoteRef/>
      </w:r>
      <w:r>
        <w:t xml:space="preserve">We also preform our analysis with additional controls, such as price informativeness, </w:t>
      </w:r>
      <w:r w:rsidRPr="00B61D95">
        <w:t xml:space="preserve">Gompers et al.’s </w:t>
      </w:r>
      <w:r>
        <w:fldChar w:fldCharType="begin" w:fldLock="1"/>
      </w:r>
      <w:r>
        <w:instrText>ADDIN CSL_CITATION {"citationItems":[{"id":"ITEM-1","itemData":{"ISSN":"0033-5533","author":[{"dropping-particle":"","family":"Gompers","given":"P.","non-dropping-particle":"","parse-names":false,"suffix":""},{"dropping-particle":"","family":"Ishii","given":"J.","non-dropping-particle":"","parse-names":false,"suffix":""},{"dropping-particle":"","family":"Metrick","given":"A.","non-dropping-particle":"","parse-names":false,"suffix":""}],"container-title":"The Quarterly Journal of Economics","id":"ITEM-1","issue":"1","issued":{"date-parts":[["2003","2","1"]]},"page":"107-156","publisher":"Narnia","title":"Corporate governance and equity prices","type":"article-journal","volume":"118"},"suppress-author":1,"uris":["http://www.mendeley.com/documents/?uuid=ccc7169e-e9fc-35e4-b521-3c9743cf07f7"]}],"mendeley":{"formattedCitation":"(2003)","plainTextFormattedCitation":"(2003)","previouslyFormattedCitation":"(2003)"},"properties":{"noteIndex":0},"schema":"https://github.com/citation-style-language/schema/raw/master/csl-citation.json"}</w:instrText>
      </w:r>
      <w:r>
        <w:fldChar w:fldCharType="separate"/>
      </w:r>
      <w:r w:rsidRPr="00F7342E">
        <w:rPr>
          <w:noProof/>
        </w:rPr>
        <w:t>(2003)</w:t>
      </w:r>
      <w:r>
        <w:fldChar w:fldCharType="end"/>
      </w:r>
      <w:r w:rsidRPr="00B61D95">
        <w:t xml:space="preserve"> G-index,</w:t>
      </w:r>
      <w:r>
        <w:t xml:space="preserve"> and </w:t>
      </w:r>
      <w:r w:rsidRPr="00B558D0">
        <w:t>Bebchuck et al.’s (2009) E-index</w:t>
      </w:r>
      <w:r>
        <w:t>. T</w:t>
      </w:r>
      <w:r w:rsidRPr="00B558D0">
        <w:t>he results are materially unchanged</w:t>
      </w:r>
      <w:r>
        <w:t>.</w:t>
      </w:r>
    </w:p>
  </w:footnote>
  <w:footnote w:id="8">
    <w:p w14:paraId="670AA305" w14:textId="77777777" w:rsidR="00CD1FDD" w:rsidRDefault="00CD1FDD" w:rsidP="00465179">
      <w:pPr>
        <w:pStyle w:val="a7"/>
        <w:jc w:val="both"/>
      </w:pPr>
      <w:r w:rsidRPr="005112DC">
        <w:rPr>
          <w:rStyle w:val="a8"/>
        </w:rPr>
        <w:footnoteRef/>
      </w:r>
      <w:r w:rsidRPr="009E454E">
        <w:t>All of our inferences remain unchanged after excluding financial and utility companies in our sample.</w:t>
      </w:r>
    </w:p>
  </w:footnote>
  <w:footnote w:id="9">
    <w:p w14:paraId="1E1CF6DF" w14:textId="77777777" w:rsidR="00CD1FDD" w:rsidRPr="00FF41AB" w:rsidRDefault="00CD1FDD" w:rsidP="00465179">
      <w:pPr>
        <w:pStyle w:val="a7"/>
        <w:jc w:val="both"/>
      </w:pPr>
      <w:r w:rsidRPr="005112DC">
        <w:rPr>
          <w:rStyle w:val="a8"/>
        </w:rPr>
        <w:footnoteRef/>
      </w:r>
      <w:r>
        <w:rPr>
          <w:rFonts w:hint="eastAsia"/>
        </w:rPr>
        <w:t>The</w:t>
      </w:r>
      <w:r>
        <w:t xml:space="preserve"> sample average value of </w:t>
      </w:r>
      <w:r w:rsidRPr="00215616">
        <w:rPr>
          <w:rFonts w:eastAsia="Times New Roman" w:cs="Calibri"/>
          <w:color w:val="000000"/>
        </w:rPr>
        <w:t>|</w:t>
      </w:r>
      <w:r w:rsidRPr="00215616">
        <w:rPr>
          <w:rFonts w:eastAsia="Times New Roman" w:cs="Calibri"/>
          <w:i/>
          <w:iCs/>
          <w:color w:val="000000"/>
        </w:rPr>
        <w:t>Ab_Net_Hiring</w:t>
      </w:r>
      <w:r w:rsidRPr="00CE656B">
        <w:rPr>
          <w:rFonts w:eastAsia="Times New Roman" w:cs="Calibri"/>
          <w:color w:val="000000"/>
        </w:rPr>
        <w:t>| is 0.16</w:t>
      </w:r>
      <w:r>
        <w:rPr>
          <w:rFonts w:eastAsia="Times New Roman" w:cs="Calibri"/>
          <w:color w:val="000000"/>
        </w:rPr>
        <w:t>0</w:t>
      </w:r>
      <w:r w:rsidRPr="00CE656B">
        <w:rPr>
          <w:rFonts w:eastAsia="Times New Roman" w:cs="Calibri"/>
          <w:color w:val="000000"/>
        </w:rPr>
        <w:t xml:space="preserve">. The estimated coefficient of </w:t>
      </w:r>
      <w:r w:rsidRPr="00CE656B">
        <w:rPr>
          <w:rFonts w:eastAsia="Times New Roman" w:cs="Calibri"/>
          <w:i/>
          <w:iCs/>
          <w:color w:val="000000"/>
        </w:rPr>
        <w:t>CompacctInd</w:t>
      </w:r>
      <w:r w:rsidRPr="00CE656B">
        <w:rPr>
          <w:rFonts w:eastAsia="Times New Roman" w:cs="Calibri"/>
          <w:iCs/>
          <w:color w:val="000000"/>
        </w:rPr>
        <w:t xml:space="preserve"> is -0.</w:t>
      </w:r>
      <w:r>
        <w:rPr>
          <w:rFonts w:eastAsia="Times New Roman" w:cs="Calibri"/>
          <w:iCs/>
          <w:color w:val="000000"/>
        </w:rPr>
        <w:t>379</w:t>
      </w:r>
      <w:r w:rsidRPr="00CE656B">
        <w:rPr>
          <w:rFonts w:eastAsia="Times New Roman" w:cs="Calibri"/>
          <w:iCs/>
          <w:color w:val="000000"/>
        </w:rPr>
        <w:t xml:space="preserve"> and its standard deviation is 0.02</w:t>
      </w:r>
      <w:r>
        <w:rPr>
          <w:rFonts w:eastAsia="Times New Roman" w:cs="Calibri"/>
          <w:iCs/>
          <w:color w:val="000000"/>
        </w:rPr>
        <w:t>6</w:t>
      </w:r>
      <w:r w:rsidRPr="00CE656B">
        <w:rPr>
          <w:rFonts w:eastAsia="Times New Roman" w:cs="Calibri"/>
          <w:iCs/>
          <w:color w:val="000000"/>
        </w:rPr>
        <w:t xml:space="preserve">. </w:t>
      </w:r>
      <w:r w:rsidRPr="00555B55">
        <w:rPr>
          <w:rFonts w:eastAsia="Times New Roman" w:cs="Calibri"/>
          <w:iCs/>
          <w:color w:val="000000"/>
        </w:rPr>
        <w:t>A one-standard-deviation increase</w:t>
      </w:r>
      <w:r w:rsidRPr="00215616">
        <w:rPr>
          <w:rFonts w:eastAsia="Times New Roman" w:cs="Calibri"/>
          <w:iCs/>
          <w:color w:val="000000"/>
        </w:rPr>
        <w:t xml:space="preserve"> in </w:t>
      </w:r>
      <w:r w:rsidRPr="00215616">
        <w:rPr>
          <w:rFonts w:eastAsia="Times New Roman" w:cs="Calibri"/>
          <w:i/>
          <w:iCs/>
          <w:color w:val="000000"/>
        </w:rPr>
        <w:t>CompacctInd</w:t>
      </w:r>
      <w:r w:rsidRPr="00CE656B">
        <w:rPr>
          <w:rFonts w:eastAsia="Times New Roman" w:cs="Calibri"/>
          <w:i/>
          <w:iCs/>
          <w:color w:val="000000"/>
          <w:vertAlign w:val="subscript"/>
        </w:rPr>
        <w:t>i,t-1</w:t>
      </w:r>
      <w:r w:rsidRPr="00CE656B">
        <w:rPr>
          <w:rFonts w:eastAsia="Times New Roman" w:cs="Calibri"/>
          <w:iCs/>
          <w:color w:val="000000"/>
          <w:vertAlign w:val="subscript"/>
        </w:rPr>
        <w:t xml:space="preserve"> </w:t>
      </w:r>
      <w:r w:rsidRPr="00CE656B">
        <w:rPr>
          <w:rFonts w:eastAsia="Times New Roman" w:cs="Calibri"/>
          <w:iCs/>
          <w:color w:val="000000"/>
        </w:rPr>
        <w:t>results in a  6.</w:t>
      </w:r>
      <w:r>
        <w:rPr>
          <w:rFonts w:eastAsia="Times New Roman" w:cs="Calibri"/>
          <w:iCs/>
          <w:color w:val="000000"/>
        </w:rPr>
        <w:t>05</w:t>
      </w:r>
      <w:r w:rsidRPr="00CE656B">
        <w:rPr>
          <w:rFonts w:eastAsia="Times New Roman" w:cs="Calibri"/>
          <w:iCs/>
          <w:color w:val="000000"/>
        </w:rPr>
        <w:t xml:space="preserve">% </w:t>
      </w:r>
      <w:r w:rsidRPr="00555B55">
        <w:rPr>
          <w:rFonts w:eastAsia="Times New Roman" w:cs="Calibri"/>
          <w:iCs/>
          <w:color w:val="000000"/>
        </w:rPr>
        <w:t>decrease in</w:t>
      </w:r>
      <w:r w:rsidRPr="00215616">
        <w:rPr>
          <w:rFonts w:eastAsia="Times New Roman" w:cs="Calibri"/>
          <w:iCs/>
          <w:color w:val="000000"/>
        </w:rPr>
        <w:t xml:space="preserve"> the abnorm</w:t>
      </w:r>
      <w:r>
        <w:rPr>
          <w:rFonts w:eastAsia="Times New Roman" w:cs="Calibri"/>
          <w:iCs/>
          <w:color w:val="000000"/>
        </w:rPr>
        <w:t>al net hiring (-0.379*0.026/0.160=-0.0616).</w:t>
      </w:r>
    </w:p>
  </w:footnote>
  <w:footnote w:id="10">
    <w:p w14:paraId="58378CBF" w14:textId="43EBC84E" w:rsidR="00CD1FDD" w:rsidRDefault="00CD1FDD" w:rsidP="00465179">
      <w:pPr>
        <w:pStyle w:val="a7"/>
        <w:jc w:val="both"/>
      </w:pPr>
      <w:r w:rsidRPr="005112DC">
        <w:rPr>
          <w:rStyle w:val="a8"/>
        </w:rPr>
        <w:footnoteRef/>
      </w:r>
      <w:r w:rsidRPr="0025792F">
        <w:t xml:space="preserve">For brevity, the coefficients of control variables are not reported in Tables </w:t>
      </w:r>
      <w:r>
        <w:t xml:space="preserve">3 to </w:t>
      </w:r>
      <w:r w:rsidR="00502D3D">
        <w:t>7</w:t>
      </w:r>
      <w:r w:rsidRPr="0025792F">
        <w:t xml:space="preserve">. The results of control variables are similar to those reported in Table </w:t>
      </w:r>
      <w:r>
        <w:t>2</w:t>
      </w:r>
      <w:r w:rsidRPr="0025792F">
        <w:t xml:space="preserve"> and </w:t>
      </w:r>
      <w:r>
        <w:t xml:space="preserve">are </w:t>
      </w:r>
      <w:r w:rsidRPr="0025792F">
        <w:t>available upon request.</w:t>
      </w:r>
    </w:p>
  </w:footnote>
  <w:footnote w:id="11">
    <w:p w14:paraId="661F5D04" w14:textId="77777777" w:rsidR="00CD1FDD" w:rsidRPr="004E0F42" w:rsidRDefault="00CD1FDD" w:rsidP="00465179">
      <w:pPr>
        <w:pStyle w:val="a7"/>
        <w:jc w:val="both"/>
        <w:rPr>
          <w:u w:val="single"/>
        </w:rPr>
      </w:pPr>
      <w:r w:rsidRPr="005112DC">
        <w:rPr>
          <w:rStyle w:val="a8"/>
        </w:rPr>
        <w:footnoteRef/>
      </w:r>
      <w:r>
        <w:t xml:space="preserve">We use </w:t>
      </w:r>
      <w:r w:rsidRPr="005C4269">
        <w:t>seemingly unrelated estimations</w:t>
      </w:r>
      <w:r>
        <w:t xml:space="preserve"> to </w:t>
      </w:r>
      <w:r w:rsidRPr="008F64E3">
        <w:t xml:space="preserve">compare the difference in coefficients </w:t>
      </w:r>
      <w:r>
        <w:t xml:space="preserve">across </w:t>
      </w:r>
      <w:r w:rsidRPr="008F64E3">
        <w:t>sub</w:t>
      </w:r>
      <w:r>
        <w:t>-</w:t>
      </w:r>
      <w:r w:rsidRPr="008F64E3">
        <w:t>samples</w:t>
      </w:r>
      <w:r>
        <w:t>.</w:t>
      </w:r>
    </w:p>
  </w:footnote>
  <w:footnote w:id="12">
    <w:p w14:paraId="560C0BAE" w14:textId="77943C8F" w:rsidR="00CD1FDD" w:rsidRPr="004A2048" w:rsidRDefault="00CD1FDD" w:rsidP="007E63AB">
      <w:pPr>
        <w:pStyle w:val="a7"/>
        <w:jc w:val="both"/>
      </w:pPr>
      <w:r>
        <w:rPr>
          <w:rStyle w:val="a8"/>
        </w:rPr>
        <w:footnoteRef/>
      </w:r>
      <w:r w:rsidRPr="009473E8">
        <w:t xml:space="preserve">In </w:t>
      </w:r>
      <w:r>
        <w:t xml:space="preserve">an </w:t>
      </w:r>
      <w:r w:rsidRPr="009473E8">
        <w:t>untabulated test, we use board size dummy (</w:t>
      </w:r>
      <w:r w:rsidRPr="00612D21">
        <w:rPr>
          <w:i/>
          <w:iCs/>
        </w:rPr>
        <w:t>Bsizedum</w:t>
      </w:r>
      <w:r w:rsidRPr="009473E8">
        <w:t xml:space="preserve">) as an alternative measure of board monitoring. It equals 1 if the board size is between 5 and 12 directors, and 0 otherwise </w:t>
      </w:r>
      <w:r>
        <w:fldChar w:fldCharType="begin" w:fldLock="1"/>
      </w:r>
      <w:r>
        <w:instrText>ADDIN CSL_CITATION {"citationItems":[{"id":"ITEM-1","itemData":{"ISSN":"09291199","abstract":"Recent research in accounting suggests female directors exert more stringent monitoring over the financial reporting process than their male counterparts. However, an emerging literature in finance and economics provides mixed findings and questions whether females in leadership roles significantly differ from their male counterparts. Building on this literature, we re-examine the link between the presence of female directors, gender biases, and financial statements quality. Using a large sample of UK firms we find that a larger percentage of women among independent directors is significantly associated with lower earnings management practices. However, we show that this relation disappears if we focus on firms that do not discriminate against women in the access to directorships. Finally, we provide evidence that gender biases are associated with lower earnings quality. We interpret our results as consistent with (1) prior evidence that males and females do not differ substantially when performing the same role in highly specialized positions, and with (2) discrimination being an important factor explaining the association between female directors and accounting quality.","author":[{"dropping-particle":"","family":"García Lara","given":"Juan Manuel","non-dropping-particle":"","parse-names":false,"suffix":""},{"dropping-particle":"","family":"García Osma","given":"Beatriz","non-dropping-particle":"","parse-names":false,"suffix":""},{"dropping-particle":"","family":"Mora","given":"Araceli","non-dropping-particle":"","parse-names":false,"suffix":""},{"dropping-particle":"","family":"Scapin","given":"Mariano","non-dropping-particle":"","parse-names":false,"suffix":""}],"container-title":"Journal of Corporate Finance","id":"ITEM-1","issued":{"date-parts":[["2017","8","1"]]},"page":"651-668","publisher":"Elsevier B.V.","title":"The monitoring role of female directors over accounting quality","type":"article-journal","volume":"45"},"uris":["http://www.mendeley.com/documents/?uuid=9d0b88fc-a3b3-3a9d-ad80-94822d654986"]}],"mendeley":{"formattedCitation":"(García Lara, García Osma, Mora, &amp; Scapin, 2017)","plainTextFormattedCitation":"(García Lara, García Osma, Mora, &amp; Scapin, 2017)","previouslyFormattedCitation":"(García Lara, García Osma, Mora, &amp; Scapin, 2017)"},"properties":{"noteIndex":0},"schema":"https://github.com/citation-style-language/schema/raw/master/csl-citation.json"}</w:instrText>
      </w:r>
      <w:r>
        <w:fldChar w:fldCharType="separate"/>
      </w:r>
      <w:r w:rsidRPr="0053664A">
        <w:rPr>
          <w:noProof/>
        </w:rPr>
        <w:t>(García Lara, García Osma, Mora, &amp; Scapin, 2017)</w:t>
      </w:r>
      <w:r>
        <w:fldChar w:fldCharType="end"/>
      </w:r>
      <w:r w:rsidRPr="009473E8">
        <w:t xml:space="preserve">. Previous literature </w:t>
      </w:r>
      <w:r>
        <w:fldChar w:fldCharType="begin" w:fldLock="1"/>
      </w:r>
      <w:r>
        <w:instrText>ADDIN CSL_CITATION {"citationItems":[{"id":"ITEM-1","itemData":{"ISSN":"09291199","abstract":"Recent research in accounting suggests female directors exert more stringent monitoring over the financial reporting process than their male counterparts. However, an emerging literature in finance and economics provides mixed findings and questions whether females in leadership roles significantly differ from their male counterparts. Building on this literature, we re-examine the link between the presence of female directors, gender biases, and financial statements quality. Using a large sample of UK firms we find that a larger percentage of women among independent directors is significantly associated with lower earnings management practices. However, we show that this relation disappears if we focus on firms that do not discriminate against women in the access to directorships. Finally, we provide evidence that gender biases are associated with lower earnings quality. We interpret our results as consistent with (1) prior evidence that males and females do not differ substantially when performing the same role in highly specialized positions, and with (2) discrimination being an important factor explaining the association between female directors and accounting quality.","author":[{"dropping-particle":"","family":"García Lara","given":"Juan Manuel","non-dropping-particle":"","parse-names":false,"suffix":""},{"dropping-particle":"","family":"García Osma","given":"Beatriz","non-dropping-particle":"","parse-names":false,"suffix":""},{"dropping-particle":"","family":"Mora","given":"Araceli","non-dropping-particle":"","parse-names":false,"suffix":""},{"dropping-particle":"","family":"Scapin","given":"Mariano","non-dropping-particle":"","parse-names":false,"suffix":""}],"container-title":"Journal of Corporate Finance","id":"ITEM-1","issued":{"date-parts":[["2017","8","1"]]},"page":"651-668","publisher":"Elsevier B.V.","title":"The monitoring role of female directors over accounting quality","type":"article-journal","volume":"45"},"uris":["http://www.mendeley.com/documents/?uuid=9d0b88fc-a3b3-3a9d-ad80-94822d654986"]},{"id":"ITEM-2","itemData":{"author":[{"dropping-particle":"","family":"Higgs","given":"D","non-dropping-particle":"","parse-names":false,"suffix":""}],"id":"ITEM-2","issued":{"date-parts":[["2003"]]},"publisher-place":"Department of Trade and Industry/ HMSO, London","title":"Review of the role and effectiveness of non-executive directors","type":"report"},"uris":["http://www.mendeley.com/documents/?uuid=8879b338-da70-3ab3-9cb2-b37d26147372"]}],"mendeley":{"formattedCitation":"(García Lara et al., 2017; Higgs, 2003)","plainTextFormattedCitation":"(García Lara et al., 2017; Higgs, 2003)","previouslyFormattedCitation":"(García Lara et al., 2017; Higgs, 2003)"},"properties":{"noteIndex":0},"schema":"https://github.com/citation-style-language/schema/raw/master/csl-citation.json"}</w:instrText>
      </w:r>
      <w:r>
        <w:fldChar w:fldCharType="separate"/>
      </w:r>
      <w:r w:rsidRPr="0053664A">
        <w:rPr>
          <w:noProof/>
        </w:rPr>
        <w:t>(García Lara et al., 2017; Higgs, 2003)</w:t>
      </w:r>
      <w:r>
        <w:fldChar w:fldCharType="end"/>
      </w:r>
      <w:r w:rsidRPr="009473E8">
        <w:t xml:space="preserve"> suggest that firms with unusually small </w:t>
      </w:r>
      <w:r>
        <w:t>or</w:t>
      </w:r>
      <w:r w:rsidRPr="009473E8">
        <w:t xml:space="preserve"> large board</w:t>
      </w:r>
      <w:r>
        <w:t>s</w:t>
      </w:r>
      <w:r w:rsidRPr="009473E8">
        <w:t xml:space="preserve"> </w:t>
      </w:r>
      <w:r w:rsidR="00B84A77">
        <w:t>are</w:t>
      </w:r>
      <w:r w:rsidRPr="009473E8">
        <w:t xml:space="preserve"> less effective </w:t>
      </w:r>
      <w:r w:rsidR="00B84A77">
        <w:t>in monitoring managerial behaviours</w:t>
      </w:r>
      <w:r w:rsidRPr="009473E8">
        <w:t xml:space="preserve">. Therefore, firms with a board size between 5 and 12 directors tend to have stronger monitoring by boards than </w:t>
      </w:r>
      <w:r>
        <w:t>those</w:t>
      </w:r>
      <w:r w:rsidRPr="009473E8">
        <w:t xml:space="preserve"> with less than 5 or more than 12 directors. We partition our sample into </w:t>
      </w:r>
      <w:r>
        <w:t xml:space="preserve">a </w:t>
      </w:r>
      <w:r w:rsidRPr="009473E8">
        <w:t xml:space="preserve">strong board monitoring sub-sample (firms with </w:t>
      </w:r>
      <w:r w:rsidRPr="00612D21">
        <w:rPr>
          <w:i/>
          <w:iCs/>
        </w:rPr>
        <w:t>Bsizedum</w:t>
      </w:r>
      <w:r w:rsidRPr="009473E8">
        <w:t xml:space="preserve"> equal to 1) and </w:t>
      </w:r>
      <w:r>
        <w:t xml:space="preserve">a </w:t>
      </w:r>
      <w:r w:rsidRPr="009473E8">
        <w:t xml:space="preserve">weak board monitoring sub-sample (firms with </w:t>
      </w:r>
      <w:r w:rsidRPr="00612D21">
        <w:rPr>
          <w:i/>
          <w:iCs/>
        </w:rPr>
        <w:t>Bsizedum</w:t>
      </w:r>
      <w:r w:rsidRPr="009473E8">
        <w:t xml:space="preserve"> equal to 0).</w:t>
      </w:r>
      <w:r>
        <w:t xml:space="preserve"> </w:t>
      </w:r>
      <w:r w:rsidRPr="009473E8">
        <w:t>The results are materially unchanged.</w:t>
      </w:r>
    </w:p>
  </w:footnote>
  <w:footnote w:id="13">
    <w:p w14:paraId="4B75DA26" w14:textId="77777777" w:rsidR="00CD1FDD" w:rsidRDefault="00CD1FDD" w:rsidP="00465179">
      <w:pPr>
        <w:pStyle w:val="a7"/>
        <w:jc w:val="both"/>
      </w:pPr>
      <w:r w:rsidRPr="005112DC">
        <w:rPr>
          <w:rStyle w:val="a8"/>
        </w:rPr>
        <w:footnoteRef/>
      </w:r>
      <w:r w:rsidRPr="004B6346">
        <w:t>There is one exception in panel A for the sub-sample that reports zero or missing value for capital expenditure. However, we note that only 1</w:t>
      </w:r>
      <w:r>
        <w:t>21</w:t>
      </w:r>
      <w:r w:rsidRPr="004B6346">
        <w:t xml:space="preserve"> firms (0.2% of the full sample) fall into this category, resulting in a small sample.</w:t>
      </w:r>
    </w:p>
  </w:footnote>
  <w:footnote w:id="14">
    <w:p w14:paraId="033EC524" w14:textId="77777777" w:rsidR="00CD1FDD" w:rsidRDefault="00CD1FDD" w:rsidP="00465179">
      <w:pPr>
        <w:pStyle w:val="a7"/>
        <w:jc w:val="both"/>
      </w:pPr>
      <w:r w:rsidRPr="005112DC">
        <w:rPr>
          <w:rStyle w:val="a8"/>
        </w:rPr>
        <w:footnoteRef/>
      </w:r>
      <w:r>
        <w:t xml:space="preserve">Following Abadie et al. </w:t>
      </w:r>
      <w:r>
        <w:fldChar w:fldCharType="begin" w:fldLock="1"/>
      </w:r>
      <w:r>
        <w:instrText>ADDIN CSL_CITATION {"citationItems":[{"id":"ITEM-1","itemData":{"author":[{"dropping-particle":"","family":"Abadie","given":"A","non-dropping-particle":"","parse-names":false,"suffix":""},{"dropping-particle":"","family":"Drukker","given":"D","non-dropping-particle":"","parse-names":false,"suffix":""},{"dropping-particle":"","family":"Herr","given":"JL","non-dropping-particle":"","parse-names":false,"suffix":""},{"dropping-particle":"","family":"Imbens","given":"GW","non-dropping-particle":"","parse-names":false,"suffix":""}],"container-title":"Stata Journal","id":"ITEM-1","issue":"3","issued":{"date-parts":[["2004"]]},"page":"290-311","title":"Implementing matching estimators for average treatment effects in Stata","type":"article-journal","volume":"4"},"suppress-author":1,"uris":["http://www.mendeley.com/documents/?uuid=01538117-4d51-34d4-b8ea-e68e4c1d3f35"]}],"mendeley":{"formattedCitation":"(2004)","plainTextFormattedCitation":"(2004)","previouslyFormattedCitation":"(2004)"},"properties":{"noteIndex":0},"schema":"https://github.com/citation-style-language/schema/raw/master/csl-citation.json"}</w:instrText>
      </w:r>
      <w:r>
        <w:fldChar w:fldCharType="separate"/>
      </w:r>
      <w:r w:rsidRPr="00425361">
        <w:rPr>
          <w:noProof/>
        </w:rPr>
        <w:t>(2004)</w:t>
      </w:r>
      <w:r>
        <w:fldChar w:fldCharType="end"/>
      </w:r>
      <w:r>
        <w:t>, we use one-to-four nearest neighbourhood matching t</w:t>
      </w:r>
      <w:r w:rsidRPr="009B075C">
        <w:t xml:space="preserve">o minimize </w:t>
      </w:r>
      <w:r>
        <w:t xml:space="preserve">the </w:t>
      </w:r>
      <w:r w:rsidRPr="009B075C">
        <w:t>mean squared error (MSE)</w:t>
      </w:r>
      <w:r>
        <w:t>.</w:t>
      </w:r>
    </w:p>
  </w:footnote>
  <w:footnote w:id="15">
    <w:p w14:paraId="1A1DA7AF" w14:textId="77777777" w:rsidR="00CD1FDD" w:rsidRDefault="00CD1FDD" w:rsidP="00465179">
      <w:pPr>
        <w:pStyle w:val="a7"/>
        <w:jc w:val="both"/>
      </w:pPr>
      <w:r w:rsidRPr="005112DC">
        <w:rPr>
          <w:rStyle w:val="a8"/>
        </w:rPr>
        <w:footnoteRef/>
      </w:r>
      <w:r w:rsidRPr="00977A8D">
        <w:t xml:space="preserve">According to Austin </w:t>
      </w:r>
      <w:r>
        <w:fldChar w:fldCharType="begin" w:fldLock="1"/>
      </w:r>
      <w:r>
        <w:instrText>ADDIN CSL_CITATION {"citationItems":[{"id":"ITEM-1","itemData":{"ISSN":"15391604","author":[{"dropping-particle":"","family":"Austin","given":"Peter C.","non-dropping-particle":"","parse-names":false,"suffix":""}],"container-title":"Pharmaceutical Statistics","id":"ITEM-1","issue":"2","issued":{"date-parts":[["2011","3","1"]]},"page":"150-161","publisher":"John Wiley &amp; Sons, Ltd.","title":"Optimal caliper widths for propensity-score matching when estimating differences in means and differences in proportions in observational studies","type":"article-journal","volume":"10"},"suppress-author":1,"uris":["http://www.mendeley.com/documents/?uuid=cd1b49d1-b5cc-3bdc-822e-ad3d9646208c"]}],"mendeley":{"formattedCitation":"(2011)","plainTextFormattedCitation":"(2011)","previouslyFormattedCitation":"(2011)"},"properties":{"noteIndex":0},"schema":"https://github.com/citation-style-language/schema/raw/master/csl-citation.json"}</w:instrText>
      </w:r>
      <w:r>
        <w:fldChar w:fldCharType="separate"/>
      </w:r>
      <w:r w:rsidRPr="00DA7F4F">
        <w:rPr>
          <w:noProof/>
        </w:rPr>
        <w:t>(2011)</w:t>
      </w:r>
      <w:r>
        <w:fldChar w:fldCharType="end"/>
      </w:r>
      <w:r w:rsidRPr="00977A8D">
        <w:t>, the optimal caliper width for propensity score matching is 20% of the standard deviation of the propensity scores. The standard deviations of the propensity scores for our models are from 0.2</w:t>
      </w:r>
      <w:r>
        <w:t>6</w:t>
      </w:r>
      <w:r w:rsidRPr="00977A8D">
        <w:t xml:space="preserve"> to 0.</w:t>
      </w:r>
      <w:r>
        <w:t>29</w:t>
      </w:r>
      <w:r w:rsidRPr="00977A8D">
        <w:t>. The results reported are base</w:t>
      </w:r>
      <w:r>
        <w:t>d on a caliper width of 0.05</w:t>
      </w:r>
      <w:r w:rsidRPr="00977A8D">
        <w:t>, which is close to the optimal caliper.</w:t>
      </w:r>
      <w:r>
        <w:t xml:space="preserve"> We also perform the </w:t>
      </w:r>
      <w:r w:rsidRPr="00031B42">
        <w:t>propensity</w:t>
      </w:r>
      <w:r>
        <w:t>-</w:t>
      </w:r>
      <w:r w:rsidRPr="00031B42">
        <w:t>score-matching technique</w:t>
      </w:r>
      <w:r>
        <w:t xml:space="preserve"> using a stricter caliper width of 0.01; the results are materially unchanged.</w:t>
      </w:r>
    </w:p>
  </w:footnote>
  <w:footnote w:id="16">
    <w:p w14:paraId="7EB6A17D" w14:textId="77777777" w:rsidR="00CD1FDD" w:rsidRDefault="00CD1FDD" w:rsidP="00465179">
      <w:pPr>
        <w:pStyle w:val="a7"/>
        <w:jc w:val="both"/>
      </w:pPr>
      <w:r w:rsidRPr="005112DC">
        <w:rPr>
          <w:rStyle w:val="a8"/>
        </w:rPr>
        <w:footnoteRef/>
      </w:r>
      <w:r w:rsidRPr="007E063E">
        <w:t xml:space="preserve">We also check covariate balance by comparing the distribution of the covariates used in </w:t>
      </w:r>
      <w:r>
        <w:t xml:space="preserve">a </w:t>
      </w:r>
      <w:r w:rsidRPr="007E063E">
        <w:t xml:space="preserve">propensity score analysis of firms with above-median </w:t>
      </w:r>
      <w:r>
        <w:t>comparability</w:t>
      </w:r>
      <w:r w:rsidRPr="007E063E">
        <w:t xml:space="preserve"> and firms with below-median </w:t>
      </w:r>
      <w:r>
        <w:t>comparability</w:t>
      </w:r>
      <w:r w:rsidRPr="007E063E">
        <w:t xml:space="preserve"> for the sample before and after matching. The results show that matching based on the propensity scores yields a comparable set of treatment (firm</w:t>
      </w:r>
      <w:r>
        <w:t>s</w:t>
      </w:r>
      <w:r w:rsidRPr="007E063E">
        <w:t xml:space="preserve"> with above-median </w:t>
      </w:r>
      <w:r>
        <w:t>comparability</w:t>
      </w:r>
      <w:r w:rsidRPr="007E063E">
        <w:t xml:space="preserve">) and control (firms with below-median </w:t>
      </w:r>
      <w:r>
        <w:t>comparability</w:t>
      </w:r>
      <w:r w:rsidRPr="007E063E">
        <w:t xml:space="preserve">) firms that allows us to isolate the impact of </w:t>
      </w:r>
      <w:r>
        <w:t>accounting comparability</w:t>
      </w:r>
      <w:r w:rsidRPr="007E063E">
        <w:t xml:space="preserve"> on </w:t>
      </w:r>
      <w:r>
        <w:t>employment decisions</w:t>
      </w:r>
      <w:r w:rsidRPr="007E063E">
        <w:t>.</w:t>
      </w:r>
    </w:p>
  </w:footnote>
  <w:footnote w:id="17">
    <w:p w14:paraId="3F5E431A" w14:textId="77777777" w:rsidR="00CD1FDD" w:rsidRDefault="00CD1FDD" w:rsidP="00465179">
      <w:pPr>
        <w:pStyle w:val="a7"/>
        <w:jc w:val="both"/>
      </w:pPr>
      <w:r w:rsidRPr="005112DC">
        <w:rPr>
          <w:rStyle w:val="a8"/>
        </w:rPr>
        <w:footnoteRef/>
      </w:r>
      <w:r w:rsidRPr="00A90CEB">
        <w:t>We also re-examine Eq</w:t>
      </w:r>
      <w:r>
        <w:t>.</w:t>
      </w:r>
      <w:r w:rsidRPr="00A90CEB">
        <w:t xml:space="preserve"> (</w:t>
      </w:r>
      <w:r>
        <w:t>6</w:t>
      </w:r>
      <w:r w:rsidRPr="00A90CEB">
        <w:t xml:space="preserve">) </w:t>
      </w:r>
      <w:r>
        <w:t>using a matched sample based on the alternative</w:t>
      </w:r>
      <w:r w:rsidRPr="00A90CEB">
        <w:t xml:space="preserve"> matching techniques as discussed above. The results are materially unchanged.</w:t>
      </w:r>
    </w:p>
  </w:footnote>
  <w:footnote w:id="18">
    <w:p w14:paraId="48F94B6C" w14:textId="7A806252" w:rsidR="00CD1FDD" w:rsidRPr="00C86C91" w:rsidRDefault="00CD1FDD" w:rsidP="007E63AB">
      <w:pPr>
        <w:pStyle w:val="a7"/>
        <w:rPr>
          <w:lang w:val="en-US"/>
        </w:rPr>
      </w:pPr>
      <w:r>
        <w:rPr>
          <w:rStyle w:val="a8"/>
        </w:rPr>
        <w:footnoteRef/>
      </w:r>
      <w:r w:rsidRPr="00267D98">
        <w:t>For brevity, these results are not reported</w:t>
      </w:r>
      <w:r>
        <w:t>,</w:t>
      </w:r>
      <w:r w:rsidRPr="00267D98">
        <w:t xml:space="preserve"> but are available upon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858C9"/>
    <w:multiLevelType w:val="hybridMultilevel"/>
    <w:tmpl w:val="7D744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zh-CN"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zh-CN"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0NTA1MTM0MTcxsrBQ0lEKTi0uzszPAykwNKgFAHaOe5gtAAAA"/>
  </w:docVars>
  <w:rsids>
    <w:rsidRoot w:val="00E37B5D"/>
    <w:rsid w:val="00000EB7"/>
    <w:rsid w:val="00001FED"/>
    <w:rsid w:val="00003AC7"/>
    <w:rsid w:val="00003B97"/>
    <w:rsid w:val="00003D60"/>
    <w:rsid w:val="0000444A"/>
    <w:rsid w:val="00005507"/>
    <w:rsid w:val="00005BE9"/>
    <w:rsid w:val="00005EAD"/>
    <w:rsid w:val="00006569"/>
    <w:rsid w:val="0000684E"/>
    <w:rsid w:val="00007D44"/>
    <w:rsid w:val="00010DB3"/>
    <w:rsid w:val="00011CAD"/>
    <w:rsid w:val="00012958"/>
    <w:rsid w:val="000129F9"/>
    <w:rsid w:val="00012BF9"/>
    <w:rsid w:val="000133C4"/>
    <w:rsid w:val="00013626"/>
    <w:rsid w:val="0001395E"/>
    <w:rsid w:val="000143E6"/>
    <w:rsid w:val="00014EC7"/>
    <w:rsid w:val="00016ACD"/>
    <w:rsid w:val="00016D40"/>
    <w:rsid w:val="00017F04"/>
    <w:rsid w:val="000205D0"/>
    <w:rsid w:val="000210F4"/>
    <w:rsid w:val="00021593"/>
    <w:rsid w:val="00021974"/>
    <w:rsid w:val="000237BD"/>
    <w:rsid w:val="000249ED"/>
    <w:rsid w:val="00024B4F"/>
    <w:rsid w:val="00024C4B"/>
    <w:rsid w:val="00024E3A"/>
    <w:rsid w:val="0002768E"/>
    <w:rsid w:val="000276C1"/>
    <w:rsid w:val="00030FD4"/>
    <w:rsid w:val="00031399"/>
    <w:rsid w:val="000315EE"/>
    <w:rsid w:val="0003197F"/>
    <w:rsid w:val="00031B42"/>
    <w:rsid w:val="00031F45"/>
    <w:rsid w:val="00034F0A"/>
    <w:rsid w:val="00035393"/>
    <w:rsid w:val="00035E66"/>
    <w:rsid w:val="00036FE9"/>
    <w:rsid w:val="000375D5"/>
    <w:rsid w:val="00037D0D"/>
    <w:rsid w:val="000403C1"/>
    <w:rsid w:val="00040D4A"/>
    <w:rsid w:val="00041171"/>
    <w:rsid w:val="00041A63"/>
    <w:rsid w:val="00042D10"/>
    <w:rsid w:val="00043DA3"/>
    <w:rsid w:val="00043DFF"/>
    <w:rsid w:val="000469F7"/>
    <w:rsid w:val="0004743D"/>
    <w:rsid w:val="000508AF"/>
    <w:rsid w:val="00051859"/>
    <w:rsid w:val="00051D3C"/>
    <w:rsid w:val="000535A2"/>
    <w:rsid w:val="00054CFB"/>
    <w:rsid w:val="00054DC8"/>
    <w:rsid w:val="0005613E"/>
    <w:rsid w:val="000563EE"/>
    <w:rsid w:val="000566D8"/>
    <w:rsid w:val="00057106"/>
    <w:rsid w:val="00057448"/>
    <w:rsid w:val="000578FD"/>
    <w:rsid w:val="00057F1A"/>
    <w:rsid w:val="00061507"/>
    <w:rsid w:val="00062106"/>
    <w:rsid w:val="00063B76"/>
    <w:rsid w:val="0006402F"/>
    <w:rsid w:val="000649C9"/>
    <w:rsid w:val="00066664"/>
    <w:rsid w:val="00066C27"/>
    <w:rsid w:val="00066DAB"/>
    <w:rsid w:val="00066F78"/>
    <w:rsid w:val="000677C6"/>
    <w:rsid w:val="00067F3B"/>
    <w:rsid w:val="000721D4"/>
    <w:rsid w:val="000729D4"/>
    <w:rsid w:val="00072B46"/>
    <w:rsid w:val="00073857"/>
    <w:rsid w:val="00073B89"/>
    <w:rsid w:val="00074C26"/>
    <w:rsid w:val="00076457"/>
    <w:rsid w:val="00076CF0"/>
    <w:rsid w:val="00076E38"/>
    <w:rsid w:val="00077180"/>
    <w:rsid w:val="00077F3A"/>
    <w:rsid w:val="00081398"/>
    <w:rsid w:val="00081B49"/>
    <w:rsid w:val="00082AC5"/>
    <w:rsid w:val="00083145"/>
    <w:rsid w:val="00085CF9"/>
    <w:rsid w:val="00086AE6"/>
    <w:rsid w:val="0008725C"/>
    <w:rsid w:val="00090149"/>
    <w:rsid w:val="00090C97"/>
    <w:rsid w:val="00090F5F"/>
    <w:rsid w:val="00091865"/>
    <w:rsid w:val="00091ADB"/>
    <w:rsid w:val="00092222"/>
    <w:rsid w:val="0009254B"/>
    <w:rsid w:val="00092EA1"/>
    <w:rsid w:val="00093A50"/>
    <w:rsid w:val="00093CE2"/>
    <w:rsid w:val="00093D32"/>
    <w:rsid w:val="00094ED6"/>
    <w:rsid w:val="00095880"/>
    <w:rsid w:val="00095BBC"/>
    <w:rsid w:val="00095C3C"/>
    <w:rsid w:val="0009613C"/>
    <w:rsid w:val="000978D0"/>
    <w:rsid w:val="000A06A6"/>
    <w:rsid w:val="000A099E"/>
    <w:rsid w:val="000A1C5B"/>
    <w:rsid w:val="000A2330"/>
    <w:rsid w:val="000A3608"/>
    <w:rsid w:val="000A47C6"/>
    <w:rsid w:val="000A61B9"/>
    <w:rsid w:val="000A6522"/>
    <w:rsid w:val="000A6BF0"/>
    <w:rsid w:val="000B015C"/>
    <w:rsid w:val="000B107F"/>
    <w:rsid w:val="000B14E7"/>
    <w:rsid w:val="000B18B6"/>
    <w:rsid w:val="000B27B0"/>
    <w:rsid w:val="000B2A6C"/>
    <w:rsid w:val="000B2C7D"/>
    <w:rsid w:val="000B3A8F"/>
    <w:rsid w:val="000B4AD3"/>
    <w:rsid w:val="000B5433"/>
    <w:rsid w:val="000B56F7"/>
    <w:rsid w:val="000B58D6"/>
    <w:rsid w:val="000B59B0"/>
    <w:rsid w:val="000B7C93"/>
    <w:rsid w:val="000C04B6"/>
    <w:rsid w:val="000C16DF"/>
    <w:rsid w:val="000C1AA3"/>
    <w:rsid w:val="000C1CB0"/>
    <w:rsid w:val="000C4A92"/>
    <w:rsid w:val="000C4D0B"/>
    <w:rsid w:val="000C5946"/>
    <w:rsid w:val="000C6755"/>
    <w:rsid w:val="000C78DD"/>
    <w:rsid w:val="000D014D"/>
    <w:rsid w:val="000D0E39"/>
    <w:rsid w:val="000D0FEC"/>
    <w:rsid w:val="000D1444"/>
    <w:rsid w:val="000D17D8"/>
    <w:rsid w:val="000D19F3"/>
    <w:rsid w:val="000D2252"/>
    <w:rsid w:val="000D2377"/>
    <w:rsid w:val="000D34A7"/>
    <w:rsid w:val="000D4314"/>
    <w:rsid w:val="000D63C3"/>
    <w:rsid w:val="000D64E2"/>
    <w:rsid w:val="000D7493"/>
    <w:rsid w:val="000D79C7"/>
    <w:rsid w:val="000E05E6"/>
    <w:rsid w:val="000E1003"/>
    <w:rsid w:val="000E165C"/>
    <w:rsid w:val="000E5469"/>
    <w:rsid w:val="000E5B74"/>
    <w:rsid w:val="000E5B7A"/>
    <w:rsid w:val="000E6436"/>
    <w:rsid w:val="000E77B5"/>
    <w:rsid w:val="000F09CF"/>
    <w:rsid w:val="000F15C8"/>
    <w:rsid w:val="000F223A"/>
    <w:rsid w:val="000F2782"/>
    <w:rsid w:val="000F42AF"/>
    <w:rsid w:val="000F5089"/>
    <w:rsid w:val="000F589E"/>
    <w:rsid w:val="000F6600"/>
    <w:rsid w:val="000F6702"/>
    <w:rsid w:val="000F68BB"/>
    <w:rsid w:val="001000E3"/>
    <w:rsid w:val="00100275"/>
    <w:rsid w:val="00100834"/>
    <w:rsid w:val="001012B5"/>
    <w:rsid w:val="0010163C"/>
    <w:rsid w:val="00101E28"/>
    <w:rsid w:val="00102510"/>
    <w:rsid w:val="001026E0"/>
    <w:rsid w:val="00103A6A"/>
    <w:rsid w:val="00103B73"/>
    <w:rsid w:val="00103EDA"/>
    <w:rsid w:val="00104E41"/>
    <w:rsid w:val="001056F9"/>
    <w:rsid w:val="00107454"/>
    <w:rsid w:val="00107A12"/>
    <w:rsid w:val="00111051"/>
    <w:rsid w:val="001111E4"/>
    <w:rsid w:val="00111D10"/>
    <w:rsid w:val="0011204B"/>
    <w:rsid w:val="00112888"/>
    <w:rsid w:val="001128AB"/>
    <w:rsid w:val="001136D6"/>
    <w:rsid w:val="00113823"/>
    <w:rsid w:val="00115E0C"/>
    <w:rsid w:val="001160A4"/>
    <w:rsid w:val="00116A44"/>
    <w:rsid w:val="00116BED"/>
    <w:rsid w:val="00117004"/>
    <w:rsid w:val="0012095F"/>
    <w:rsid w:val="00120986"/>
    <w:rsid w:val="00121DBA"/>
    <w:rsid w:val="00123729"/>
    <w:rsid w:val="0012379D"/>
    <w:rsid w:val="0012394B"/>
    <w:rsid w:val="001256F1"/>
    <w:rsid w:val="0012589D"/>
    <w:rsid w:val="00125C97"/>
    <w:rsid w:val="00126B69"/>
    <w:rsid w:val="0012708A"/>
    <w:rsid w:val="00127151"/>
    <w:rsid w:val="00127A3D"/>
    <w:rsid w:val="00130D43"/>
    <w:rsid w:val="00133C59"/>
    <w:rsid w:val="00134A90"/>
    <w:rsid w:val="00136A6C"/>
    <w:rsid w:val="00140EB3"/>
    <w:rsid w:val="00141470"/>
    <w:rsid w:val="00143A56"/>
    <w:rsid w:val="00143D2C"/>
    <w:rsid w:val="00144898"/>
    <w:rsid w:val="00144B69"/>
    <w:rsid w:val="00145754"/>
    <w:rsid w:val="001474A1"/>
    <w:rsid w:val="00150784"/>
    <w:rsid w:val="00150972"/>
    <w:rsid w:val="00150BFF"/>
    <w:rsid w:val="001516FF"/>
    <w:rsid w:val="00152074"/>
    <w:rsid w:val="00152188"/>
    <w:rsid w:val="00152422"/>
    <w:rsid w:val="0015439A"/>
    <w:rsid w:val="001543CE"/>
    <w:rsid w:val="00154E9B"/>
    <w:rsid w:val="0015551D"/>
    <w:rsid w:val="0015587F"/>
    <w:rsid w:val="0015636C"/>
    <w:rsid w:val="00157311"/>
    <w:rsid w:val="001611AF"/>
    <w:rsid w:val="00161B6D"/>
    <w:rsid w:val="00163147"/>
    <w:rsid w:val="00163915"/>
    <w:rsid w:val="001649D9"/>
    <w:rsid w:val="00164F04"/>
    <w:rsid w:val="00165AC2"/>
    <w:rsid w:val="00165B21"/>
    <w:rsid w:val="00166A00"/>
    <w:rsid w:val="00170484"/>
    <w:rsid w:val="00170896"/>
    <w:rsid w:val="001716F1"/>
    <w:rsid w:val="00173104"/>
    <w:rsid w:val="0017319B"/>
    <w:rsid w:val="00173A71"/>
    <w:rsid w:val="00173FF2"/>
    <w:rsid w:val="00174AE8"/>
    <w:rsid w:val="001754B0"/>
    <w:rsid w:val="00175615"/>
    <w:rsid w:val="001760DD"/>
    <w:rsid w:val="00176316"/>
    <w:rsid w:val="00176BE4"/>
    <w:rsid w:val="00176EB7"/>
    <w:rsid w:val="00177676"/>
    <w:rsid w:val="00177B30"/>
    <w:rsid w:val="0018300D"/>
    <w:rsid w:val="00183499"/>
    <w:rsid w:val="0018389A"/>
    <w:rsid w:val="001851EA"/>
    <w:rsid w:val="00185AA0"/>
    <w:rsid w:val="00185C91"/>
    <w:rsid w:val="00185DBD"/>
    <w:rsid w:val="00186047"/>
    <w:rsid w:val="001901A4"/>
    <w:rsid w:val="0019094A"/>
    <w:rsid w:val="00191B69"/>
    <w:rsid w:val="00192406"/>
    <w:rsid w:val="00192C48"/>
    <w:rsid w:val="00193879"/>
    <w:rsid w:val="00193A21"/>
    <w:rsid w:val="001946B3"/>
    <w:rsid w:val="00195724"/>
    <w:rsid w:val="00196F32"/>
    <w:rsid w:val="001974C5"/>
    <w:rsid w:val="00197D71"/>
    <w:rsid w:val="001A2553"/>
    <w:rsid w:val="001A2D66"/>
    <w:rsid w:val="001A389F"/>
    <w:rsid w:val="001A398F"/>
    <w:rsid w:val="001A3BAF"/>
    <w:rsid w:val="001A6E64"/>
    <w:rsid w:val="001A7530"/>
    <w:rsid w:val="001A7540"/>
    <w:rsid w:val="001B146F"/>
    <w:rsid w:val="001B1888"/>
    <w:rsid w:val="001B19FE"/>
    <w:rsid w:val="001B3494"/>
    <w:rsid w:val="001B39B8"/>
    <w:rsid w:val="001B480E"/>
    <w:rsid w:val="001B5016"/>
    <w:rsid w:val="001B755C"/>
    <w:rsid w:val="001C1159"/>
    <w:rsid w:val="001C22E9"/>
    <w:rsid w:val="001C31AA"/>
    <w:rsid w:val="001C4E24"/>
    <w:rsid w:val="001C6321"/>
    <w:rsid w:val="001C6325"/>
    <w:rsid w:val="001C68F0"/>
    <w:rsid w:val="001C74CF"/>
    <w:rsid w:val="001C77BF"/>
    <w:rsid w:val="001C7809"/>
    <w:rsid w:val="001D0E04"/>
    <w:rsid w:val="001D1CDC"/>
    <w:rsid w:val="001D2C33"/>
    <w:rsid w:val="001D332F"/>
    <w:rsid w:val="001D3625"/>
    <w:rsid w:val="001D4033"/>
    <w:rsid w:val="001D41AA"/>
    <w:rsid w:val="001D70DF"/>
    <w:rsid w:val="001D796D"/>
    <w:rsid w:val="001D7998"/>
    <w:rsid w:val="001E07F2"/>
    <w:rsid w:val="001E0908"/>
    <w:rsid w:val="001E0F5A"/>
    <w:rsid w:val="001E1898"/>
    <w:rsid w:val="001E195C"/>
    <w:rsid w:val="001E2680"/>
    <w:rsid w:val="001E2AAA"/>
    <w:rsid w:val="001E57FD"/>
    <w:rsid w:val="001E7095"/>
    <w:rsid w:val="001E73A0"/>
    <w:rsid w:val="001E75F3"/>
    <w:rsid w:val="001E7A8D"/>
    <w:rsid w:val="001F1361"/>
    <w:rsid w:val="001F1871"/>
    <w:rsid w:val="001F352E"/>
    <w:rsid w:val="001F39EC"/>
    <w:rsid w:val="001F40D9"/>
    <w:rsid w:val="001F4FEC"/>
    <w:rsid w:val="001F5BF9"/>
    <w:rsid w:val="001F5D54"/>
    <w:rsid w:val="001F5F64"/>
    <w:rsid w:val="001F7684"/>
    <w:rsid w:val="00200664"/>
    <w:rsid w:val="0020118D"/>
    <w:rsid w:val="0020125A"/>
    <w:rsid w:val="00202253"/>
    <w:rsid w:val="00202E4E"/>
    <w:rsid w:val="002044D2"/>
    <w:rsid w:val="00205418"/>
    <w:rsid w:val="00205849"/>
    <w:rsid w:val="00207A36"/>
    <w:rsid w:val="00207F5F"/>
    <w:rsid w:val="00210179"/>
    <w:rsid w:val="002103A7"/>
    <w:rsid w:val="00211D4E"/>
    <w:rsid w:val="0021283B"/>
    <w:rsid w:val="0021307A"/>
    <w:rsid w:val="002133FD"/>
    <w:rsid w:val="00213CD4"/>
    <w:rsid w:val="00215616"/>
    <w:rsid w:val="00216BF3"/>
    <w:rsid w:val="002174E7"/>
    <w:rsid w:val="0021783B"/>
    <w:rsid w:val="00220887"/>
    <w:rsid w:val="00220C32"/>
    <w:rsid w:val="00220CB2"/>
    <w:rsid w:val="002215B8"/>
    <w:rsid w:val="002216A2"/>
    <w:rsid w:val="00222314"/>
    <w:rsid w:val="002230A2"/>
    <w:rsid w:val="002234B8"/>
    <w:rsid w:val="00223751"/>
    <w:rsid w:val="002241DA"/>
    <w:rsid w:val="00225BFF"/>
    <w:rsid w:val="00225E12"/>
    <w:rsid w:val="00226D8D"/>
    <w:rsid w:val="002274C2"/>
    <w:rsid w:val="00230F17"/>
    <w:rsid w:val="00231C98"/>
    <w:rsid w:val="00232CBE"/>
    <w:rsid w:val="00232DE6"/>
    <w:rsid w:val="00233B76"/>
    <w:rsid w:val="00234113"/>
    <w:rsid w:val="00234665"/>
    <w:rsid w:val="002356C3"/>
    <w:rsid w:val="00235AAC"/>
    <w:rsid w:val="00235BA1"/>
    <w:rsid w:val="00236009"/>
    <w:rsid w:val="002362E9"/>
    <w:rsid w:val="0023645F"/>
    <w:rsid w:val="00236EE4"/>
    <w:rsid w:val="00240BE9"/>
    <w:rsid w:val="00240CCC"/>
    <w:rsid w:val="00241D8A"/>
    <w:rsid w:val="002420F9"/>
    <w:rsid w:val="0024253B"/>
    <w:rsid w:val="002428DB"/>
    <w:rsid w:val="00243F44"/>
    <w:rsid w:val="002441D1"/>
    <w:rsid w:val="00244A46"/>
    <w:rsid w:val="0024531D"/>
    <w:rsid w:val="0024592A"/>
    <w:rsid w:val="0024629C"/>
    <w:rsid w:val="0024673B"/>
    <w:rsid w:val="00246B30"/>
    <w:rsid w:val="00246D62"/>
    <w:rsid w:val="00246F07"/>
    <w:rsid w:val="00250608"/>
    <w:rsid w:val="00250ADC"/>
    <w:rsid w:val="0025406D"/>
    <w:rsid w:val="0025525C"/>
    <w:rsid w:val="002558DB"/>
    <w:rsid w:val="00256894"/>
    <w:rsid w:val="0025792F"/>
    <w:rsid w:val="0026066D"/>
    <w:rsid w:val="00260A7F"/>
    <w:rsid w:val="0026104D"/>
    <w:rsid w:val="0026407A"/>
    <w:rsid w:val="002667A0"/>
    <w:rsid w:val="00266BF7"/>
    <w:rsid w:val="00270040"/>
    <w:rsid w:val="00271F5F"/>
    <w:rsid w:val="00273352"/>
    <w:rsid w:val="00273C47"/>
    <w:rsid w:val="002744CD"/>
    <w:rsid w:val="00275D1B"/>
    <w:rsid w:val="00276079"/>
    <w:rsid w:val="002760AE"/>
    <w:rsid w:val="0027649E"/>
    <w:rsid w:val="00277518"/>
    <w:rsid w:val="002778DB"/>
    <w:rsid w:val="00280A10"/>
    <w:rsid w:val="00280C20"/>
    <w:rsid w:val="0028138B"/>
    <w:rsid w:val="0028169D"/>
    <w:rsid w:val="0028287D"/>
    <w:rsid w:val="00283B3F"/>
    <w:rsid w:val="0028458D"/>
    <w:rsid w:val="002848E4"/>
    <w:rsid w:val="00285411"/>
    <w:rsid w:val="002861C4"/>
    <w:rsid w:val="0028777C"/>
    <w:rsid w:val="00290055"/>
    <w:rsid w:val="002903E9"/>
    <w:rsid w:val="00290513"/>
    <w:rsid w:val="00291FF1"/>
    <w:rsid w:val="00292240"/>
    <w:rsid w:val="002925FE"/>
    <w:rsid w:val="00293512"/>
    <w:rsid w:val="002935D3"/>
    <w:rsid w:val="002939BD"/>
    <w:rsid w:val="002941D1"/>
    <w:rsid w:val="002964EA"/>
    <w:rsid w:val="00297229"/>
    <w:rsid w:val="002977C2"/>
    <w:rsid w:val="002A07BA"/>
    <w:rsid w:val="002A0A56"/>
    <w:rsid w:val="002A0F90"/>
    <w:rsid w:val="002A141C"/>
    <w:rsid w:val="002A1B20"/>
    <w:rsid w:val="002A21D8"/>
    <w:rsid w:val="002A4805"/>
    <w:rsid w:val="002A68D3"/>
    <w:rsid w:val="002A6C70"/>
    <w:rsid w:val="002A73DF"/>
    <w:rsid w:val="002A7435"/>
    <w:rsid w:val="002A7D20"/>
    <w:rsid w:val="002B02F4"/>
    <w:rsid w:val="002B04CD"/>
    <w:rsid w:val="002B0B46"/>
    <w:rsid w:val="002B0BB2"/>
    <w:rsid w:val="002B170F"/>
    <w:rsid w:val="002B241F"/>
    <w:rsid w:val="002B2A2F"/>
    <w:rsid w:val="002B2FC1"/>
    <w:rsid w:val="002B2FFF"/>
    <w:rsid w:val="002B425C"/>
    <w:rsid w:val="002B4F81"/>
    <w:rsid w:val="002B6766"/>
    <w:rsid w:val="002B676D"/>
    <w:rsid w:val="002B6C63"/>
    <w:rsid w:val="002B6D07"/>
    <w:rsid w:val="002B6DA7"/>
    <w:rsid w:val="002C0806"/>
    <w:rsid w:val="002C0B6F"/>
    <w:rsid w:val="002C166B"/>
    <w:rsid w:val="002C2243"/>
    <w:rsid w:val="002C27E7"/>
    <w:rsid w:val="002C29A7"/>
    <w:rsid w:val="002C47BE"/>
    <w:rsid w:val="002C4F6C"/>
    <w:rsid w:val="002C5FD4"/>
    <w:rsid w:val="002C759B"/>
    <w:rsid w:val="002C7858"/>
    <w:rsid w:val="002C7970"/>
    <w:rsid w:val="002D2B4C"/>
    <w:rsid w:val="002D2C65"/>
    <w:rsid w:val="002D3D8D"/>
    <w:rsid w:val="002D43E9"/>
    <w:rsid w:val="002D4D8B"/>
    <w:rsid w:val="002D565C"/>
    <w:rsid w:val="002D59D6"/>
    <w:rsid w:val="002D5E8D"/>
    <w:rsid w:val="002D5F56"/>
    <w:rsid w:val="002D614F"/>
    <w:rsid w:val="002D7796"/>
    <w:rsid w:val="002E0774"/>
    <w:rsid w:val="002E242A"/>
    <w:rsid w:val="002E3580"/>
    <w:rsid w:val="002E3ECB"/>
    <w:rsid w:val="002E4E6A"/>
    <w:rsid w:val="002E7D97"/>
    <w:rsid w:val="002F01FD"/>
    <w:rsid w:val="002F0B68"/>
    <w:rsid w:val="002F1677"/>
    <w:rsid w:val="002F26D3"/>
    <w:rsid w:val="002F383B"/>
    <w:rsid w:val="002F3FFC"/>
    <w:rsid w:val="002F4005"/>
    <w:rsid w:val="002F41D9"/>
    <w:rsid w:val="002F63F4"/>
    <w:rsid w:val="002F6AD9"/>
    <w:rsid w:val="00300CDE"/>
    <w:rsid w:val="00300D47"/>
    <w:rsid w:val="003017C3"/>
    <w:rsid w:val="00301855"/>
    <w:rsid w:val="00302375"/>
    <w:rsid w:val="00302763"/>
    <w:rsid w:val="0030293A"/>
    <w:rsid w:val="00302DA5"/>
    <w:rsid w:val="00303004"/>
    <w:rsid w:val="003034CB"/>
    <w:rsid w:val="00304734"/>
    <w:rsid w:val="00304F8B"/>
    <w:rsid w:val="00305F63"/>
    <w:rsid w:val="003062C7"/>
    <w:rsid w:val="00307F21"/>
    <w:rsid w:val="003103C0"/>
    <w:rsid w:val="00311298"/>
    <w:rsid w:val="00311967"/>
    <w:rsid w:val="003137D9"/>
    <w:rsid w:val="00313FFD"/>
    <w:rsid w:val="003154C5"/>
    <w:rsid w:val="00315E81"/>
    <w:rsid w:val="00315F74"/>
    <w:rsid w:val="0032127E"/>
    <w:rsid w:val="00321BF3"/>
    <w:rsid w:val="00325BF8"/>
    <w:rsid w:val="00326542"/>
    <w:rsid w:val="00326FB5"/>
    <w:rsid w:val="003278CB"/>
    <w:rsid w:val="0033005D"/>
    <w:rsid w:val="00330A28"/>
    <w:rsid w:val="00330DAB"/>
    <w:rsid w:val="00331FF2"/>
    <w:rsid w:val="00332710"/>
    <w:rsid w:val="00332ACB"/>
    <w:rsid w:val="00332C5A"/>
    <w:rsid w:val="00333076"/>
    <w:rsid w:val="00333279"/>
    <w:rsid w:val="00333788"/>
    <w:rsid w:val="00334DF0"/>
    <w:rsid w:val="003369C6"/>
    <w:rsid w:val="0033709D"/>
    <w:rsid w:val="00337D0E"/>
    <w:rsid w:val="00341505"/>
    <w:rsid w:val="0034177C"/>
    <w:rsid w:val="00341A36"/>
    <w:rsid w:val="00344545"/>
    <w:rsid w:val="00344BD0"/>
    <w:rsid w:val="00345F44"/>
    <w:rsid w:val="003479EF"/>
    <w:rsid w:val="00352775"/>
    <w:rsid w:val="003530CA"/>
    <w:rsid w:val="00353F8F"/>
    <w:rsid w:val="003540BF"/>
    <w:rsid w:val="003556BD"/>
    <w:rsid w:val="00355995"/>
    <w:rsid w:val="00356C6A"/>
    <w:rsid w:val="00357862"/>
    <w:rsid w:val="00362245"/>
    <w:rsid w:val="00364FFA"/>
    <w:rsid w:val="00365D2E"/>
    <w:rsid w:val="0036606F"/>
    <w:rsid w:val="00367473"/>
    <w:rsid w:val="003674F0"/>
    <w:rsid w:val="00367836"/>
    <w:rsid w:val="00367E45"/>
    <w:rsid w:val="00371A62"/>
    <w:rsid w:val="00371F22"/>
    <w:rsid w:val="00372B27"/>
    <w:rsid w:val="0037397A"/>
    <w:rsid w:val="00374DBA"/>
    <w:rsid w:val="00375B52"/>
    <w:rsid w:val="00375F37"/>
    <w:rsid w:val="00377A99"/>
    <w:rsid w:val="00377B59"/>
    <w:rsid w:val="00380932"/>
    <w:rsid w:val="00381632"/>
    <w:rsid w:val="00381D55"/>
    <w:rsid w:val="00381DEC"/>
    <w:rsid w:val="00381FA3"/>
    <w:rsid w:val="00382043"/>
    <w:rsid w:val="00383301"/>
    <w:rsid w:val="00383320"/>
    <w:rsid w:val="0038381A"/>
    <w:rsid w:val="0038440D"/>
    <w:rsid w:val="003844D6"/>
    <w:rsid w:val="0038474A"/>
    <w:rsid w:val="003857B6"/>
    <w:rsid w:val="003864D5"/>
    <w:rsid w:val="0038678F"/>
    <w:rsid w:val="00391EA0"/>
    <w:rsid w:val="00392705"/>
    <w:rsid w:val="00392CFA"/>
    <w:rsid w:val="0039547B"/>
    <w:rsid w:val="00396340"/>
    <w:rsid w:val="0039648E"/>
    <w:rsid w:val="00396509"/>
    <w:rsid w:val="003966D8"/>
    <w:rsid w:val="00396B57"/>
    <w:rsid w:val="00397D2D"/>
    <w:rsid w:val="003A1EE6"/>
    <w:rsid w:val="003A3E94"/>
    <w:rsid w:val="003A53B6"/>
    <w:rsid w:val="003A5B08"/>
    <w:rsid w:val="003A5B6B"/>
    <w:rsid w:val="003A6530"/>
    <w:rsid w:val="003A6891"/>
    <w:rsid w:val="003B15D0"/>
    <w:rsid w:val="003B188B"/>
    <w:rsid w:val="003B25B9"/>
    <w:rsid w:val="003B2635"/>
    <w:rsid w:val="003B2EC2"/>
    <w:rsid w:val="003B3862"/>
    <w:rsid w:val="003B438A"/>
    <w:rsid w:val="003B46F1"/>
    <w:rsid w:val="003B5675"/>
    <w:rsid w:val="003B60F6"/>
    <w:rsid w:val="003B6465"/>
    <w:rsid w:val="003B6578"/>
    <w:rsid w:val="003C147D"/>
    <w:rsid w:val="003C3F48"/>
    <w:rsid w:val="003C5388"/>
    <w:rsid w:val="003C56D7"/>
    <w:rsid w:val="003C6C9D"/>
    <w:rsid w:val="003C7140"/>
    <w:rsid w:val="003C7D00"/>
    <w:rsid w:val="003D1947"/>
    <w:rsid w:val="003D284D"/>
    <w:rsid w:val="003D2869"/>
    <w:rsid w:val="003D2BE8"/>
    <w:rsid w:val="003D317A"/>
    <w:rsid w:val="003D3503"/>
    <w:rsid w:val="003D44FD"/>
    <w:rsid w:val="003D4A89"/>
    <w:rsid w:val="003D72D6"/>
    <w:rsid w:val="003D745C"/>
    <w:rsid w:val="003D74D7"/>
    <w:rsid w:val="003E0726"/>
    <w:rsid w:val="003E0A9D"/>
    <w:rsid w:val="003E1361"/>
    <w:rsid w:val="003E36E3"/>
    <w:rsid w:val="003E381D"/>
    <w:rsid w:val="003E5D3E"/>
    <w:rsid w:val="003E7547"/>
    <w:rsid w:val="003E78EB"/>
    <w:rsid w:val="003E7D0E"/>
    <w:rsid w:val="003F041C"/>
    <w:rsid w:val="003F0E18"/>
    <w:rsid w:val="003F2131"/>
    <w:rsid w:val="003F33C8"/>
    <w:rsid w:val="003F356A"/>
    <w:rsid w:val="003F3E20"/>
    <w:rsid w:val="003F3F89"/>
    <w:rsid w:val="003F440A"/>
    <w:rsid w:val="003F4891"/>
    <w:rsid w:val="003F4BFA"/>
    <w:rsid w:val="003F4C47"/>
    <w:rsid w:val="003F4C52"/>
    <w:rsid w:val="003F54FC"/>
    <w:rsid w:val="003F5AF8"/>
    <w:rsid w:val="003F5DBD"/>
    <w:rsid w:val="003F65DB"/>
    <w:rsid w:val="00402131"/>
    <w:rsid w:val="00402731"/>
    <w:rsid w:val="0040479F"/>
    <w:rsid w:val="00405429"/>
    <w:rsid w:val="004058D0"/>
    <w:rsid w:val="00405DE9"/>
    <w:rsid w:val="00407DE2"/>
    <w:rsid w:val="00411463"/>
    <w:rsid w:val="0041187E"/>
    <w:rsid w:val="004138CA"/>
    <w:rsid w:val="00413F55"/>
    <w:rsid w:val="004149B9"/>
    <w:rsid w:val="00414E2D"/>
    <w:rsid w:val="00416579"/>
    <w:rsid w:val="00416895"/>
    <w:rsid w:val="00416ABA"/>
    <w:rsid w:val="00417756"/>
    <w:rsid w:val="00417B76"/>
    <w:rsid w:val="00420426"/>
    <w:rsid w:val="00421034"/>
    <w:rsid w:val="00421203"/>
    <w:rsid w:val="00421418"/>
    <w:rsid w:val="0042161E"/>
    <w:rsid w:val="00421D28"/>
    <w:rsid w:val="0042401E"/>
    <w:rsid w:val="0042415F"/>
    <w:rsid w:val="004242FB"/>
    <w:rsid w:val="00424AF9"/>
    <w:rsid w:val="00424C93"/>
    <w:rsid w:val="00425085"/>
    <w:rsid w:val="004251F9"/>
    <w:rsid w:val="0042613E"/>
    <w:rsid w:val="00426178"/>
    <w:rsid w:val="004262D5"/>
    <w:rsid w:val="004274F9"/>
    <w:rsid w:val="00430554"/>
    <w:rsid w:val="0043158A"/>
    <w:rsid w:val="00433342"/>
    <w:rsid w:val="004335F6"/>
    <w:rsid w:val="00433776"/>
    <w:rsid w:val="00434634"/>
    <w:rsid w:val="00434FE5"/>
    <w:rsid w:val="004354A7"/>
    <w:rsid w:val="00435A21"/>
    <w:rsid w:val="00436829"/>
    <w:rsid w:val="00436CE7"/>
    <w:rsid w:val="00436F60"/>
    <w:rsid w:val="004370A4"/>
    <w:rsid w:val="0043795F"/>
    <w:rsid w:val="004407B5"/>
    <w:rsid w:val="004421F7"/>
    <w:rsid w:val="00443282"/>
    <w:rsid w:val="004432BE"/>
    <w:rsid w:val="0044414B"/>
    <w:rsid w:val="00445C89"/>
    <w:rsid w:val="00445EEE"/>
    <w:rsid w:val="00446803"/>
    <w:rsid w:val="00447019"/>
    <w:rsid w:val="00447440"/>
    <w:rsid w:val="004479AE"/>
    <w:rsid w:val="004507C4"/>
    <w:rsid w:val="00450DC8"/>
    <w:rsid w:val="00450F0F"/>
    <w:rsid w:val="00450FC1"/>
    <w:rsid w:val="00451601"/>
    <w:rsid w:val="004523F1"/>
    <w:rsid w:val="00452782"/>
    <w:rsid w:val="00453BF2"/>
    <w:rsid w:val="0045502E"/>
    <w:rsid w:val="004553A8"/>
    <w:rsid w:val="004571E2"/>
    <w:rsid w:val="004576F6"/>
    <w:rsid w:val="00462035"/>
    <w:rsid w:val="0046233C"/>
    <w:rsid w:val="004626FA"/>
    <w:rsid w:val="004642B4"/>
    <w:rsid w:val="00464C9A"/>
    <w:rsid w:val="00464D70"/>
    <w:rsid w:val="00465179"/>
    <w:rsid w:val="00465226"/>
    <w:rsid w:val="00465CD0"/>
    <w:rsid w:val="004669CE"/>
    <w:rsid w:val="00466AD8"/>
    <w:rsid w:val="00467347"/>
    <w:rsid w:val="00471004"/>
    <w:rsid w:val="004713ED"/>
    <w:rsid w:val="00471604"/>
    <w:rsid w:val="00472132"/>
    <w:rsid w:val="00472D32"/>
    <w:rsid w:val="004732AE"/>
    <w:rsid w:val="004738C8"/>
    <w:rsid w:val="00473E07"/>
    <w:rsid w:val="00474EF1"/>
    <w:rsid w:val="00475235"/>
    <w:rsid w:val="004756F0"/>
    <w:rsid w:val="00475BBD"/>
    <w:rsid w:val="00475D6C"/>
    <w:rsid w:val="0047694D"/>
    <w:rsid w:val="00481CB2"/>
    <w:rsid w:val="00481DBE"/>
    <w:rsid w:val="0048216F"/>
    <w:rsid w:val="004829DF"/>
    <w:rsid w:val="00483F55"/>
    <w:rsid w:val="004857A7"/>
    <w:rsid w:val="00485FEA"/>
    <w:rsid w:val="004875E6"/>
    <w:rsid w:val="00487B91"/>
    <w:rsid w:val="00490249"/>
    <w:rsid w:val="0049075E"/>
    <w:rsid w:val="00490A1D"/>
    <w:rsid w:val="004910BE"/>
    <w:rsid w:val="00491116"/>
    <w:rsid w:val="00491D84"/>
    <w:rsid w:val="00492655"/>
    <w:rsid w:val="004945F1"/>
    <w:rsid w:val="00494CF1"/>
    <w:rsid w:val="00494DDD"/>
    <w:rsid w:val="004953B2"/>
    <w:rsid w:val="004956A9"/>
    <w:rsid w:val="004961A4"/>
    <w:rsid w:val="004968B5"/>
    <w:rsid w:val="00496F22"/>
    <w:rsid w:val="00497131"/>
    <w:rsid w:val="0049724B"/>
    <w:rsid w:val="00497F7A"/>
    <w:rsid w:val="004A068D"/>
    <w:rsid w:val="004A26F0"/>
    <w:rsid w:val="004A2775"/>
    <w:rsid w:val="004A3A7C"/>
    <w:rsid w:val="004A411E"/>
    <w:rsid w:val="004A4E7B"/>
    <w:rsid w:val="004A52AB"/>
    <w:rsid w:val="004A5628"/>
    <w:rsid w:val="004A6E96"/>
    <w:rsid w:val="004A716F"/>
    <w:rsid w:val="004A77FA"/>
    <w:rsid w:val="004B0314"/>
    <w:rsid w:val="004B1E4A"/>
    <w:rsid w:val="004B27B9"/>
    <w:rsid w:val="004B2B1F"/>
    <w:rsid w:val="004B39F4"/>
    <w:rsid w:val="004B4FFE"/>
    <w:rsid w:val="004B523C"/>
    <w:rsid w:val="004B59FB"/>
    <w:rsid w:val="004B6346"/>
    <w:rsid w:val="004B6643"/>
    <w:rsid w:val="004B680A"/>
    <w:rsid w:val="004B70C4"/>
    <w:rsid w:val="004B7AA8"/>
    <w:rsid w:val="004B7E1C"/>
    <w:rsid w:val="004C2F55"/>
    <w:rsid w:val="004C33F0"/>
    <w:rsid w:val="004C486C"/>
    <w:rsid w:val="004C4D0D"/>
    <w:rsid w:val="004C4E54"/>
    <w:rsid w:val="004C73C2"/>
    <w:rsid w:val="004D03AD"/>
    <w:rsid w:val="004D073B"/>
    <w:rsid w:val="004D096A"/>
    <w:rsid w:val="004D1C74"/>
    <w:rsid w:val="004D21E4"/>
    <w:rsid w:val="004D2334"/>
    <w:rsid w:val="004D2897"/>
    <w:rsid w:val="004D2A7A"/>
    <w:rsid w:val="004D2B73"/>
    <w:rsid w:val="004D31EE"/>
    <w:rsid w:val="004D3274"/>
    <w:rsid w:val="004D3C1B"/>
    <w:rsid w:val="004D516C"/>
    <w:rsid w:val="004D53E0"/>
    <w:rsid w:val="004D5416"/>
    <w:rsid w:val="004D556C"/>
    <w:rsid w:val="004D5B92"/>
    <w:rsid w:val="004D5FA6"/>
    <w:rsid w:val="004D6651"/>
    <w:rsid w:val="004D77ED"/>
    <w:rsid w:val="004E0463"/>
    <w:rsid w:val="004E0F42"/>
    <w:rsid w:val="004E1137"/>
    <w:rsid w:val="004E218F"/>
    <w:rsid w:val="004E22FA"/>
    <w:rsid w:val="004E2C0D"/>
    <w:rsid w:val="004E33F7"/>
    <w:rsid w:val="004E3C42"/>
    <w:rsid w:val="004E42B9"/>
    <w:rsid w:val="004E4B98"/>
    <w:rsid w:val="004E5482"/>
    <w:rsid w:val="004E58BF"/>
    <w:rsid w:val="004E7722"/>
    <w:rsid w:val="004F0F2E"/>
    <w:rsid w:val="004F1A0E"/>
    <w:rsid w:val="004F2266"/>
    <w:rsid w:val="004F2393"/>
    <w:rsid w:val="004F255B"/>
    <w:rsid w:val="004F2CA7"/>
    <w:rsid w:val="004F4977"/>
    <w:rsid w:val="004F4B50"/>
    <w:rsid w:val="004F54C5"/>
    <w:rsid w:val="004F592F"/>
    <w:rsid w:val="004F5D1A"/>
    <w:rsid w:val="004F6972"/>
    <w:rsid w:val="004F6D12"/>
    <w:rsid w:val="004F7115"/>
    <w:rsid w:val="0050064E"/>
    <w:rsid w:val="0050067F"/>
    <w:rsid w:val="005007E7"/>
    <w:rsid w:val="00500EB6"/>
    <w:rsid w:val="00501CC5"/>
    <w:rsid w:val="00502237"/>
    <w:rsid w:val="00502D3D"/>
    <w:rsid w:val="00503253"/>
    <w:rsid w:val="005035D1"/>
    <w:rsid w:val="00504080"/>
    <w:rsid w:val="00504798"/>
    <w:rsid w:val="00506294"/>
    <w:rsid w:val="00506CF6"/>
    <w:rsid w:val="00507092"/>
    <w:rsid w:val="005071D3"/>
    <w:rsid w:val="005073D6"/>
    <w:rsid w:val="00507916"/>
    <w:rsid w:val="00507D16"/>
    <w:rsid w:val="0051057F"/>
    <w:rsid w:val="00510C6C"/>
    <w:rsid w:val="005111A6"/>
    <w:rsid w:val="005112DC"/>
    <w:rsid w:val="005117F9"/>
    <w:rsid w:val="00511AE1"/>
    <w:rsid w:val="005136E5"/>
    <w:rsid w:val="00514C90"/>
    <w:rsid w:val="00514D18"/>
    <w:rsid w:val="00514DB6"/>
    <w:rsid w:val="00515181"/>
    <w:rsid w:val="00515AA5"/>
    <w:rsid w:val="00516A08"/>
    <w:rsid w:val="00517393"/>
    <w:rsid w:val="0052290A"/>
    <w:rsid w:val="00524F78"/>
    <w:rsid w:val="0052508B"/>
    <w:rsid w:val="00526548"/>
    <w:rsid w:val="00526F73"/>
    <w:rsid w:val="00527590"/>
    <w:rsid w:val="00527F74"/>
    <w:rsid w:val="00531371"/>
    <w:rsid w:val="005313B3"/>
    <w:rsid w:val="005318D5"/>
    <w:rsid w:val="00532E2F"/>
    <w:rsid w:val="00533F7A"/>
    <w:rsid w:val="005342AA"/>
    <w:rsid w:val="005345E8"/>
    <w:rsid w:val="00534D23"/>
    <w:rsid w:val="005355E6"/>
    <w:rsid w:val="0053664A"/>
    <w:rsid w:val="005403E4"/>
    <w:rsid w:val="00542E0C"/>
    <w:rsid w:val="00546070"/>
    <w:rsid w:val="005465A2"/>
    <w:rsid w:val="0054710E"/>
    <w:rsid w:val="005476EC"/>
    <w:rsid w:val="00551210"/>
    <w:rsid w:val="0055174E"/>
    <w:rsid w:val="005517F4"/>
    <w:rsid w:val="00551C72"/>
    <w:rsid w:val="0055213F"/>
    <w:rsid w:val="00553DDA"/>
    <w:rsid w:val="005541F7"/>
    <w:rsid w:val="00555B55"/>
    <w:rsid w:val="00555D7D"/>
    <w:rsid w:val="005569B9"/>
    <w:rsid w:val="005577DD"/>
    <w:rsid w:val="00562CFB"/>
    <w:rsid w:val="00563BF7"/>
    <w:rsid w:val="00563ED6"/>
    <w:rsid w:val="00565CAD"/>
    <w:rsid w:val="00566D08"/>
    <w:rsid w:val="00566D93"/>
    <w:rsid w:val="005672FE"/>
    <w:rsid w:val="0056741D"/>
    <w:rsid w:val="0056741E"/>
    <w:rsid w:val="00567A2D"/>
    <w:rsid w:val="00567A5D"/>
    <w:rsid w:val="00567E0F"/>
    <w:rsid w:val="00570C12"/>
    <w:rsid w:val="00570CCC"/>
    <w:rsid w:val="00571D20"/>
    <w:rsid w:val="00572571"/>
    <w:rsid w:val="00574295"/>
    <w:rsid w:val="00574CEA"/>
    <w:rsid w:val="00574E02"/>
    <w:rsid w:val="005757EC"/>
    <w:rsid w:val="005764F5"/>
    <w:rsid w:val="00576790"/>
    <w:rsid w:val="00576CB0"/>
    <w:rsid w:val="00577038"/>
    <w:rsid w:val="005770DB"/>
    <w:rsid w:val="005808C9"/>
    <w:rsid w:val="00581146"/>
    <w:rsid w:val="00581461"/>
    <w:rsid w:val="00581B02"/>
    <w:rsid w:val="00582591"/>
    <w:rsid w:val="00583B8C"/>
    <w:rsid w:val="00584F6C"/>
    <w:rsid w:val="00585827"/>
    <w:rsid w:val="005901FA"/>
    <w:rsid w:val="005905C1"/>
    <w:rsid w:val="00590CE5"/>
    <w:rsid w:val="00591EC8"/>
    <w:rsid w:val="005926AA"/>
    <w:rsid w:val="005930F3"/>
    <w:rsid w:val="0059339E"/>
    <w:rsid w:val="005934E6"/>
    <w:rsid w:val="005946F2"/>
    <w:rsid w:val="005972CD"/>
    <w:rsid w:val="00597EC4"/>
    <w:rsid w:val="005A01E5"/>
    <w:rsid w:val="005A1E79"/>
    <w:rsid w:val="005A290F"/>
    <w:rsid w:val="005A2D3B"/>
    <w:rsid w:val="005A30FB"/>
    <w:rsid w:val="005A3172"/>
    <w:rsid w:val="005A338F"/>
    <w:rsid w:val="005A3900"/>
    <w:rsid w:val="005A39DD"/>
    <w:rsid w:val="005A3B89"/>
    <w:rsid w:val="005A3BCE"/>
    <w:rsid w:val="005A3C13"/>
    <w:rsid w:val="005A4880"/>
    <w:rsid w:val="005A4F34"/>
    <w:rsid w:val="005A601A"/>
    <w:rsid w:val="005A681B"/>
    <w:rsid w:val="005A6DC0"/>
    <w:rsid w:val="005A7391"/>
    <w:rsid w:val="005A73DF"/>
    <w:rsid w:val="005B0B04"/>
    <w:rsid w:val="005B1DD2"/>
    <w:rsid w:val="005B1F97"/>
    <w:rsid w:val="005B253B"/>
    <w:rsid w:val="005B2F19"/>
    <w:rsid w:val="005B35EC"/>
    <w:rsid w:val="005B3A77"/>
    <w:rsid w:val="005B3BDA"/>
    <w:rsid w:val="005B4CF1"/>
    <w:rsid w:val="005B5216"/>
    <w:rsid w:val="005B5D3E"/>
    <w:rsid w:val="005C0108"/>
    <w:rsid w:val="005C0B8F"/>
    <w:rsid w:val="005C0E93"/>
    <w:rsid w:val="005C266E"/>
    <w:rsid w:val="005C4269"/>
    <w:rsid w:val="005C4ABD"/>
    <w:rsid w:val="005C518B"/>
    <w:rsid w:val="005C53B0"/>
    <w:rsid w:val="005C5662"/>
    <w:rsid w:val="005C58D6"/>
    <w:rsid w:val="005C70A8"/>
    <w:rsid w:val="005C7719"/>
    <w:rsid w:val="005C7AED"/>
    <w:rsid w:val="005C7FC9"/>
    <w:rsid w:val="005D0332"/>
    <w:rsid w:val="005D0CA0"/>
    <w:rsid w:val="005D17A0"/>
    <w:rsid w:val="005D297F"/>
    <w:rsid w:val="005D298F"/>
    <w:rsid w:val="005D424D"/>
    <w:rsid w:val="005D44C0"/>
    <w:rsid w:val="005D456C"/>
    <w:rsid w:val="005D6257"/>
    <w:rsid w:val="005D6894"/>
    <w:rsid w:val="005E0547"/>
    <w:rsid w:val="005E05CA"/>
    <w:rsid w:val="005E0CAC"/>
    <w:rsid w:val="005E2E7D"/>
    <w:rsid w:val="005E47CB"/>
    <w:rsid w:val="005E5150"/>
    <w:rsid w:val="005E5D17"/>
    <w:rsid w:val="005E6454"/>
    <w:rsid w:val="005E6572"/>
    <w:rsid w:val="005E70F1"/>
    <w:rsid w:val="005F0BEA"/>
    <w:rsid w:val="005F262C"/>
    <w:rsid w:val="005F2FE8"/>
    <w:rsid w:val="005F340A"/>
    <w:rsid w:val="005F3436"/>
    <w:rsid w:val="005F3583"/>
    <w:rsid w:val="005F3A8F"/>
    <w:rsid w:val="005F41D0"/>
    <w:rsid w:val="005F68A6"/>
    <w:rsid w:val="0060255D"/>
    <w:rsid w:val="006029A3"/>
    <w:rsid w:val="006042B6"/>
    <w:rsid w:val="00605200"/>
    <w:rsid w:val="00605B1A"/>
    <w:rsid w:val="006066D2"/>
    <w:rsid w:val="00607037"/>
    <w:rsid w:val="00607163"/>
    <w:rsid w:val="00607B7B"/>
    <w:rsid w:val="006105B8"/>
    <w:rsid w:val="0061072C"/>
    <w:rsid w:val="0061078D"/>
    <w:rsid w:val="00610B98"/>
    <w:rsid w:val="00611282"/>
    <w:rsid w:val="00611802"/>
    <w:rsid w:val="006118AB"/>
    <w:rsid w:val="00611CDD"/>
    <w:rsid w:val="00612C6E"/>
    <w:rsid w:val="00612D21"/>
    <w:rsid w:val="0061375C"/>
    <w:rsid w:val="00613AB1"/>
    <w:rsid w:val="00613CA9"/>
    <w:rsid w:val="00613F8D"/>
    <w:rsid w:val="00614788"/>
    <w:rsid w:val="00614812"/>
    <w:rsid w:val="00614B23"/>
    <w:rsid w:val="006154EA"/>
    <w:rsid w:val="006155A2"/>
    <w:rsid w:val="00615BB3"/>
    <w:rsid w:val="00616A8E"/>
    <w:rsid w:val="006170AF"/>
    <w:rsid w:val="0061713E"/>
    <w:rsid w:val="00617EE7"/>
    <w:rsid w:val="0062159E"/>
    <w:rsid w:val="00621C01"/>
    <w:rsid w:val="006226BA"/>
    <w:rsid w:val="00622C01"/>
    <w:rsid w:val="00625F3E"/>
    <w:rsid w:val="00626697"/>
    <w:rsid w:val="00626E17"/>
    <w:rsid w:val="00626F7C"/>
    <w:rsid w:val="00627DEC"/>
    <w:rsid w:val="006301CE"/>
    <w:rsid w:val="006305A2"/>
    <w:rsid w:val="00630B68"/>
    <w:rsid w:val="00633106"/>
    <w:rsid w:val="006372DB"/>
    <w:rsid w:val="00637453"/>
    <w:rsid w:val="00637A7D"/>
    <w:rsid w:val="0064100C"/>
    <w:rsid w:val="00643545"/>
    <w:rsid w:val="00643790"/>
    <w:rsid w:val="00643B50"/>
    <w:rsid w:val="00643E76"/>
    <w:rsid w:val="006441FA"/>
    <w:rsid w:val="00644831"/>
    <w:rsid w:val="006449F4"/>
    <w:rsid w:val="00645C7C"/>
    <w:rsid w:val="00650559"/>
    <w:rsid w:val="00650CF1"/>
    <w:rsid w:val="0065154B"/>
    <w:rsid w:val="00651C70"/>
    <w:rsid w:val="00652A98"/>
    <w:rsid w:val="006531ED"/>
    <w:rsid w:val="006559C3"/>
    <w:rsid w:val="006560D5"/>
    <w:rsid w:val="006563C9"/>
    <w:rsid w:val="006563EB"/>
    <w:rsid w:val="00656936"/>
    <w:rsid w:val="00657BC1"/>
    <w:rsid w:val="00657E9D"/>
    <w:rsid w:val="006600EC"/>
    <w:rsid w:val="00660ED5"/>
    <w:rsid w:val="00662414"/>
    <w:rsid w:val="006625DB"/>
    <w:rsid w:val="0066260B"/>
    <w:rsid w:val="00664455"/>
    <w:rsid w:val="00665BE1"/>
    <w:rsid w:val="0066771F"/>
    <w:rsid w:val="006729CA"/>
    <w:rsid w:val="00673209"/>
    <w:rsid w:val="00673251"/>
    <w:rsid w:val="00673E97"/>
    <w:rsid w:val="00675134"/>
    <w:rsid w:val="00676596"/>
    <w:rsid w:val="00680ADB"/>
    <w:rsid w:val="00680C8C"/>
    <w:rsid w:val="006815B5"/>
    <w:rsid w:val="0068181E"/>
    <w:rsid w:val="00681AAA"/>
    <w:rsid w:val="00683052"/>
    <w:rsid w:val="00683FC0"/>
    <w:rsid w:val="00686E5B"/>
    <w:rsid w:val="0068705C"/>
    <w:rsid w:val="0068754B"/>
    <w:rsid w:val="006877D6"/>
    <w:rsid w:val="006910CB"/>
    <w:rsid w:val="00693127"/>
    <w:rsid w:val="00693852"/>
    <w:rsid w:val="00693972"/>
    <w:rsid w:val="00695055"/>
    <w:rsid w:val="00695818"/>
    <w:rsid w:val="00695E1E"/>
    <w:rsid w:val="006975B5"/>
    <w:rsid w:val="006A0804"/>
    <w:rsid w:val="006A0D63"/>
    <w:rsid w:val="006A181C"/>
    <w:rsid w:val="006A21FA"/>
    <w:rsid w:val="006A2EEF"/>
    <w:rsid w:val="006A5304"/>
    <w:rsid w:val="006A793E"/>
    <w:rsid w:val="006B0543"/>
    <w:rsid w:val="006B22AD"/>
    <w:rsid w:val="006B36A8"/>
    <w:rsid w:val="006B3CED"/>
    <w:rsid w:val="006B44CF"/>
    <w:rsid w:val="006B4851"/>
    <w:rsid w:val="006B4C70"/>
    <w:rsid w:val="006B6363"/>
    <w:rsid w:val="006B6F6D"/>
    <w:rsid w:val="006B7D53"/>
    <w:rsid w:val="006C039C"/>
    <w:rsid w:val="006C1088"/>
    <w:rsid w:val="006C18E4"/>
    <w:rsid w:val="006C2825"/>
    <w:rsid w:val="006C30E9"/>
    <w:rsid w:val="006C3188"/>
    <w:rsid w:val="006C35C5"/>
    <w:rsid w:val="006C35F4"/>
    <w:rsid w:val="006C3B26"/>
    <w:rsid w:val="006C3DC1"/>
    <w:rsid w:val="006C580E"/>
    <w:rsid w:val="006C6C73"/>
    <w:rsid w:val="006C74DF"/>
    <w:rsid w:val="006C79AC"/>
    <w:rsid w:val="006D03FF"/>
    <w:rsid w:val="006D0F15"/>
    <w:rsid w:val="006D1086"/>
    <w:rsid w:val="006D15D2"/>
    <w:rsid w:val="006D2718"/>
    <w:rsid w:val="006D28C4"/>
    <w:rsid w:val="006D3124"/>
    <w:rsid w:val="006D4344"/>
    <w:rsid w:val="006D4E9B"/>
    <w:rsid w:val="006D5EF0"/>
    <w:rsid w:val="006D6F46"/>
    <w:rsid w:val="006D703F"/>
    <w:rsid w:val="006D76C4"/>
    <w:rsid w:val="006E00DE"/>
    <w:rsid w:val="006E0330"/>
    <w:rsid w:val="006E06AA"/>
    <w:rsid w:val="006E06AF"/>
    <w:rsid w:val="006E18DF"/>
    <w:rsid w:val="006E3163"/>
    <w:rsid w:val="006E50C6"/>
    <w:rsid w:val="006E6D16"/>
    <w:rsid w:val="006F00C3"/>
    <w:rsid w:val="006F025B"/>
    <w:rsid w:val="006F0A3C"/>
    <w:rsid w:val="006F1B21"/>
    <w:rsid w:val="006F2F99"/>
    <w:rsid w:val="006F5671"/>
    <w:rsid w:val="006F656D"/>
    <w:rsid w:val="006F7086"/>
    <w:rsid w:val="006F73FD"/>
    <w:rsid w:val="006F76C9"/>
    <w:rsid w:val="00700208"/>
    <w:rsid w:val="0070063A"/>
    <w:rsid w:val="00700646"/>
    <w:rsid w:val="00700A7F"/>
    <w:rsid w:val="00700B87"/>
    <w:rsid w:val="007016E0"/>
    <w:rsid w:val="00703B4F"/>
    <w:rsid w:val="00703F41"/>
    <w:rsid w:val="00704249"/>
    <w:rsid w:val="007044EA"/>
    <w:rsid w:val="007048DC"/>
    <w:rsid w:val="0070515C"/>
    <w:rsid w:val="00705165"/>
    <w:rsid w:val="0070529C"/>
    <w:rsid w:val="007078B5"/>
    <w:rsid w:val="007079A4"/>
    <w:rsid w:val="00710E88"/>
    <w:rsid w:val="00711178"/>
    <w:rsid w:val="00711249"/>
    <w:rsid w:val="00711C9B"/>
    <w:rsid w:val="00712C36"/>
    <w:rsid w:val="00712D0D"/>
    <w:rsid w:val="0071390C"/>
    <w:rsid w:val="007140F7"/>
    <w:rsid w:val="007166CD"/>
    <w:rsid w:val="00716DAB"/>
    <w:rsid w:val="00717245"/>
    <w:rsid w:val="00717426"/>
    <w:rsid w:val="007174FB"/>
    <w:rsid w:val="00717A24"/>
    <w:rsid w:val="00720FE1"/>
    <w:rsid w:val="00721631"/>
    <w:rsid w:val="00721652"/>
    <w:rsid w:val="00721AB0"/>
    <w:rsid w:val="00721F66"/>
    <w:rsid w:val="0072201B"/>
    <w:rsid w:val="00722900"/>
    <w:rsid w:val="00722B6D"/>
    <w:rsid w:val="0072318F"/>
    <w:rsid w:val="00723637"/>
    <w:rsid w:val="007249FC"/>
    <w:rsid w:val="00725ABF"/>
    <w:rsid w:val="00730A18"/>
    <w:rsid w:val="00731E78"/>
    <w:rsid w:val="00732158"/>
    <w:rsid w:val="007325DD"/>
    <w:rsid w:val="00732BB3"/>
    <w:rsid w:val="0073311B"/>
    <w:rsid w:val="00733C09"/>
    <w:rsid w:val="0073478A"/>
    <w:rsid w:val="00735B9A"/>
    <w:rsid w:val="00735EEC"/>
    <w:rsid w:val="00736205"/>
    <w:rsid w:val="00736C7D"/>
    <w:rsid w:val="00736DDC"/>
    <w:rsid w:val="00736DF4"/>
    <w:rsid w:val="00736F07"/>
    <w:rsid w:val="007371B3"/>
    <w:rsid w:val="007371CC"/>
    <w:rsid w:val="007405FD"/>
    <w:rsid w:val="00741FF6"/>
    <w:rsid w:val="00743018"/>
    <w:rsid w:val="0074327E"/>
    <w:rsid w:val="00743DE8"/>
    <w:rsid w:val="00743E1D"/>
    <w:rsid w:val="00743F1F"/>
    <w:rsid w:val="0074419A"/>
    <w:rsid w:val="0074497E"/>
    <w:rsid w:val="00744EC3"/>
    <w:rsid w:val="00745D4B"/>
    <w:rsid w:val="00750D5F"/>
    <w:rsid w:val="007516EB"/>
    <w:rsid w:val="00751A08"/>
    <w:rsid w:val="00751DAB"/>
    <w:rsid w:val="00751F71"/>
    <w:rsid w:val="00752479"/>
    <w:rsid w:val="00753240"/>
    <w:rsid w:val="0075328E"/>
    <w:rsid w:val="00753E83"/>
    <w:rsid w:val="0075499A"/>
    <w:rsid w:val="00754A76"/>
    <w:rsid w:val="0075521B"/>
    <w:rsid w:val="00755641"/>
    <w:rsid w:val="00756277"/>
    <w:rsid w:val="0075690A"/>
    <w:rsid w:val="00757548"/>
    <w:rsid w:val="007577C4"/>
    <w:rsid w:val="00757DDE"/>
    <w:rsid w:val="00761552"/>
    <w:rsid w:val="00762BE2"/>
    <w:rsid w:val="007634E3"/>
    <w:rsid w:val="00764792"/>
    <w:rsid w:val="00765EBA"/>
    <w:rsid w:val="00770B1B"/>
    <w:rsid w:val="00771AEE"/>
    <w:rsid w:val="0077746C"/>
    <w:rsid w:val="00777701"/>
    <w:rsid w:val="00777921"/>
    <w:rsid w:val="00777B31"/>
    <w:rsid w:val="00780C35"/>
    <w:rsid w:val="007813AD"/>
    <w:rsid w:val="00781D7A"/>
    <w:rsid w:val="00782216"/>
    <w:rsid w:val="00782278"/>
    <w:rsid w:val="00782D17"/>
    <w:rsid w:val="00783402"/>
    <w:rsid w:val="007848A5"/>
    <w:rsid w:val="00785C24"/>
    <w:rsid w:val="00785CEC"/>
    <w:rsid w:val="00786BF8"/>
    <w:rsid w:val="007871C7"/>
    <w:rsid w:val="00787504"/>
    <w:rsid w:val="00790738"/>
    <w:rsid w:val="00790A85"/>
    <w:rsid w:val="00792435"/>
    <w:rsid w:val="007931D7"/>
    <w:rsid w:val="00793C3C"/>
    <w:rsid w:val="00793E18"/>
    <w:rsid w:val="00794FD1"/>
    <w:rsid w:val="00796303"/>
    <w:rsid w:val="00796790"/>
    <w:rsid w:val="007969EA"/>
    <w:rsid w:val="00796DA6"/>
    <w:rsid w:val="0079726E"/>
    <w:rsid w:val="007A04BE"/>
    <w:rsid w:val="007A0CFC"/>
    <w:rsid w:val="007A262B"/>
    <w:rsid w:val="007A2CA7"/>
    <w:rsid w:val="007A2E9A"/>
    <w:rsid w:val="007A3136"/>
    <w:rsid w:val="007A41F6"/>
    <w:rsid w:val="007A4377"/>
    <w:rsid w:val="007A46A6"/>
    <w:rsid w:val="007A561B"/>
    <w:rsid w:val="007A5686"/>
    <w:rsid w:val="007A5FC4"/>
    <w:rsid w:val="007A7190"/>
    <w:rsid w:val="007A763B"/>
    <w:rsid w:val="007A779E"/>
    <w:rsid w:val="007B03A2"/>
    <w:rsid w:val="007B2225"/>
    <w:rsid w:val="007B30D1"/>
    <w:rsid w:val="007B350F"/>
    <w:rsid w:val="007B4666"/>
    <w:rsid w:val="007B65DB"/>
    <w:rsid w:val="007B6A13"/>
    <w:rsid w:val="007B6A60"/>
    <w:rsid w:val="007B738C"/>
    <w:rsid w:val="007B789C"/>
    <w:rsid w:val="007B7AE1"/>
    <w:rsid w:val="007C0BF4"/>
    <w:rsid w:val="007C23B0"/>
    <w:rsid w:val="007C4982"/>
    <w:rsid w:val="007C4E3B"/>
    <w:rsid w:val="007C6079"/>
    <w:rsid w:val="007C6EA1"/>
    <w:rsid w:val="007D0BCE"/>
    <w:rsid w:val="007D1D95"/>
    <w:rsid w:val="007D2D59"/>
    <w:rsid w:val="007D3AE4"/>
    <w:rsid w:val="007D4169"/>
    <w:rsid w:val="007D4D0E"/>
    <w:rsid w:val="007D5250"/>
    <w:rsid w:val="007D6C47"/>
    <w:rsid w:val="007D6C53"/>
    <w:rsid w:val="007D6CA5"/>
    <w:rsid w:val="007E063E"/>
    <w:rsid w:val="007E15FB"/>
    <w:rsid w:val="007E1699"/>
    <w:rsid w:val="007E18E8"/>
    <w:rsid w:val="007E3217"/>
    <w:rsid w:val="007E34B5"/>
    <w:rsid w:val="007E3F49"/>
    <w:rsid w:val="007E41F8"/>
    <w:rsid w:val="007E5259"/>
    <w:rsid w:val="007E63AB"/>
    <w:rsid w:val="007E77F9"/>
    <w:rsid w:val="007E7D05"/>
    <w:rsid w:val="007F008C"/>
    <w:rsid w:val="007F02AF"/>
    <w:rsid w:val="007F04AA"/>
    <w:rsid w:val="007F13A1"/>
    <w:rsid w:val="007F1598"/>
    <w:rsid w:val="007F2958"/>
    <w:rsid w:val="007F2D2C"/>
    <w:rsid w:val="007F6066"/>
    <w:rsid w:val="007F6A71"/>
    <w:rsid w:val="0080088D"/>
    <w:rsid w:val="00800C2B"/>
    <w:rsid w:val="008011DF"/>
    <w:rsid w:val="00801C73"/>
    <w:rsid w:val="008024C7"/>
    <w:rsid w:val="00803C2C"/>
    <w:rsid w:val="008067D7"/>
    <w:rsid w:val="00806CF7"/>
    <w:rsid w:val="0080720A"/>
    <w:rsid w:val="00807D48"/>
    <w:rsid w:val="008108B4"/>
    <w:rsid w:val="00810FAC"/>
    <w:rsid w:val="00811D05"/>
    <w:rsid w:val="0081210B"/>
    <w:rsid w:val="00812311"/>
    <w:rsid w:val="00812BAD"/>
    <w:rsid w:val="008147F4"/>
    <w:rsid w:val="00814B40"/>
    <w:rsid w:val="00815247"/>
    <w:rsid w:val="00815981"/>
    <w:rsid w:val="008163D5"/>
    <w:rsid w:val="00817F0F"/>
    <w:rsid w:val="008200F3"/>
    <w:rsid w:val="00821DE7"/>
    <w:rsid w:val="008225C1"/>
    <w:rsid w:val="008227D3"/>
    <w:rsid w:val="00823816"/>
    <w:rsid w:val="0082450F"/>
    <w:rsid w:val="00824705"/>
    <w:rsid w:val="00824E6D"/>
    <w:rsid w:val="0082706E"/>
    <w:rsid w:val="00827377"/>
    <w:rsid w:val="00830453"/>
    <w:rsid w:val="0083115C"/>
    <w:rsid w:val="0083182A"/>
    <w:rsid w:val="008325AD"/>
    <w:rsid w:val="00832667"/>
    <w:rsid w:val="008327E0"/>
    <w:rsid w:val="00832F9A"/>
    <w:rsid w:val="008336B3"/>
    <w:rsid w:val="00833E2B"/>
    <w:rsid w:val="00835601"/>
    <w:rsid w:val="00836E91"/>
    <w:rsid w:val="00836FA3"/>
    <w:rsid w:val="008406F9"/>
    <w:rsid w:val="00841125"/>
    <w:rsid w:val="0084229C"/>
    <w:rsid w:val="00843F3A"/>
    <w:rsid w:val="008453B6"/>
    <w:rsid w:val="00845787"/>
    <w:rsid w:val="008458F7"/>
    <w:rsid w:val="00845A88"/>
    <w:rsid w:val="00845D7A"/>
    <w:rsid w:val="008463C5"/>
    <w:rsid w:val="008500B3"/>
    <w:rsid w:val="008502D7"/>
    <w:rsid w:val="008507D7"/>
    <w:rsid w:val="008507E4"/>
    <w:rsid w:val="00852116"/>
    <w:rsid w:val="00853BD7"/>
    <w:rsid w:val="00853ED9"/>
    <w:rsid w:val="00854995"/>
    <w:rsid w:val="00854D69"/>
    <w:rsid w:val="008561BD"/>
    <w:rsid w:val="008604F2"/>
    <w:rsid w:val="008605D5"/>
    <w:rsid w:val="0086134F"/>
    <w:rsid w:val="00861DA1"/>
    <w:rsid w:val="00862A9A"/>
    <w:rsid w:val="008642BB"/>
    <w:rsid w:val="00864B62"/>
    <w:rsid w:val="0086576D"/>
    <w:rsid w:val="008661BE"/>
    <w:rsid w:val="00866383"/>
    <w:rsid w:val="00870FD6"/>
    <w:rsid w:val="00871A52"/>
    <w:rsid w:val="00873950"/>
    <w:rsid w:val="00874093"/>
    <w:rsid w:val="008748EB"/>
    <w:rsid w:val="00874989"/>
    <w:rsid w:val="00875586"/>
    <w:rsid w:val="0087621D"/>
    <w:rsid w:val="00876D27"/>
    <w:rsid w:val="00880A8A"/>
    <w:rsid w:val="0088194B"/>
    <w:rsid w:val="00881C83"/>
    <w:rsid w:val="00882290"/>
    <w:rsid w:val="00882958"/>
    <w:rsid w:val="00882BA1"/>
    <w:rsid w:val="00882C6C"/>
    <w:rsid w:val="008839BC"/>
    <w:rsid w:val="00883C7E"/>
    <w:rsid w:val="0088436F"/>
    <w:rsid w:val="00884DA3"/>
    <w:rsid w:val="008852BB"/>
    <w:rsid w:val="00885A7C"/>
    <w:rsid w:val="00886BC4"/>
    <w:rsid w:val="00887171"/>
    <w:rsid w:val="00887395"/>
    <w:rsid w:val="008900E9"/>
    <w:rsid w:val="0089081A"/>
    <w:rsid w:val="00890A77"/>
    <w:rsid w:val="00891A15"/>
    <w:rsid w:val="008934A2"/>
    <w:rsid w:val="00893B00"/>
    <w:rsid w:val="00893ED3"/>
    <w:rsid w:val="00894752"/>
    <w:rsid w:val="00895205"/>
    <w:rsid w:val="00896C7D"/>
    <w:rsid w:val="00897243"/>
    <w:rsid w:val="00897423"/>
    <w:rsid w:val="008A0811"/>
    <w:rsid w:val="008A3469"/>
    <w:rsid w:val="008A49F5"/>
    <w:rsid w:val="008A4A1E"/>
    <w:rsid w:val="008A4CD8"/>
    <w:rsid w:val="008A61F9"/>
    <w:rsid w:val="008A6DFD"/>
    <w:rsid w:val="008B05CF"/>
    <w:rsid w:val="008B08B9"/>
    <w:rsid w:val="008B0EE9"/>
    <w:rsid w:val="008B2567"/>
    <w:rsid w:val="008B28C4"/>
    <w:rsid w:val="008B4407"/>
    <w:rsid w:val="008B493F"/>
    <w:rsid w:val="008B6F89"/>
    <w:rsid w:val="008B7680"/>
    <w:rsid w:val="008B7BCB"/>
    <w:rsid w:val="008C327F"/>
    <w:rsid w:val="008C3811"/>
    <w:rsid w:val="008C38BA"/>
    <w:rsid w:val="008C43C1"/>
    <w:rsid w:val="008C44DF"/>
    <w:rsid w:val="008C5894"/>
    <w:rsid w:val="008C5BDC"/>
    <w:rsid w:val="008C5BEB"/>
    <w:rsid w:val="008C6F32"/>
    <w:rsid w:val="008C7C45"/>
    <w:rsid w:val="008C7DCA"/>
    <w:rsid w:val="008D01D8"/>
    <w:rsid w:val="008D0816"/>
    <w:rsid w:val="008D1690"/>
    <w:rsid w:val="008D1AD4"/>
    <w:rsid w:val="008D1B7A"/>
    <w:rsid w:val="008D2106"/>
    <w:rsid w:val="008D2A27"/>
    <w:rsid w:val="008D2AAB"/>
    <w:rsid w:val="008D322A"/>
    <w:rsid w:val="008D339C"/>
    <w:rsid w:val="008D3CE4"/>
    <w:rsid w:val="008D3D2B"/>
    <w:rsid w:val="008D481A"/>
    <w:rsid w:val="008D61D2"/>
    <w:rsid w:val="008D6D74"/>
    <w:rsid w:val="008D6F8E"/>
    <w:rsid w:val="008D76B6"/>
    <w:rsid w:val="008D79B8"/>
    <w:rsid w:val="008E0604"/>
    <w:rsid w:val="008E200D"/>
    <w:rsid w:val="008E2784"/>
    <w:rsid w:val="008E3AA2"/>
    <w:rsid w:val="008E4A7E"/>
    <w:rsid w:val="008E7FA7"/>
    <w:rsid w:val="008F00B0"/>
    <w:rsid w:val="008F096F"/>
    <w:rsid w:val="008F1596"/>
    <w:rsid w:val="008F201A"/>
    <w:rsid w:val="008F2B8C"/>
    <w:rsid w:val="008F3496"/>
    <w:rsid w:val="008F5108"/>
    <w:rsid w:val="008F5309"/>
    <w:rsid w:val="008F541A"/>
    <w:rsid w:val="008F60A8"/>
    <w:rsid w:val="008F64E3"/>
    <w:rsid w:val="008F67BC"/>
    <w:rsid w:val="008F6FBC"/>
    <w:rsid w:val="008F7DFF"/>
    <w:rsid w:val="009028F2"/>
    <w:rsid w:val="00902934"/>
    <w:rsid w:val="00903075"/>
    <w:rsid w:val="00904CBB"/>
    <w:rsid w:val="009063BB"/>
    <w:rsid w:val="009072BD"/>
    <w:rsid w:val="00907717"/>
    <w:rsid w:val="009079E2"/>
    <w:rsid w:val="00907E3A"/>
    <w:rsid w:val="00910653"/>
    <w:rsid w:val="00910DAF"/>
    <w:rsid w:val="009131FA"/>
    <w:rsid w:val="009162C7"/>
    <w:rsid w:val="0091674E"/>
    <w:rsid w:val="00916DDB"/>
    <w:rsid w:val="00920308"/>
    <w:rsid w:val="00921459"/>
    <w:rsid w:val="00922740"/>
    <w:rsid w:val="00922969"/>
    <w:rsid w:val="00922E79"/>
    <w:rsid w:val="009236CF"/>
    <w:rsid w:val="00923BE0"/>
    <w:rsid w:val="009248FE"/>
    <w:rsid w:val="009258DE"/>
    <w:rsid w:val="00925C2E"/>
    <w:rsid w:val="0092754F"/>
    <w:rsid w:val="009313C9"/>
    <w:rsid w:val="00931E0E"/>
    <w:rsid w:val="00933686"/>
    <w:rsid w:val="00934076"/>
    <w:rsid w:val="00935115"/>
    <w:rsid w:val="00935E8E"/>
    <w:rsid w:val="009364D3"/>
    <w:rsid w:val="00937B72"/>
    <w:rsid w:val="009412E2"/>
    <w:rsid w:val="009425EA"/>
    <w:rsid w:val="009436D1"/>
    <w:rsid w:val="009437AE"/>
    <w:rsid w:val="00944211"/>
    <w:rsid w:val="00944E44"/>
    <w:rsid w:val="00945419"/>
    <w:rsid w:val="009463A7"/>
    <w:rsid w:val="009473E8"/>
    <w:rsid w:val="00947DDC"/>
    <w:rsid w:val="00947E83"/>
    <w:rsid w:val="00950AB5"/>
    <w:rsid w:val="0095135C"/>
    <w:rsid w:val="0095375E"/>
    <w:rsid w:val="009544AD"/>
    <w:rsid w:val="0095468F"/>
    <w:rsid w:val="00954757"/>
    <w:rsid w:val="009547C7"/>
    <w:rsid w:val="00956A90"/>
    <w:rsid w:val="00957543"/>
    <w:rsid w:val="0096043A"/>
    <w:rsid w:val="00960568"/>
    <w:rsid w:val="00960B47"/>
    <w:rsid w:val="00960C69"/>
    <w:rsid w:val="009615C5"/>
    <w:rsid w:val="00961EAA"/>
    <w:rsid w:val="00961FEF"/>
    <w:rsid w:val="00962FB2"/>
    <w:rsid w:val="00963761"/>
    <w:rsid w:val="009644E9"/>
    <w:rsid w:val="0096541D"/>
    <w:rsid w:val="009665DC"/>
    <w:rsid w:val="009665FB"/>
    <w:rsid w:val="009716B8"/>
    <w:rsid w:val="00971F70"/>
    <w:rsid w:val="00972874"/>
    <w:rsid w:val="00972F92"/>
    <w:rsid w:val="00974B4B"/>
    <w:rsid w:val="00976780"/>
    <w:rsid w:val="00976B43"/>
    <w:rsid w:val="00977A8D"/>
    <w:rsid w:val="00980142"/>
    <w:rsid w:val="00980173"/>
    <w:rsid w:val="0098025E"/>
    <w:rsid w:val="009805CC"/>
    <w:rsid w:val="009812CD"/>
    <w:rsid w:val="009822AB"/>
    <w:rsid w:val="00982930"/>
    <w:rsid w:val="00982F10"/>
    <w:rsid w:val="00985275"/>
    <w:rsid w:val="00987154"/>
    <w:rsid w:val="00990B4C"/>
    <w:rsid w:val="009917D7"/>
    <w:rsid w:val="009919D0"/>
    <w:rsid w:val="00991DDE"/>
    <w:rsid w:val="00991F1B"/>
    <w:rsid w:val="00992AAD"/>
    <w:rsid w:val="00993BE9"/>
    <w:rsid w:val="00994599"/>
    <w:rsid w:val="00994805"/>
    <w:rsid w:val="009950E9"/>
    <w:rsid w:val="009951AF"/>
    <w:rsid w:val="00995562"/>
    <w:rsid w:val="00995A36"/>
    <w:rsid w:val="009A0624"/>
    <w:rsid w:val="009A133E"/>
    <w:rsid w:val="009A18AD"/>
    <w:rsid w:val="009A2A3E"/>
    <w:rsid w:val="009A465B"/>
    <w:rsid w:val="009A4B4C"/>
    <w:rsid w:val="009A5C8A"/>
    <w:rsid w:val="009A7962"/>
    <w:rsid w:val="009A7B5C"/>
    <w:rsid w:val="009B0462"/>
    <w:rsid w:val="009B0D5E"/>
    <w:rsid w:val="009B105B"/>
    <w:rsid w:val="009B1BC4"/>
    <w:rsid w:val="009B1D06"/>
    <w:rsid w:val="009B21BA"/>
    <w:rsid w:val="009B3D16"/>
    <w:rsid w:val="009B4D19"/>
    <w:rsid w:val="009B58D3"/>
    <w:rsid w:val="009B5B9C"/>
    <w:rsid w:val="009B65B5"/>
    <w:rsid w:val="009B7C0C"/>
    <w:rsid w:val="009C0093"/>
    <w:rsid w:val="009C0A13"/>
    <w:rsid w:val="009C0F96"/>
    <w:rsid w:val="009C21DA"/>
    <w:rsid w:val="009C2365"/>
    <w:rsid w:val="009C24EA"/>
    <w:rsid w:val="009C2725"/>
    <w:rsid w:val="009C3F93"/>
    <w:rsid w:val="009C4B65"/>
    <w:rsid w:val="009C50AB"/>
    <w:rsid w:val="009C52A6"/>
    <w:rsid w:val="009C6188"/>
    <w:rsid w:val="009D0F9C"/>
    <w:rsid w:val="009D29CC"/>
    <w:rsid w:val="009D443D"/>
    <w:rsid w:val="009D4C51"/>
    <w:rsid w:val="009D5C1E"/>
    <w:rsid w:val="009D5FE1"/>
    <w:rsid w:val="009D6DF8"/>
    <w:rsid w:val="009E1357"/>
    <w:rsid w:val="009E170C"/>
    <w:rsid w:val="009E1BC7"/>
    <w:rsid w:val="009E2755"/>
    <w:rsid w:val="009E351A"/>
    <w:rsid w:val="009E454E"/>
    <w:rsid w:val="009E4B5C"/>
    <w:rsid w:val="009E7DDC"/>
    <w:rsid w:val="009E7E9A"/>
    <w:rsid w:val="009F0AF8"/>
    <w:rsid w:val="009F3B6F"/>
    <w:rsid w:val="009F4769"/>
    <w:rsid w:val="009F4ABF"/>
    <w:rsid w:val="009F5069"/>
    <w:rsid w:val="009F71AE"/>
    <w:rsid w:val="009F71C3"/>
    <w:rsid w:val="00A0037E"/>
    <w:rsid w:val="00A00D78"/>
    <w:rsid w:val="00A01E2E"/>
    <w:rsid w:val="00A02AD8"/>
    <w:rsid w:val="00A02EAE"/>
    <w:rsid w:val="00A03975"/>
    <w:rsid w:val="00A03B4E"/>
    <w:rsid w:val="00A04611"/>
    <w:rsid w:val="00A05CE3"/>
    <w:rsid w:val="00A06287"/>
    <w:rsid w:val="00A06DE3"/>
    <w:rsid w:val="00A073B5"/>
    <w:rsid w:val="00A10931"/>
    <w:rsid w:val="00A11351"/>
    <w:rsid w:val="00A11D8C"/>
    <w:rsid w:val="00A11E9B"/>
    <w:rsid w:val="00A1228B"/>
    <w:rsid w:val="00A1273B"/>
    <w:rsid w:val="00A12996"/>
    <w:rsid w:val="00A14419"/>
    <w:rsid w:val="00A144A4"/>
    <w:rsid w:val="00A14B80"/>
    <w:rsid w:val="00A16444"/>
    <w:rsid w:val="00A16B27"/>
    <w:rsid w:val="00A203B6"/>
    <w:rsid w:val="00A2323B"/>
    <w:rsid w:val="00A24356"/>
    <w:rsid w:val="00A24C71"/>
    <w:rsid w:val="00A25025"/>
    <w:rsid w:val="00A25EC0"/>
    <w:rsid w:val="00A26F5D"/>
    <w:rsid w:val="00A27508"/>
    <w:rsid w:val="00A27A6D"/>
    <w:rsid w:val="00A27D77"/>
    <w:rsid w:val="00A27FD2"/>
    <w:rsid w:val="00A30215"/>
    <w:rsid w:val="00A31C36"/>
    <w:rsid w:val="00A33405"/>
    <w:rsid w:val="00A33D92"/>
    <w:rsid w:val="00A34D5B"/>
    <w:rsid w:val="00A37069"/>
    <w:rsid w:val="00A3732C"/>
    <w:rsid w:val="00A403E3"/>
    <w:rsid w:val="00A40894"/>
    <w:rsid w:val="00A408D1"/>
    <w:rsid w:val="00A41595"/>
    <w:rsid w:val="00A418A7"/>
    <w:rsid w:val="00A4243B"/>
    <w:rsid w:val="00A428B0"/>
    <w:rsid w:val="00A44871"/>
    <w:rsid w:val="00A449F0"/>
    <w:rsid w:val="00A46B85"/>
    <w:rsid w:val="00A46C4F"/>
    <w:rsid w:val="00A470F4"/>
    <w:rsid w:val="00A47574"/>
    <w:rsid w:val="00A47CBD"/>
    <w:rsid w:val="00A5140D"/>
    <w:rsid w:val="00A514DF"/>
    <w:rsid w:val="00A55E9E"/>
    <w:rsid w:val="00A55FB3"/>
    <w:rsid w:val="00A569E5"/>
    <w:rsid w:val="00A572B5"/>
    <w:rsid w:val="00A5744C"/>
    <w:rsid w:val="00A603D0"/>
    <w:rsid w:val="00A60B3C"/>
    <w:rsid w:val="00A60B84"/>
    <w:rsid w:val="00A60E08"/>
    <w:rsid w:val="00A60F15"/>
    <w:rsid w:val="00A613DE"/>
    <w:rsid w:val="00A6392C"/>
    <w:rsid w:val="00A64EB3"/>
    <w:rsid w:val="00A65B6B"/>
    <w:rsid w:val="00A67A13"/>
    <w:rsid w:val="00A7048C"/>
    <w:rsid w:val="00A70892"/>
    <w:rsid w:val="00A70ABD"/>
    <w:rsid w:val="00A70B09"/>
    <w:rsid w:val="00A70BAF"/>
    <w:rsid w:val="00A70E38"/>
    <w:rsid w:val="00A716AD"/>
    <w:rsid w:val="00A7172F"/>
    <w:rsid w:val="00A724F0"/>
    <w:rsid w:val="00A73BE3"/>
    <w:rsid w:val="00A74486"/>
    <w:rsid w:val="00A748B2"/>
    <w:rsid w:val="00A75266"/>
    <w:rsid w:val="00A75D2E"/>
    <w:rsid w:val="00A764F0"/>
    <w:rsid w:val="00A7681F"/>
    <w:rsid w:val="00A776EC"/>
    <w:rsid w:val="00A7772A"/>
    <w:rsid w:val="00A778A8"/>
    <w:rsid w:val="00A809AA"/>
    <w:rsid w:val="00A83606"/>
    <w:rsid w:val="00A84A19"/>
    <w:rsid w:val="00A85DB4"/>
    <w:rsid w:val="00A86A57"/>
    <w:rsid w:val="00A871FA"/>
    <w:rsid w:val="00A87C74"/>
    <w:rsid w:val="00A90058"/>
    <w:rsid w:val="00A90246"/>
    <w:rsid w:val="00A902FE"/>
    <w:rsid w:val="00A90BD0"/>
    <w:rsid w:val="00A90CEB"/>
    <w:rsid w:val="00A91AE0"/>
    <w:rsid w:val="00A91D80"/>
    <w:rsid w:val="00A92377"/>
    <w:rsid w:val="00A923AA"/>
    <w:rsid w:val="00A92D3D"/>
    <w:rsid w:val="00A9327D"/>
    <w:rsid w:val="00A943E0"/>
    <w:rsid w:val="00A964E5"/>
    <w:rsid w:val="00A96614"/>
    <w:rsid w:val="00A96B67"/>
    <w:rsid w:val="00A975A8"/>
    <w:rsid w:val="00AA08CE"/>
    <w:rsid w:val="00AA0EBD"/>
    <w:rsid w:val="00AA1263"/>
    <w:rsid w:val="00AA28DB"/>
    <w:rsid w:val="00AA3B4D"/>
    <w:rsid w:val="00AA565D"/>
    <w:rsid w:val="00AA631F"/>
    <w:rsid w:val="00AA6508"/>
    <w:rsid w:val="00AA65F0"/>
    <w:rsid w:val="00AA7251"/>
    <w:rsid w:val="00AA7438"/>
    <w:rsid w:val="00AA77D9"/>
    <w:rsid w:val="00AA7C09"/>
    <w:rsid w:val="00AA7E55"/>
    <w:rsid w:val="00AB0985"/>
    <w:rsid w:val="00AB131E"/>
    <w:rsid w:val="00AB2D72"/>
    <w:rsid w:val="00AB367E"/>
    <w:rsid w:val="00AB44D7"/>
    <w:rsid w:val="00AB488F"/>
    <w:rsid w:val="00AB54DB"/>
    <w:rsid w:val="00AB596D"/>
    <w:rsid w:val="00AB6B5D"/>
    <w:rsid w:val="00AB717F"/>
    <w:rsid w:val="00AC25F1"/>
    <w:rsid w:val="00AC3912"/>
    <w:rsid w:val="00AC4536"/>
    <w:rsid w:val="00AC4994"/>
    <w:rsid w:val="00AC505D"/>
    <w:rsid w:val="00AC5E67"/>
    <w:rsid w:val="00AC62D5"/>
    <w:rsid w:val="00AC6F12"/>
    <w:rsid w:val="00AC7461"/>
    <w:rsid w:val="00AC75CD"/>
    <w:rsid w:val="00AD0211"/>
    <w:rsid w:val="00AD064E"/>
    <w:rsid w:val="00AD07E4"/>
    <w:rsid w:val="00AD0969"/>
    <w:rsid w:val="00AD13BA"/>
    <w:rsid w:val="00AD1640"/>
    <w:rsid w:val="00AD1CD0"/>
    <w:rsid w:val="00AD21E4"/>
    <w:rsid w:val="00AD2C2F"/>
    <w:rsid w:val="00AD2EF4"/>
    <w:rsid w:val="00AD3537"/>
    <w:rsid w:val="00AD3B34"/>
    <w:rsid w:val="00AD4C3B"/>
    <w:rsid w:val="00AD5E71"/>
    <w:rsid w:val="00AD6287"/>
    <w:rsid w:val="00AD762C"/>
    <w:rsid w:val="00AD7F18"/>
    <w:rsid w:val="00AE077F"/>
    <w:rsid w:val="00AE0AAB"/>
    <w:rsid w:val="00AE2D6B"/>
    <w:rsid w:val="00AE386B"/>
    <w:rsid w:val="00AE41C1"/>
    <w:rsid w:val="00AE4853"/>
    <w:rsid w:val="00AE4A2E"/>
    <w:rsid w:val="00AE5774"/>
    <w:rsid w:val="00AE57F3"/>
    <w:rsid w:val="00AE6002"/>
    <w:rsid w:val="00AE6705"/>
    <w:rsid w:val="00AE6B07"/>
    <w:rsid w:val="00AE70E0"/>
    <w:rsid w:val="00AE7895"/>
    <w:rsid w:val="00AE78EC"/>
    <w:rsid w:val="00AF174D"/>
    <w:rsid w:val="00AF1AEA"/>
    <w:rsid w:val="00AF1DD9"/>
    <w:rsid w:val="00AF33ED"/>
    <w:rsid w:val="00AF3861"/>
    <w:rsid w:val="00AF4BE9"/>
    <w:rsid w:val="00AF4FCA"/>
    <w:rsid w:val="00AF5BC7"/>
    <w:rsid w:val="00AF70E4"/>
    <w:rsid w:val="00AF751A"/>
    <w:rsid w:val="00AF781A"/>
    <w:rsid w:val="00AF7978"/>
    <w:rsid w:val="00B0130B"/>
    <w:rsid w:val="00B01328"/>
    <w:rsid w:val="00B02A6B"/>
    <w:rsid w:val="00B03EC7"/>
    <w:rsid w:val="00B0478E"/>
    <w:rsid w:val="00B04D43"/>
    <w:rsid w:val="00B113F4"/>
    <w:rsid w:val="00B11701"/>
    <w:rsid w:val="00B118DD"/>
    <w:rsid w:val="00B12E66"/>
    <w:rsid w:val="00B141C2"/>
    <w:rsid w:val="00B1441B"/>
    <w:rsid w:val="00B1449B"/>
    <w:rsid w:val="00B1558C"/>
    <w:rsid w:val="00B1589B"/>
    <w:rsid w:val="00B16725"/>
    <w:rsid w:val="00B16878"/>
    <w:rsid w:val="00B16B0C"/>
    <w:rsid w:val="00B1726B"/>
    <w:rsid w:val="00B17BF5"/>
    <w:rsid w:val="00B2155E"/>
    <w:rsid w:val="00B222A3"/>
    <w:rsid w:val="00B22A23"/>
    <w:rsid w:val="00B230DC"/>
    <w:rsid w:val="00B23270"/>
    <w:rsid w:val="00B2577A"/>
    <w:rsid w:val="00B261F8"/>
    <w:rsid w:val="00B27C94"/>
    <w:rsid w:val="00B27F4F"/>
    <w:rsid w:val="00B306CA"/>
    <w:rsid w:val="00B324EC"/>
    <w:rsid w:val="00B343C6"/>
    <w:rsid w:val="00B34C6A"/>
    <w:rsid w:val="00B35C4A"/>
    <w:rsid w:val="00B35FDE"/>
    <w:rsid w:val="00B374EE"/>
    <w:rsid w:val="00B37777"/>
    <w:rsid w:val="00B40E81"/>
    <w:rsid w:val="00B41BCC"/>
    <w:rsid w:val="00B41E9F"/>
    <w:rsid w:val="00B41EA8"/>
    <w:rsid w:val="00B41FBB"/>
    <w:rsid w:val="00B427D3"/>
    <w:rsid w:val="00B4288E"/>
    <w:rsid w:val="00B42CFA"/>
    <w:rsid w:val="00B42D9E"/>
    <w:rsid w:val="00B435CE"/>
    <w:rsid w:val="00B438C0"/>
    <w:rsid w:val="00B449BB"/>
    <w:rsid w:val="00B4554A"/>
    <w:rsid w:val="00B45DC9"/>
    <w:rsid w:val="00B4706C"/>
    <w:rsid w:val="00B47316"/>
    <w:rsid w:val="00B47407"/>
    <w:rsid w:val="00B47953"/>
    <w:rsid w:val="00B50793"/>
    <w:rsid w:val="00B51522"/>
    <w:rsid w:val="00B529DC"/>
    <w:rsid w:val="00B534E1"/>
    <w:rsid w:val="00B54727"/>
    <w:rsid w:val="00B558D0"/>
    <w:rsid w:val="00B55C06"/>
    <w:rsid w:val="00B561D3"/>
    <w:rsid w:val="00B56349"/>
    <w:rsid w:val="00B572B9"/>
    <w:rsid w:val="00B57686"/>
    <w:rsid w:val="00B61476"/>
    <w:rsid w:val="00B61D95"/>
    <w:rsid w:val="00B61E6E"/>
    <w:rsid w:val="00B634E1"/>
    <w:rsid w:val="00B64024"/>
    <w:rsid w:val="00B6436B"/>
    <w:rsid w:val="00B64CE7"/>
    <w:rsid w:val="00B64FD7"/>
    <w:rsid w:val="00B6544A"/>
    <w:rsid w:val="00B65528"/>
    <w:rsid w:val="00B66546"/>
    <w:rsid w:val="00B6660F"/>
    <w:rsid w:val="00B66BC2"/>
    <w:rsid w:val="00B66E08"/>
    <w:rsid w:val="00B66FEF"/>
    <w:rsid w:val="00B70358"/>
    <w:rsid w:val="00B703D7"/>
    <w:rsid w:val="00B705DC"/>
    <w:rsid w:val="00B714EE"/>
    <w:rsid w:val="00B71EE5"/>
    <w:rsid w:val="00B72DF9"/>
    <w:rsid w:val="00B757CD"/>
    <w:rsid w:val="00B75E9D"/>
    <w:rsid w:val="00B7763C"/>
    <w:rsid w:val="00B80967"/>
    <w:rsid w:val="00B80D14"/>
    <w:rsid w:val="00B80E9E"/>
    <w:rsid w:val="00B8190C"/>
    <w:rsid w:val="00B81D6F"/>
    <w:rsid w:val="00B82742"/>
    <w:rsid w:val="00B83B43"/>
    <w:rsid w:val="00B83F09"/>
    <w:rsid w:val="00B84082"/>
    <w:rsid w:val="00B8432B"/>
    <w:rsid w:val="00B8440F"/>
    <w:rsid w:val="00B84A77"/>
    <w:rsid w:val="00B85468"/>
    <w:rsid w:val="00B85795"/>
    <w:rsid w:val="00B8685F"/>
    <w:rsid w:val="00B90B86"/>
    <w:rsid w:val="00B91394"/>
    <w:rsid w:val="00B920E0"/>
    <w:rsid w:val="00B9282C"/>
    <w:rsid w:val="00B941CD"/>
    <w:rsid w:val="00B95490"/>
    <w:rsid w:val="00B95B09"/>
    <w:rsid w:val="00B973C6"/>
    <w:rsid w:val="00B97E21"/>
    <w:rsid w:val="00BA1BD3"/>
    <w:rsid w:val="00BA2611"/>
    <w:rsid w:val="00BA359C"/>
    <w:rsid w:val="00BA3B43"/>
    <w:rsid w:val="00BA4E1A"/>
    <w:rsid w:val="00BA7B2F"/>
    <w:rsid w:val="00BA7D3C"/>
    <w:rsid w:val="00BA7DCF"/>
    <w:rsid w:val="00BB0017"/>
    <w:rsid w:val="00BB0D0D"/>
    <w:rsid w:val="00BB0FA0"/>
    <w:rsid w:val="00BB12AD"/>
    <w:rsid w:val="00BB1BB1"/>
    <w:rsid w:val="00BB229C"/>
    <w:rsid w:val="00BB2F92"/>
    <w:rsid w:val="00BB33A2"/>
    <w:rsid w:val="00BB4BC7"/>
    <w:rsid w:val="00BB52B2"/>
    <w:rsid w:val="00BB5374"/>
    <w:rsid w:val="00BB639E"/>
    <w:rsid w:val="00BB7BFE"/>
    <w:rsid w:val="00BC0E48"/>
    <w:rsid w:val="00BC1197"/>
    <w:rsid w:val="00BC35F3"/>
    <w:rsid w:val="00BC7236"/>
    <w:rsid w:val="00BC73A0"/>
    <w:rsid w:val="00BD032D"/>
    <w:rsid w:val="00BD0765"/>
    <w:rsid w:val="00BD1E64"/>
    <w:rsid w:val="00BD2329"/>
    <w:rsid w:val="00BD23AB"/>
    <w:rsid w:val="00BD2994"/>
    <w:rsid w:val="00BD3A85"/>
    <w:rsid w:val="00BD3C1B"/>
    <w:rsid w:val="00BD4C85"/>
    <w:rsid w:val="00BD55ED"/>
    <w:rsid w:val="00BD64A7"/>
    <w:rsid w:val="00BD6877"/>
    <w:rsid w:val="00BD6F7A"/>
    <w:rsid w:val="00BE040B"/>
    <w:rsid w:val="00BE0CB2"/>
    <w:rsid w:val="00BE13EB"/>
    <w:rsid w:val="00BE3C66"/>
    <w:rsid w:val="00BE3FB2"/>
    <w:rsid w:val="00BE4253"/>
    <w:rsid w:val="00BE4E22"/>
    <w:rsid w:val="00BE5A0F"/>
    <w:rsid w:val="00BE5A53"/>
    <w:rsid w:val="00BF09B3"/>
    <w:rsid w:val="00BF2D5A"/>
    <w:rsid w:val="00BF3971"/>
    <w:rsid w:val="00BF4307"/>
    <w:rsid w:val="00BF7CDB"/>
    <w:rsid w:val="00C00323"/>
    <w:rsid w:val="00C01C7F"/>
    <w:rsid w:val="00C01DA8"/>
    <w:rsid w:val="00C055D6"/>
    <w:rsid w:val="00C06003"/>
    <w:rsid w:val="00C06178"/>
    <w:rsid w:val="00C109ED"/>
    <w:rsid w:val="00C13730"/>
    <w:rsid w:val="00C14ABE"/>
    <w:rsid w:val="00C1541D"/>
    <w:rsid w:val="00C16A5B"/>
    <w:rsid w:val="00C1740C"/>
    <w:rsid w:val="00C1761A"/>
    <w:rsid w:val="00C17872"/>
    <w:rsid w:val="00C17E5C"/>
    <w:rsid w:val="00C20BB0"/>
    <w:rsid w:val="00C215E7"/>
    <w:rsid w:val="00C228AE"/>
    <w:rsid w:val="00C22C4A"/>
    <w:rsid w:val="00C22EFB"/>
    <w:rsid w:val="00C231C7"/>
    <w:rsid w:val="00C234E4"/>
    <w:rsid w:val="00C25F26"/>
    <w:rsid w:val="00C26BC9"/>
    <w:rsid w:val="00C27203"/>
    <w:rsid w:val="00C27816"/>
    <w:rsid w:val="00C27C7D"/>
    <w:rsid w:val="00C27FC5"/>
    <w:rsid w:val="00C305F2"/>
    <w:rsid w:val="00C30847"/>
    <w:rsid w:val="00C3086A"/>
    <w:rsid w:val="00C30E53"/>
    <w:rsid w:val="00C3139C"/>
    <w:rsid w:val="00C31A03"/>
    <w:rsid w:val="00C31B07"/>
    <w:rsid w:val="00C3242C"/>
    <w:rsid w:val="00C32C4B"/>
    <w:rsid w:val="00C33CAF"/>
    <w:rsid w:val="00C33EC2"/>
    <w:rsid w:val="00C35D46"/>
    <w:rsid w:val="00C363E6"/>
    <w:rsid w:val="00C36658"/>
    <w:rsid w:val="00C3742F"/>
    <w:rsid w:val="00C379D5"/>
    <w:rsid w:val="00C41221"/>
    <w:rsid w:val="00C41D08"/>
    <w:rsid w:val="00C43882"/>
    <w:rsid w:val="00C44422"/>
    <w:rsid w:val="00C44737"/>
    <w:rsid w:val="00C44BBD"/>
    <w:rsid w:val="00C45B0B"/>
    <w:rsid w:val="00C4626D"/>
    <w:rsid w:val="00C469A8"/>
    <w:rsid w:val="00C476FB"/>
    <w:rsid w:val="00C47907"/>
    <w:rsid w:val="00C500D1"/>
    <w:rsid w:val="00C508FC"/>
    <w:rsid w:val="00C50B4D"/>
    <w:rsid w:val="00C5268E"/>
    <w:rsid w:val="00C52A70"/>
    <w:rsid w:val="00C540CC"/>
    <w:rsid w:val="00C54825"/>
    <w:rsid w:val="00C548A2"/>
    <w:rsid w:val="00C54AE8"/>
    <w:rsid w:val="00C54D3B"/>
    <w:rsid w:val="00C56499"/>
    <w:rsid w:val="00C612C2"/>
    <w:rsid w:val="00C62452"/>
    <w:rsid w:val="00C6322E"/>
    <w:rsid w:val="00C641AD"/>
    <w:rsid w:val="00C64A35"/>
    <w:rsid w:val="00C64D26"/>
    <w:rsid w:val="00C65067"/>
    <w:rsid w:val="00C653CE"/>
    <w:rsid w:val="00C65521"/>
    <w:rsid w:val="00C666D0"/>
    <w:rsid w:val="00C6783C"/>
    <w:rsid w:val="00C70B15"/>
    <w:rsid w:val="00C70C3A"/>
    <w:rsid w:val="00C72CD4"/>
    <w:rsid w:val="00C7397C"/>
    <w:rsid w:val="00C73992"/>
    <w:rsid w:val="00C73E51"/>
    <w:rsid w:val="00C74861"/>
    <w:rsid w:val="00C75168"/>
    <w:rsid w:val="00C752E0"/>
    <w:rsid w:val="00C75D27"/>
    <w:rsid w:val="00C776FF"/>
    <w:rsid w:val="00C82689"/>
    <w:rsid w:val="00C82BA0"/>
    <w:rsid w:val="00C843A2"/>
    <w:rsid w:val="00C84E9D"/>
    <w:rsid w:val="00C85205"/>
    <w:rsid w:val="00C86AC1"/>
    <w:rsid w:val="00C874E1"/>
    <w:rsid w:val="00C904E9"/>
    <w:rsid w:val="00C90BFA"/>
    <w:rsid w:val="00C91ED4"/>
    <w:rsid w:val="00C92539"/>
    <w:rsid w:val="00C93C96"/>
    <w:rsid w:val="00C945C5"/>
    <w:rsid w:val="00C96358"/>
    <w:rsid w:val="00C96383"/>
    <w:rsid w:val="00C96D23"/>
    <w:rsid w:val="00C97450"/>
    <w:rsid w:val="00C97695"/>
    <w:rsid w:val="00C977F8"/>
    <w:rsid w:val="00CA0A73"/>
    <w:rsid w:val="00CA1166"/>
    <w:rsid w:val="00CA1DC8"/>
    <w:rsid w:val="00CA1E63"/>
    <w:rsid w:val="00CA21E9"/>
    <w:rsid w:val="00CA23F9"/>
    <w:rsid w:val="00CA2DFC"/>
    <w:rsid w:val="00CA3080"/>
    <w:rsid w:val="00CA317B"/>
    <w:rsid w:val="00CA3C7C"/>
    <w:rsid w:val="00CA5518"/>
    <w:rsid w:val="00CB00E4"/>
    <w:rsid w:val="00CB05BD"/>
    <w:rsid w:val="00CB27DF"/>
    <w:rsid w:val="00CB2B84"/>
    <w:rsid w:val="00CB3202"/>
    <w:rsid w:val="00CB39FB"/>
    <w:rsid w:val="00CB5DA1"/>
    <w:rsid w:val="00CB60FE"/>
    <w:rsid w:val="00CC0FC9"/>
    <w:rsid w:val="00CC1268"/>
    <w:rsid w:val="00CC2A59"/>
    <w:rsid w:val="00CC3A1B"/>
    <w:rsid w:val="00CC3BB6"/>
    <w:rsid w:val="00CC3E27"/>
    <w:rsid w:val="00CC52B7"/>
    <w:rsid w:val="00CC5803"/>
    <w:rsid w:val="00CC5CDE"/>
    <w:rsid w:val="00CC62F8"/>
    <w:rsid w:val="00CC6EC2"/>
    <w:rsid w:val="00CC70AA"/>
    <w:rsid w:val="00CC7F2B"/>
    <w:rsid w:val="00CD0BDC"/>
    <w:rsid w:val="00CD11F6"/>
    <w:rsid w:val="00CD1B0C"/>
    <w:rsid w:val="00CD1FDD"/>
    <w:rsid w:val="00CD3850"/>
    <w:rsid w:val="00CD4AF7"/>
    <w:rsid w:val="00CD60EC"/>
    <w:rsid w:val="00CD678B"/>
    <w:rsid w:val="00CE0E5F"/>
    <w:rsid w:val="00CE1427"/>
    <w:rsid w:val="00CE1602"/>
    <w:rsid w:val="00CE228F"/>
    <w:rsid w:val="00CE38E7"/>
    <w:rsid w:val="00CE3B55"/>
    <w:rsid w:val="00CE462C"/>
    <w:rsid w:val="00CE5337"/>
    <w:rsid w:val="00CE6119"/>
    <w:rsid w:val="00CE656B"/>
    <w:rsid w:val="00CE65C0"/>
    <w:rsid w:val="00CF0D44"/>
    <w:rsid w:val="00CF1758"/>
    <w:rsid w:val="00CF1A10"/>
    <w:rsid w:val="00CF1A3B"/>
    <w:rsid w:val="00CF66E4"/>
    <w:rsid w:val="00CF6867"/>
    <w:rsid w:val="00CF68C9"/>
    <w:rsid w:val="00CF6CAF"/>
    <w:rsid w:val="00CF710C"/>
    <w:rsid w:val="00CF73B4"/>
    <w:rsid w:val="00CF77A3"/>
    <w:rsid w:val="00CF7C7E"/>
    <w:rsid w:val="00D00395"/>
    <w:rsid w:val="00D00663"/>
    <w:rsid w:val="00D00DA0"/>
    <w:rsid w:val="00D0156A"/>
    <w:rsid w:val="00D02231"/>
    <w:rsid w:val="00D024E9"/>
    <w:rsid w:val="00D02748"/>
    <w:rsid w:val="00D03AF4"/>
    <w:rsid w:val="00D040D3"/>
    <w:rsid w:val="00D05143"/>
    <w:rsid w:val="00D05914"/>
    <w:rsid w:val="00D0641D"/>
    <w:rsid w:val="00D06B77"/>
    <w:rsid w:val="00D0790B"/>
    <w:rsid w:val="00D116FE"/>
    <w:rsid w:val="00D134FB"/>
    <w:rsid w:val="00D14CBD"/>
    <w:rsid w:val="00D15A28"/>
    <w:rsid w:val="00D161FC"/>
    <w:rsid w:val="00D16954"/>
    <w:rsid w:val="00D17016"/>
    <w:rsid w:val="00D20C90"/>
    <w:rsid w:val="00D22861"/>
    <w:rsid w:val="00D231D0"/>
    <w:rsid w:val="00D23708"/>
    <w:rsid w:val="00D241F8"/>
    <w:rsid w:val="00D2530A"/>
    <w:rsid w:val="00D25D1A"/>
    <w:rsid w:val="00D25D3E"/>
    <w:rsid w:val="00D263AA"/>
    <w:rsid w:val="00D2660A"/>
    <w:rsid w:val="00D27078"/>
    <w:rsid w:val="00D2757E"/>
    <w:rsid w:val="00D27989"/>
    <w:rsid w:val="00D27AEA"/>
    <w:rsid w:val="00D30919"/>
    <w:rsid w:val="00D31108"/>
    <w:rsid w:val="00D31BF4"/>
    <w:rsid w:val="00D31D29"/>
    <w:rsid w:val="00D31F38"/>
    <w:rsid w:val="00D3231B"/>
    <w:rsid w:val="00D324E2"/>
    <w:rsid w:val="00D32B3D"/>
    <w:rsid w:val="00D335A0"/>
    <w:rsid w:val="00D338F5"/>
    <w:rsid w:val="00D33EB6"/>
    <w:rsid w:val="00D34916"/>
    <w:rsid w:val="00D36732"/>
    <w:rsid w:val="00D378D6"/>
    <w:rsid w:val="00D41040"/>
    <w:rsid w:val="00D410FB"/>
    <w:rsid w:val="00D41E76"/>
    <w:rsid w:val="00D42E0B"/>
    <w:rsid w:val="00D434DD"/>
    <w:rsid w:val="00D43D72"/>
    <w:rsid w:val="00D442EF"/>
    <w:rsid w:val="00D44368"/>
    <w:rsid w:val="00D446CE"/>
    <w:rsid w:val="00D4661A"/>
    <w:rsid w:val="00D475D5"/>
    <w:rsid w:val="00D47F5F"/>
    <w:rsid w:val="00D50812"/>
    <w:rsid w:val="00D50B6C"/>
    <w:rsid w:val="00D544D2"/>
    <w:rsid w:val="00D54792"/>
    <w:rsid w:val="00D552E9"/>
    <w:rsid w:val="00D55859"/>
    <w:rsid w:val="00D55F9D"/>
    <w:rsid w:val="00D612DF"/>
    <w:rsid w:val="00D627A8"/>
    <w:rsid w:val="00D63617"/>
    <w:rsid w:val="00D64F10"/>
    <w:rsid w:val="00D6577C"/>
    <w:rsid w:val="00D6665F"/>
    <w:rsid w:val="00D66685"/>
    <w:rsid w:val="00D66BE6"/>
    <w:rsid w:val="00D66DB8"/>
    <w:rsid w:val="00D67084"/>
    <w:rsid w:val="00D67A00"/>
    <w:rsid w:val="00D70087"/>
    <w:rsid w:val="00D7017D"/>
    <w:rsid w:val="00D70520"/>
    <w:rsid w:val="00D7090E"/>
    <w:rsid w:val="00D70AE4"/>
    <w:rsid w:val="00D72191"/>
    <w:rsid w:val="00D72ECC"/>
    <w:rsid w:val="00D7305F"/>
    <w:rsid w:val="00D73572"/>
    <w:rsid w:val="00D75ACD"/>
    <w:rsid w:val="00D7631F"/>
    <w:rsid w:val="00D76927"/>
    <w:rsid w:val="00D77546"/>
    <w:rsid w:val="00D777AF"/>
    <w:rsid w:val="00D777C6"/>
    <w:rsid w:val="00D77B13"/>
    <w:rsid w:val="00D77CA6"/>
    <w:rsid w:val="00D80CD2"/>
    <w:rsid w:val="00D81C92"/>
    <w:rsid w:val="00D83719"/>
    <w:rsid w:val="00D84270"/>
    <w:rsid w:val="00D844C7"/>
    <w:rsid w:val="00D855B1"/>
    <w:rsid w:val="00D85F67"/>
    <w:rsid w:val="00D867F5"/>
    <w:rsid w:val="00D87792"/>
    <w:rsid w:val="00D9020E"/>
    <w:rsid w:val="00D90892"/>
    <w:rsid w:val="00D90B22"/>
    <w:rsid w:val="00D924E3"/>
    <w:rsid w:val="00D93DCE"/>
    <w:rsid w:val="00D94FB7"/>
    <w:rsid w:val="00D9581F"/>
    <w:rsid w:val="00D95A0A"/>
    <w:rsid w:val="00D95CDA"/>
    <w:rsid w:val="00D96960"/>
    <w:rsid w:val="00D96F44"/>
    <w:rsid w:val="00DA0DAE"/>
    <w:rsid w:val="00DA2253"/>
    <w:rsid w:val="00DA258B"/>
    <w:rsid w:val="00DA2953"/>
    <w:rsid w:val="00DA3091"/>
    <w:rsid w:val="00DA318C"/>
    <w:rsid w:val="00DA41FA"/>
    <w:rsid w:val="00DA50FA"/>
    <w:rsid w:val="00DA5E83"/>
    <w:rsid w:val="00DA6B12"/>
    <w:rsid w:val="00DA7F4F"/>
    <w:rsid w:val="00DB12FE"/>
    <w:rsid w:val="00DB2CD9"/>
    <w:rsid w:val="00DB32F3"/>
    <w:rsid w:val="00DB43A3"/>
    <w:rsid w:val="00DB4672"/>
    <w:rsid w:val="00DB4C19"/>
    <w:rsid w:val="00DB5256"/>
    <w:rsid w:val="00DB556D"/>
    <w:rsid w:val="00DB5AD0"/>
    <w:rsid w:val="00DB6213"/>
    <w:rsid w:val="00DB7901"/>
    <w:rsid w:val="00DB7B12"/>
    <w:rsid w:val="00DC060C"/>
    <w:rsid w:val="00DC065E"/>
    <w:rsid w:val="00DC0891"/>
    <w:rsid w:val="00DC09DB"/>
    <w:rsid w:val="00DC1312"/>
    <w:rsid w:val="00DC1859"/>
    <w:rsid w:val="00DC1A40"/>
    <w:rsid w:val="00DC1B5C"/>
    <w:rsid w:val="00DC22A9"/>
    <w:rsid w:val="00DC22E4"/>
    <w:rsid w:val="00DC2FBB"/>
    <w:rsid w:val="00DC347F"/>
    <w:rsid w:val="00DC36BC"/>
    <w:rsid w:val="00DC4EDA"/>
    <w:rsid w:val="00DC58C6"/>
    <w:rsid w:val="00DC7975"/>
    <w:rsid w:val="00DD2056"/>
    <w:rsid w:val="00DD2A44"/>
    <w:rsid w:val="00DD361C"/>
    <w:rsid w:val="00DD3749"/>
    <w:rsid w:val="00DD3A16"/>
    <w:rsid w:val="00DD4095"/>
    <w:rsid w:val="00DD4CA6"/>
    <w:rsid w:val="00DD55A8"/>
    <w:rsid w:val="00DD70ED"/>
    <w:rsid w:val="00DE3E77"/>
    <w:rsid w:val="00DE4F75"/>
    <w:rsid w:val="00DE57A9"/>
    <w:rsid w:val="00DE5BCF"/>
    <w:rsid w:val="00DE6E1C"/>
    <w:rsid w:val="00DF024E"/>
    <w:rsid w:val="00DF0465"/>
    <w:rsid w:val="00DF0527"/>
    <w:rsid w:val="00DF1D22"/>
    <w:rsid w:val="00DF31DE"/>
    <w:rsid w:val="00DF36C4"/>
    <w:rsid w:val="00DF57E9"/>
    <w:rsid w:val="00DF584D"/>
    <w:rsid w:val="00DF67B7"/>
    <w:rsid w:val="00DF6951"/>
    <w:rsid w:val="00DF7150"/>
    <w:rsid w:val="00DF7206"/>
    <w:rsid w:val="00E01135"/>
    <w:rsid w:val="00E02570"/>
    <w:rsid w:val="00E026D0"/>
    <w:rsid w:val="00E02A2F"/>
    <w:rsid w:val="00E03F60"/>
    <w:rsid w:val="00E102AC"/>
    <w:rsid w:val="00E10E25"/>
    <w:rsid w:val="00E10F4D"/>
    <w:rsid w:val="00E13080"/>
    <w:rsid w:val="00E133B4"/>
    <w:rsid w:val="00E13DE3"/>
    <w:rsid w:val="00E14618"/>
    <w:rsid w:val="00E14D61"/>
    <w:rsid w:val="00E167A0"/>
    <w:rsid w:val="00E17703"/>
    <w:rsid w:val="00E179EB"/>
    <w:rsid w:val="00E20610"/>
    <w:rsid w:val="00E21B02"/>
    <w:rsid w:val="00E22461"/>
    <w:rsid w:val="00E2281D"/>
    <w:rsid w:val="00E22F46"/>
    <w:rsid w:val="00E23CDB"/>
    <w:rsid w:val="00E24D13"/>
    <w:rsid w:val="00E27CAB"/>
    <w:rsid w:val="00E316C7"/>
    <w:rsid w:val="00E3199D"/>
    <w:rsid w:val="00E31E55"/>
    <w:rsid w:val="00E320A9"/>
    <w:rsid w:val="00E32201"/>
    <w:rsid w:val="00E34836"/>
    <w:rsid w:val="00E35F14"/>
    <w:rsid w:val="00E3626D"/>
    <w:rsid w:val="00E36373"/>
    <w:rsid w:val="00E3728A"/>
    <w:rsid w:val="00E37ADE"/>
    <w:rsid w:val="00E37B5D"/>
    <w:rsid w:val="00E37D0F"/>
    <w:rsid w:val="00E408F8"/>
    <w:rsid w:val="00E42AEF"/>
    <w:rsid w:val="00E4474C"/>
    <w:rsid w:val="00E44E24"/>
    <w:rsid w:val="00E45A0B"/>
    <w:rsid w:val="00E47174"/>
    <w:rsid w:val="00E47F3B"/>
    <w:rsid w:val="00E52E17"/>
    <w:rsid w:val="00E53FB1"/>
    <w:rsid w:val="00E542D9"/>
    <w:rsid w:val="00E5481C"/>
    <w:rsid w:val="00E54F6D"/>
    <w:rsid w:val="00E557EF"/>
    <w:rsid w:val="00E56CB4"/>
    <w:rsid w:val="00E6020E"/>
    <w:rsid w:val="00E60263"/>
    <w:rsid w:val="00E61155"/>
    <w:rsid w:val="00E611E2"/>
    <w:rsid w:val="00E61314"/>
    <w:rsid w:val="00E62EB4"/>
    <w:rsid w:val="00E643A8"/>
    <w:rsid w:val="00E651E4"/>
    <w:rsid w:val="00E66279"/>
    <w:rsid w:val="00E67278"/>
    <w:rsid w:val="00E67282"/>
    <w:rsid w:val="00E67D56"/>
    <w:rsid w:val="00E70ED5"/>
    <w:rsid w:val="00E71D30"/>
    <w:rsid w:val="00E721A4"/>
    <w:rsid w:val="00E73644"/>
    <w:rsid w:val="00E744C8"/>
    <w:rsid w:val="00E75818"/>
    <w:rsid w:val="00E77B3A"/>
    <w:rsid w:val="00E82134"/>
    <w:rsid w:val="00E8254A"/>
    <w:rsid w:val="00E8420A"/>
    <w:rsid w:val="00E856EA"/>
    <w:rsid w:val="00E86689"/>
    <w:rsid w:val="00E86DE6"/>
    <w:rsid w:val="00E9009A"/>
    <w:rsid w:val="00E91E9C"/>
    <w:rsid w:val="00E91ED9"/>
    <w:rsid w:val="00E92CCE"/>
    <w:rsid w:val="00E95B99"/>
    <w:rsid w:val="00E96932"/>
    <w:rsid w:val="00E96CE3"/>
    <w:rsid w:val="00E96F88"/>
    <w:rsid w:val="00E97AEF"/>
    <w:rsid w:val="00EA04F1"/>
    <w:rsid w:val="00EA0660"/>
    <w:rsid w:val="00EA1419"/>
    <w:rsid w:val="00EA1C17"/>
    <w:rsid w:val="00EA36A4"/>
    <w:rsid w:val="00EA3B56"/>
    <w:rsid w:val="00EA6392"/>
    <w:rsid w:val="00EA6697"/>
    <w:rsid w:val="00EA777A"/>
    <w:rsid w:val="00EB1F67"/>
    <w:rsid w:val="00EB269A"/>
    <w:rsid w:val="00EB3B9E"/>
    <w:rsid w:val="00EB4075"/>
    <w:rsid w:val="00EB47DD"/>
    <w:rsid w:val="00EB54C6"/>
    <w:rsid w:val="00EB676A"/>
    <w:rsid w:val="00EB6C1B"/>
    <w:rsid w:val="00EB7785"/>
    <w:rsid w:val="00EB7DE3"/>
    <w:rsid w:val="00EC13F8"/>
    <w:rsid w:val="00EC1B7B"/>
    <w:rsid w:val="00EC2442"/>
    <w:rsid w:val="00EC2EEA"/>
    <w:rsid w:val="00EC528E"/>
    <w:rsid w:val="00EC6AB2"/>
    <w:rsid w:val="00EC7C3C"/>
    <w:rsid w:val="00ED1433"/>
    <w:rsid w:val="00ED191E"/>
    <w:rsid w:val="00ED1F90"/>
    <w:rsid w:val="00ED32A9"/>
    <w:rsid w:val="00ED3779"/>
    <w:rsid w:val="00ED577D"/>
    <w:rsid w:val="00ED61E7"/>
    <w:rsid w:val="00ED6637"/>
    <w:rsid w:val="00EE00DE"/>
    <w:rsid w:val="00EE17C6"/>
    <w:rsid w:val="00EE19DF"/>
    <w:rsid w:val="00EE1D80"/>
    <w:rsid w:val="00EE20DE"/>
    <w:rsid w:val="00EE3275"/>
    <w:rsid w:val="00EE3D05"/>
    <w:rsid w:val="00EE4549"/>
    <w:rsid w:val="00EE4ABC"/>
    <w:rsid w:val="00EE4BBD"/>
    <w:rsid w:val="00EE5B07"/>
    <w:rsid w:val="00EE6DBA"/>
    <w:rsid w:val="00EE75A4"/>
    <w:rsid w:val="00EF1EFC"/>
    <w:rsid w:val="00EF2B47"/>
    <w:rsid w:val="00EF3543"/>
    <w:rsid w:val="00EF4BCA"/>
    <w:rsid w:val="00EF594A"/>
    <w:rsid w:val="00EF5D2D"/>
    <w:rsid w:val="00EF6AFD"/>
    <w:rsid w:val="00F01C30"/>
    <w:rsid w:val="00F023BF"/>
    <w:rsid w:val="00F02BF8"/>
    <w:rsid w:val="00F04545"/>
    <w:rsid w:val="00F045F2"/>
    <w:rsid w:val="00F04FA7"/>
    <w:rsid w:val="00F06063"/>
    <w:rsid w:val="00F06135"/>
    <w:rsid w:val="00F06A28"/>
    <w:rsid w:val="00F06D2D"/>
    <w:rsid w:val="00F06E63"/>
    <w:rsid w:val="00F0780A"/>
    <w:rsid w:val="00F1005D"/>
    <w:rsid w:val="00F10B88"/>
    <w:rsid w:val="00F10DAA"/>
    <w:rsid w:val="00F11D35"/>
    <w:rsid w:val="00F14E1F"/>
    <w:rsid w:val="00F15B24"/>
    <w:rsid w:val="00F167F3"/>
    <w:rsid w:val="00F171A6"/>
    <w:rsid w:val="00F17B1C"/>
    <w:rsid w:val="00F17D5B"/>
    <w:rsid w:val="00F21355"/>
    <w:rsid w:val="00F218EF"/>
    <w:rsid w:val="00F21B60"/>
    <w:rsid w:val="00F238F7"/>
    <w:rsid w:val="00F23E57"/>
    <w:rsid w:val="00F24B2A"/>
    <w:rsid w:val="00F25B9B"/>
    <w:rsid w:val="00F32362"/>
    <w:rsid w:val="00F329AF"/>
    <w:rsid w:val="00F32F30"/>
    <w:rsid w:val="00F33278"/>
    <w:rsid w:val="00F332A5"/>
    <w:rsid w:val="00F34AD0"/>
    <w:rsid w:val="00F375D2"/>
    <w:rsid w:val="00F37AE6"/>
    <w:rsid w:val="00F37D82"/>
    <w:rsid w:val="00F41726"/>
    <w:rsid w:val="00F41827"/>
    <w:rsid w:val="00F41BB6"/>
    <w:rsid w:val="00F42146"/>
    <w:rsid w:val="00F438AB"/>
    <w:rsid w:val="00F439E1"/>
    <w:rsid w:val="00F45467"/>
    <w:rsid w:val="00F45851"/>
    <w:rsid w:val="00F45CED"/>
    <w:rsid w:val="00F45F7E"/>
    <w:rsid w:val="00F471F5"/>
    <w:rsid w:val="00F47488"/>
    <w:rsid w:val="00F47604"/>
    <w:rsid w:val="00F50DBF"/>
    <w:rsid w:val="00F51B44"/>
    <w:rsid w:val="00F51BF5"/>
    <w:rsid w:val="00F5306E"/>
    <w:rsid w:val="00F5372C"/>
    <w:rsid w:val="00F5392D"/>
    <w:rsid w:val="00F54150"/>
    <w:rsid w:val="00F5450A"/>
    <w:rsid w:val="00F54C76"/>
    <w:rsid w:val="00F54EDC"/>
    <w:rsid w:val="00F56798"/>
    <w:rsid w:val="00F56B97"/>
    <w:rsid w:val="00F56DC2"/>
    <w:rsid w:val="00F577A5"/>
    <w:rsid w:val="00F57802"/>
    <w:rsid w:val="00F60F79"/>
    <w:rsid w:val="00F623AC"/>
    <w:rsid w:val="00F6362E"/>
    <w:rsid w:val="00F63B70"/>
    <w:rsid w:val="00F64739"/>
    <w:rsid w:val="00F64E36"/>
    <w:rsid w:val="00F64FC7"/>
    <w:rsid w:val="00F668D0"/>
    <w:rsid w:val="00F66938"/>
    <w:rsid w:val="00F67C05"/>
    <w:rsid w:val="00F70201"/>
    <w:rsid w:val="00F708FC"/>
    <w:rsid w:val="00F710E7"/>
    <w:rsid w:val="00F71101"/>
    <w:rsid w:val="00F71ED0"/>
    <w:rsid w:val="00F72A20"/>
    <w:rsid w:val="00F7342E"/>
    <w:rsid w:val="00F74DC8"/>
    <w:rsid w:val="00F74FA7"/>
    <w:rsid w:val="00F75A95"/>
    <w:rsid w:val="00F75CDC"/>
    <w:rsid w:val="00F76250"/>
    <w:rsid w:val="00F76333"/>
    <w:rsid w:val="00F768B5"/>
    <w:rsid w:val="00F76C0F"/>
    <w:rsid w:val="00F77305"/>
    <w:rsid w:val="00F774B7"/>
    <w:rsid w:val="00F803A4"/>
    <w:rsid w:val="00F8068E"/>
    <w:rsid w:val="00F8077D"/>
    <w:rsid w:val="00F80F35"/>
    <w:rsid w:val="00F8149E"/>
    <w:rsid w:val="00F83AD8"/>
    <w:rsid w:val="00F83C08"/>
    <w:rsid w:val="00F853D9"/>
    <w:rsid w:val="00F85A92"/>
    <w:rsid w:val="00F85CB5"/>
    <w:rsid w:val="00F860F4"/>
    <w:rsid w:val="00F868A9"/>
    <w:rsid w:val="00F90766"/>
    <w:rsid w:val="00F919AD"/>
    <w:rsid w:val="00F91C8D"/>
    <w:rsid w:val="00F922C9"/>
    <w:rsid w:val="00F9680C"/>
    <w:rsid w:val="00F969D0"/>
    <w:rsid w:val="00F970DD"/>
    <w:rsid w:val="00F97CA8"/>
    <w:rsid w:val="00FA0297"/>
    <w:rsid w:val="00FA2759"/>
    <w:rsid w:val="00FA33C1"/>
    <w:rsid w:val="00FA3A9C"/>
    <w:rsid w:val="00FA468B"/>
    <w:rsid w:val="00FA58DE"/>
    <w:rsid w:val="00FA5BDA"/>
    <w:rsid w:val="00FA6557"/>
    <w:rsid w:val="00FA6912"/>
    <w:rsid w:val="00FA73B4"/>
    <w:rsid w:val="00FA75E7"/>
    <w:rsid w:val="00FB0653"/>
    <w:rsid w:val="00FB07AB"/>
    <w:rsid w:val="00FB0DBF"/>
    <w:rsid w:val="00FB102B"/>
    <w:rsid w:val="00FB1665"/>
    <w:rsid w:val="00FB189C"/>
    <w:rsid w:val="00FB2C4B"/>
    <w:rsid w:val="00FB2D7D"/>
    <w:rsid w:val="00FB3EF6"/>
    <w:rsid w:val="00FB40B4"/>
    <w:rsid w:val="00FB5114"/>
    <w:rsid w:val="00FB6063"/>
    <w:rsid w:val="00FB6A33"/>
    <w:rsid w:val="00FB6AC1"/>
    <w:rsid w:val="00FB74C6"/>
    <w:rsid w:val="00FB773D"/>
    <w:rsid w:val="00FB7EFA"/>
    <w:rsid w:val="00FC2784"/>
    <w:rsid w:val="00FC3148"/>
    <w:rsid w:val="00FC4409"/>
    <w:rsid w:val="00FC4E02"/>
    <w:rsid w:val="00FC60E0"/>
    <w:rsid w:val="00FD0580"/>
    <w:rsid w:val="00FD09AE"/>
    <w:rsid w:val="00FD209F"/>
    <w:rsid w:val="00FD2126"/>
    <w:rsid w:val="00FD2DE7"/>
    <w:rsid w:val="00FD405D"/>
    <w:rsid w:val="00FD4FF6"/>
    <w:rsid w:val="00FD62A8"/>
    <w:rsid w:val="00FD7797"/>
    <w:rsid w:val="00FD7E01"/>
    <w:rsid w:val="00FE1F6A"/>
    <w:rsid w:val="00FE236B"/>
    <w:rsid w:val="00FE3201"/>
    <w:rsid w:val="00FE3238"/>
    <w:rsid w:val="00FE36F3"/>
    <w:rsid w:val="00FE3898"/>
    <w:rsid w:val="00FE49E3"/>
    <w:rsid w:val="00FE4A2F"/>
    <w:rsid w:val="00FE4C5E"/>
    <w:rsid w:val="00FE74F5"/>
    <w:rsid w:val="00FF009E"/>
    <w:rsid w:val="00FF028A"/>
    <w:rsid w:val="00FF03C1"/>
    <w:rsid w:val="00FF04B7"/>
    <w:rsid w:val="00FF1554"/>
    <w:rsid w:val="00FF1624"/>
    <w:rsid w:val="00FF1932"/>
    <w:rsid w:val="00FF263C"/>
    <w:rsid w:val="00FF301A"/>
    <w:rsid w:val="00FF41AB"/>
    <w:rsid w:val="00FF51FB"/>
    <w:rsid w:val="00FF55D3"/>
    <w:rsid w:val="00FF688A"/>
    <w:rsid w:val="00FF7AB6"/>
    <w:rsid w:val="00FF7C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E889"/>
  <w15:chartTrackingRefBased/>
  <w15:docId w15:val="{6EA275D3-BDC4-4D9C-9E2E-699B9121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2D7"/>
    <w:pPr>
      <w:spacing w:after="160" w:line="259" w:lineRule="auto"/>
    </w:pPr>
    <w:rPr>
      <w:sz w:val="22"/>
      <w:szCs w:val="22"/>
    </w:rPr>
  </w:style>
  <w:style w:type="paragraph" w:styleId="1">
    <w:name w:val="heading 1"/>
    <w:basedOn w:val="a"/>
    <w:next w:val="a"/>
    <w:link w:val="1Char"/>
    <w:uiPriority w:val="9"/>
    <w:qFormat/>
    <w:rsid w:val="00F218EF"/>
    <w:pPr>
      <w:keepNext/>
      <w:keepLines/>
      <w:spacing w:before="240" w:after="0"/>
      <w:outlineLvl w:val="0"/>
    </w:pPr>
    <w:rPr>
      <w:rFonts w:cs="Times New Roman"/>
      <w:b/>
      <w:sz w:val="28"/>
      <w:szCs w:val="32"/>
    </w:rPr>
  </w:style>
  <w:style w:type="paragraph" w:styleId="2">
    <w:name w:val="heading 2"/>
    <w:basedOn w:val="a"/>
    <w:next w:val="a"/>
    <w:link w:val="2Char"/>
    <w:uiPriority w:val="9"/>
    <w:unhideWhenUsed/>
    <w:qFormat/>
    <w:rsid w:val="00F218EF"/>
    <w:pPr>
      <w:keepNext/>
      <w:keepLines/>
      <w:spacing w:before="160" w:after="120"/>
      <w:outlineLvl w:val="1"/>
    </w:pPr>
    <w:rPr>
      <w:rFonts w:cs="Times New Roman"/>
      <w:i/>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71D3"/>
    <w:pPr>
      <w:tabs>
        <w:tab w:val="center" w:pos="4153"/>
        <w:tab w:val="right" w:pos="8306"/>
      </w:tabs>
      <w:spacing w:after="0" w:line="240" w:lineRule="auto"/>
    </w:pPr>
  </w:style>
  <w:style w:type="character" w:customStyle="1" w:styleId="Char">
    <w:name w:val="页眉 Char"/>
    <w:basedOn w:val="a0"/>
    <w:link w:val="a3"/>
    <w:uiPriority w:val="99"/>
    <w:rsid w:val="005071D3"/>
  </w:style>
  <w:style w:type="paragraph" w:styleId="a4">
    <w:name w:val="footer"/>
    <w:basedOn w:val="a"/>
    <w:link w:val="Char0"/>
    <w:uiPriority w:val="99"/>
    <w:unhideWhenUsed/>
    <w:rsid w:val="005071D3"/>
    <w:pPr>
      <w:tabs>
        <w:tab w:val="center" w:pos="4153"/>
        <w:tab w:val="right" w:pos="8306"/>
      </w:tabs>
      <w:spacing w:after="0" w:line="240" w:lineRule="auto"/>
    </w:pPr>
  </w:style>
  <w:style w:type="character" w:customStyle="1" w:styleId="Char0">
    <w:name w:val="页脚 Char"/>
    <w:basedOn w:val="a0"/>
    <w:link w:val="a4"/>
    <w:uiPriority w:val="99"/>
    <w:rsid w:val="005071D3"/>
  </w:style>
  <w:style w:type="character" w:customStyle="1" w:styleId="1Char">
    <w:name w:val="标题 1 Char"/>
    <w:link w:val="1"/>
    <w:uiPriority w:val="9"/>
    <w:rsid w:val="00F218EF"/>
    <w:rPr>
      <w:rFonts w:eastAsia="宋体" w:cs="Times New Roman"/>
      <w:b/>
      <w:sz w:val="28"/>
      <w:szCs w:val="32"/>
    </w:rPr>
  </w:style>
  <w:style w:type="character" w:customStyle="1" w:styleId="2Char">
    <w:name w:val="标题 2 Char"/>
    <w:link w:val="2"/>
    <w:uiPriority w:val="9"/>
    <w:rsid w:val="00F218EF"/>
    <w:rPr>
      <w:rFonts w:eastAsia="宋体" w:cs="Times New Roman"/>
      <w:i/>
      <w:color w:val="000000"/>
      <w:sz w:val="24"/>
      <w:szCs w:val="26"/>
    </w:rPr>
  </w:style>
  <w:style w:type="character" w:styleId="a5">
    <w:name w:val="Placeholder Text"/>
    <w:uiPriority w:val="99"/>
    <w:semiHidden/>
    <w:rsid w:val="00113823"/>
    <w:rPr>
      <w:color w:val="808080"/>
    </w:rPr>
  </w:style>
  <w:style w:type="paragraph" w:styleId="a6">
    <w:name w:val="No Spacing"/>
    <w:uiPriority w:val="1"/>
    <w:qFormat/>
    <w:rsid w:val="00086AE6"/>
    <w:rPr>
      <w:sz w:val="22"/>
      <w:szCs w:val="22"/>
    </w:rPr>
  </w:style>
  <w:style w:type="paragraph" w:styleId="a7">
    <w:name w:val="footnote text"/>
    <w:basedOn w:val="a"/>
    <w:link w:val="Char1"/>
    <w:uiPriority w:val="99"/>
    <w:unhideWhenUsed/>
    <w:rsid w:val="005E2E7D"/>
    <w:pPr>
      <w:spacing w:after="0" w:line="240" w:lineRule="auto"/>
    </w:pPr>
    <w:rPr>
      <w:sz w:val="20"/>
      <w:szCs w:val="20"/>
    </w:rPr>
  </w:style>
  <w:style w:type="character" w:customStyle="1" w:styleId="Char1">
    <w:name w:val="脚注文本 Char"/>
    <w:link w:val="a7"/>
    <w:uiPriority w:val="99"/>
    <w:rsid w:val="005E2E7D"/>
    <w:rPr>
      <w:sz w:val="20"/>
      <w:szCs w:val="20"/>
    </w:rPr>
  </w:style>
  <w:style w:type="character" w:styleId="a8">
    <w:name w:val="footnote reference"/>
    <w:uiPriority w:val="99"/>
    <w:semiHidden/>
    <w:unhideWhenUsed/>
    <w:rsid w:val="005E2E7D"/>
    <w:rPr>
      <w:vertAlign w:val="superscript"/>
    </w:rPr>
  </w:style>
  <w:style w:type="character" w:styleId="a9">
    <w:name w:val="Hyperlink"/>
    <w:uiPriority w:val="99"/>
    <w:semiHidden/>
    <w:unhideWhenUsed/>
    <w:rsid w:val="00F02BF8"/>
    <w:rPr>
      <w:color w:val="0000FF"/>
      <w:u w:val="single"/>
    </w:rPr>
  </w:style>
  <w:style w:type="character" w:styleId="aa">
    <w:name w:val="FollowedHyperlink"/>
    <w:uiPriority w:val="99"/>
    <w:semiHidden/>
    <w:unhideWhenUsed/>
    <w:rsid w:val="00F02BF8"/>
    <w:rPr>
      <w:color w:val="800080"/>
      <w:u w:val="single"/>
    </w:rPr>
  </w:style>
  <w:style w:type="paragraph" w:customStyle="1" w:styleId="font5">
    <w:name w:val="font5"/>
    <w:basedOn w:val="a"/>
    <w:rsid w:val="00F02BF8"/>
    <w:pPr>
      <w:spacing w:before="100" w:beforeAutospacing="1" w:after="100" w:afterAutospacing="1" w:line="240" w:lineRule="auto"/>
    </w:pPr>
    <w:rPr>
      <w:rFonts w:eastAsia="Times New Roman" w:cs="Calibri"/>
      <w:color w:val="000000"/>
      <w:sz w:val="20"/>
      <w:szCs w:val="20"/>
    </w:rPr>
  </w:style>
  <w:style w:type="paragraph" w:customStyle="1" w:styleId="font6">
    <w:name w:val="font6"/>
    <w:basedOn w:val="a"/>
    <w:rsid w:val="00F02BF8"/>
    <w:pPr>
      <w:spacing w:before="100" w:beforeAutospacing="1" w:after="100" w:afterAutospacing="1" w:line="240" w:lineRule="auto"/>
    </w:pPr>
    <w:rPr>
      <w:rFonts w:eastAsia="Times New Roman" w:cs="Calibri"/>
      <w:i/>
      <w:iCs/>
      <w:color w:val="000000"/>
      <w:sz w:val="20"/>
      <w:szCs w:val="20"/>
    </w:rPr>
  </w:style>
  <w:style w:type="paragraph" w:customStyle="1" w:styleId="font7">
    <w:name w:val="font7"/>
    <w:basedOn w:val="a"/>
    <w:rsid w:val="00F02BF8"/>
    <w:pPr>
      <w:spacing w:before="100" w:beforeAutospacing="1" w:after="100" w:afterAutospacing="1" w:line="240" w:lineRule="auto"/>
    </w:pPr>
    <w:rPr>
      <w:rFonts w:eastAsia="Times New Roman" w:cs="Calibri"/>
      <w:i/>
      <w:iCs/>
      <w:color w:val="000000"/>
      <w:sz w:val="20"/>
      <w:szCs w:val="20"/>
    </w:rPr>
  </w:style>
  <w:style w:type="paragraph" w:customStyle="1" w:styleId="font8">
    <w:name w:val="font8"/>
    <w:basedOn w:val="a"/>
    <w:rsid w:val="00F02BF8"/>
    <w:pPr>
      <w:spacing w:before="100" w:beforeAutospacing="1" w:after="100" w:afterAutospacing="1" w:line="240" w:lineRule="auto"/>
    </w:pPr>
    <w:rPr>
      <w:rFonts w:eastAsia="Times New Roman" w:cs="Calibri"/>
      <w:color w:val="000000"/>
      <w:sz w:val="20"/>
      <w:szCs w:val="20"/>
    </w:rPr>
  </w:style>
  <w:style w:type="paragraph" w:customStyle="1" w:styleId="xl65">
    <w:name w:val="xl65"/>
    <w:basedOn w:val="a"/>
    <w:rsid w:val="00F02BF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F02BF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F02BF8"/>
    <w:pP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68">
    <w:name w:val="xl68"/>
    <w:basedOn w:val="a"/>
    <w:rsid w:val="00F02BF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F02BF8"/>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F02BF8"/>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table" w:styleId="ab">
    <w:name w:val="Table Grid"/>
    <w:basedOn w:val="a1"/>
    <w:uiPriority w:val="39"/>
    <w:rsid w:val="00013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2"/>
    <w:uiPriority w:val="99"/>
    <w:semiHidden/>
    <w:unhideWhenUsed/>
    <w:rsid w:val="006815B5"/>
    <w:pPr>
      <w:spacing w:after="0" w:line="240" w:lineRule="auto"/>
    </w:pPr>
    <w:rPr>
      <w:rFonts w:ascii="Microsoft YaHei UI" w:eastAsia="Microsoft YaHei UI"/>
      <w:sz w:val="18"/>
      <w:szCs w:val="18"/>
    </w:rPr>
  </w:style>
  <w:style w:type="character" w:customStyle="1" w:styleId="Char2">
    <w:name w:val="批注框文本 Char"/>
    <w:link w:val="ac"/>
    <w:uiPriority w:val="99"/>
    <w:semiHidden/>
    <w:rsid w:val="006815B5"/>
    <w:rPr>
      <w:rFonts w:ascii="Microsoft YaHei UI" w:eastAsia="Microsoft YaHei UI"/>
      <w:sz w:val="18"/>
      <w:szCs w:val="18"/>
    </w:rPr>
  </w:style>
  <w:style w:type="character" w:styleId="ad">
    <w:name w:val="annotation reference"/>
    <w:uiPriority w:val="99"/>
    <w:semiHidden/>
    <w:unhideWhenUsed/>
    <w:rsid w:val="007A262B"/>
    <w:rPr>
      <w:sz w:val="16"/>
      <w:szCs w:val="16"/>
    </w:rPr>
  </w:style>
  <w:style w:type="paragraph" w:styleId="ae">
    <w:name w:val="annotation text"/>
    <w:basedOn w:val="a"/>
    <w:link w:val="Char3"/>
    <w:uiPriority w:val="99"/>
    <w:semiHidden/>
    <w:unhideWhenUsed/>
    <w:rsid w:val="007A262B"/>
    <w:pPr>
      <w:spacing w:line="240" w:lineRule="auto"/>
    </w:pPr>
    <w:rPr>
      <w:sz w:val="20"/>
      <w:szCs w:val="20"/>
    </w:rPr>
  </w:style>
  <w:style w:type="character" w:customStyle="1" w:styleId="Char3">
    <w:name w:val="批注文字 Char"/>
    <w:link w:val="ae"/>
    <w:uiPriority w:val="99"/>
    <w:semiHidden/>
    <w:rsid w:val="007A262B"/>
    <w:rPr>
      <w:sz w:val="20"/>
      <w:szCs w:val="20"/>
    </w:rPr>
  </w:style>
  <w:style w:type="paragraph" w:styleId="af">
    <w:name w:val="annotation subject"/>
    <w:basedOn w:val="ae"/>
    <w:next w:val="ae"/>
    <w:link w:val="Char4"/>
    <w:uiPriority w:val="99"/>
    <w:semiHidden/>
    <w:unhideWhenUsed/>
    <w:rsid w:val="007A262B"/>
    <w:rPr>
      <w:b/>
      <w:bCs/>
    </w:rPr>
  </w:style>
  <w:style w:type="character" w:customStyle="1" w:styleId="Char4">
    <w:name w:val="批注主题 Char"/>
    <w:link w:val="af"/>
    <w:uiPriority w:val="99"/>
    <w:semiHidden/>
    <w:rsid w:val="007A262B"/>
    <w:rPr>
      <w:b/>
      <w:bCs/>
      <w:sz w:val="20"/>
      <w:szCs w:val="20"/>
    </w:rPr>
  </w:style>
  <w:style w:type="paragraph" w:styleId="af0">
    <w:name w:val="Revision"/>
    <w:hidden/>
    <w:uiPriority w:val="99"/>
    <w:semiHidden/>
    <w:rsid w:val="00570C12"/>
    <w:rPr>
      <w:sz w:val="22"/>
      <w:szCs w:val="22"/>
    </w:rPr>
  </w:style>
  <w:style w:type="character" w:styleId="af1">
    <w:name w:val="endnote reference"/>
    <w:uiPriority w:val="99"/>
    <w:semiHidden/>
    <w:unhideWhenUsed/>
    <w:rsid w:val="00A778A8"/>
    <w:rPr>
      <w:vertAlign w:val="superscript"/>
    </w:rPr>
  </w:style>
  <w:style w:type="numbering" w:customStyle="1" w:styleId="10">
    <w:name w:val="无列表1"/>
    <w:next w:val="a2"/>
    <w:uiPriority w:val="99"/>
    <w:semiHidden/>
    <w:unhideWhenUsed/>
    <w:rsid w:val="00CA1166"/>
  </w:style>
  <w:style w:type="table" w:customStyle="1" w:styleId="11">
    <w:name w:val="网格型1"/>
    <w:basedOn w:val="a1"/>
    <w:next w:val="ab"/>
    <w:uiPriority w:val="39"/>
    <w:rsid w:val="00CA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1">
    <w:name w:val="xl71"/>
    <w:basedOn w:val="a"/>
    <w:rsid w:val="00CA1166"/>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
    <w:rsid w:val="00CA116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CA116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af2">
    <w:name w:val="endnote text"/>
    <w:basedOn w:val="a"/>
    <w:link w:val="Char5"/>
    <w:uiPriority w:val="99"/>
    <w:semiHidden/>
    <w:unhideWhenUsed/>
    <w:rsid w:val="00E60263"/>
    <w:pPr>
      <w:spacing w:after="0" w:line="240" w:lineRule="auto"/>
    </w:pPr>
    <w:rPr>
      <w:sz w:val="20"/>
      <w:szCs w:val="20"/>
    </w:rPr>
  </w:style>
  <w:style w:type="character" w:customStyle="1" w:styleId="Char5">
    <w:name w:val="尾注文本 Char"/>
    <w:basedOn w:val="a0"/>
    <w:link w:val="af2"/>
    <w:uiPriority w:val="99"/>
    <w:semiHidden/>
    <w:rsid w:val="00E6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690">
      <w:bodyDiv w:val="1"/>
      <w:marLeft w:val="0"/>
      <w:marRight w:val="0"/>
      <w:marTop w:val="0"/>
      <w:marBottom w:val="0"/>
      <w:divBdr>
        <w:top w:val="none" w:sz="0" w:space="0" w:color="auto"/>
        <w:left w:val="none" w:sz="0" w:space="0" w:color="auto"/>
        <w:bottom w:val="none" w:sz="0" w:space="0" w:color="auto"/>
        <w:right w:val="none" w:sz="0" w:space="0" w:color="auto"/>
      </w:divBdr>
    </w:div>
    <w:div w:id="51317800">
      <w:bodyDiv w:val="1"/>
      <w:marLeft w:val="0"/>
      <w:marRight w:val="0"/>
      <w:marTop w:val="0"/>
      <w:marBottom w:val="0"/>
      <w:divBdr>
        <w:top w:val="none" w:sz="0" w:space="0" w:color="auto"/>
        <w:left w:val="none" w:sz="0" w:space="0" w:color="auto"/>
        <w:bottom w:val="none" w:sz="0" w:space="0" w:color="auto"/>
        <w:right w:val="none" w:sz="0" w:space="0" w:color="auto"/>
      </w:divBdr>
    </w:div>
    <w:div w:id="100147639">
      <w:bodyDiv w:val="1"/>
      <w:marLeft w:val="0"/>
      <w:marRight w:val="0"/>
      <w:marTop w:val="0"/>
      <w:marBottom w:val="0"/>
      <w:divBdr>
        <w:top w:val="none" w:sz="0" w:space="0" w:color="auto"/>
        <w:left w:val="none" w:sz="0" w:space="0" w:color="auto"/>
        <w:bottom w:val="none" w:sz="0" w:space="0" w:color="auto"/>
        <w:right w:val="none" w:sz="0" w:space="0" w:color="auto"/>
      </w:divBdr>
    </w:div>
    <w:div w:id="128327954">
      <w:bodyDiv w:val="1"/>
      <w:marLeft w:val="0"/>
      <w:marRight w:val="0"/>
      <w:marTop w:val="0"/>
      <w:marBottom w:val="0"/>
      <w:divBdr>
        <w:top w:val="none" w:sz="0" w:space="0" w:color="auto"/>
        <w:left w:val="none" w:sz="0" w:space="0" w:color="auto"/>
        <w:bottom w:val="none" w:sz="0" w:space="0" w:color="auto"/>
        <w:right w:val="none" w:sz="0" w:space="0" w:color="auto"/>
      </w:divBdr>
    </w:div>
    <w:div w:id="155614521">
      <w:bodyDiv w:val="1"/>
      <w:marLeft w:val="0"/>
      <w:marRight w:val="0"/>
      <w:marTop w:val="0"/>
      <w:marBottom w:val="0"/>
      <w:divBdr>
        <w:top w:val="none" w:sz="0" w:space="0" w:color="auto"/>
        <w:left w:val="none" w:sz="0" w:space="0" w:color="auto"/>
        <w:bottom w:val="none" w:sz="0" w:space="0" w:color="auto"/>
        <w:right w:val="none" w:sz="0" w:space="0" w:color="auto"/>
      </w:divBdr>
    </w:div>
    <w:div w:id="258569199">
      <w:bodyDiv w:val="1"/>
      <w:marLeft w:val="0"/>
      <w:marRight w:val="0"/>
      <w:marTop w:val="0"/>
      <w:marBottom w:val="0"/>
      <w:divBdr>
        <w:top w:val="none" w:sz="0" w:space="0" w:color="auto"/>
        <w:left w:val="none" w:sz="0" w:space="0" w:color="auto"/>
        <w:bottom w:val="none" w:sz="0" w:space="0" w:color="auto"/>
        <w:right w:val="none" w:sz="0" w:space="0" w:color="auto"/>
      </w:divBdr>
    </w:div>
    <w:div w:id="345055539">
      <w:bodyDiv w:val="1"/>
      <w:marLeft w:val="0"/>
      <w:marRight w:val="0"/>
      <w:marTop w:val="0"/>
      <w:marBottom w:val="0"/>
      <w:divBdr>
        <w:top w:val="none" w:sz="0" w:space="0" w:color="auto"/>
        <w:left w:val="none" w:sz="0" w:space="0" w:color="auto"/>
        <w:bottom w:val="none" w:sz="0" w:space="0" w:color="auto"/>
        <w:right w:val="none" w:sz="0" w:space="0" w:color="auto"/>
      </w:divBdr>
    </w:div>
    <w:div w:id="361174587">
      <w:bodyDiv w:val="1"/>
      <w:marLeft w:val="0"/>
      <w:marRight w:val="0"/>
      <w:marTop w:val="0"/>
      <w:marBottom w:val="0"/>
      <w:divBdr>
        <w:top w:val="none" w:sz="0" w:space="0" w:color="auto"/>
        <w:left w:val="none" w:sz="0" w:space="0" w:color="auto"/>
        <w:bottom w:val="none" w:sz="0" w:space="0" w:color="auto"/>
        <w:right w:val="none" w:sz="0" w:space="0" w:color="auto"/>
      </w:divBdr>
    </w:div>
    <w:div w:id="482430611">
      <w:bodyDiv w:val="1"/>
      <w:marLeft w:val="0"/>
      <w:marRight w:val="0"/>
      <w:marTop w:val="0"/>
      <w:marBottom w:val="0"/>
      <w:divBdr>
        <w:top w:val="none" w:sz="0" w:space="0" w:color="auto"/>
        <w:left w:val="none" w:sz="0" w:space="0" w:color="auto"/>
        <w:bottom w:val="none" w:sz="0" w:space="0" w:color="auto"/>
        <w:right w:val="none" w:sz="0" w:space="0" w:color="auto"/>
      </w:divBdr>
    </w:div>
    <w:div w:id="521287425">
      <w:bodyDiv w:val="1"/>
      <w:marLeft w:val="0"/>
      <w:marRight w:val="0"/>
      <w:marTop w:val="0"/>
      <w:marBottom w:val="0"/>
      <w:divBdr>
        <w:top w:val="none" w:sz="0" w:space="0" w:color="auto"/>
        <w:left w:val="none" w:sz="0" w:space="0" w:color="auto"/>
        <w:bottom w:val="none" w:sz="0" w:space="0" w:color="auto"/>
        <w:right w:val="none" w:sz="0" w:space="0" w:color="auto"/>
      </w:divBdr>
    </w:div>
    <w:div w:id="555551120">
      <w:bodyDiv w:val="1"/>
      <w:marLeft w:val="0"/>
      <w:marRight w:val="0"/>
      <w:marTop w:val="0"/>
      <w:marBottom w:val="0"/>
      <w:divBdr>
        <w:top w:val="none" w:sz="0" w:space="0" w:color="auto"/>
        <w:left w:val="none" w:sz="0" w:space="0" w:color="auto"/>
        <w:bottom w:val="none" w:sz="0" w:space="0" w:color="auto"/>
        <w:right w:val="none" w:sz="0" w:space="0" w:color="auto"/>
      </w:divBdr>
    </w:div>
    <w:div w:id="655764894">
      <w:bodyDiv w:val="1"/>
      <w:marLeft w:val="0"/>
      <w:marRight w:val="0"/>
      <w:marTop w:val="0"/>
      <w:marBottom w:val="0"/>
      <w:divBdr>
        <w:top w:val="none" w:sz="0" w:space="0" w:color="auto"/>
        <w:left w:val="none" w:sz="0" w:space="0" w:color="auto"/>
        <w:bottom w:val="none" w:sz="0" w:space="0" w:color="auto"/>
        <w:right w:val="none" w:sz="0" w:space="0" w:color="auto"/>
      </w:divBdr>
    </w:div>
    <w:div w:id="659429060">
      <w:bodyDiv w:val="1"/>
      <w:marLeft w:val="0"/>
      <w:marRight w:val="0"/>
      <w:marTop w:val="0"/>
      <w:marBottom w:val="0"/>
      <w:divBdr>
        <w:top w:val="none" w:sz="0" w:space="0" w:color="auto"/>
        <w:left w:val="none" w:sz="0" w:space="0" w:color="auto"/>
        <w:bottom w:val="none" w:sz="0" w:space="0" w:color="auto"/>
        <w:right w:val="none" w:sz="0" w:space="0" w:color="auto"/>
      </w:divBdr>
    </w:div>
    <w:div w:id="681053486">
      <w:bodyDiv w:val="1"/>
      <w:marLeft w:val="0"/>
      <w:marRight w:val="0"/>
      <w:marTop w:val="0"/>
      <w:marBottom w:val="0"/>
      <w:divBdr>
        <w:top w:val="none" w:sz="0" w:space="0" w:color="auto"/>
        <w:left w:val="none" w:sz="0" w:space="0" w:color="auto"/>
        <w:bottom w:val="none" w:sz="0" w:space="0" w:color="auto"/>
        <w:right w:val="none" w:sz="0" w:space="0" w:color="auto"/>
      </w:divBdr>
    </w:div>
    <w:div w:id="716512265">
      <w:bodyDiv w:val="1"/>
      <w:marLeft w:val="0"/>
      <w:marRight w:val="0"/>
      <w:marTop w:val="0"/>
      <w:marBottom w:val="0"/>
      <w:divBdr>
        <w:top w:val="none" w:sz="0" w:space="0" w:color="auto"/>
        <w:left w:val="none" w:sz="0" w:space="0" w:color="auto"/>
        <w:bottom w:val="none" w:sz="0" w:space="0" w:color="auto"/>
        <w:right w:val="none" w:sz="0" w:space="0" w:color="auto"/>
      </w:divBdr>
    </w:div>
    <w:div w:id="744836317">
      <w:bodyDiv w:val="1"/>
      <w:marLeft w:val="0"/>
      <w:marRight w:val="0"/>
      <w:marTop w:val="0"/>
      <w:marBottom w:val="0"/>
      <w:divBdr>
        <w:top w:val="none" w:sz="0" w:space="0" w:color="auto"/>
        <w:left w:val="none" w:sz="0" w:space="0" w:color="auto"/>
        <w:bottom w:val="none" w:sz="0" w:space="0" w:color="auto"/>
        <w:right w:val="none" w:sz="0" w:space="0" w:color="auto"/>
      </w:divBdr>
    </w:div>
    <w:div w:id="907887186">
      <w:bodyDiv w:val="1"/>
      <w:marLeft w:val="0"/>
      <w:marRight w:val="0"/>
      <w:marTop w:val="0"/>
      <w:marBottom w:val="0"/>
      <w:divBdr>
        <w:top w:val="none" w:sz="0" w:space="0" w:color="auto"/>
        <w:left w:val="none" w:sz="0" w:space="0" w:color="auto"/>
        <w:bottom w:val="none" w:sz="0" w:space="0" w:color="auto"/>
        <w:right w:val="none" w:sz="0" w:space="0" w:color="auto"/>
      </w:divBdr>
    </w:div>
    <w:div w:id="908079151">
      <w:bodyDiv w:val="1"/>
      <w:marLeft w:val="0"/>
      <w:marRight w:val="0"/>
      <w:marTop w:val="0"/>
      <w:marBottom w:val="0"/>
      <w:divBdr>
        <w:top w:val="none" w:sz="0" w:space="0" w:color="auto"/>
        <w:left w:val="none" w:sz="0" w:space="0" w:color="auto"/>
        <w:bottom w:val="none" w:sz="0" w:space="0" w:color="auto"/>
        <w:right w:val="none" w:sz="0" w:space="0" w:color="auto"/>
      </w:divBdr>
    </w:div>
    <w:div w:id="991181606">
      <w:bodyDiv w:val="1"/>
      <w:marLeft w:val="0"/>
      <w:marRight w:val="0"/>
      <w:marTop w:val="0"/>
      <w:marBottom w:val="0"/>
      <w:divBdr>
        <w:top w:val="none" w:sz="0" w:space="0" w:color="auto"/>
        <w:left w:val="none" w:sz="0" w:space="0" w:color="auto"/>
        <w:bottom w:val="none" w:sz="0" w:space="0" w:color="auto"/>
        <w:right w:val="none" w:sz="0" w:space="0" w:color="auto"/>
      </w:divBdr>
    </w:div>
    <w:div w:id="1126196551">
      <w:bodyDiv w:val="1"/>
      <w:marLeft w:val="0"/>
      <w:marRight w:val="0"/>
      <w:marTop w:val="0"/>
      <w:marBottom w:val="0"/>
      <w:divBdr>
        <w:top w:val="none" w:sz="0" w:space="0" w:color="auto"/>
        <w:left w:val="none" w:sz="0" w:space="0" w:color="auto"/>
        <w:bottom w:val="none" w:sz="0" w:space="0" w:color="auto"/>
        <w:right w:val="none" w:sz="0" w:space="0" w:color="auto"/>
      </w:divBdr>
    </w:div>
    <w:div w:id="1214388080">
      <w:bodyDiv w:val="1"/>
      <w:marLeft w:val="0"/>
      <w:marRight w:val="0"/>
      <w:marTop w:val="0"/>
      <w:marBottom w:val="0"/>
      <w:divBdr>
        <w:top w:val="none" w:sz="0" w:space="0" w:color="auto"/>
        <w:left w:val="none" w:sz="0" w:space="0" w:color="auto"/>
        <w:bottom w:val="none" w:sz="0" w:space="0" w:color="auto"/>
        <w:right w:val="none" w:sz="0" w:space="0" w:color="auto"/>
      </w:divBdr>
    </w:div>
    <w:div w:id="1233934017">
      <w:bodyDiv w:val="1"/>
      <w:marLeft w:val="0"/>
      <w:marRight w:val="0"/>
      <w:marTop w:val="0"/>
      <w:marBottom w:val="0"/>
      <w:divBdr>
        <w:top w:val="none" w:sz="0" w:space="0" w:color="auto"/>
        <w:left w:val="none" w:sz="0" w:space="0" w:color="auto"/>
        <w:bottom w:val="none" w:sz="0" w:space="0" w:color="auto"/>
        <w:right w:val="none" w:sz="0" w:space="0" w:color="auto"/>
      </w:divBdr>
    </w:div>
    <w:div w:id="1275017314">
      <w:bodyDiv w:val="1"/>
      <w:marLeft w:val="0"/>
      <w:marRight w:val="0"/>
      <w:marTop w:val="0"/>
      <w:marBottom w:val="0"/>
      <w:divBdr>
        <w:top w:val="none" w:sz="0" w:space="0" w:color="auto"/>
        <w:left w:val="none" w:sz="0" w:space="0" w:color="auto"/>
        <w:bottom w:val="none" w:sz="0" w:space="0" w:color="auto"/>
        <w:right w:val="none" w:sz="0" w:space="0" w:color="auto"/>
      </w:divBdr>
    </w:div>
    <w:div w:id="1332878345">
      <w:bodyDiv w:val="1"/>
      <w:marLeft w:val="0"/>
      <w:marRight w:val="0"/>
      <w:marTop w:val="0"/>
      <w:marBottom w:val="0"/>
      <w:divBdr>
        <w:top w:val="none" w:sz="0" w:space="0" w:color="auto"/>
        <w:left w:val="none" w:sz="0" w:space="0" w:color="auto"/>
        <w:bottom w:val="none" w:sz="0" w:space="0" w:color="auto"/>
        <w:right w:val="none" w:sz="0" w:space="0" w:color="auto"/>
      </w:divBdr>
    </w:div>
    <w:div w:id="1345474712">
      <w:bodyDiv w:val="1"/>
      <w:marLeft w:val="0"/>
      <w:marRight w:val="0"/>
      <w:marTop w:val="0"/>
      <w:marBottom w:val="0"/>
      <w:divBdr>
        <w:top w:val="none" w:sz="0" w:space="0" w:color="auto"/>
        <w:left w:val="none" w:sz="0" w:space="0" w:color="auto"/>
        <w:bottom w:val="none" w:sz="0" w:space="0" w:color="auto"/>
        <w:right w:val="none" w:sz="0" w:space="0" w:color="auto"/>
      </w:divBdr>
    </w:div>
    <w:div w:id="1383754142">
      <w:bodyDiv w:val="1"/>
      <w:marLeft w:val="0"/>
      <w:marRight w:val="0"/>
      <w:marTop w:val="0"/>
      <w:marBottom w:val="0"/>
      <w:divBdr>
        <w:top w:val="none" w:sz="0" w:space="0" w:color="auto"/>
        <w:left w:val="none" w:sz="0" w:space="0" w:color="auto"/>
        <w:bottom w:val="none" w:sz="0" w:space="0" w:color="auto"/>
        <w:right w:val="none" w:sz="0" w:space="0" w:color="auto"/>
      </w:divBdr>
    </w:div>
    <w:div w:id="1418360934">
      <w:bodyDiv w:val="1"/>
      <w:marLeft w:val="0"/>
      <w:marRight w:val="0"/>
      <w:marTop w:val="0"/>
      <w:marBottom w:val="0"/>
      <w:divBdr>
        <w:top w:val="none" w:sz="0" w:space="0" w:color="auto"/>
        <w:left w:val="none" w:sz="0" w:space="0" w:color="auto"/>
        <w:bottom w:val="none" w:sz="0" w:space="0" w:color="auto"/>
        <w:right w:val="none" w:sz="0" w:space="0" w:color="auto"/>
      </w:divBdr>
    </w:div>
    <w:div w:id="1492409161">
      <w:bodyDiv w:val="1"/>
      <w:marLeft w:val="0"/>
      <w:marRight w:val="0"/>
      <w:marTop w:val="0"/>
      <w:marBottom w:val="0"/>
      <w:divBdr>
        <w:top w:val="none" w:sz="0" w:space="0" w:color="auto"/>
        <w:left w:val="none" w:sz="0" w:space="0" w:color="auto"/>
        <w:bottom w:val="none" w:sz="0" w:space="0" w:color="auto"/>
        <w:right w:val="none" w:sz="0" w:space="0" w:color="auto"/>
      </w:divBdr>
    </w:div>
    <w:div w:id="1651472288">
      <w:bodyDiv w:val="1"/>
      <w:marLeft w:val="0"/>
      <w:marRight w:val="0"/>
      <w:marTop w:val="0"/>
      <w:marBottom w:val="0"/>
      <w:divBdr>
        <w:top w:val="none" w:sz="0" w:space="0" w:color="auto"/>
        <w:left w:val="none" w:sz="0" w:space="0" w:color="auto"/>
        <w:bottom w:val="none" w:sz="0" w:space="0" w:color="auto"/>
        <w:right w:val="none" w:sz="0" w:space="0" w:color="auto"/>
      </w:divBdr>
    </w:div>
    <w:div w:id="1741560700">
      <w:bodyDiv w:val="1"/>
      <w:marLeft w:val="0"/>
      <w:marRight w:val="0"/>
      <w:marTop w:val="0"/>
      <w:marBottom w:val="0"/>
      <w:divBdr>
        <w:top w:val="none" w:sz="0" w:space="0" w:color="auto"/>
        <w:left w:val="none" w:sz="0" w:space="0" w:color="auto"/>
        <w:bottom w:val="none" w:sz="0" w:space="0" w:color="auto"/>
        <w:right w:val="none" w:sz="0" w:space="0" w:color="auto"/>
      </w:divBdr>
    </w:div>
    <w:div w:id="1773893812">
      <w:bodyDiv w:val="1"/>
      <w:marLeft w:val="0"/>
      <w:marRight w:val="0"/>
      <w:marTop w:val="0"/>
      <w:marBottom w:val="0"/>
      <w:divBdr>
        <w:top w:val="none" w:sz="0" w:space="0" w:color="auto"/>
        <w:left w:val="none" w:sz="0" w:space="0" w:color="auto"/>
        <w:bottom w:val="none" w:sz="0" w:space="0" w:color="auto"/>
        <w:right w:val="none" w:sz="0" w:space="0" w:color="auto"/>
      </w:divBdr>
    </w:div>
    <w:div w:id="1774550524">
      <w:bodyDiv w:val="1"/>
      <w:marLeft w:val="0"/>
      <w:marRight w:val="0"/>
      <w:marTop w:val="0"/>
      <w:marBottom w:val="0"/>
      <w:divBdr>
        <w:top w:val="none" w:sz="0" w:space="0" w:color="auto"/>
        <w:left w:val="none" w:sz="0" w:space="0" w:color="auto"/>
        <w:bottom w:val="none" w:sz="0" w:space="0" w:color="auto"/>
        <w:right w:val="none" w:sz="0" w:space="0" w:color="auto"/>
      </w:divBdr>
    </w:div>
    <w:div w:id="1777869603">
      <w:bodyDiv w:val="1"/>
      <w:marLeft w:val="0"/>
      <w:marRight w:val="0"/>
      <w:marTop w:val="0"/>
      <w:marBottom w:val="0"/>
      <w:divBdr>
        <w:top w:val="none" w:sz="0" w:space="0" w:color="auto"/>
        <w:left w:val="none" w:sz="0" w:space="0" w:color="auto"/>
        <w:bottom w:val="none" w:sz="0" w:space="0" w:color="auto"/>
        <w:right w:val="none" w:sz="0" w:space="0" w:color="auto"/>
      </w:divBdr>
    </w:div>
    <w:div w:id="1830440755">
      <w:bodyDiv w:val="1"/>
      <w:marLeft w:val="0"/>
      <w:marRight w:val="0"/>
      <w:marTop w:val="0"/>
      <w:marBottom w:val="0"/>
      <w:divBdr>
        <w:top w:val="none" w:sz="0" w:space="0" w:color="auto"/>
        <w:left w:val="none" w:sz="0" w:space="0" w:color="auto"/>
        <w:bottom w:val="none" w:sz="0" w:space="0" w:color="auto"/>
        <w:right w:val="none" w:sz="0" w:space="0" w:color="auto"/>
      </w:divBdr>
    </w:div>
    <w:div w:id="1838182362">
      <w:bodyDiv w:val="1"/>
      <w:marLeft w:val="0"/>
      <w:marRight w:val="0"/>
      <w:marTop w:val="0"/>
      <w:marBottom w:val="0"/>
      <w:divBdr>
        <w:top w:val="none" w:sz="0" w:space="0" w:color="auto"/>
        <w:left w:val="none" w:sz="0" w:space="0" w:color="auto"/>
        <w:bottom w:val="none" w:sz="0" w:space="0" w:color="auto"/>
        <w:right w:val="none" w:sz="0" w:space="0" w:color="auto"/>
      </w:divBdr>
    </w:div>
    <w:div w:id="2003503531">
      <w:bodyDiv w:val="1"/>
      <w:marLeft w:val="0"/>
      <w:marRight w:val="0"/>
      <w:marTop w:val="0"/>
      <w:marBottom w:val="0"/>
      <w:divBdr>
        <w:top w:val="none" w:sz="0" w:space="0" w:color="auto"/>
        <w:left w:val="none" w:sz="0" w:space="0" w:color="auto"/>
        <w:bottom w:val="none" w:sz="0" w:space="0" w:color="auto"/>
        <w:right w:val="none" w:sz="0" w:space="0" w:color="auto"/>
      </w:divBdr>
    </w:div>
    <w:div w:id="2009287726">
      <w:bodyDiv w:val="1"/>
      <w:marLeft w:val="0"/>
      <w:marRight w:val="0"/>
      <w:marTop w:val="0"/>
      <w:marBottom w:val="0"/>
      <w:divBdr>
        <w:top w:val="none" w:sz="0" w:space="0" w:color="auto"/>
        <w:left w:val="none" w:sz="0" w:space="0" w:color="auto"/>
        <w:bottom w:val="none" w:sz="0" w:space="0" w:color="auto"/>
        <w:right w:val="none" w:sz="0" w:space="0" w:color="auto"/>
      </w:divBdr>
    </w:div>
    <w:div w:id="2032610943">
      <w:bodyDiv w:val="1"/>
      <w:marLeft w:val="0"/>
      <w:marRight w:val="0"/>
      <w:marTop w:val="0"/>
      <w:marBottom w:val="0"/>
      <w:divBdr>
        <w:top w:val="none" w:sz="0" w:space="0" w:color="auto"/>
        <w:left w:val="none" w:sz="0" w:space="0" w:color="auto"/>
        <w:bottom w:val="none" w:sz="0" w:space="0" w:color="auto"/>
        <w:right w:val="none" w:sz="0" w:space="0" w:color="auto"/>
      </w:divBdr>
    </w:div>
    <w:div w:id="20689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oleObject" Target="embeddings/oleObject9.bin"/><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04FFFD2-38B2-42D6-A7A2-D9EFB99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1</Pages>
  <Words>60800</Words>
  <Characters>346561</Characters>
  <Application>Microsoft Office Word</Application>
  <DocSecurity>0</DocSecurity>
  <Lines>2888</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Zhang</dc:creator>
  <cp:keywords/>
  <cp:lastModifiedBy>Maggie Zhang</cp:lastModifiedBy>
  <cp:revision>33</cp:revision>
  <cp:lastPrinted>2018-11-11T02:15:00Z</cp:lastPrinted>
  <dcterms:created xsi:type="dcterms:W3CDTF">2020-07-02T10:03:00Z</dcterms:created>
  <dcterms:modified xsi:type="dcterms:W3CDTF">2020-07-07T22:23:00Z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http://www.zotero.org/styles/journal-of-banking-and-finance</vt:lpwstr>
  </property>
  <property fmtid="{D5CDD505-2E9C-101B-9397-08002B2CF9AE}" pid="6" name="Mendeley Recent Style Name 1_1">
    <vt:lpwstr>Journal of Banking and Finance</vt:lpwstr>
  </property>
  <property fmtid="{D5CDD505-2E9C-101B-9397-08002B2CF9AE}" pid="7" name="Mendeley Recent Style Id 2_1">
    <vt:lpwstr>http://www.zotero.org/styles/journal-of-corporate-finance</vt:lpwstr>
  </property>
  <property fmtid="{D5CDD505-2E9C-101B-9397-08002B2CF9AE}" pid="8" name="Mendeley Recent Style Name 2_1">
    <vt:lpwstr>Journal of Corporate Finance</vt:lpwstr>
  </property>
  <property fmtid="{D5CDD505-2E9C-101B-9397-08002B2CF9AE}" pid="9" name="Mendeley Recent Style Id 3_1">
    <vt:lpwstr>http://www.zotero.org/styles/modern-humanities-research-association</vt:lpwstr>
  </property>
  <property fmtid="{D5CDD505-2E9C-101B-9397-08002B2CF9AE}" pid="10" name="Mendeley Recent Style Name 3_1">
    <vt:lpwstr>Modern Humanities Research Association 3rd edition (note with bibliography)</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8th edition</vt:lpwstr>
  </property>
  <property fmtid="{D5CDD505-2E9C-101B-9397-08002B2CF9AE}" pid="13" name="Mendeley Recent Style Id 5_1">
    <vt:lpwstr>http://www.zotero.org/styles/nature</vt:lpwstr>
  </property>
  <property fmtid="{D5CDD505-2E9C-101B-9397-08002B2CF9AE}" pid="14" name="Mendeley Recent Style Name 5_1">
    <vt:lpwstr>Nature</vt:lpwstr>
  </property>
  <property fmtid="{D5CDD505-2E9C-101B-9397-08002B2CF9AE}" pid="15" name="Mendeley Recent Style Id 6_1">
    <vt:lpwstr>http://www.zotero.org/styles/review-of-accounting-studies</vt:lpwstr>
  </property>
  <property fmtid="{D5CDD505-2E9C-101B-9397-08002B2CF9AE}" pid="16" name="Mendeley Recent Style Name 6_1">
    <vt:lpwstr>Review of Accounting Studies</vt:lpwstr>
  </property>
  <property fmtid="{D5CDD505-2E9C-101B-9397-08002B2CF9AE}" pid="17" name="Mendeley Recent Style Id 7_1">
    <vt:lpwstr>http://www.zotero.org/styles/taylor-and-francis-apa</vt:lpwstr>
  </property>
  <property fmtid="{D5CDD505-2E9C-101B-9397-08002B2CF9AE}" pid="18" name="Mendeley Recent Style Name 7_1">
    <vt:lpwstr>Taylor &amp; Francis - APA</vt:lpwstr>
  </property>
  <property fmtid="{D5CDD505-2E9C-101B-9397-08002B2CF9AE}" pid="19" name="Mendeley Recent Style Id 8_1">
    <vt:lpwstr>http://www.zotero.org/styles/the-british-accounting-review</vt:lpwstr>
  </property>
  <property fmtid="{D5CDD505-2E9C-101B-9397-08002B2CF9AE}" pid="20" name="Mendeley Recent Style Name 8_1">
    <vt:lpwstr>The British Accounting Review</vt:lpwstr>
  </property>
  <property fmtid="{D5CDD505-2E9C-101B-9397-08002B2CF9AE}" pid="21" name="Mendeley Recent Style Id 9_1">
    <vt:lpwstr>http://www.zotero.org/styles/university-of-york-apa</vt:lpwstr>
  </property>
  <property fmtid="{D5CDD505-2E9C-101B-9397-08002B2CF9AE}" pid="22" name="Mendeley Recent Style Name 9_1">
    <vt:lpwstr>University of York - American Psychological Association 6th edition</vt:lpwstr>
  </property>
  <property fmtid="{D5CDD505-2E9C-101B-9397-08002B2CF9AE}" pid="23" name="Mendeley Document_1">
    <vt:lpwstr>True</vt:lpwstr>
  </property>
  <property fmtid="{D5CDD505-2E9C-101B-9397-08002B2CF9AE}" pid="24" name="Mendeley Unique User Id_1">
    <vt:lpwstr>9be44703-74af-3d2c-8e9c-75b3f16c08d3</vt:lpwstr>
  </property>
  <property fmtid="{D5CDD505-2E9C-101B-9397-08002B2CF9AE}" pid="25" name="Mendeley Citation Style_1">
    <vt:lpwstr>http://www.zotero.org/styles/the-british-accounting-review</vt:lpwstr>
  </property>
</Properties>
</file>