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DA94B" w14:textId="1FAAD208" w:rsidR="00EB5346" w:rsidRPr="00F579DA" w:rsidRDefault="00F579DA" w:rsidP="00827EF0">
      <w:pPr>
        <w:pStyle w:val="Heading1"/>
        <w:spacing w:line="276" w:lineRule="auto"/>
        <w:ind w:left="1134"/>
        <w:rPr>
          <w:lang w:val="en-GB"/>
        </w:rPr>
      </w:pPr>
      <w:bookmarkStart w:id="0" w:name="_GoBack"/>
      <w:bookmarkEnd w:id="0"/>
      <w:r w:rsidRPr="00F579DA">
        <w:rPr>
          <w:lang w:val="en-GB"/>
        </w:rPr>
        <w:t>Singapore</w:t>
      </w:r>
      <w:r w:rsidR="00407F49" w:rsidRPr="00F579DA">
        <w:rPr>
          <w:lang w:val="en-GB"/>
        </w:rPr>
        <w:t xml:space="preserve"> report</w:t>
      </w:r>
      <w:r w:rsidR="00EB5346" w:rsidRPr="00F579DA">
        <w:rPr>
          <w:lang w:val="en-GB"/>
        </w:rPr>
        <w:t xml:space="preserve">.doc </w:t>
      </w:r>
    </w:p>
    <w:p w14:paraId="7604890B" w14:textId="77777777" w:rsidR="00EB5346" w:rsidRPr="00F579DA" w:rsidRDefault="00EB5346" w:rsidP="00827EF0">
      <w:pPr>
        <w:ind w:left="1134"/>
        <w:outlineLvl w:val="0"/>
        <w:rPr>
          <w:i/>
          <w:sz w:val="20"/>
          <w:lang w:val="en-GB"/>
        </w:rPr>
      </w:pPr>
    </w:p>
    <w:p w14:paraId="270A734B" w14:textId="16019DA0" w:rsidR="00EB5346" w:rsidRDefault="00774930" w:rsidP="00827EF0">
      <w:pPr>
        <w:ind w:left="1134"/>
        <w:jc w:val="right"/>
        <w:rPr>
          <w:i/>
          <w:sz w:val="20"/>
          <w:lang w:val="en-GB"/>
        </w:rPr>
      </w:pPr>
      <w:r>
        <w:rPr>
          <w:i/>
          <w:sz w:val="20"/>
          <w:lang w:val="en-GB"/>
        </w:rPr>
        <w:t>19</w:t>
      </w:r>
      <w:r w:rsidR="001D3DDC" w:rsidRPr="00F579DA">
        <w:rPr>
          <w:i/>
          <w:sz w:val="20"/>
          <w:vertAlign w:val="superscript"/>
          <w:lang w:val="en-GB"/>
        </w:rPr>
        <w:t>th</w:t>
      </w:r>
      <w:r w:rsidR="001D3DDC" w:rsidRPr="00F579DA">
        <w:rPr>
          <w:i/>
          <w:sz w:val="20"/>
          <w:lang w:val="en-GB"/>
        </w:rPr>
        <w:t xml:space="preserve"> </w:t>
      </w:r>
      <w:r w:rsidR="006E3EBF">
        <w:rPr>
          <w:i/>
          <w:sz w:val="20"/>
          <w:lang w:val="en-GB"/>
        </w:rPr>
        <w:t>May</w:t>
      </w:r>
      <w:r w:rsidR="002115EB">
        <w:rPr>
          <w:i/>
          <w:sz w:val="20"/>
          <w:lang w:val="en-GB"/>
        </w:rPr>
        <w:t xml:space="preserve"> 2020</w:t>
      </w:r>
    </w:p>
    <w:p w14:paraId="6531A1EF" w14:textId="14CE246E" w:rsidR="00443E17" w:rsidRPr="00F579DA" w:rsidRDefault="00443E17" w:rsidP="00827EF0">
      <w:pPr>
        <w:ind w:left="1134"/>
        <w:jc w:val="right"/>
        <w:rPr>
          <w:i/>
          <w:sz w:val="20"/>
          <w:lang w:val="en-GB"/>
        </w:rPr>
      </w:pPr>
      <w:r>
        <w:rPr>
          <w:i/>
          <w:sz w:val="20"/>
          <w:lang w:val="en-GB"/>
        </w:rPr>
        <w:t xml:space="preserve">Version </w:t>
      </w:r>
      <w:r w:rsidR="00172FF1">
        <w:rPr>
          <w:i/>
          <w:sz w:val="20"/>
          <w:lang w:val="en-GB"/>
        </w:rPr>
        <w:t>8</w:t>
      </w:r>
    </w:p>
    <w:p w14:paraId="2DEBEAFB" w14:textId="68F4E700" w:rsidR="00EB5346" w:rsidRPr="00F579DA" w:rsidRDefault="00053B7B" w:rsidP="00523759">
      <w:pPr>
        <w:ind w:left="1134"/>
        <w:jc w:val="center"/>
        <w:rPr>
          <w:b/>
          <w:bCs/>
          <w:sz w:val="32"/>
          <w:szCs w:val="32"/>
          <w:lang w:val="en-GB"/>
        </w:rPr>
      </w:pPr>
      <w:r>
        <w:rPr>
          <w:b/>
          <w:bCs/>
          <w:sz w:val="32"/>
          <w:szCs w:val="32"/>
          <w:lang w:val="en-GB"/>
        </w:rPr>
        <w:t xml:space="preserve">Use of </w:t>
      </w:r>
      <w:r w:rsidR="00651102">
        <w:rPr>
          <w:b/>
          <w:bCs/>
          <w:sz w:val="32"/>
          <w:szCs w:val="32"/>
          <w:lang w:val="en-GB"/>
        </w:rPr>
        <w:t>age dependent</w:t>
      </w:r>
      <w:r w:rsidR="006B67D3">
        <w:rPr>
          <w:b/>
          <w:bCs/>
          <w:sz w:val="32"/>
          <w:szCs w:val="32"/>
          <w:lang w:val="en-GB"/>
        </w:rPr>
        <w:t xml:space="preserve"> </w:t>
      </w:r>
      <w:r w:rsidR="00EB5346" w:rsidRPr="00F579DA">
        <w:rPr>
          <w:b/>
          <w:bCs/>
          <w:sz w:val="32"/>
          <w:szCs w:val="32"/>
          <w:lang w:val="en-GB"/>
        </w:rPr>
        <w:t xml:space="preserve">FRAX based </w:t>
      </w:r>
      <w:r w:rsidR="0089660F" w:rsidRPr="00F579DA">
        <w:rPr>
          <w:b/>
          <w:bCs/>
          <w:sz w:val="32"/>
          <w:szCs w:val="32"/>
          <w:lang w:val="en-GB"/>
        </w:rPr>
        <w:t xml:space="preserve">intervention </w:t>
      </w:r>
      <w:r w:rsidR="00B64FE2" w:rsidRPr="00F579DA">
        <w:rPr>
          <w:b/>
          <w:bCs/>
          <w:sz w:val="32"/>
          <w:szCs w:val="32"/>
          <w:lang w:val="en-GB"/>
        </w:rPr>
        <w:t xml:space="preserve">thresholds for </w:t>
      </w:r>
      <w:r w:rsidR="00F579DA" w:rsidRPr="00F579DA">
        <w:rPr>
          <w:b/>
          <w:bCs/>
          <w:sz w:val="32"/>
          <w:szCs w:val="32"/>
          <w:lang w:val="en-GB"/>
        </w:rPr>
        <w:t>Singapore</w:t>
      </w:r>
    </w:p>
    <w:p w14:paraId="4A06D6A9" w14:textId="77777777" w:rsidR="00EB5346" w:rsidRPr="00F579DA" w:rsidRDefault="00EB5346" w:rsidP="00827EF0">
      <w:pPr>
        <w:ind w:left="1134"/>
        <w:outlineLvl w:val="0"/>
        <w:rPr>
          <w:sz w:val="24"/>
          <w:szCs w:val="24"/>
          <w:lang w:val="en-GB"/>
        </w:rPr>
      </w:pPr>
    </w:p>
    <w:p w14:paraId="0365FD98" w14:textId="3F52828E" w:rsidR="00EB5346" w:rsidRDefault="0011268B" w:rsidP="00523759">
      <w:pPr>
        <w:pStyle w:val="CommentText"/>
        <w:spacing w:line="276" w:lineRule="auto"/>
        <w:ind w:left="1134"/>
        <w:jc w:val="center"/>
        <w:rPr>
          <w:sz w:val="24"/>
          <w:szCs w:val="24"/>
          <w:lang w:val="en-GB"/>
        </w:rPr>
      </w:pPr>
      <w:r w:rsidRPr="0011268B">
        <w:rPr>
          <w:sz w:val="24"/>
          <w:szCs w:val="24"/>
          <w:lang w:val="en-GB"/>
        </w:rPr>
        <w:t xml:space="preserve">John A </w:t>
      </w:r>
      <w:proofErr w:type="spellStart"/>
      <w:r w:rsidRPr="0011268B">
        <w:rPr>
          <w:sz w:val="24"/>
          <w:szCs w:val="24"/>
          <w:lang w:val="en-GB"/>
        </w:rPr>
        <w:t>Kanis</w:t>
      </w:r>
      <w:proofErr w:type="spellEnd"/>
      <w:r w:rsidR="005104B8">
        <w:rPr>
          <w:sz w:val="24"/>
          <w:szCs w:val="24"/>
          <w:lang w:val="en-GB"/>
        </w:rPr>
        <w:t>,</w:t>
      </w:r>
      <w:r w:rsidR="00BD08FD">
        <w:rPr>
          <w:sz w:val="24"/>
          <w:szCs w:val="24"/>
          <w:lang w:val="en-GB"/>
        </w:rPr>
        <w:t xml:space="preserve"> </w:t>
      </w:r>
      <w:r w:rsidR="001B5948" w:rsidRPr="001B5948">
        <w:rPr>
          <w:sz w:val="24"/>
          <w:szCs w:val="24"/>
          <w:lang w:val="en-GB"/>
        </w:rPr>
        <w:t xml:space="preserve">Manju Chandran, </w:t>
      </w:r>
      <w:proofErr w:type="spellStart"/>
      <w:r w:rsidR="00607B93" w:rsidRPr="00607B93">
        <w:rPr>
          <w:sz w:val="24"/>
          <w:szCs w:val="24"/>
          <w:lang w:val="en-GB"/>
        </w:rPr>
        <w:t>Siok</w:t>
      </w:r>
      <w:proofErr w:type="spellEnd"/>
      <w:r w:rsidR="00607B93" w:rsidRPr="00607B93">
        <w:rPr>
          <w:sz w:val="24"/>
          <w:szCs w:val="24"/>
          <w:lang w:val="en-GB"/>
        </w:rPr>
        <w:t xml:space="preserve"> Bee</w:t>
      </w:r>
      <w:r w:rsidR="004B342A" w:rsidRPr="004B342A">
        <w:t xml:space="preserve"> </w:t>
      </w:r>
      <w:proofErr w:type="spellStart"/>
      <w:r w:rsidR="004B342A" w:rsidRPr="004B342A">
        <w:rPr>
          <w:sz w:val="24"/>
          <w:szCs w:val="24"/>
          <w:lang w:val="en-GB"/>
        </w:rPr>
        <w:t>Chionh</w:t>
      </w:r>
      <w:proofErr w:type="spellEnd"/>
      <w:r w:rsidR="00607B93" w:rsidRPr="00607B93">
        <w:rPr>
          <w:sz w:val="24"/>
          <w:szCs w:val="24"/>
          <w:lang w:val="en-GB"/>
        </w:rPr>
        <w:t>,</w:t>
      </w:r>
      <w:r w:rsidR="005104B8">
        <w:rPr>
          <w:sz w:val="24"/>
          <w:szCs w:val="24"/>
          <w:lang w:val="en-GB"/>
        </w:rPr>
        <w:t xml:space="preserve"> </w:t>
      </w:r>
      <w:r w:rsidR="00607F20">
        <w:rPr>
          <w:sz w:val="24"/>
          <w:szCs w:val="24"/>
          <w:lang w:val="en-GB"/>
        </w:rPr>
        <w:t>Ganga</w:t>
      </w:r>
      <w:r w:rsidR="004C4843">
        <w:rPr>
          <w:sz w:val="24"/>
          <w:szCs w:val="24"/>
          <w:lang w:val="en-GB"/>
        </w:rPr>
        <w:t xml:space="preserve"> </w:t>
      </w:r>
      <w:proofErr w:type="spellStart"/>
      <w:r w:rsidR="004C4843">
        <w:rPr>
          <w:sz w:val="24"/>
          <w:szCs w:val="24"/>
          <w:lang w:val="en-GB"/>
        </w:rPr>
        <w:t>Ganeson</w:t>
      </w:r>
      <w:proofErr w:type="spellEnd"/>
      <w:r w:rsidR="004C4843">
        <w:rPr>
          <w:sz w:val="24"/>
          <w:szCs w:val="24"/>
          <w:lang w:val="en-GB"/>
        </w:rPr>
        <w:t xml:space="preserve">, </w:t>
      </w:r>
      <w:r w:rsidR="00795E51" w:rsidRPr="00795E51">
        <w:rPr>
          <w:sz w:val="24"/>
          <w:szCs w:val="24"/>
          <w:lang w:val="en-GB"/>
        </w:rPr>
        <w:t>Nicholas C Harvey,</w:t>
      </w:r>
      <w:r w:rsidR="00795E51">
        <w:rPr>
          <w:sz w:val="24"/>
          <w:szCs w:val="24"/>
          <w:lang w:val="en-GB"/>
        </w:rPr>
        <w:t xml:space="preserve"> </w:t>
      </w:r>
      <w:proofErr w:type="spellStart"/>
      <w:r w:rsidR="00F579DA" w:rsidRPr="00F579DA">
        <w:rPr>
          <w:sz w:val="24"/>
          <w:szCs w:val="24"/>
          <w:lang w:val="en-GB"/>
        </w:rPr>
        <w:t>Woon</w:t>
      </w:r>
      <w:r w:rsidR="00614CC3">
        <w:rPr>
          <w:sz w:val="24"/>
          <w:szCs w:val="24"/>
          <w:lang w:val="en-GB"/>
        </w:rPr>
        <w:t>-</w:t>
      </w:r>
      <w:r w:rsidR="00F579DA" w:rsidRPr="00F579DA">
        <w:rPr>
          <w:sz w:val="24"/>
          <w:szCs w:val="24"/>
          <w:lang w:val="en-GB"/>
        </w:rPr>
        <w:t>Puay</w:t>
      </w:r>
      <w:proofErr w:type="spellEnd"/>
      <w:r w:rsidR="00633E99">
        <w:rPr>
          <w:sz w:val="24"/>
          <w:szCs w:val="24"/>
          <w:lang w:val="en-GB"/>
        </w:rPr>
        <w:t xml:space="preserve"> Koh</w:t>
      </w:r>
      <w:r w:rsidR="005C331D" w:rsidRPr="00F579DA">
        <w:rPr>
          <w:sz w:val="24"/>
          <w:szCs w:val="24"/>
          <w:lang w:val="en-GB"/>
        </w:rPr>
        <w:t xml:space="preserve">, </w:t>
      </w:r>
      <w:r w:rsidR="0094260F">
        <w:rPr>
          <w:sz w:val="24"/>
          <w:szCs w:val="24"/>
          <w:lang w:val="en-GB"/>
        </w:rPr>
        <w:t>Timothy Kwok</w:t>
      </w:r>
      <w:r w:rsidR="00FE00E6">
        <w:rPr>
          <w:sz w:val="24"/>
          <w:szCs w:val="24"/>
          <w:lang w:val="en-GB"/>
        </w:rPr>
        <w:t xml:space="preserve">, </w:t>
      </w:r>
      <w:r w:rsidR="00F73591" w:rsidRPr="00F73591">
        <w:rPr>
          <w:sz w:val="24"/>
          <w:szCs w:val="24"/>
          <w:lang w:val="en-GB"/>
        </w:rPr>
        <w:t>Tang Ching Lau</w:t>
      </w:r>
      <w:r w:rsidR="004B14E2">
        <w:rPr>
          <w:sz w:val="24"/>
          <w:szCs w:val="24"/>
          <w:lang w:val="en-GB"/>
        </w:rPr>
        <w:t>,</w:t>
      </w:r>
      <w:r w:rsidR="00F73591" w:rsidRPr="00F73591">
        <w:rPr>
          <w:sz w:val="24"/>
          <w:szCs w:val="24"/>
          <w:lang w:val="en-GB"/>
        </w:rPr>
        <w:t xml:space="preserve"> </w:t>
      </w:r>
      <w:r w:rsidR="00795E51" w:rsidRPr="00795E51">
        <w:rPr>
          <w:sz w:val="24"/>
          <w:szCs w:val="24"/>
          <w:lang w:val="en-GB"/>
        </w:rPr>
        <w:t>Enwu Liu</w:t>
      </w:r>
      <w:r w:rsidR="00407F49" w:rsidRPr="00F579DA">
        <w:rPr>
          <w:sz w:val="24"/>
          <w:szCs w:val="24"/>
          <w:lang w:val="en-GB"/>
        </w:rPr>
        <w:t>, Mattias Lorentzon</w:t>
      </w:r>
      <w:r w:rsidR="00EB5346" w:rsidRPr="005D5DA0">
        <w:rPr>
          <w:sz w:val="24"/>
          <w:szCs w:val="24"/>
          <w:lang w:val="en-GB"/>
        </w:rPr>
        <w:t>, Eugene V McCloskey</w:t>
      </w:r>
      <w:r w:rsidR="00840FF4" w:rsidRPr="005D5DA0">
        <w:rPr>
          <w:sz w:val="24"/>
          <w:szCs w:val="24"/>
          <w:lang w:val="en-GB"/>
        </w:rPr>
        <w:t>,</w:t>
      </w:r>
      <w:r w:rsidR="00840FF4" w:rsidRPr="00F579DA">
        <w:rPr>
          <w:sz w:val="24"/>
          <w:szCs w:val="24"/>
          <w:lang w:val="en-GB"/>
        </w:rPr>
        <w:t xml:space="preserve"> </w:t>
      </w:r>
      <w:r w:rsidR="004B14E2" w:rsidRPr="004B14E2">
        <w:rPr>
          <w:sz w:val="24"/>
          <w:szCs w:val="24"/>
          <w:lang w:val="en-GB"/>
        </w:rPr>
        <w:t>Kelvin Bryan Tan</w:t>
      </w:r>
      <w:r w:rsidR="004B14E2">
        <w:rPr>
          <w:sz w:val="24"/>
          <w:szCs w:val="24"/>
          <w:lang w:val="en-GB"/>
        </w:rPr>
        <w:t xml:space="preserve">, </w:t>
      </w:r>
      <w:r>
        <w:rPr>
          <w:sz w:val="24"/>
          <w:szCs w:val="24"/>
          <w:lang w:val="en-GB"/>
        </w:rPr>
        <w:t xml:space="preserve">Liesbeth Vandenput, </w:t>
      </w:r>
      <w:r w:rsidRPr="00F579DA">
        <w:rPr>
          <w:sz w:val="24"/>
          <w:szCs w:val="24"/>
          <w:lang w:val="en-GB"/>
        </w:rPr>
        <w:t>Helena Johansson</w:t>
      </w:r>
    </w:p>
    <w:p w14:paraId="6FC8B64E" w14:textId="56AFD762" w:rsidR="00A85326" w:rsidRDefault="00A85326" w:rsidP="00827EF0">
      <w:pPr>
        <w:pStyle w:val="CommentText"/>
        <w:ind w:left="1134"/>
        <w:rPr>
          <w:sz w:val="24"/>
          <w:szCs w:val="24"/>
          <w:lang w:val="en-GB"/>
        </w:rPr>
      </w:pPr>
      <w:r w:rsidRPr="00211513">
        <w:rPr>
          <w:sz w:val="24"/>
          <w:szCs w:val="24"/>
          <w:highlight w:val="yellow"/>
          <w:lang w:val="en-GB"/>
        </w:rPr>
        <w:t xml:space="preserve"> </w:t>
      </w:r>
    </w:p>
    <w:tbl>
      <w:tblPr>
        <w:tblStyle w:val="TableGrid"/>
        <w:tblW w:w="0" w:type="auto"/>
        <w:tblInd w:w="1134" w:type="dxa"/>
        <w:tblLook w:val="04A0" w:firstRow="1" w:lastRow="0" w:firstColumn="1" w:lastColumn="0" w:noHBand="0" w:noVBand="1"/>
      </w:tblPr>
      <w:tblGrid>
        <w:gridCol w:w="1444"/>
        <w:gridCol w:w="3459"/>
        <w:gridCol w:w="3190"/>
      </w:tblGrid>
      <w:tr w:rsidR="00616444" w:rsidRPr="00F60289" w14:paraId="17C53043" w14:textId="77777777" w:rsidTr="00CC1986">
        <w:tc>
          <w:tcPr>
            <w:tcW w:w="1444" w:type="dxa"/>
            <w:vMerge w:val="restart"/>
          </w:tcPr>
          <w:p w14:paraId="09A24CD8" w14:textId="7850DBB3" w:rsidR="00616444" w:rsidRPr="00F60289" w:rsidRDefault="00616444" w:rsidP="00827EF0">
            <w:pPr>
              <w:pStyle w:val="CommentText"/>
              <w:rPr>
                <w:rFonts w:cs="Calibri"/>
                <w:lang w:val="en-GB"/>
              </w:rPr>
            </w:pPr>
            <w:r w:rsidRPr="00F60289">
              <w:rPr>
                <w:rFonts w:cs="Calibri"/>
                <w:lang w:val="en-GB"/>
              </w:rPr>
              <w:t>John A Kanis</w:t>
            </w:r>
          </w:p>
        </w:tc>
        <w:tc>
          <w:tcPr>
            <w:tcW w:w="3459" w:type="dxa"/>
          </w:tcPr>
          <w:p w14:paraId="326AB48A" w14:textId="175E6EE1" w:rsidR="00616444" w:rsidRPr="00F60289" w:rsidRDefault="00616444" w:rsidP="00827EF0">
            <w:pPr>
              <w:pStyle w:val="CommentText"/>
              <w:rPr>
                <w:rFonts w:cs="Calibri"/>
                <w:lang w:val="en-GB"/>
              </w:rPr>
            </w:pPr>
            <w:r w:rsidRPr="00F60289">
              <w:rPr>
                <w:rFonts w:cs="Calibri"/>
                <w:lang w:val="en-GB" w:eastAsia="en-GB"/>
              </w:rPr>
              <w:t>Centre for Metabolic Bone Diseases, University of Sheffield, Sheffield, UK</w:t>
            </w:r>
          </w:p>
        </w:tc>
        <w:tc>
          <w:tcPr>
            <w:tcW w:w="3190" w:type="dxa"/>
            <w:vMerge w:val="restart"/>
          </w:tcPr>
          <w:p w14:paraId="429CE335" w14:textId="233D8230" w:rsidR="00616444" w:rsidRPr="00F60289" w:rsidRDefault="00616444" w:rsidP="00827EF0">
            <w:pPr>
              <w:pStyle w:val="CommentText"/>
              <w:rPr>
                <w:rFonts w:cs="Calibri"/>
                <w:lang w:val="en-GB"/>
              </w:rPr>
            </w:pPr>
            <w:r w:rsidRPr="00F60289">
              <w:rPr>
                <w:rFonts w:cs="Calibri"/>
                <w:lang w:val="en-GB"/>
              </w:rPr>
              <w:t>w.j.Pontefract@shef.ac.uk</w:t>
            </w:r>
          </w:p>
        </w:tc>
      </w:tr>
      <w:tr w:rsidR="00616444" w:rsidRPr="00F60289" w14:paraId="4B6EC979" w14:textId="77777777" w:rsidTr="00CC1986">
        <w:tc>
          <w:tcPr>
            <w:tcW w:w="1444" w:type="dxa"/>
            <w:vMerge/>
          </w:tcPr>
          <w:p w14:paraId="02D9432D" w14:textId="77777777" w:rsidR="00616444" w:rsidRPr="00F60289" w:rsidRDefault="00616444" w:rsidP="00827EF0">
            <w:pPr>
              <w:pStyle w:val="CommentText"/>
              <w:rPr>
                <w:rFonts w:cs="Calibri"/>
                <w:lang w:val="en-GB"/>
              </w:rPr>
            </w:pPr>
          </w:p>
        </w:tc>
        <w:tc>
          <w:tcPr>
            <w:tcW w:w="3459" w:type="dxa"/>
          </w:tcPr>
          <w:p w14:paraId="63F2B7BD" w14:textId="486FC462" w:rsidR="00616444" w:rsidRPr="00F60289" w:rsidRDefault="00616444" w:rsidP="00827EF0">
            <w:pPr>
              <w:pStyle w:val="CommentText"/>
              <w:rPr>
                <w:rFonts w:cs="Calibri"/>
                <w:lang w:val="en-GB"/>
              </w:rPr>
            </w:pPr>
            <w:r w:rsidRPr="00F60289">
              <w:rPr>
                <w:rFonts w:cs="Calibri"/>
                <w:lang w:val="en-GB"/>
              </w:rPr>
              <w:t>Mary McKillop Institute for Health Research, Australian Catholic University, Melbourne, Australia</w:t>
            </w:r>
          </w:p>
        </w:tc>
        <w:tc>
          <w:tcPr>
            <w:tcW w:w="3190" w:type="dxa"/>
            <w:vMerge/>
          </w:tcPr>
          <w:p w14:paraId="717FB5CF" w14:textId="77777777" w:rsidR="00616444" w:rsidRPr="00F60289" w:rsidRDefault="00616444" w:rsidP="00827EF0">
            <w:pPr>
              <w:pStyle w:val="CommentText"/>
              <w:rPr>
                <w:rFonts w:cs="Calibri"/>
                <w:lang w:val="en-GB"/>
              </w:rPr>
            </w:pPr>
          </w:p>
        </w:tc>
      </w:tr>
      <w:tr w:rsidR="00C81B49" w:rsidRPr="00F60289" w14:paraId="7FBFF7A7" w14:textId="77777777" w:rsidTr="00CC1986">
        <w:tc>
          <w:tcPr>
            <w:tcW w:w="1444" w:type="dxa"/>
          </w:tcPr>
          <w:p w14:paraId="743409C9" w14:textId="63628681" w:rsidR="00C81B49" w:rsidRPr="00F60289" w:rsidRDefault="00C81B49" w:rsidP="00C81B49">
            <w:pPr>
              <w:pStyle w:val="CommentText"/>
              <w:rPr>
                <w:rFonts w:cs="Calibri"/>
                <w:lang w:val="en-GB"/>
              </w:rPr>
            </w:pPr>
            <w:r w:rsidRPr="004245CD">
              <w:t>Siok Bee Chionh</w:t>
            </w:r>
          </w:p>
        </w:tc>
        <w:tc>
          <w:tcPr>
            <w:tcW w:w="3459" w:type="dxa"/>
          </w:tcPr>
          <w:p w14:paraId="0B685444" w14:textId="7E1ABE5C" w:rsidR="00C81B49" w:rsidRPr="00F60289" w:rsidRDefault="00C81B49" w:rsidP="00C81B49">
            <w:pPr>
              <w:pStyle w:val="CommentText"/>
              <w:rPr>
                <w:rFonts w:cs="Calibri"/>
                <w:lang w:val="en-GB"/>
              </w:rPr>
            </w:pPr>
            <w:r w:rsidRPr="004245CD">
              <w:t>Department of Medicine, Yong Loo Lin School of Medicine, National University of Singapore.</w:t>
            </w:r>
          </w:p>
        </w:tc>
        <w:tc>
          <w:tcPr>
            <w:tcW w:w="3190" w:type="dxa"/>
          </w:tcPr>
          <w:p w14:paraId="3C756C13" w14:textId="6DF001D7" w:rsidR="00C81B49" w:rsidRPr="00F60289" w:rsidRDefault="00C81B49" w:rsidP="00C81B49">
            <w:pPr>
              <w:pStyle w:val="CommentText"/>
              <w:rPr>
                <w:rFonts w:cs="Calibri"/>
                <w:lang w:val="en-GB"/>
              </w:rPr>
            </w:pPr>
            <w:r w:rsidRPr="004245CD">
              <w:t>mdccsb@nus.edu.sg</w:t>
            </w:r>
          </w:p>
        </w:tc>
      </w:tr>
      <w:tr w:rsidR="006627A6" w:rsidRPr="00F60289" w14:paraId="2EDF47B2" w14:textId="77777777" w:rsidTr="00CC1986">
        <w:tc>
          <w:tcPr>
            <w:tcW w:w="1444" w:type="dxa"/>
          </w:tcPr>
          <w:p w14:paraId="028CD14F" w14:textId="51BE835D" w:rsidR="006627A6" w:rsidRPr="00F60289" w:rsidRDefault="00C03D60" w:rsidP="00827EF0">
            <w:pPr>
              <w:pStyle w:val="CommentText"/>
              <w:rPr>
                <w:rFonts w:cs="Calibri"/>
                <w:lang w:val="en-GB"/>
              </w:rPr>
            </w:pPr>
            <w:r w:rsidRPr="00F60289">
              <w:rPr>
                <w:rFonts w:cs="Calibri"/>
                <w:lang w:val="en-GB"/>
              </w:rPr>
              <w:t>Manju Chandran</w:t>
            </w:r>
          </w:p>
        </w:tc>
        <w:tc>
          <w:tcPr>
            <w:tcW w:w="3459" w:type="dxa"/>
          </w:tcPr>
          <w:p w14:paraId="6F467F1D" w14:textId="3A4A9D3B" w:rsidR="006627A6" w:rsidRPr="00F60289" w:rsidRDefault="003B3EA7" w:rsidP="00827EF0">
            <w:pPr>
              <w:pStyle w:val="CommentText"/>
              <w:rPr>
                <w:rFonts w:cs="Calibri"/>
                <w:lang w:val="en-GB"/>
              </w:rPr>
            </w:pPr>
            <w:r w:rsidRPr="00F60289">
              <w:rPr>
                <w:rFonts w:cs="Calibri"/>
                <w:lang w:val="en-GB"/>
              </w:rPr>
              <w:t>Osteoporosis and Bone Metabolism Unit, Department of Endocrinology, Singapore General Hospital, Singapore</w:t>
            </w:r>
          </w:p>
        </w:tc>
        <w:tc>
          <w:tcPr>
            <w:tcW w:w="3190" w:type="dxa"/>
          </w:tcPr>
          <w:p w14:paraId="7E877D4F" w14:textId="5F9F1B48" w:rsidR="006627A6" w:rsidRPr="00F60289" w:rsidRDefault="000626FB" w:rsidP="00827EF0">
            <w:pPr>
              <w:pStyle w:val="CommentText"/>
              <w:rPr>
                <w:rFonts w:cs="Calibri"/>
                <w:lang w:val="en-GB"/>
              </w:rPr>
            </w:pPr>
            <w:r w:rsidRPr="00F60289">
              <w:rPr>
                <w:rFonts w:cs="Calibri"/>
                <w:lang w:val="en-GB"/>
              </w:rPr>
              <w:t>manju.chandran@singhealth.com.sg</w:t>
            </w:r>
          </w:p>
        </w:tc>
      </w:tr>
      <w:tr w:rsidR="00A8515D" w:rsidRPr="00F60289" w14:paraId="339CF47C" w14:textId="77777777" w:rsidTr="00CC1986">
        <w:tc>
          <w:tcPr>
            <w:tcW w:w="1444" w:type="dxa"/>
          </w:tcPr>
          <w:p w14:paraId="44264CC8" w14:textId="7E333920" w:rsidR="00A8515D" w:rsidRPr="00F60289" w:rsidRDefault="00A5440E" w:rsidP="00827EF0">
            <w:pPr>
              <w:pStyle w:val="CommentText"/>
              <w:rPr>
                <w:rFonts w:cs="Calibri"/>
                <w:lang w:val="en-GB"/>
              </w:rPr>
            </w:pPr>
            <w:r w:rsidRPr="00F60289">
              <w:rPr>
                <w:rFonts w:cs="Calibri"/>
                <w:lang w:val="en-GB"/>
              </w:rPr>
              <w:t>Ganga Ganes</w:t>
            </w:r>
            <w:r w:rsidR="00F71E33">
              <w:rPr>
                <w:rFonts w:cs="Calibri"/>
                <w:lang w:val="en-GB"/>
              </w:rPr>
              <w:t>a</w:t>
            </w:r>
            <w:r w:rsidRPr="00F60289">
              <w:rPr>
                <w:rFonts w:cs="Calibri"/>
                <w:lang w:val="en-GB"/>
              </w:rPr>
              <w:t xml:space="preserve">n </w:t>
            </w:r>
          </w:p>
        </w:tc>
        <w:tc>
          <w:tcPr>
            <w:tcW w:w="3459" w:type="dxa"/>
          </w:tcPr>
          <w:p w14:paraId="0C5C735E" w14:textId="258823CA" w:rsidR="00A8515D" w:rsidRPr="00F60289" w:rsidRDefault="00A8515D" w:rsidP="00827EF0">
            <w:pPr>
              <w:pStyle w:val="CommentText"/>
              <w:rPr>
                <w:rFonts w:cs="Calibri"/>
                <w:lang w:val="en-GB"/>
              </w:rPr>
            </w:pPr>
            <w:r w:rsidRPr="00F60289">
              <w:rPr>
                <w:rFonts w:cs="Calibri"/>
                <w:lang w:val="en-GB"/>
              </w:rPr>
              <w:t>Division of Policy, Research and Evaluation, Ministry of Health, Singapore, Singapore.</w:t>
            </w:r>
          </w:p>
        </w:tc>
        <w:tc>
          <w:tcPr>
            <w:tcW w:w="3190" w:type="dxa"/>
          </w:tcPr>
          <w:p w14:paraId="51C2A767" w14:textId="7275E3E8" w:rsidR="00A8515D" w:rsidRPr="00F60289" w:rsidRDefault="003F2278" w:rsidP="00827EF0">
            <w:pPr>
              <w:pStyle w:val="CommentText"/>
              <w:rPr>
                <w:rFonts w:cs="Calibri"/>
                <w:lang w:val="en-GB"/>
              </w:rPr>
            </w:pPr>
            <w:r w:rsidRPr="00F60289">
              <w:rPr>
                <w:rFonts w:cs="Calibri"/>
                <w:lang w:val="en-GB"/>
              </w:rPr>
              <w:t>Ganga_GANESAN@moh.gov.sg</w:t>
            </w:r>
          </w:p>
        </w:tc>
      </w:tr>
      <w:tr w:rsidR="006627A6" w:rsidRPr="00F60289" w14:paraId="045139F2" w14:textId="77777777" w:rsidTr="00CC1986">
        <w:tc>
          <w:tcPr>
            <w:tcW w:w="1444" w:type="dxa"/>
          </w:tcPr>
          <w:p w14:paraId="46CE4537" w14:textId="044E9993" w:rsidR="006627A6" w:rsidRPr="00F60289" w:rsidRDefault="00D3637D" w:rsidP="00827EF0">
            <w:pPr>
              <w:pStyle w:val="CommentText"/>
              <w:rPr>
                <w:rFonts w:cs="Calibri"/>
                <w:lang w:val="en-GB"/>
              </w:rPr>
            </w:pPr>
            <w:r w:rsidRPr="00F60289">
              <w:rPr>
                <w:rFonts w:cs="Calibri"/>
                <w:lang w:val="en-GB"/>
              </w:rPr>
              <w:t>Nicholas C Harvey</w:t>
            </w:r>
          </w:p>
        </w:tc>
        <w:tc>
          <w:tcPr>
            <w:tcW w:w="3459" w:type="dxa"/>
          </w:tcPr>
          <w:p w14:paraId="724228BE" w14:textId="5630CB16" w:rsidR="006627A6" w:rsidRPr="00F60289" w:rsidRDefault="00652F82" w:rsidP="00827EF0">
            <w:pPr>
              <w:pStyle w:val="CommentText"/>
              <w:rPr>
                <w:rFonts w:cs="Calibri"/>
                <w:lang w:val="en-GB"/>
              </w:rPr>
            </w:pPr>
            <w:r w:rsidRPr="00F60289">
              <w:rPr>
                <w:rFonts w:cs="Calibri"/>
                <w:lang w:val="en-GB"/>
              </w:rPr>
              <w:t xml:space="preserve">MRC </w:t>
            </w:r>
            <w:proofErr w:type="spellStart"/>
            <w:r w:rsidRPr="00F60289">
              <w:rPr>
                <w:rFonts w:cs="Calibri"/>
                <w:lang w:val="en-GB"/>
              </w:rPr>
              <w:t>Lifecourse</w:t>
            </w:r>
            <w:proofErr w:type="spellEnd"/>
            <w:r w:rsidRPr="00F60289">
              <w:rPr>
                <w:rFonts w:cs="Calibri"/>
                <w:lang w:val="en-GB"/>
              </w:rPr>
              <w:t xml:space="preserve"> Epidemiology Unit, University of Southampton, Southampton, UK</w:t>
            </w:r>
          </w:p>
        </w:tc>
        <w:tc>
          <w:tcPr>
            <w:tcW w:w="3190" w:type="dxa"/>
          </w:tcPr>
          <w:p w14:paraId="6F21F216" w14:textId="5D21A111" w:rsidR="006627A6" w:rsidRPr="00F60289" w:rsidRDefault="009A73E2" w:rsidP="00827EF0">
            <w:pPr>
              <w:pStyle w:val="CommentText"/>
              <w:rPr>
                <w:rFonts w:cs="Calibri"/>
                <w:lang w:val="en-GB"/>
              </w:rPr>
            </w:pPr>
            <w:r w:rsidRPr="00F60289">
              <w:rPr>
                <w:rFonts w:cs="Calibri"/>
                <w:lang w:val="en-GB"/>
              </w:rPr>
              <w:t>nch@mrc.soton.ac.uk</w:t>
            </w:r>
          </w:p>
        </w:tc>
      </w:tr>
      <w:tr w:rsidR="00953654" w:rsidRPr="00F60289" w14:paraId="31660C2C" w14:textId="77777777" w:rsidTr="00CC1986">
        <w:tc>
          <w:tcPr>
            <w:tcW w:w="1444" w:type="dxa"/>
            <w:vMerge w:val="restart"/>
          </w:tcPr>
          <w:p w14:paraId="3B28A772" w14:textId="0D4C2E5A" w:rsidR="00953654" w:rsidRPr="00F60289" w:rsidRDefault="00953654" w:rsidP="00953654">
            <w:pPr>
              <w:pStyle w:val="CommentText"/>
              <w:rPr>
                <w:rFonts w:cs="Calibri"/>
                <w:lang w:val="en-GB"/>
              </w:rPr>
            </w:pPr>
            <w:bookmarkStart w:id="1" w:name="_Hlk39049729"/>
            <w:proofErr w:type="spellStart"/>
            <w:r w:rsidRPr="00F60289">
              <w:rPr>
                <w:rFonts w:cs="Calibri"/>
                <w:lang w:val="en-GB"/>
              </w:rPr>
              <w:t>Woon-Puay</w:t>
            </w:r>
            <w:proofErr w:type="spellEnd"/>
            <w:r w:rsidRPr="00F60289">
              <w:rPr>
                <w:rFonts w:cs="Calibri"/>
                <w:lang w:val="en-GB"/>
              </w:rPr>
              <w:t xml:space="preserve"> Koh</w:t>
            </w:r>
            <w:bookmarkEnd w:id="1"/>
          </w:p>
        </w:tc>
        <w:tc>
          <w:tcPr>
            <w:tcW w:w="3459" w:type="dxa"/>
          </w:tcPr>
          <w:p w14:paraId="21AC928A" w14:textId="4A5757FE" w:rsidR="00953654" w:rsidRPr="00F60289" w:rsidRDefault="00953654" w:rsidP="00953654">
            <w:pPr>
              <w:pStyle w:val="CommentText"/>
              <w:rPr>
                <w:rFonts w:cs="Calibri"/>
                <w:lang w:val="en-GB"/>
              </w:rPr>
            </w:pPr>
            <w:r w:rsidRPr="00F60289">
              <w:rPr>
                <w:rFonts w:cs="Calibri"/>
                <w:lang w:val="en-GB"/>
              </w:rPr>
              <w:t xml:space="preserve">Health Services and Systems Research, Duke-NUS Medical School, </w:t>
            </w:r>
            <w:r>
              <w:rPr>
                <w:rFonts w:cs="Calibri"/>
                <w:lang w:val="en-GB"/>
              </w:rPr>
              <w:t>8 College Road, Singapore 169857, Singapore</w:t>
            </w:r>
          </w:p>
        </w:tc>
        <w:tc>
          <w:tcPr>
            <w:tcW w:w="3190" w:type="dxa"/>
            <w:vMerge w:val="restart"/>
          </w:tcPr>
          <w:p w14:paraId="747E6E9A" w14:textId="022E152C" w:rsidR="00953654" w:rsidRPr="00F60289" w:rsidRDefault="00953654" w:rsidP="00953654">
            <w:pPr>
              <w:pStyle w:val="CommentText"/>
              <w:rPr>
                <w:rFonts w:cs="Calibri"/>
                <w:lang w:val="en-GB"/>
              </w:rPr>
            </w:pPr>
            <w:r w:rsidRPr="00F60289">
              <w:rPr>
                <w:rFonts w:cs="Calibri"/>
                <w:lang w:val="en-GB"/>
              </w:rPr>
              <w:t>woonpuay.koh@duke-nus.edu.sg.</w:t>
            </w:r>
          </w:p>
        </w:tc>
      </w:tr>
      <w:tr w:rsidR="00953654" w:rsidRPr="00F60289" w14:paraId="0631BBF7" w14:textId="77777777" w:rsidTr="00CC1986">
        <w:tc>
          <w:tcPr>
            <w:tcW w:w="1444" w:type="dxa"/>
            <w:vMerge/>
          </w:tcPr>
          <w:p w14:paraId="4FE6CEA5" w14:textId="77777777" w:rsidR="00953654" w:rsidRPr="00F60289" w:rsidRDefault="00953654" w:rsidP="00953654">
            <w:pPr>
              <w:pStyle w:val="CommentText"/>
              <w:rPr>
                <w:rFonts w:cs="Calibri"/>
                <w:lang w:val="en-GB"/>
              </w:rPr>
            </w:pPr>
          </w:p>
        </w:tc>
        <w:tc>
          <w:tcPr>
            <w:tcW w:w="3459" w:type="dxa"/>
          </w:tcPr>
          <w:p w14:paraId="64925E17" w14:textId="5073402D" w:rsidR="00953654" w:rsidRPr="00F60289" w:rsidRDefault="00953654" w:rsidP="00953654">
            <w:pPr>
              <w:pStyle w:val="CommentText"/>
              <w:rPr>
                <w:rFonts w:cs="Calibri"/>
                <w:lang w:val="en-GB"/>
              </w:rPr>
            </w:pPr>
            <w:r w:rsidRPr="00F60289">
              <w:rPr>
                <w:rFonts w:cs="Calibri"/>
                <w:lang w:val="en-GB"/>
              </w:rPr>
              <w:t xml:space="preserve">Saw </w:t>
            </w:r>
            <w:proofErr w:type="spellStart"/>
            <w:r w:rsidRPr="00F60289">
              <w:rPr>
                <w:rFonts w:cs="Calibri"/>
                <w:lang w:val="en-GB"/>
              </w:rPr>
              <w:t>Swee</w:t>
            </w:r>
            <w:proofErr w:type="spellEnd"/>
            <w:r w:rsidRPr="00F60289">
              <w:rPr>
                <w:rFonts w:cs="Calibri"/>
                <w:lang w:val="en-GB"/>
              </w:rPr>
              <w:t xml:space="preserve"> Hock School of Public Health, National University of Singapore,</w:t>
            </w:r>
            <w:r>
              <w:rPr>
                <w:rFonts w:cs="Calibri"/>
                <w:lang w:val="en-GB"/>
              </w:rPr>
              <w:t xml:space="preserve"> 12 Science Drive 2, Singapore </w:t>
            </w:r>
            <w:r w:rsidRPr="00F60289">
              <w:rPr>
                <w:rFonts w:cs="Calibri"/>
                <w:lang w:val="en-GB"/>
              </w:rPr>
              <w:t>117549, Singapore</w:t>
            </w:r>
            <w:r w:rsidRPr="00F60289" w:rsidDel="00A47C8D">
              <w:rPr>
                <w:rFonts w:cs="Calibri"/>
                <w:lang w:val="en-GB"/>
              </w:rPr>
              <w:t xml:space="preserve"> </w:t>
            </w:r>
          </w:p>
        </w:tc>
        <w:tc>
          <w:tcPr>
            <w:tcW w:w="3190" w:type="dxa"/>
            <w:vMerge/>
          </w:tcPr>
          <w:p w14:paraId="5E308380" w14:textId="77777777" w:rsidR="00953654" w:rsidRPr="00F60289" w:rsidRDefault="00953654" w:rsidP="00953654">
            <w:pPr>
              <w:pStyle w:val="CommentText"/>
              <w:rPr>
                <w:rFonts w:cs="Calibri"/>
                <w:lang w:val="en-GB"/>
              </w:rPr>
            </w:pPr>
          </w:p>
        </w:tc>
      </w:tr>
      <w:tr w:rsidR="0039110E" w:rsidRPr="00F60289" w14:paraId="365C5551" w14:textId="77777777" w:rsidTr="00CC1986">
        <w:tc>
          <w:tcPr>
            <w:tcW w:w="1444" w:type="dxa"/>
            <w:vMerge w:val="restart"/>
          </w:tcPr>
          <w:p w14:paraId="7FF0A64E" w14:textId="41A5C92E" w:rsidR="0039110E" w:rsidRPr="00F60289" w:rsidRDefault="0039110E" w:rsidP="00827EF0">
            <w:pPr>
              <w:pStyle w:val="CommentText"/>
              <w:rPr>
                <w:rFonts w:cs="Calibri"/>
                <w:lang w:val="en-GB"/>
              </w:rPr>
            </w:pPr>
            <w:r w:rsidRPr="00F60289">
              <w:rPr>
                <w:rFonts w:cs="Calibri"/>
                <w:lang w:val="en-GB"/>
              </w:rPr>
              <w:t>Timothy Kwok</w:t>
            </w:r>
          </w:p>
        </w:tc>
        <w:tc>
          <w:tcPr>
            <w:tcW w:w="3459" w:type="dxa"/>
          </w:tcPr>
          <w:p w14:paraId="4E28FE63" w14:textId="19E980EE" w:rsidR="0039110E" w:rsidRPr="00F60289" w:rsidRDefault="0039110E" w:rsidP="00B87C07">
            <w:pPr>
              <w:pStyle w:val="CommentText"/>
              <w:rPr>
                <w:rFonts w:cs="Calibri"/>
                <w:lang w:val="en-GB"/>
              </w:rPr>
            </w:pPr>
            <w:r w:rsidRPr="00F60289">
              <w:rPr>
                <w:rFonts w:cs="Calibri"/>
                <w:lang w:val="en-GB"/>
              </w:rPr>
              <w:t xml:space="preserve">Department of Medicine and Therapeutics, Prince of Wales Hospital, </w:t>
            </w:r>
            <w:r w:rsidRPr="00F60289">
              <w:rPr>
                <w:rFonts w:cs="Calibri"/>
                <w:lang w:val="en-GB"/>
              </w:rPr>
              <w:lastRenderedPageBreak/>
              <w:t xml:space="preserve">The Chinese University of Hong Kong, Shatin, Hong Kong, China. </w:t>
            </w:r>
          </w:p>
        </w:tc>
        <w:tc>
          <w:tcPr>
            <w:tcW w:w="3190" w:type="dxa"/>
            <w:vMerge w:val="restart"/>
          </w:tcPr>
          <w:p w14:paraId="15B40624" w14:textId="6640C283" w:rsidR="0039110E" w:rsidRPr="00F60289" w:rsidRDefault="0039110E" w:rsidP="00827EF0">
            <w:pPr>
              <w:pStyle w:val="CommentText"/>
              <w:rPr>
                <w:rFonts w:cs="Calibri"/>
                <w:lang w:val="en-GB"/>
              </w:rPr>
            </w:pPr>
            <w:r w:rsidRPr="00F60289">
              <w:rPr>
                <w:rFonts w:cs="Calibri"/>
                <w:lang w:val="en-GB"/>
              </w:rPr>
              <w:lastRenderedPageBreak/>
              <w:t>tkwok@cuhk.edu.hk.</w:t>
            </w:r>
          </w:p>
        </w:tc>
      </w:tr>
      <w:tr w:rsidR="0039110E" w:rsidRPr="00F60289" w14:paraId="3C18FAAB" w14:textId="77777777" w:rsidTr="00CC1986">
        <w:tc>
          <w:tcPr>
            <w:tcW w:w="1444" w:type="dxa"/>
            <w:vMerge/>
          </w:tcPr>
          <w:p w14:paraId="54E08C56" w14:textId="77777777" w:rsidR="0039110E" w:rsidRPr="00F60289" w:rsidRDefault="0039110E" w:rsidP="00827EF0">
            <w:pPr>
              <w:pStyle w:val="CommentText"/>
              <w:rPr>
                <w:rFonts w:cs="Calibri"/>
                <w:lang w:val="en-GB"/>
              </w:rPr>
            </w:pPr>
          </w:p>
        </w:tc>
        <w:tc>
          <w:tcPr>
            <w:tcW w:w="3459" w:type="dxa"/>
          </w:tcPr>
          <w:p w14:paraId="4574A5E5" w14:textId="31C59A37" w:rsidR="0039110E" w:rsidRPr="00F60289" w:rsidRDefault="0039110E" w:rsidP="00DA6163">
            <w:pPr>
              <w:pStyle w:val="CommentText"/>
              <w:rPr>
                <w:rFonts w:cs="Calibri"/>
                <w:lang w:val="en-GB"/>
              </w:rPr>
            </w:pPr>
            <w:r w:rsidRPr="00F60289">
              <w:rPr>
                <w:rFonts w:cs="Calibri"/>
                <w:lang w:val="en-GB"/>
              </w:rPr>
              <w:t xml:space="preserve">Jockey Club Centre for Osteoporosis Care and Control, The Chinese University of Hong Kong, Shatin, Hong Kong, China. </w:t>
            </w:r>
          </w:p>
        </w:tc>
        <w:tc>
          <w:tcPr>
            <w:tcW w:w="3190" w:type="dxa"/>
            <w:vMerge/>
          </w:tcPr>
          <w:p w14:paraId="270D1630" w14:textId="77777777" w:rsidR="0039110E" w:rsidRPr="00F60289" w:rsidRDefault="0039110E" w:rsidP="00827EF0">
            <w:pPr>
              <w:pStyle w:val="CommentText"/>
              <w:rPr>
                <w:rFonts w:cs="Calibri"/>
                <w:lang w:val="en-GB"/>
              </w:rPr>
            </w:pPr>
          </w:p>
        </w:tc>
      </w:tr>
      <w:tr w:rsidR="0086658B" w:rsidRPr="00F60289" w14:paraId="573AE53C" w14:textId="77777777" w:rsidTr="00CC1986">
        <w:tc>
          <w:tcPr>
            <w:tcW w:w="1444" w:type="dxa"/>
          </w:tcPr>
          <w:p w14:paraId="00D98989" w14:textId="19069B43" w:rsidR="0086658B" w:rsidRPr="00F60289" w:rsidRDefault="0086658B" w:rsidP="0086658B">
            <w:pPr>
              <w:pStyle w:val="CommentText"/>
              <w:rPr>
                <w:rFonts w:cs="Calibri"/>
                <w:lang w:val="en-GB"/>
              </w:rPr>
            </w:pPr>
            <w:r w:rsidRPr="00E0676F">
              <w:t>Tang Ching Lau</w:t>
            </w:r>
          </w:p>
        </w:tc>
        <w:tc>
          <w:tcPr>
            <w:tcW w:w="3459" w:type="dxa"/>
          </w:tcPr>
          <w:p w14:paraId="347E0C4F" w14:textId="7F0A14DC" w:rsidR="0086658B" w:rsidRPr="00F60289" w:rsidRDefault="0086658B" w:rsidP="0086658B">
            <w:pPr>
              <w:pStyle w:val="CommentText"/>
              <w:rPr>
                <w:rFonts w:cs="Calibri"/>
                <w:lang w:val="en-GB"/>
              </w:rPr>
            </w:pPr>
            <w:r w:rsidRPr="00E0676F">
              <w:t>Department of Medicine, Yong Loo Lin School of Medicine, National University of Singapore.</w:t>
            </w:r>
          </w:p>
        </w:tc>
        <w:tc>
          <w:tcPr>
            <w:tcW w:w="3190" w:type="dxa"/>
          </w:tcPr>
          <w:p w14:paraId="62AB0DBD" w14:textId="69ACC482" w:rsidR="0086658B" w:rsidRPr="00F60289" w:rsidRDefault="0086658B" w:rsidP="0086658B">
            <w:pPr>
              <w:pStyle w:val="CommentText"/>
              <w:rPr>
                <w:rFonts w:cs="Calibri"/>
                <w:lang w:val="en-GB"/>
              </w:rPr>
            </w:pPr>
            <w:r w:rsidRPr="00E0676F">
              <w:t>mdcltc@nus.edu.sg</w:t>
            </w:r>
          </w:p>
        </w:tc>
      </w:tr>
      <w:tr w:rsidR="006627A6" w:rsidRPr="00F60289" w14:paraId="24073917" w14:textId="77777777" w:rsidTr="00CC1986">
        <w:tc>
          <w:tcPr>
            <w:tcW w:w="1444" w:type="dxa"/>
          </w:tcPr>
          <w:p w14:paraId="32EDC223" w14:textId="23A163F3" w:rsidR="006627A6" w:rsidRPr="00F60289" w:rsidRDefault="00C442DB" w:rsidP="00827EF0">
            <w:pPr>
              <w:pStyle w:val="CommentText"/>
              <w:rPr>
                <w:rFonts w:cs="Calibri"/>
                <w:lang w:val="en-GB"/>
              </w:rPr>
            </w:pPr>
            <w:r w:rsidRPr="00F60289">
              <w:rPr>
                <w:rFonts w:cs="Calibri"/>
                <w:lang w:val="en-GB"/>
              </w:rPr>
              <w:t>Enwu Liu</w:t>
            </w:r>
          </w:p>
        </w:tc>
        <w:tc>
          <w:tcPr>
            <w:tcW w:w="3459" w:type="dxa"/>
          </w:tcPr>
          <w:p w14:paraId="663D7D7F" w14:textId="78B1738B" w:rsidR="006627A6" w:rsidRPr="00F60289" w:rsidRDefault="00C442DB" w:rsidP="00827EF0">
            <w:pPr>
              <w:pStyle w:val="CommentText"/>
              <w:rPr>
                <w:rFonts w:cs="Calibri"/>
                <w:lang w:val="en-GB"/>
              </w:rPr>
            </w:pPr>
            <w:r w:rsidRPr="00F60289">
              <w:rPr>
                <w:rFonts w:cs="Calibri"/>
                <w:lang w:val="en-GB"/>
              </w:rPr>
              <w:t>Mary McKillop Institute for Health Research, Australian Catholic University, Melbourne, Australia</w:t>
            </w:r>
          </w:p>
        </w:tc>
        <w:tc>
          <w:tcPr>
            <w:tcW w:w="3190" w:type="dxa"/>
          </w:tcPr>
          <w:p w14:paraId="60046799" w14:textId="20ADD376" w:rsidR="006627A6" w:rsidRPr="00F60289" w:rsidRDefault="002A2FF6" w:rsidP="00827EF0">
            <w:pPr>
              <w:pStyle w:val="CommentText"/>
              <w:rPr>
                <w:rFonts w:cs="Calibri"/>
                <w:lang w:val="en-GB"/>
              </w:rPr>
            </w:pPr>
            <w:r w:rsidRPr="00F60289">
              <w:rPr>
                <w:rFonts w:cs="Calibri"/>
                <w:lang w:val="en-GB"/>
              </w:rPr>
              <w:t>Enwu.Liu@acu.edu.au</w:t>
            </w:r>
          </w:p>
        </w:tc>
      </w:tr>
      <w:tr w:rsidR="00F52505" w:rsidRPr="00F60289" w14:paraId="60E8CCB6" w14:textId="77777777" w:rsidTr="00CC1986">
        <w:tc>
          <w:tcPr>
            <w:tcW w:w="1444" w:type="dxa"/>
            <w:vMerge w:val="restart"/>
          </w:tcPr>
          <w:p w14:paraId="4425FF65" w14:textId="4A1B3610" w:rsidR="00F52505" w:rsidRPr="00F60289" w:rsidRDefault="00F52505" w:rsidP="00827EF0">
            <w:pPr>
              <w:pStyle w:val="CommentText"/>
              <w:rPr>
                <w:rFonts w:cs="Calibri"/>
                <w:lang w:val="en-GB"/>
              </w:rPr>
            </w:pPr>
            <w:r w:rsidRPr="00F60289">
              <w:rPr>
                <w:rFonts w:cs="Calibri"/>
                <w:lang w:val="en-GB"/>
              </w:rPr>
              <w:t>Mattias Lorentzon</w:t>
            </w:r>
          </w:p>
        </w:tc>
        <w:tc>
          <w:tcPr>
            <w:tcW w:w="3459" w:type="dxa"/>
          </w:tcPr>
          <w:p w14:paraId="00C3AFF2" w14:textId="5DF6C18E" w:rsidR="00F52505" w:rsidRPr="00F60289" w:rsidRDefault="00F52505" w:rsidP="00827EF0">
            <w:pPr>
              <w:pStyle w:val="CommentText"/>
              <w:rPr>
                <w:rFonts w:cs="Calibri"/>
                <w:lang w:val="en-GB"/>
              </w:rPr>
            </w:pPr>
            <w:r w:rsidRPr="00F60289">
              <w:rPr>
                <w:rFonts w:cs="Calibri"/>
                <w:lang w:val="en-GB"/>
              </w:rPr>
              <w:t>Mary McKillop Institute for Health Research, Australian Catholic University, Melbourne, Australia</w:t>
            </w:r>
          </w:p>
        </w:tc>
        <w:tc>
          <w:tcPr>
            <w:tcW w:w="3190" w:type="dxa"/>
            <w:vMerge w:val="restart"/>
          </w:tcPr>
          <w:p w14:paraId="6E4179C1" w14:textId="75F0FA66" w:rsidR="00F52505" w:rsidRPr="00F60289" w:rsidRDefault="00F52505" w:rsidP="00827EF0">
            <w:pPr>
              <w:pStyle w:val="CommentText"/>
              <w:rPr>
                <w:rFonts w:cs="Calibri"/>
                <w:lang w:val="en-GB"/>
              </w:rPr>
            </w:pPr>
            <w:r w:rsidRPr="00F60289">
              <w:rPr>
                <w:rFonts w:cs="Calibri"/>
                <w:lang w:val="en-GB"/>
              </w:rPr>
              <w:t>mattias.lorentzon@medic.gu.se</w:t>
            </w:r>
          </w:p>
        </w:tc>
      </w:tr>
      <w:tr w:rsidR="00F52505" w:rsidRPr="00F60289" w14:paraId="345E15D9" w14:textId="77777777" w:rsidTr="00CC1986">
        <w:tc>
          <w:tcPr>
            <w:tcW w:w="1444" w:type="dxa"/>
            <w:vMerge/>
          </w:tcPr>
          <w:p w14:paraId="51A70786" w14:textId="77777777" w:rsidR="00F52505" w:rsidRPr="00F60289" w:rsidRDefault="00F52505" w:rsidP="00827EF0">
            <w:pPr>
              <w:pStyle w:val="CommentText"/>
              <w:rPr>
                <w:rFonts w:cs="Calibri"/>
                <w:lang w:val="en-GB"/>
              </w:rPr>
            </w:pPr>
          </w:p>
        </w:tc>
        <w:tc>
          <w:tcPr>
            <w:tcW w:w="3459" w:type="dxa"/>
          </w:tcPr>
          <w:p w14:paraId="0FD87926" w14:textId="57007D59" w:rsidR="00F52505" w:rsidRPr="00F60289" w:rsidRDefault="00F52505" w:rsidP="00827EF0">
            <w:pPr>
              <w:pStyle w:val="CommentText"/>
              <w:rPr>
                <w:rFonts w:cs="Calibri"/>
                <w:lang w:val="en-GB"/>
              </w:rPr>
            </w:pPr>
            <w:r w:rsidRPr="00F60289">
              <w:rPr>
                <w:rFonts w:cs="Calibri"/>
                <w:lang w:val="en-GB"/>
              </w:rPr>
              <w:t xml:space="preserve">Geriatric Medicine, Department of Internal Medicine and Clinical Nutrition, Institute of Medicine and Clinical Nutrition, </w:t>
            </w:r>
            <w:proofErr w:type="spellStart"/>
            <w:r w:rsidRPr="00F60289">
              <w:rPr>
                <w:rFonts w:cs="Calibri"/>
                <w:lang w:val="en-GB"/>
              </w:rPr>
              <w:t>Sahlgrenska</w:t>
            </w:r>
            <w:proofErr w:type="spellEnd"/>
            <w:r w:rsidRPr="00F60289">
              <w:rPr>
                <w:rFonts w:cs="Calibri"/>
                <w:lang w:val="en-GB"/>
              </w:rPr>
              <w:t xml:space="preserve"> Academy, University of Gothenburg.</w:t>
            </w:r>
          </w:p>
        </w:tc>
        <w:tc>
          <w:tcPr>
            <w:tcW w:w="3190" w:type="dxa"/>
            <w:vMerge/>
          </w:tcPr>
          <w:p w14:paraId="7EAC55A2" w14:textId="77777777" w:rsidR="00F52505" w:rsidRPr="00F60289" w:rsidRDefault="00F52505" w:rsidP="00827EF0">
            <w:pPr>
              <w:pStyle w:val="CommentText"/>
              <w:rPr>
                <w:rFonts w:cs="Calibri"/>
                <w:lang w:val="en-GB"/>
              </w:rPr>
            </w:pPr>
          </w:p>
        </w:tc>
      </w:tr>
      <w:tr w:rsidR="00D30E8B" w:rsidRPr="00F60289" w14:paraId="34E23747" w14:textId="77777777" w:rsidTr="00CC1986">
        <w:tc>
          <w:tcPr>
            <w:tcW w:w="1444" w:type="dxa"/>
            <w:vMerge w:val="restart"/>
          </w:tcPr>
          <w:p w14:paraId="0A0432DA" w14:textId="4CAB23F5" w:rsidR="00D30E8B" w:rsidRPr="00F60289" w:rsidRDefault="00D30E8B" w:rsidP="00827EF0">
            <w:pPr>
              <w:pStyle w:val="CommentText"/>
              <w:rPr>
                <w:rFonts w:cs="Calibri"/>
                <w:lang w:val="en-GB"/>
              </w:rPr>
            </w:pPr>
            <w:r w:rsidRPr="00F60289">
              <w:rPr>
                <w:rFonts w:cs="Calibri"/>
                <w:lang w:val="en-GB"/>
              </w:rPr>
              <w:t>Eugene V McCloskey</w:t>
            </w:r>
          </w:p>
        </w:tc>
        <w:tc>
          <w:tcPr>
            <w:tcW w:w="3459" w:type="dxa"/>
          </w:tcPr>
          <w:p w14:paraId="5E1F9C4D" w14:textId="751A9315" w:rsidR="00D30E8B" w:rsidRPr="00F60289" w:rsidRDefault="00D30E8B" w:rsidP="00827EF0">
            <w:pPr>
              <w:pStyle w:val="CommentText"/>
              <w:rPr>
                <w:rFonts w:cs="Calibri"/>
                <w:lang w:val="en-GB"/>
              </w:rPr>
            </w:pPr>
            <w:r w:rsidRPr="00F60289">
              <w:rPr>
                <w:rFonts w:cs="Calibri"/>
                <w:lang w:val="en-GB"/>
              </w:rPr>
              <w:t>Centre for Metabolic Bone Diseases, University of Sheffield Medical School, Sheffield, UK</w:t>
            </w:r>
          </w:p>
        </w:tc>
        <w:tc>
          <w:tcPr>
            <w:tcW w:w="3190" w:type="dxa"/>
            <w:vMerge w:val="restart"/>
          </w:tcPr>
          <w:p w14:paraId="7DBC1E45" w14:textId="215BC6E3" w:rsidR="00D30E8B" w:rsidRPr="00F60289" w:rsidRDefault="00D30E8B" w:rsidP="00827EF0">
            <w:pPr>
              <w:pStyle w:val="CommentText"/>
              <w:rPr>
                <w:rFonts w:cs="Calibri"/>
                <w:lang w:val="en-GB"/>
              </w:rPr>
            </w:pPr>
            <w:r w:rsidRPr="00F60289">
              <w:rPr>
                <w:rFonts w:cs="Calibri"/>
                <w:lang w:val="en-GB"/>
              </w:rPr>
              <w:t>e.v.mccloskey@sheffield.ac.uk</w:t>
            </w:r>
          </w:p>
        </w:tc>
      </w:tr>
      <w:tr w:rsidR="00D30E8B" w:rsidRPr="00F60289" w14:paraId="3C2E9500" w14:textId="77777777" w:rsidTr="00CC1986">
        <w:tc>
          <w:tcPr>
            <w:tcW w:w="1444" w:type="dxa"/>
            <w:vMerge/>
          </w:tcPr>
          <w:p w14:paraId="3E380547" w14:textId="77777777" w:rsidR="00D30E8B" w:rsidRPr="00F60289" w:rsidRDefault="00D30E8B" w:rsidP="00827EF0">
            <w:pPr>
              <w:pStyle w:val="CommentText"/>
              <w:rPr>
                <w:rFonts w:cs="Calibri"/>
                <w:lang w:val="en-GB"/>
              </w:rPr>
            </w:pPr>
          </w:p>
        </w:tc>
        <w:tc>
          <w:tcPr>
            <w:tcW w:w="3459" w:type="dxa"/>
          </w:tcPr>
          <w:p w14:paraId="062F3D8D" w14:textId="514AFF68" w:rsidR="00D30E8B" w:rsidRPr="00F60289" w:rsidRDefault="00D30E8B" w:rsidP="00827EF0">
            <w:pPr>
              <w:pStyle w:val="CommentText"/>
              <w:rPr>
                <w:rFonts w:cs="Calibri"/>
                <w:lang w:val="en-GB"/>
              </w:rPr>
            </w:pPr>
            <w:r w:rsidRPr="00F60289">
              <w:rPr>
                <w:rFonts w:cs="Calibri"/>
                <w:lang w:val="en-GB"/>
              </w:rPr>
              <w:t xml:space="preserve">MRC and Arthritis Research UK Centre for Integrated Research in Musculoskeletal Ageing, </w:t>
            </w:r>
            <w:proofErr w:type="spellStart"/>
            <w:r w:rsidRPr="00F60289">
              <w:rPr>
                <w:rFonts w:cs="Calibri"/>
                <w:lang w:val="en-GB"/>
              </w:rPr>
              <w:t>Mellanby</w:t>
            </w:r>
            <w:proofErr w:type="spellEnd"/>
            <w:r w:rsidRPr="00F60289">
              <w:rPr>
                <w:rFonts w:cs="Calibri"/>
                <w:lang w:val="en-GB"/>
              </w:rPr>
              <w:t xml:space="preserve"> Centre for Bone Research, University of Sheffield, Sheffield, UK</w:t>
            </w:r>
          </w:p>
        </w:tc>
        <w:tc>
          <w:tcPr>
            <w:tcW w:w="3190" w:type="dxa"/>
            <w:vMerge/>
          </w:tcPr>
          <w:p w14:paraId="5D590C02" w14:textId="77777777" w:rsidR="00D30E8B" w:rsidRPr="00F60289" w:rsidRDefault="00D30E8B" w:rsidP="00827EF0">
            <w:pPr>
              <w:pStyle w:val="CommentText"/>
              <w:rPr>
                <w:rFonts w:cs="Calibri"/>
                <w:lang w:val="en-GB"/>
              </w:rPr>
            </w:pPr>
          </w:p>
        </w:tc>
      </w:tr>
      <w:tr w:rsidR="0018274E" w:rsidRPr="00F60289" w14:paraId="4D24AA9D" w14:textId="77777777" w:rsidTr="00CC1986">
        <w:tc>
          <w:tcPr>
            <w:tcW w:w="1444" w:type="dxa"/>
          </w:tcPr>
          <w:p w14:paraId="3BE2CF8B" w14:textId="569F00CA" w:rsidR="0018274E" w:rsidRPr="00F60289" w:rsidRDefault="0018274E" w:rsidP="00827EF0">
            <w:pPr>
              <w:pStyle w:val="CommentText"/>
              <w:rPr>
                <w:rFonts w:cs="Calibri"/>
                <w:lang w:val="en-GB"/>
              </w:rPr>
            </w:pPr>
            <w:r w:rsidRPr="00F60289">
              <w:rPr>
                <w:rFonts w:cs="Calibri"/>
                <w:lang w:val="en-GB"/>
              </w:rPr>
              <w:t>Kelvin Bryan Tan</w:t>
            </w:r>
          </w:p>
        </w:tc>
        <w:tc>
          <w:tcPr>
            <w:tcW w:w="3459" w:type="dxa"/>
          </w:tcPr>
          <w:p w14:paraId="0740DC65" w14:textId="06EBBF4F" w:rsidR="0018274E" w:rsidRPr="00F60289" w:rsidRDefault="003321C3" w:rsidP="00827EF0">
            <w:pPr>
              <w:pStyle w:val="CommentText"/>
              <w:rPr>
                <w:rFonts w:cs="Calibri"/>
                <w:lang w:val="en-GB"/>
              </w:rPr>
            </w:pPr>
            <w:r w:rsidRPr="003321C3">
              <w:rPr>
                <w:rFonts w:cs="Calibri"/>
                <w:lang w:val="en-GB"/>
              </w:rPr>
              <w:t>Ministry of Health Singapore</w:t>
            </w:r>
          </w:p>
        </w:tc>
        <w:tc>
          <w:tcPr>
            <w:tcW w:w="3190" w:type="dxa"/>
          </w:tcPr>
          <w:p w14:paraId="5E53BA73" w14:textId="2F001BF1" w:rsidR="0018274E" w:rsidRPr="00F60289" w:rsidRDefault="00493C1C" w:rsidP="00827EF0">
            <w:pPr>
              <w:pStyle w:val="CommentText"/>
              <w:rPr>
                <w:rFonts w:cs="Calibri"/>
                <w:lang w:val="en-GB"/>
              </w:rPr>
            </w:pPr>
            <w:proofErr w:type="spellStart"/>
            <w:r w:rsidRPr="00493C1C">
              <w:rPr>
                <w:rFonts w:cs="Calibri"/>
                <w:lang w:val="en-GB"/>
              </w:rPr>
              <w:t>Kelvin_Bryan_TAN@moh.gov.s</w:t>
            </w:r>
            <w:proofErr w:type="spellEnd"/>
          </w:p>
        </w:tc>
      </w:tr>
      <w:tr w:rsidR="00E54F86" w:rsidRPr="00F60289" w14:paraId="3C3AFF45" w14:textId="77777777" w:rsidTr="00CC1986">
        <w:tc>
          <w:tcPr>
            <w:tcW w:w="1444" w:type="dxa"/>
            <w:vMerge w:val="restart"/>
          </w:tcPr>
          <w:p w14:paraId="138A82EC" w14:textId="55BF2AC7" w:rsidR="00E54F86" w:rsidRPr="00F60289" w:rsidRDefault="00E54F86" w:rsidP="00827EF0">
            <w:pPr>
              <w:pStyle w:val="CommentText"/>
              <w:rPr>
                <w:rFonts w:cs="Calibri"/>
                <w:lang w:val="en-GB"/>
              </w:rPr>
            </w:pPr>
            <w:r w:rsidRPr="00F60289">
              <w:rPr>
                <w:rFonts w:cs="Calibri"/>
                <w:lang w:val="en-GB"/>
              </w:rPr>
              <w:t>Liesbeth Vandenput</w:t>
            </w:r>
          </w:p>
        </w:tc>
        <w:tc>
          <w:tcPr>
            <w:tcW w:w="3459" w:type="dxa"/>
          </w:tcPr>
          <w:p w14:paraId="43CD466A" w14:textId="1A961029" w:rsidR="00E54F86" w:rsidRPr="00F60289" w:rsidRDefault="00E54F86" w:rsidP="00827EF0">
            <w:pPr>
              <w:pStyle w:val="CommentText"/>
              <w:rPr>
                <w:rFonts w:cs="Calibri"/>
                <w:lang w:val="en-GB"/>
              </w:rPr>
            </w:pPr>
            <w:r w:rsidRPr="00F60289">
              <w:rPr>
                <w:rFonts w:cs="Calibri"/>
                <w:lang w:val="en-GB"/>
              </w:rPr>
              <w:t>Mary McKillop Institute for Health Research, Australian Catholic University, Melbourne, Australia</w:t>
            </w:r>
          </w:p>
        </w:tc>
        <w:tc>
          <w:tcPr>
            <w:tcW w:w="3190" w:type="dxa"/>
            <w:vMerge w:val="restart"/>
          </w:tcPr>
          <w:p w14:paraId="35133091" w14:textId="785E87D3" w:rsidR="00E54F86" w:rsidRPr="00F60289" w:rsidRDefault="00E54F86" w:rsidP="00827EF0">
            <w:pPr>
              <w:pStyle w:val="CommentText"/>
              <w:rPr>
                <w:rFonts w:cs="Calibri"/>
                <w:lang w:val="en-GB"/>
              </w:rPr>
            </w:pPr>
            <w:r w:rsidRPr="00F60289">
              <w:rPr>
                <w:rFonts w:cs="Calibri"/>
                <w:lang w:val="en-GB"/>
              </w:rPr>
              <w:t>liesbeth.vandenput@medic.gu.se</w:t>
            </w:r>
          </w:p>
        </w:tc>
      </w:tr>
      <w:tr w:rsidR="00E54F86" w:rsidRPr="00F60289" w14:paraId="34C3D825" w14:textId="77777777" w:rsidTr="00CC1986">
        <w:tc>
          <w:tcPr>
            <w:tcW w:w="1444" w:type="dxa"/>
            <w:vMerge/>
          </w:tcPr>
          <w:p w14:paraId="1129A025" w14:textId="77777777" w:rsidR="00E54F86" w:rsidRPr="00F60289" w:rsidRDefault="00E54F86" w:rsidP="00827EF0">
            <w:pPr>
              <w:pStyle w:val="CommentText"/>
              <w:rPr>
                <w:rFonts w:cs="Calibri"/>
                <w:lang w:val="en-GB"/>
              </w:rPr>
            </w:pPr>
          </w:p>
        </w:tc>
        <w:tc>
          <w:tcPr>
            <w:tcW w:w="3459" w:type="dxa"/>
          </w:tcPr>
          <w:p w14:paraId="04F170E7" w14:textId="0B3D6740" w:rsidR="00E54F86" w:rsidRPr="00F60289" w:rsidRDefault="00E54F86" w:rsidP="00827EF0">
            <w:pPr>
              <w:pStyle w:val="CommentText"/>
              <w:rPr>
                <w:rFonts w:cs="Calibri"/>
                <w:lang w:val="en-GB"/>
              </w:rPr>
            </w:pPr>
            <w:r w:rsidRPr="00F60289">
              <w:rPr>
                <w:rFonts w:cs="Calibri"/>
                <w:lang w:val="en-GB"/>
              </w:rPr>
              <w:t xml:space="preserve">Department of Internal Medicine and Clinical Nutrition, Institute of Medicine, </w:t>
            </w:r>
            <w:proofErr w:type="spellStart"/>
            <w:r w:rsidRPr="00F60289">
              <w:rPr>
                <w:rFonts w:cs="Calibri"/>
                <w:lang w:val="en-GB"/>
              </w:rPr>
              <w:t>Sahlgrenska</w:t>
            </w:r>
            <w:proofErr w:type="spellEnd"/>
            <w:r w:rsidRPr="00F60289">
              <w:rPr>
                <w:rFonts w:cs="Calibri"/>
                <w:lang w:val="en-GB"/>
              </w:rPr>
              <w:t xml:space="preserve"> Academy, University of Gothenburg, Gothenburg, Sweden</w:t>
            </w:r>
          </w:p>
        </w:tc>
        <w:tc>
          <w:tcPr>
            <w:tcW w:w="3190" w:type="dxa"/>
            <w:vMerge/>
          </w:tcPr>
          <w:p w14:paraId="3D851001" w14:textId="77777777" w:rsidR="00E54F86" w:rsidRPr="00F60289" w:rsidRDefault="00E54F86" w:rsidP="00827EF0">
            <w:pPr>
              <w:pStyle w:val="CommentText"/>
              <w:rPr>
                <w:rFonts w:cs="Calibri"/>
                <w:lang w:val="en-GB"/>
              </w:rPr>
            </w:pPr>
          </w:p>
        </w:tc>
      </w:tr>
      <w:tr w:rsidR="00FE414C" w:rsidRPr="00F60289" w14:paraId="09E22B67" w14:textId="77777777" w:rsidTr="00CC1986">
        <w:tc>
          <w:tcPr>
            <w:tcW w:w="1444" w:type="dxa"/>
            <w:vMerge w:val="restart"/>
          </w:tcPr>
          <w:p w14:paraId="220DD54C" w14:textId="657BCAB6" w:rsidR="00FE414C" w:rsidRPr="00F60289" w:rsidRDefault="00FE414C" w:rsidP="00827EF0">
            <w:pPr>
              <w:pStyle w:val="CommentText"/>
              <w:rPr>
                <w:rFonts w:cs="Calibri"/>
                <w:lang w:val="en-GB"/>
              </w:rPr>
            </w:pPr>
            <w:r w:rsidRPr="00F60289">
              <w:rPr>
                <w:rFonts w:cs="Calibri"/>
                <w:lang w:val="en-GB"/>
              </w:rPr>
              <w:t>Helena Johansson</w:t>
            </w:r>
          </w:p>
        </w:tc>
        <w:tc>
          <w:tcPr>
            <w:tcW w:w="3459" w:type="dxa"/>
          </w:tcPr>
          <w:p w14:paraId="07BC7E15" w14:textId="262A3E46" w:rsidR="00FE414C" w:rsidRPr="00F60289" w:rsidRDefault="00FE414C" w:rsidP="00827EF0">
            <w:pPr>
              <w:pStyle w:val="CommentText"/>
              <w:rPr>
                <w:rFonts w:cs="Calibri"/>
                <w:lang w:val="en-GB"/>
              </w:rPr>
            </w:pPr>
            <w:r w:rsidRPr="00F60289">
              <w:rPr>
                <w:rFonts w:cs="Calibri"/>
                <w:lang w:val="en-GB"/>
              </w:rPr>
              <w:t>Centre for Metabolic Bone Diseases, University of Sheffield, Sheffield, UK</w:t>
            </w:r>
          </w:p>
        </w:tc>
        <w:tc>
          <w:tcPr>
            <w:tcW w:w="3190" w:type="dxa"/>
            <w:vMerge w:val="restart"/>
          </w:tcPr>
          <w:p w14:paraId="653DAB51" w14:textId="32DDF2D6" w:rsidR="00FE414C" w:rsidRPr="00F60289" w:rsidRDefault="00FE414C" w:rsidP="00827EF0">
            <w:pPr>
              <w:pStyle w:val="CommentText"/>
              <w:rPr>
                <w:rFonts w:cs="Calibri"/>
                <w:lang w:val="en-GB"/>
              </w:rPr>
            </w:pPr>
            <w:r w:rsidRPr="00F60289">
              <w:rPr>
                <w:rFonts w:cs="Calibri"/>
                <w:lang w:val="en-GB"/>
              </w:rPr>
              <w:t>helena@statiq.se</w:t>
            </w:r>
          </w:p>
        </w:tc>
      </w:tr>
      <w:tr w:rsidR="00FE414C" w:rsidRPr="00F60289" w14:paraId="3641B6B8" w14:textId="77777777" w:rsidTr="00CC1986">
        <w:tc>
          <w:tcPr>
            <w:tcW w:w="1444" w:type="dxa"/>
            <w:vMerge/>
          </w:tcPr>
          <w:p w14:paraId="4B273B50" w14:textId="77777777" w:rsidR="00FE414C" w:rsidRPr="00F60289" w:rsidRDefault="00FE414C" w:rsidP="00827EF0">
            <w:pPr>
              <w:pStyle w:val="CommentText"/>
              <w:rPr>
                <w:rFonts w:cs="Calibri"/>
                <w:lang w:val="en-GB"/>
              </w:rPr>
            </w:pPr>
          </w:p>
        </w:tc>
        <w:tc>
          <w:tcPr>
            <w:tcW w:w="3459" w:type="dxa"/>
          </w:tcPr>
          <w:p w14:paraId="3B1B508B" w14:textId="4A3CF558" w:rsidR="00FE414C" w:rsidRPr="00F60289" w:rsidRDefault="00FE414C" w:rsidP="00827EF0">
            <w:pPr>
              <w:pStyle w:val="CommentText"/>
              <w:rPr>
                <w:rFonts w:cs="Calibri"/>
                <w:lang w:val="en-GB"/>
              </w:rPr>
            </w:pPr>
            <w:r w:rsidRPr="00F60289">
              <w:rPr>
                <w:rFonts w:cs="Calibri"/>
                <w:lang w:val="en-GB"/>
              </w:rPr>
              <w:t>Mary McKillop Institute for Health Research, Australian Catholic University, Melbourne, Australia</w:t>
            </w:r>
          </w:p>
        </w:tc>
        <w:tc>
          <w:tcPr>
            <w:tcW w:w="3190" w:type="dxa"/>
            <w:vMerge/>
          </w:tcPr>
          <w:p w14:paraId="21EDAE3A" w14:textId="77777777" w:rsidR="00FE414C" w:rsidRPr="00F60289" w:rsidRDefault="00FE414C" w:rsidP="00827EF0">
            <w:pPr>
              <w:pStyle w:val="CommentText"/>
              <w:rPr>
                <w:rFonts w:cs="Calibri"/>
                <w:lang w:val="en-GB"/>
              </w:rPr>
            </w:pPr>
          </w:p>
        </w:tc>
      </w:tr>
    </w:tbl>
    <w:p w14:paraId="46594D80" w14:textId="77777777" w:rsidR="004E529F" w:rsidRPr="00F579DA" w:rsidRDefault="004E529F" w:rsidP="00827EF0">
      <w:pPr>
        <w:pStyle w:val="CommentText"/>
        <w:ind w:left="1134"/>
        <w:rPr>
          <w:sz w:val="24"/>
          <w:szCs w:val="24"/>
          <w:lang w:val="en-GB"/>
        </w:rPr>
      </w:pPr>
    </w:p>
    <w:p w14:paraId="5EA928A8" w14:textId="149DE528" w:rsidR="0085112D" w:rsidRDefault="00F15C82" w:rsidP="00D948E3">
      <w:pPr>
        <w:ind w:left="1134"/>
        <w:rPr>
          <w:sz w:val="24"/>
          <w:szCs w:val="24"/>
          <w:lang w:val="en-GB"/>
        </w:rPr>
      </w:pPr>
      <w:r w:rsidRPr="00F15C82">
        <w:rPr>
          <w:sz w:val="24"/>
          <w:szCs w:val="24"/>
          <w:lang w:val="en-GB"/>
        </w:rPr>
        <w:lastRenderedPageBreak/>
        <w:t xml:space="preserve">Correspondence to: Prof John A Kanis, Centre for Metabolic Bone Diseases, University of Sheffield Medical School, Beech Hill Road, Sheffield S10 2RX, UK; Tel: +44 114 285 1109; Fax: +44 114 285 1813; </w:t>
      </w:r>
      <w:hyperlink r:id="rId8" w:history="1">
        <w:r w:rsidR="0085112D" w:rsidRPr="00892C4F">
          <w:rPr>
            <w:rStyle w:val="Hyperlink"/>
            <w:sz w:val="24"/>
            <w:szCs w:val="24"/>
            <w:lang w:val="en-GB"/>
          </w:rPr>
          <w:t>w.j.pontefract@shef.ac.uk</w:t>
        </w:r>
      </w:hyperlink>
    </w:p>
    <w:p w14:paraId="5C62A434" w14:textId="3E85D0CE" w:rsidR="00564264" w:rsidRPr="00564264" w:rsidRDefault="0085112D" w:rsidP="009E415D">
      <w:pPr>
        <w:spacing w:after="0" w:line="240" w:lineRule="auto"/>
        <w:ind w:left="1134"/>
        <w:rPr>
          <w:b/>
          <w:bCs/>
          <w:sz w:val="24"/>
          <w:szCs w:val="24"/>
          <w:lang w:val="en-GB"/>
        </w:rPr>
      </w:pPr>
      <w:r>
        <w:rPr>
          <w:sz w:val="24"/>
          <w:szCs w:val="24"/>
          <w:lang w:val="en-GB"/>
        </w:rPr>
        <w:br w:type="page"/>
      </w:r>
      <w:r w:rsidR="00564264" w:rsidRPr="00564264">
        <w:rPr>
          <w:b/>
          <w:bCs/>
          <w:sz w:val="24"/>
          <w:szCs w:val="24"/>
          <w:lang w:val="en-GB"/>
        </w:rPr>
        <w:lastRenderedPageBreak/>
        <w:t>Summary</w:t>
      </w:r>
    </w:p>
    <w:p w14:paraId="65429545" w14:textId="4F425607" w:rsidR="00564264" w:rsidRPr="00564264" w:rsidRDefault="00564264" w:rsidP="00564264">
      <w:pPr>
        <w:ind w:left="1134"/>
        <w:rPr>
          <w:sz w:val="24"/>
          <w:szCs w:val="24"/>
          <w:lang w:val="en-GB"/>
        </w:rPr>
      </w:pPr>
      <w:r w:rsidRPr="00564264">
        <w:rPr>
          <w:sz w:val="24"/>
          <w:szCs w:val="24"/>
          <w:lang w:val="en-GB"/>
        </w:rPr>
        <w:t>Assessment and treatment pathways based on age-specific intervention thresholds in Singapore using FRAX paths can be used to identify patients at high risk of fracture and avoid unnecessary treatment in those at low risk</w:t>
      </w:r>
    </w:p>
    <w:p w14:paraId="18EA70D4" w14:textId="77777777" w:rsidR="00872EB7" w:rsidRDefault="00872EB7" w:rsidP="00D948E3">
      <w:pPr>
        <w:ind w:left="1134"/>
        <w:rPr>
          <w:b/>
          <w:bCs/>
          <w:sz w:val="24"/>
          <w:szCs w:val="24"/>
          <w:lang w:val="en-GB"/>
        </w:rPr>
      </w:pPr>
    </w:p>
    <w:p w14:paraId="756999A9" w14:textId="6418726B" w:rsidR="00D948E3" w:rsidRPr="00D948E3" w:rsidRDefault="00D948E3" w:rsidP="00D948E3">
      <w:pPr>
        <w:ind w:left="1134"/>
        <w:rPr>
          <w:b/>
          <w:bCs/>
          <w:sz w:val="24"/>
          <w:szCs w:val="24"/>
          <w:lang w:val="en-GB"/>
        </w:rPr>
      </w:pPr>
      <w:r w:rsidRPr="00D948E3">
        <w:rPr>
          <w:b/>
          <w:bCs/>
          <w:sz w:val="24"/>
          <w:szCs w:val="24"/>
          <w:lang w:val="en-GB"/>
        </w:rPr>
        <w:t>Abstract</w:t>
      </w:r>
    </w:p>
    <w:p w14:paraId="6F38EE70" w14:textId="77777777" w:rsidR="00D948E3" w:rsidRPr="00D948E3" w:rsidRDefault="00D948E3" w:rsidP="00D948E3">
      <w:pPr>
        <w:ind w:left="1134"/>
        <w:rPr>
          <w:sz w:val="24"/>
          <w:szCs w:val="24"/>
          <w:lang w:val="en-GB"/>
        </w:rPr>
      </w:pPr>
      <w:r w:rsidRPr="00D948E3">
        <w:rPr>
          <w:sz w:val="24"/>
          <w:szCs w:val="24"/>
          <w:lang w:val="en-GB"/>
        </w:rPr>
        <w:t>Purpose</w:t>
      </w:r>
    </w:p>
    <w:p w14:paraId="4DDA456B" w14:textId="17C000D1" w:rsidR="00D948E3" w:rsidRPr="00D948E3" w:rsidRDefault="00640ACE" w:rsidP="00D948E3">
      <w:pPr>
        <w:ind w:left="1134"/>
        <w:rPr>
          <w:sz w:val="24"/>
          <w:szCs w:val="24"/>
          <w:lang w:val="en-GB"/>
        </w:rPr>
      </w:pPr>
      <w:r>
        <w:rPr>
          <w:sz w:val="24"/>
          <w:szCs w:val="24"/>
          <w:lang w:val="en-GB"/>
        </w:rPr>
        <w:t>Intervention thresholds for the treatment of osteoporosis</w:t>
      </w:r>
      <w:r w:rsidR="00B9431D">
        <w:rPr>
          <w:sz w:val="24"/>
          <w:szCs w:val="24"/>
          <w:lang w:val="en-GB"/>
        </w:rPr>
        <w:t xml:space="preserve"> have</w:t>
      </w:r>
      <w:r w:rsidR="00D948E3" w:rsidRPr="00D948E3">
        <w:rPr>
          <w:sz w:val="24"/>
          <w:szCs w:val="24"/>
          <w:lang w:val="en-GB"/>
        </w:rPr>
        <w:t xml:space="preserve"> been </w:t>
      </w:r>
      <w:r w:rsidR="009A458B">
        <w:rPr>
          <w:sz w:val="24"/>
          <w:szCs w:val="24"/>
          <w:lang w:val="en-GB"/>
        </w:rPr>
        <w:t>based historically</w:t>
      </w:r>
      <w:r w:rsidR="00D948E3" w:rsidRPr="00D948E3">
        <w:rPr>
          <w:sz w:val="24"/>
          <w:szCs w:val="24"/>
          <w:lang w:val="en-GB"/>
        </w:rPr>
        <w:t xml:space="preserve"> </w:t>
      </w:r>
      <w:r w:rsidR="009A458B">
        <w:rPr>
          <w:sz w:val="24"/>
          <w:szCs w:val="24"/>
          <w:lang w:val="en-GB"/>
        </w:rPr>
        <w:t>on</w:t>
      </w:r>
      <w:r w:rsidR="00D948E3" w:rsidRPr="00D948E3">
        <w:rPr>
          <w:sz w:val="24"/>
          <w:szCs w:val="24"/>
          <w:lang w:val="en-GB"/>
        </w:rPr>
        <w:t xml:space="preserve"> the </w:t>
      </w:r>
      <w:r w:rsidR="00E939A5">
        <w:rPr>
          <w:sz w:val="24"/>
          <w:szCs w:val="24"/>
          <w:lang w:val="en-GB"/>
        </w:rPr>
        <w:t>measurement</w:t>
      </w:r>
      <w:r w:rsidR="00D948E3" w:rsidRPr="00D948E3">
        <w:rPr>
          <w:sz w:val="24"/>
          <w:szCs w:val="24"/>
          <w:lang w:val="en-GB"/>
        </w:rPr>
        <w:t xml:space="preserve"> of bone mineral density</w:t>
      </w:r>
      <w:r w:rsidR="00B626ED">
        <w:rPr>
          <w:sz w:val="24"/>
          <w:szCs w:val="24"/>
          <w:lang w:val="en-GB"/>
        </w:rPr>
        <w:t xml:space="preserve">. </w:t>
      </w:r>
      <w:r w:rsidR="00D948E3" w:rsidRPr="00D948E3">
        <w:rPr>
          <w:sz w:val="24"/>
          <w:szCs w:val="24"/>
          <w:lang w:val="en-GB"/>
        </w:rPr>
        <w:t xml:space="preserve"> </w:t>
      </w:r>
      <w:r w:rsidR="00B626ED">
        <w:rPr>
          <w:sz w:val="24"/>
          <w:szCs w:val="24"/>
          <w:lang w:val="en-GB"/>
        </w:rPr>
        <w:t>The development of FRAX</w:t>
      </w:r>
      <w:r w:rsidR="00720277" w:rsidRPr="00720277">
        <w:rPr>
          <w:sz w:val="24"/>
          <w:szCs w:val="24"/>
          <w:lang w:val="en-GB"/>
        </w:rPr>
        <w:t>®</w:t>
      </w:r>
      <w:r w:rsidR="007A09D7">
        <w:rPr>
          <w:sz w:val="24"/>
          <w:szCs w:val="24"/>
          <w:lang w:val="en-GB"/>
        </w:rPr>
        <w:t xml:space="preserve"> has permitted a more accurate assessment of fracture risk.</w:t>
      </w:r>
      <w:r w:rsidR="00A96238">
        <w:rPr>
          <w:sz w:val="24"/>
          <w:szCs w:val="24"/>
          <w:lang w:val="en-GB"/>
        </w:rPr>
        <w:t xml:space="preserve"> </w:t>
      </w:r>
      <w:r w:rsidR="007A09D7">
        <w:rPr>
          <w:sz w:val="24"/>
          <w:szCs w:val="24"/>
          <w:lang w:val="en-GB"/>
        </w:rPr>
        <w:t xml:space="preserve"> </w:t>
      </w:r>
      <w:r w:rsidR="007F588C" w:rsidRPr="007F588C">
        <w:rPr>
          <w:sz w:val="24"/>
          <w:szCs w:val="24"/>
          <w:lang w:val="en-GB"/>
        </w:rPr>
        <w:t xml:space="preserve">The aim of the present study was to explore treatment paths and characteristics of </w:t>
      </w:r>
      <w:r w:rsidR="002E793C">
        <w:rPr>
          <w:sz w:val="24"/>
          <w:szCs w:val="24"/>
          <w:lang w:val="en-GB"/>
        </w:rPr>
        <w:t>women</w:t>
      </w:r>
      <w:r w:rsidR="002E793C" w:rsidRPr="007F588C">
        <w:rPr>
          <w:sz w:val="24"/>
          <w:szCs w:val="24"/>
          <w:lang w:val="en-GB"/>
        </w:rPr>
        <w:t xml:space="preserve"> </w:t>
      </w:r>
      <w:r w:rsidR="007F588C" w:rsidRPr="007F588C">
        <w:rPr>
          <w:sz w:val="24"/>
          <w:szCs w:val="24"/>
          <w:lang w:val="en-GB"/>
        </w:rPr>
        <w:t>selected for treatment in Singapore based on FRAX.</w:t>
      </w:r>
    </w:p>
    <w:p w14:paraId="49A6083D" w14:textId="77777777" w:rsidR="00D948E3" w:rsidRPr="00D948E3" w:rsidRDefault="00D948E3" w:rsidP="00D948E3">
      <w:pPr>
        <w:ind w:left="1134"/>
        <w:rPr>
          <w:sz w:val="24"/>
          <w:szCs w:val="24"/>
          <w:lang w:val="en-GB"/>
        </w:rPr>
      </w:pPr>
      <w:r w:rsidRPr="00D948E3">
        <w:rPr>
          <w:sz w:val="24"/>
          <w:szCs w:val="24"/>
          <w:lang w:val="en-GB"/>
        </w:rPr>
        <w:t>Methods</w:t>
      </w:r>
    </w:p>
    <w:p w14:paraId="132B13AB" w14:textId="6DB31A30" w:rsidR="00261E76" w:rsidRDefault="00261E76" w:rsidP="00D948E3">
      <w:pPr>
        <w:ind w:left="1134"/>
        <w:rPr>
          <w:sz w:val="24"/>
          <w:szCs w:val="24"/>
          <w:lang w:val="en-GB"/>
        </w:rPr>
      </w:pPr>
      <w:r w:rsidRPr="00261E76">
        <w:rPr>
          <w:sz w:val="24"/>
          <w:szCs w:val="24"/>
          <w:lang w:val="en-GB"/>
        </w:rPr>
        <w:t>The approach to the setting of intervention and assessment thresholds used the methodology adopted by the National Osteoporosis Guideline Group for FRAX-based guidelines in the UK</w:t>
      </w:r>
      <w:r w:rsidR="00AF1F1E">
        <w:rPr>
          <w:sz w:val="24"/>
          <w:szCs w:val="24"/>
          <w:lang w:val="en-GB"/>
        </w:rPr>
        <w:t xml:space="preserve"> but based on the epidemiology of fracture </w:t>
      </w:r>
      <w:r w:rsidR="007736D0">
        <w:rPr>
          <w:sz w:val="24"/>
          <w:szCs w:val="24"/>
          <w:lang w:val="en-GB"/>
        </w:rPr>
        <w:t>a</w:t>
      </w:r>
      <w:r w:rsidR="00AF1F1E">
        <w:rPr>
          <w:sz w:val="24"/>
          <w:szCs w:val="24"/>
          <w:lang w:val="en-GB"/>
        </w:rPr>
        <w:t>nd death in Singapore</w:t>
      </w:r>
      <w:r w:rsidR="006B4F25">
        <w:rPr>
          <w:sz w:val="24"/>
          <w:szCs w:val="24"/>
          <w:lang w:val="en-GB"/>
        </w:rPr>
        <w:t>.  The methodology was applied to</w:t>
      </w:r>
      <w:r w:rsidR="007736D0">
        <w:rPr>
          <w:sz w:val="24"/>
          <w:szCs w:val="24"/>
          <w:lang w:val="en-GB"/>
        </w:rPr>
        <w:t xml:space="preserve"> </w:t>
      </w:r>
      <w:r w:rsidR="008D7B0C">
        <w:rPr>
          <w:sz w:val="24"/>
          <w:szCs w:val="24"/>
          <w:lang w:val="en-GB"/>
        </w:rPr>
        <w:t>women age 50 years or more</w:t>
      </w:r>
      <w:r w:rsidR="008360D4">
        <w:rPr>
          <w:sz w:val="24"/>
          <w:szCs w:val="24"/>
          <w:lang w:val="en-GB"/>
        </w:rPr>
        <w:t xml:space="preserve"> drawn from </w:t>
      </w:r>
      <w:r w:rsidR="007736D0">
        <w:rPr>
          <w:sz w:val="24"/>
          <w:szCs w:val="24"/>
          <w:lang w:val="en-GB"/>
        </w:rPr>
        <w:t xml:space="preserve">the </w:t>
      </w:r>
      <w:r w:rsidR="00C57B63">
        <w:rPr>
          <w:sz w:val="24"/>
          <w:szCs w:val="24"/>
          <w:lang w:val="en-GB"/>
        </w:rPr>
        <w:t>population-based</w:t>
      </w:r>
      <w:r w:rsidR="007736D0">
        <w:rPr>
          <w:sz w:val="24"/>
          <w:szCs w:val="24"/>
          <w:lang w:val="en-GB"/>
        </w:rPr>
        <w:t xml:space="preserve"> </w:t>
      </w:r>
      <w:r w:rsidR="007736D0" w:rsidRPr="007736D0">
        <w:rPr>
          <w:sz w:val="24"/>
          <w:szCs w:val="24"/>
          <w:lang w:val="en-GB"/>
        </w:rPr>
        <w:t>Singapore Chinese Health Study (SCHS)</w:t>
      </w:r>
      <w:r w:rsidR="00C57B63">
        <w:rPr>
          <w:sz w:val="24"/>
          <w:szCs w:val="24"/>
          <w:lang w:val="en-GB"/>
        </w:rPr>
        <w:t xml:space="preserve"> </w:t>
      </w:r>
      <w:r w:rsidR="007736D0">
        <w:rPr>
          <w:sz w:val="24"/>
          <w:szCs w:val="24"/>
          <w:lang w:val="en-GB"/>
        </w:rPr>
        <w:t>cohort</w:t>
      </w:r>
      <w:r w:rsidR="00C57B63">
        <w:rPr>
          <w:sz w:val="24"/>
          <w:szCs w:val="24"/>
          <w:lang w:val="en-GB"/>
        </w:rPr>
        <w:t>.  Missing d</w:t>
      </w:r>
      <w:r w:rsidR="0026736C">
        <w:rPr>
          <w:sz w:val="24"/>
          <w:szCs w:val="24"/>
          <w:lang w:val="en-GB"/>
        </w:rPr>
        <w:t>a</w:t>
      </w:r>
      <w:r w:rsidR="00C57B63">
        <w:rPr>
          <w:sz w:val="24"/>
          <w:szCs w:val="24"/>
          <w:lang w:val="en-GB"/>
        </w:rPr>
        <w:t>ta</w:t>
      </w:r>
      <w:r w:rsidR="0026736C">
        <w:rPr>
          <w:sz w:val="24"/>
          <w:szCs w:val="24"/>
          <w:lang w:val="en-GB"/>
        </w:rPr>
        <w:t xml:space="preserve"> for the calculation of FRAX was simulated</w:t>
      </w:r>
      <w:r w:rsidR="00D34930">
        <w:rPr>
          <w:sz w:val="24"/>
          <w:szCs w:val="24"/>
          <w:lang w:val="en-GB"/>
        </w:rPr>
        <w:t xml:space="preserve"> using data from </w:t>
      </w:r>
      <w:r w:rsidR="00EC6295">
        <w:rPr>
          <w:sz w:val="24"/>
          <w:szCs w:val="24"/>
          <w:lang w:val="en-GB"/>
        </w:rPr>
        <w:t>Chinese cohorts from Hong Kong</w:t>
      </w:r>
      <w:r w:rsidR="00B42607">
        <w:rPr>
          <w:sz w:val="24"/>
          <w:szCs w:val="24"/>
          <w:lang w:val="en-GB"/>
        </w:rPr>
        <w:t>.</w:t>
      </w:r>
    </w:p>
    <w:p w14:paraId="5B8105B6" w14:textId="77777777" w:rsidR="00D948E3" w:rsidRPr="00D948E3" w:rsidRDefault="00D948E3" w:rsidP="00D948E3">
      <w:pPr>
        <w:ind w:left="1134"/>
        <w:rPr>
          <w:sz w:val="24"/>
          <w:szCs w:val="24"/>
          <w:lang w:val="en-GB"/>
        </w:rPr>
      </w:pPr>
      <w:r w:rsidRPr="00D948E3">
        <w:rPr>
          <w:sz w:val="24"/>
          <w:szCs w:val="24"/>
          <w:lang w:val="en-GB"/>
        </w:rPr>
        <w:t>Results</w:t>
      </w:r>
    </w:p>
    <w:p w14:paraId="56E26CFB" w14:textId="6F96F1A0" w:rsidR="00F67BB9" w:rsidRDefault="00F67BB9" w:rsidP="00D948E3">
      <w:pPr>
        <w:ind w:left="1134"/>
        <w:rPr>
          <w:sz w:val="24"/>
          <w:szCs w:val="24"/>
          <w:lang w:val="en-GB"/>
        </w:rPr>
      </w:pPr>
      <w:r>
        <w:rPr>
          <w:sz w:val="24"/>
          <w:szCs w:val="24"/>
          <w:lang w:val="en-GB"/>
        </w:rPr>
        <w:t>Intervention thresholds</w:t>
      </w:r>
      <w:r w:rsidR="00DE0680">
        <w:rPr>
          <w:sz w:val="24"/>
          <w:szCs w:val="24"/>
          <w:lang w:val="en-GB"/>
        </w:rPr>
        <w:t xml:space="preserve"> expressed as a 10-year probability of a major osteoporotic fracture </w:t>
      </w:r>
      <w:r w:rsidR="000F3AA0">
        <w:rPr>
          <w:sz w:val="24"/>
          <w:szCs w:val="24"/>
          <w:lang w:val="en-GB"/>
        </w:rPr>
        <w:t xml:space="preserve">ranged from </w:t>
      </w:r>
      <w:r w:rsidR="00260D86">
        <w:rPr>
          <w:sz w:val="24"/>
          <w:szCs w:val="24"/>
          <w:lang w:val="en-GB"/>
        </w:rPr>
        <w:t>2</w:t>
      </w:r>
      <w:r w:rsidR="000F3AA0">
        <w:rPr>
          <w:sz w:val="24"/>
          <w:szCs w:val="24"/>
          <w:lang w:val="en-GB"/>
        </w:rPr>
        <w:t xml:space="preserve">.9% at </w:t>
      </w:r>
      <w:r w:rsidR="00933D0B">
        <w:rPr>
          <w:sz w:val="24"/>
          <w:szCs w:val="24"/>
          <w:lang w:val="en-GB"/>
        </w:rPr>
        <w:t>the age</w:t>
      </w:r>
      <w:r w:rsidR="0030633A">
        <w:rPr>
          <w:sz w:val="24"/>
          <w:szCs w:val="24"/>
          <w:lang w:val="en-GB"/>
        </w:rPr>
        <w:t xml:space="preserve"> of 50 years increasin</w:t>
      </w:r>
      <w:r w:rsidR="003068E8">
        <w:rPr>
          <w:sz w:val="24"/>
          <w:szCs w:val="24"/>
          <w:lang w:val="en-GB"/>
        </w:rPr>
        <w:t>g to 32% at the age of 90 years</w:t>
      </w:r>
      <w:r w:rsidR="00E24BA2">
        <w:rPr>
          <w:sz w:val="24"/>
          <w:szCs w:val="24"/>
          <w:lang w:val="en-GB"/>
        </w:rPr>
        <w:t>.</w:t>
      </w:r>
      <w:r w:rsidR="00B64FF8" w:rsidRPr="00B64FF8">
        <w:t xml:space="preserve"> </w:t>
      </w:r>
      <w:r w:rsidR="008C5029">
        <w:t xml:space="preserve"> </w:t>
      </w:r>
      <w:r w:rsidR="00F33512">
        <w:t xml:space="preserve">A total of </w:t>
      </w:r>
      <w:r w:rsidR="00355A5A">
        <w:t xml:space="preserve">1,927 </w:t>
      </w:r>
      <w:r w:rsidR="00B64FF8" w:rsidRPr="00B64FF8">
        <w:rPr>
          <w:sz w:val="24"/>
          <w:szCs w:val="24"/>
          <w:lang w:val="en-GB"/>
        </w:rPr>
        <w:t xml:space="preserve">of 29,323 women (7%) had a prior fragility fracture and would be eligible for treatment </w:t>
      </w:r>
      <w:r w:rsidR="00E41360">
        <w:rPr>
          <w:sz w:val="24"/>
          <w:szCs w:val="24"/>
          <w:lang w:val="en-GB"/>
        </w:rPr>
        <w:t>for this reason</w:t>
      </w:r>
      <w:r w:rsidR="00B64FF8" w:rsidRPr="00B64FF8">
        <w:rPr>
          <w:sz w:val="24"/>
          <w:szCs w:val="24"/>
          <w:lang w:val="en-GB"/>
        </w:rPr>
        <w:t>.</w:t>
      </w:r>
      <w:r w:rsidR="00E41360" w:rsidRPr="00E41360">
        <w:t xml:space="preserve"> </w:t>
      </w:r>
      <w:r w:rsidR="00E41360">
        <w:t xml:space="preserve"> </w:t>
      </w:r>
      <w:r w:rsidR="0099754C">
        <w:t xml:space="preserve">An </w:t>
      </w:r>
      <w:r w:rsidR="0099754C" w:rsidRPr="00611547">
        <w:rPr>
          <w:sz w:val="24"/>
          <w:szCs w:val="24"/>
        </w:rPr>
        <w:t>additional</w:t>
      </w:r>
      <w:r w:rsidR="0099754C">
        <w:t xml:space="preserve"> </w:t>
      </w:r>
      <w:r w:rsidR="00E41360" w:rsidRPr="00E41360">
        <w:rPr>
          <w:sz w:val="24"/>
          <w:szCs w:val="24"/>
          <w:lang w:val="en-GB"/>
        </w:rPr>
        <w:t>3019</w:t>
      </w:r>
      <w:r w:rsidR="00611547">
        <w:rPr>
          <w:sz w:val="24"/>
          <w:szCs w:val="24"/>
          <w:lang w:val="en-GB"/>
        </w:rPr>
        <w:t xml:space="preserve"> </w:t>
      </w:r>
      <w:r w:rsidR="0099754C">
        <w:rPr>
          <w:sz w:val="24"/>
          <w:szCs w:val="24"/>
          <w:lang w:val="en-GB"/>
        </w:rPr>
        <w:t xml:space="preserve">women </w:t>
      </w:r>
      <w:r w:rsidR="00F124B6">
        <w:rPr>
          <w:sz w:val="24"/>
          <w:szCs w:val="24"/>
          <w:lang w:val="en-GB"/>
        </w:rPr>
        <w:t>(</w:t>
      </w:r>
      <w:r w:rsidR="00E41360" w:rsidRPr="00E41360">
        <w:rPr>
          <w:sz w:val="24"/>
          <w:szCs w:val="24"/>
          <w:lang w:val="en-GB"/>
        </w:rPr>
        <w:t>10.3</w:t>
      </w:r>
      <w:r w:rsidR="00F124B6">
        <w:rPr>
          <w:sz w:val="24"/>
          <w:szCs w:val="24"/>
          <w:lang w:val="en-GB"/>
        </w:rPr>
        <w:t xml:space="preserve">%) would be eligible </w:t>
      </w:r>
      <w:r w:rsidR="00063609">
        <w:rPr>
          <w:sz w:val="24"/>
          <w:szCs w:val="24"/>
          <w:lang w:val="en-GB"/>
        </w:rPr>
        <w:t xml:space="preserve">for treatment on the basis of </w:t>
      </w:r>
      <w:r w:rsidR="0000014A" w:rsidRPr="0000014A">
        <w:rPr>
          <w:sz w:val="24"/>
          <w:szCs w:val="24"/>
          <w:lang w:val="en-GB"/>
        </w:rPr>
        <w:t>age-dependent thresholds</w:t>
      </w:r>
      <w:r w:rsidR="000D19F1">
        <w:rPr>
          <w:sz w:val="24"/>
          <w:szCs w:val="24"/>
          <w:lang w:val="en-GB"/>
        </w:rPr>
        <w:t>.  The mea</w:t>
      </w:r>
      <w:r w:rsidR="00B41934">
        <w:rPr>
          <w:sz w:val="24"/>
          <w:szCs w:val="24"/>
          <w:lang w:val="en-GB"/>
        </w:rPr>
        <w:t>n</w:t>
      </w:r>
      <w:r w:rsidR="000D19F1">
        <w:rPr>
          <w:sz w:val="24"/>
          <w:szCs w:val="24"/>
          <w:lang w:val="en-GB"/>
        </w:rPr>
        <w:t xml:space="preserve"> BMD </w:t>
      </w:r>
      <w:r w:rsidR="00B41934">
        <w:rPr>
          <w:sz w:val="24"/>
          <w:szCs w:val="24"/>
          <w:lang w:val="en-GB"/>
        </w:rPr>
        <w:t xml:space="preserve">T-score </w:t>
      </w:r>
      <w:r w:rsidR="000D19F1">
        <w:rPr>
          <w:sz w:val="24"/>
          <w:szCs w:val="24"/>
          <w:lang w:val="en-GB"/>
        </w:rPr>
        <w:t>of women so selected was</w:t>
      </w:r>
      <w:r w:rsidR="00B41934">
        <w:rPr>
          <w:sz w:val="24"/>
          <w:szCs w:val="24"/>
          <w:lang w:val="en-GB"/>
        </w:rPr>
        <w:t xml:space="preserve"> -2.9</w:t>
      </w:r>
      <w:r w:rsidR="00292E80">
        <w:rPr>
          <w:sz w:val="24"/>
          <w:szCs w:val="24"/>
          <w:lang w:val="en-GB"/>
        </w:rPr>
        <w:t>4.</w:t>
      </w:r>
      <w:r w:rsidR="00E41360" w:rsidRPr="00E41360">
        <w:rPr>
          <w:sz w:val="24"/>
          <w:szCs w:val="24"/>
          <w:lang w:val="en-GB"/>
        </w:rPr>
        <w:tab/>
      </w:r>
    </w:p>
    <w:p w14:paraId="34094D7E" w14:textId="77777777" w:rsidR="00D948E3" w:rsidRPr="00D948E3" w:rsidRDefault="00D948E3" w:rsidP="00D948E3">
      <w:pPr>
        <w:ind w:left="1134"/>
        <w:rPr>
          <w:sz w:val="24"/>
          <w:szCs w:val="24"/>
          <w:lang w:val="en-GB"/>
        </w:rPr>
      </w:pPr>
      <w:r w:rsidRPr="00D948E3">
        <w:rPr>
          <w:sz w:val="24"/>
          <w:szCs w:val="24"/>
          <w:lang w:val="en-GB"/>
        </w:rPr>
        <w:t>Conclusion</w:t>
      </w:r>
    </w:p>
    <w:p w14:paraId="0FEF2FF1" w14:textId="3FBBB1B5" w:rsidR="00410F2F" w:rsidRPr="0080072A" w:rsidRDefault="00292E80" w:rsidP="00D948E3">
      <w:pPr>
        <w:ind w:left="1134"/>
        <w:rPr>
          <w:sz w:val="24"/>
          <w:szCs w:val="24"/>
          <w:lang w:val="en-GB"/>
        </w:rPr>
      </w:pPr>
      <w:r>
        <w:rPr>
          <w:sz w:val="24"/>
          <w:szCs w:val="24"/>
          <w:lang w:val="en-GB"/>
        </w:rPr>
        <w:t xml:space="preserve">Probability </w:t>
      </w:r>
      <w:r w:rsidR="0039337B">
        <w:rPr>
          <w:sz w:val="24"/>
          <w:szCs w:val="24"/>
          <w:lang w:val="en-GB"/>
        </w:rPr>
        <w:t xml:space="preserve">based assessment of fracture risk using </w:t>
      </w:r>
      <w:r w:rsidR="00410F2F">
        <w:rPr>
          <w:sz w:val="24"/>
          <w:szCs w:val="24"/>
          <w:lang w:val="en-GB"/>
        </w:rPr>
        <w:t xml:space="preserve">age-specific intervention thresholds </w:t>
      </w:r>
      <w:r w:rsidR="003F3004">
        <w:rPr>
          <w:sz w:val="24"/>
          <w:szCs w:val="24"/>
          <w:lang w:val="en-GB"/>
        </w:rPr>
        <w:t>were developed</w:t>
      </w:r>
      <w:r w:rsidR="000D47DD" w:rsidRPr="000D47DD">
        <w:rPr>
          <w:sz w:val="24"/>
          <w:szCs w:val="24"/>
          <w:lang w:val="en-GB"/>
        </w:rPr>
        <w:t xml:space="preserve"> for Singapore </w:t>
      </w:r>
      <w:r w:rsidR="00FC49CC" w:rsidRPr="0080072A">
        <w:rPr>
          <w:sz w:val="24"/>
          <w:szCs w:val="24"/>
          <w:lang w:val="en-GB"/>
        </w:rPr>
        <w:t xml:space="preserve">to </w:t>
      </w:r>
      <w:r w:rsidR="0080072A" w:rsidRPr="003B6E2A">
        <w:rPr>
          <w:rFonts w:asciiTheme="minorHAnsi" w:hAnsiTheme="minorHAnsi" w:cstheme="minorHAnsi"/>
          <w:sz w:val="24"/>
          <w:szCs w:val="24"/>
          <w:lang w:val="en-GB"/>
        </w:rPr>
        <w:t xml:space="preserve">help guide decisions about </w:t>
      </w:r>
      <w:proofErr w:type="gramStart"/>
      <w:r w:rsidR="0080072A" w:rsidRPr="003B6E2A">
        <w:rPr>
          <w:rFonts w:asciiTheme="minorHAnsi" w:hAnsiTheme="minorHAnsi" w:cstheme="minorHAnsi"/>
          <w:sz w:val="24"/>
          <w:szCs w:val="24"/>
          <w:lang w:val="en-GB"/>
        </w:rPr>
        <w:t>treatment.</w:t>
      </w:r>
      <w:r w:rsidR="00623C3E" w:rsidRPr="0080072A">
        <w:rPr>
          <w:sz w:val="24"/>
          <w:szCs w:val="24"/>
          <w:lang w:val="en-GB"/>
        </w:rPr>
        <w:t>.</w:t>
      </w:r>
      <w:proofErr w:type="gramEnd"/>
    </w:p>
    <w:p w14:paraId="420EC8A1" w14:textId="7EB2BEB2" w:rsidR="00D948E3" w:rsidRPr="00D948E3" w:rsidRDefault="00D948E3" w:rsidP="00D948E3">
      <w:pPr>
        <w:ind w:left="1134"/>
        <w:rPr>
          <w:sz w:val="24"/>
          <w:szCs w:val="24"/>
          <w:lang w:val="en-GB"/>
        </w:rPr>
      </w:pPr>
      <w:r w:rsidRPr="00D948E3">
        <w:rPr>
          <w:sz w:val="24"/>
          <w:szCs w:val="24"/>
          <w:lang w:val="en-GB"/>
        </w:rPr>
        <w:t xml:space="preserve">Keywords: osteoporosis; </w:t>
      </w:r>
      <w:r w:rsidR="003F5522">
        <w:rPr>
          <w:sz w:val="24"/>
          <w:szCs w:val="24"/>
          <w:lang w:val="en-GB"/>
        </w:rPr>
        <w:t>fracture risk assessment</w:t>
      </w:r>
      <w:r w:rsidR="00AF55A4">
        <w:rPr>
          <w:sz w:val="24"/>
          <w:szCs w:val="24"/>
          <w:lang w:val="en-GB"/>
        </w:rPr>
        <w:t xml:space="preserve">; </w:t>
      </w:r>
      <w:r w:rsidR="00826EB8">
        <w:rPr>
          <w:sz w:val="24"/>
          <w:szCs w:val="24"/>
          <w:lang w:val="en-GB"/>
        </w:rPr>
        <w:t>FRAX</w:t>
      </w:r>
      <w:r w:rsidRPr="00D948E3">
        <w:rPr>
          <w:sz w:val="24"/>
          <w:szCs w:val="24"/>
          <w:lang w:val="en-GB"/>
        </w:rPr>
        <w:t xml:space="preserve">; </w:t>
      </w:r>
      <w:r w:rsidR="00AF55A4" w:rsidRPr="00AF55A4">
        <w:rPr>
          <w:sz w:val="24"/>
          <w:szCs w:val="24"/>
          <w:lang w:val="en-GB"/>
        </w:rPr>
        <w:t xml:space="preserve">intervention threshold </w:t>
      </w:r>
    </w:p>
    <w:p w14:paraId="2B6F41A0" w14:textId="1BC536EF" w:rsidR="002A3C65" w:rsidRPr="00F579DA" w:rsidRDefault="00EB5346" w:rsidP="00827EF0">
      <w:pPr>
        <w:ind w:left="1134"/>
        <w:rPr>
          <w:lang w:val="en-GB"/>
        </w:rPr>
      </w:pPr>
      <w:r w:rsidRPr="00F579DA">
        <w:rPr>
          <w:lang w:val="en-GB"/>
        </w:rPr>
        <w:br w:type="page"/>
      </w:r>
    </w:p>
    <w:p w14:paraId="78B7423D" w14:textId="0A1C88F9" w:rsidR="002F052D" w:rsidRPr="00AF0EF2" w:rsidRDefault="002F052D" w:rsidP="00827EF0">
      <w:pPr>
        <w:ind w:left="1134"/>
        <w:rPr>
          <w:rFonts w:asciiTheme="minorHAnsi" w:hAnsiTheme="minorHAnsi" w:cstheme="minorHAnsi"/>
          <w:b/>
          <w:bCs/>
          <w:sz w:val="24"/>
          <w:szCs w:val="24"/>
          <w:shd w:val="clear" w:color="auto" w:fill="FFFFFF"/>
          <w:lang w:val="en-GB"/>
        </w:rPr>
      </w:pPr>
      <w:r w:rsidRPr="00AF0EF2">
        <w:rPr>
          <w:rFonts w:asciiTheme="minorHAnsi" w:hAnsiTheme="minorHAnsi" w:cstheme="minorHAnsi"/>
          <w:b/>
          <w:bCs/>
          <w:sz w:val="24"/>
          <w:szCs w:val="24"/>
          <w:shd w:val="clear" w:color="auto" w:fill="FFFFFF"/>
          <w:lang w:val="en-GB"/>
        </w:rPr>
        <w:lastRenderedPageBreak/>
        <w:t>Introduction</w:t>
      </w:r>
      <w:r w:rsidR="00F579DA" w:rsidRPr="00AF0EF2">
        <w:rPr>
          <w:rFonts w:asciiTheme="minorHAnsi" w:hAnsiTheme="minorHAnsi" w:cstheme="minorHAnsi"/>
          <w:b/>
          <w:bCs/>
          <w:sz w:val="24"/>
          <w:szCs w:val="24"/>
          <w:shd w:val="clear" w:color="auto" w:fill="FFFFFF"/>
          <w:lang w:val="en-GB"/>
        </w:rPr>
        <w:t xml:space="preserve"> </w:t>
      </w:r>
    </w:p>
    <w:p w14:paraId="29750796" w14:textId="021BFF31" w:rsidR="002F052D" w:rsidRPr="000E4528" w:rsidRDefault="002F052D" w:rsidP="00FF2685">
      <w:pPr>
        <w:ind w:left="1134"/>
        <w:rPr>
          <w:rFonts w:asciiTheme="minorHAnsi" w:hAnsiTheme="minorHAnsi" w:cstheme="minorHAnsi"/>
          <w:sz w:val="24"/>
          <w:szCs w:val="24"/>
          <w:shd w:val="clear" w:color="auto" w:fill="FFFFFF"/>
          <w:lang w:val="en-GB"/>
        </w:rPr>
      </w:pPr>
      <w:bookmarkStart w:id="2" w:name="_Hlk24989621"/>
      <w:r w:rsidRPr="00AF0EF2">
        <w:rPr>
          <w:rFonts w:asciiTheme="minorHAnsi" w:hAnsiTheme="minorHAnsi" w:cstheme="minorHAnsi"/>
          <w:sz w:val="24"/>
          <w:szCs w:val="24"/>
          <w:shd w:val="clear" w:color="auto" w:fill="FFFFFF"/>
          <w:lang w:val="en-GB"/>
        </w:rPr>
        <w:t xml:space="preserve">Osteoporosis is a common, chronic, and costly condition; </w:t>
      </w:r>
      <w:r w:rsidR="00D513E7">
        <w:rPr>
          <w:rFonts w:asciiTheme="minorHAnsi" w:hAnsiTheme="minorHAnsi" w:cstheme="minorHAnsi"/>
          <w:sz w:val="24"/>
          <w:szCs w:val="24"/>
          <w:shd w:val="clear" w:color="auto" w:fill="FFFFFF"/>
          <w:lang w:val="en-GB"/>
        </w:rPr>
        <w:t>t</w:t>
      </w:r>
      <w:r w:rsidR="00FF2685" w:rsidRPr="00FF2685">
        <w:rPr>
          <w:rFonts w:asciiTheme="minorHAnsi" w:hAnsiTheme="minorHAnsi" w:cstheme="minorHAnsi"/>
          <w:sz w:val="24"/>
          <w:szCs w:val="24"/>
          <w:shd w:val="clear" w:color="auto" w:fill="FFFFFF"/>
          <w:lang w:val="en-GB"/>
        </w:rPr>
        <w:t xml:space="preserve">he </w:t>
      </w:r>
      <w:r w:rsidR="00D0235D">
        <w:rPr>
          <w:rFonts w:asciiTheme="minorHAnsi" w:hAnsiTheme="minorHAnsi" w:cstheme="minorHAnsi"/>
          <w:sz w:val="24"/>
          <w:szCs w:val="24"/>
          <w:shd w:val="clear" w:color="auto" w:fill="FFFFFF"/>
          <w:lang w:val="en-GB"/>
        </w:rPr>
        <w:t>annual</w:t>
      </w:r>
      <w:r w:rsidR="00FF2685" w:rsidRPr="00FF2685">
        <w:rPr>
          <w:rFonts w:asciiTheme="minorHAnsi" w:hAnsiTheme="minorHAnsi" w:cstheme="minorHAnsi"/>
          <w:sz w:val="24"/>
          <w:szCs w:val="24"/>
          <w:shd w:val="clear" w:color="auto" w:fill="FFFFFF"/>
          <w:lang w:val="en-GB"/>
        </w:rPr>
        <w:t xml:space="preserve"> economic burden</w:t>
      </w:r>
      <w:r w:rsidR="007629F7">
        <w:rPr>
          <w:rFonts w:asciiTheme="minorHAnsi" w:hAnsiTheme="minorHAnsi" w:cstheme="minorHAnsi"/>
          <w:sz w:val="24"/>
          <w:szCs w:val="24"/>
          <w:shd w:val="clear" w:color="auto" w:fill="FFFFFF"/>
          <w:lang w:val="en-GB"/>
        </w:rPr>
        <w:t xml:space="preserve"> in </w:t>
      </w:r>
      <w:r w:rsidR="007210C5">
        <w:rPr>
          <w:rFonts w:asciiTheme="minorHAnsi" w:hAnsiTheme="minorHAnsi" w:cstheme="minorHAnsi"/>
          <w:sz w:val="24"/>
          <w:szCs w:val="24"/>
          <w:shd w:val="clear" w:color="auto" w:fill="FFFFFF"/>
          <w:lang w:val="en-GB"/>
        </w:rPr>
        <w:t>Singapore</w:t>
      </w:r>
      <w:r w:rsidR="007210C5" w:rsidRPr="00FF2685">
        <w:rPr>
          <w:rFonts w:asciiTheme="minorHAnsi" w:hAnsiTheme="minorHAnsi" w:cstheme="minorHAnsi"/>
          <w:sz w:val="24"/>
          <w:szCs w:val="24"/>
          <w:shd w:val="clear" w:color="auto" w:fill="FFFFFF"/>
          <w:lang w:val="en-GB"/>
        </w:rPr>
        <w:t xml:space="preserve"> associated</w:t>
      </w:r>
      <w:r w:rsidR="00FF2685" w:rsidRPr="00FF2685">
        <w:rPr>
          <w:rFonts w:asciiTheme="minorHAnsi" w:hAnsiTheme="minorHAnsi" w:cstheme="minorHAnsi"/>
          <w:sz w:val="24"/>
          <w:szCs w:val="24"/>
          <w:shd w:val="clear" w:color="auto" w:fill="FFFFFF"/>
          <w:lang w:val="en-GB"/>
        </w:rPr>
        <w:t xml:space="preserve"> with </w:t>
      </w:r>
      <w:r w:rsidR="007629F7">
        <w:rPr>
          <w:rFonts w:asciiTheme="minorHAnsi" w:hAnsiTheme="minorHAnsi" w:cstheme="minorHAnsi"/>
          <w:sz w:val="24"/>
          <w:szCs w:val="24"/>
          <w:shd w:val="clear" w:color="auto" w:fill="FFFFFF"/>
          <w:lang w:val="en-GB"/>
        </w:rPr>
        <w:t>fragility</w:t>
      </w:r>
      <w:r w:rsidR="00FF2685" w:rsidRPr="00FF2685">
        <w:rPr>
          <w:rFonts w:asciiTheme="minorHAnsi" w:hAnsiTheme="minorHAnsi" w:cstheme="minorHAnsi"/>
          <w:sz w:val="24"/>
          <w:szCs w:val="24"/>
          <w:shd w:val="clear" w:color="auto" w:fill="FFFFFF"/>
          <w:lang w:val="en-GB"/>
        </w:rPr>
        <w:t xml:space="preserve"> fractures </w:t>
      </w:r>
      <w:r w:rsidR="007629F7">
        <w:rPr>
          <w:rFonts w:asciiTheme="minorHAnsi" w:hAnsiTheme="minorHAnsi" w:cstheme="minorHAnsi"/>
          <w:sz w:val="24"/>
          <w:szCs w:val="24"/>
          <w:shd w:val="clear" w:color="auto" w:fill="FFFFFF"/>
          <w:lang w:val="en-GB"/>
        </w:rPr>
        <w:t>wa</w:t>
      </w:r>
      <w:r w:rsidR="00FF2685" w:rsidRPr="00FF2685">
        <w:rPr>
          <w:rFonts w:asciiTheme="minorHAnsi" w:hAnsiTheme="minorHAnsi" w:cstheme="minorHAnsi"/>
          <w:sz w:val="24"/>
          <w:szCs w:val="24"/>
          <w:shd w:val="clear" w:color="auto" w:fill="FFFFFF"/>
          <w:lang w:val="en-GB"/>
        </w:rPr>
        <w:t xml:space="preserve">s estimated at </w:t>
      </w:r>
      <w:r w:rsidR="00C12992">
        <w:rPr>
          <w:rFonts w:asciiTheme="minorHAnsi" w:hAnsiTheme="minorHAnsi" w:cstheme="minorHAnsi"/>
          <w:sz w:val="24"/>
          <w:szCs w:val="24"/>
          <w:shd w:val="clear" w:color="auto" w:fill="FFFFFF"/>
          <w:lang w:val="en-GB"/>
        </w:rPr>
        <w:t>appro</w:t>
      </w:r>
      <w:r w:rsidR="00EC5896">
        <w:rPr>
          <w:rFonts w:asciiTheme="minorHAnsi" w:hAnsiTheme="minorHAnsi" w:cstheme="minorHAnsi"/>
          <w:sz w:val="24"/>
          <w:szCs w:val="24"/>
          <w:shd w:val="clear" w:color="auto" w:fill="FFFFFF"/>
          <w:lang w:val="en-GB"/>
        </w:rPr>
        <w:t xml:space="preserve">ximately </w:t>
      </w:r>
      <w:r w:rsidR="00EC5896" w:rsidRPr="00AF0EF2">
        <w:rPr>
          <w:rFonts w:asciiTheme="minorHAnsi" w:hAnsiTheme="minorHAnsi" w:cstheme="minorHAnsi"/>
          <w:sz w:val="24"/>
          <w:szCs w:val="24"/>
          <w:shd w:val="clear" w:color="auto" w:fill="FFFFFF"/>
          <w:lang w:val="en-GB"/>
        </w:rPr>
        <w:t>€</w:t>
      </w:r>
      <w:r w:rsidR="00EC5896">
        <w:rPr>
          <w:rFonts w:asciiTheme="minorHAnsi" w:hAnsiTheme="minorHAnsi" w:cstheme="minorHAnsi"/>
          <w:sz w:val="24"/>
          <w:szCs w:val="24"/>
          <w:shd w:val="clear" w:color="auto" w:fill="FFFFFF"/>
          <w:lang w:val="en-GB"/>
        </w:rPr>
        <w:t xml:space="preserve"> 118</w:t>
      </w:r>
      <w:r w:rsidR="00FF2685" w:rsidRPr="00FF2685">
        <w:rPr>
          <w:rFonts w:asciiTheme="minorHAnsi" w:hAnsiTheme="minorHAnsi" w:cstheme="minorHAnsi"/>
          <w:sz w:val="24"/>
          <w:szCs w:val="24"/>
          <w:shd w:val="clear" w:color="auto" w:fill="FFFFFF"/>
          <w:lang w:val="en-GB"/>
        </w:rPr>
        <w:t xml:space="preserve"> million in 2017 and is forecast</w:t>
      </w:r>
      <w:r w:rsidR="007210C5">
        <w:rPr>
          <w:rFonts w:asciiTheme="minorHAnsi" w:hAnsiTheme="minorHAnsi" w:cstheme="minorHAnsi"/>
          <w:sz w:val="24"/>
          <w:szCs w:val="24"/>
          <w:shd w:val="clear" w:color="auto" w:fill="FFFFFF"/>
          <w:lang w:val="en-GB"/>
        </w:rPr>
        <w:t xml:space="preserve"> </w:t>
      </w:r>
      <w:r w:rsidR="00FF2685" w:rsidRPr="00FF2685">
        <w:rPr>
          <w:rFonts w:asciiTheme="minorHAnsi" w:hAnsiTheme="minorHAnsi" w:cstheme="minorHAnsi"/>
          <w:sz w:val="24"/>
          <w:szCs w:val="24"/>
          <w:shd w:val="clear" w:color="auto" w:fill="FFFFFF"/>
          <w:lang w:val="en-GB"/>
        </w:rPr>
        <w:t xml:space="preserve">to </w:t>
      </w:r>
      <w:r w:rsidR="007210C5">
        <w:rPr>
          <w:rFonts w:asciiTheme="minorHAnsi" w:hAnsiTheme="minorHAnsi" w:cstheme="minorHAnsi"/>
          <w:sz w:val="24"/>
          <w:szCs w:val="24"/>
          <w:shd w:val="clear" w:color="auto" w:fill="FFFFFF"/>
          <w:lang w:val="en-GB"/>
        </w:rPr>
        <w:t>increase</w:t>
      </w:r>
      <w:r w:rsidR="00FF2685" w:rsidRPr="00FF2685">
        <w:rPr>
          <w:rFonts w:asciiTheme="minorHAnsi" w:hAnsiTheme="minorHAnsi" w:cstheme="minorHAnsi"/>
          <w:sz w:val="24"/>
          <w:szCs w:val="24"/>
          <w:shd w:val="clear" w:color="auto" w:fill="FFFFFF"/>
          <w:lang w:val="en-GB"/>
        </w:rPr>
        <w:t xml:space="preserve"> to </w:t>
      </w:r>
      <w:r w:rsidR="007210C5" w:rsidRPr="00AF0EF2">
        <w:rPr>
          <w:rFonts w:asciiTheme="minorHAnsi" w:hAnsiTheme="minorHAnsi" w:cstheme="minorHAnsi"/>
          <w:sz w:val="24"/>
          <w:szCs w:val="24"/>
          <w:shd w:val="clear" w:color="auto" w:fill="FFFFFF"/>
          <w:lang w:val="en-GB"/>
        </w:rPr>
        <w:t>€</w:t>
      </w:r>
      <w:r w:rsidR="007210C5">
        <w:rPr>
          <w:rFonts w:asciiTheme="minorHAnsi" w:hAnsiTheme="minorHAnsi" w:cstheme="minorHAnsi"/>
          <w:sz w:val="24"/>
          <w:szCs w:val="24"/>
          <w:shd w:val="clear" w:color="auto" w:fill="FFFFFF"/>
          <w:lang w:val="en-GB"/>
        </w:rPr>
        <w:t xml:space="preserve"> 186.9</w:t>
      </w:r>
      <w:r w:rsidR="00FF2685" w:rsidRPr="00FF2685">
        <w:rPr>
          <w:rFonts w:asciiTheme="minorHAnsi" w:hAnsiTheme="minorHAnsi" w:cstheme="minorHAnsi"/>
          <w:sz w:val="24"/>
          <w:szCs w:val="24"/>
          <w:shd w:val="clear" w:color="auto" w:fill="FFFFFF"/>
          <w:lang w:val="en-GB"/>
        </w:rPr>
        <w:t xml:space="preserve"> million by 2035</w:t>
      </w:r>
      <w:r w:rsidR="00CC3FCA">
        <w:rPr>
          <w:rFonts w:asciiTheme="minorHAnsi" w:hAnsiTheme="minorHAnsi" w:cstheme="minorHAnsi"/>
          <w:sz w:val="24"/>
          <w:szCs w:val="24"/>
          <w:shd w:val="clear" w:color="auto" w:fill="FFFFFF"/>
          <w:lang w:val="en-GB"/>
        </w:rPr>
        <w:t xml:space="preserve"> [</w:t>
      </w:r>
      <w:r w:rsidR="00B53ADB">
        <w:rPr>
          <w:rFonts w:asciiTheme="minorHAnsi" w:hAnsiTheme="minorHAnsi" w:cstheme="minorHAnsi"/>
          <w:sz w:val="24"/>
          <w:szCs w:val="24"/>
          <w:shd w:val="clear" w:color="auto" w:fill="FFFFFF"/>
          <w:lang w:val="en-GB"/>
        </w:rPr>
        <w:t>1</w:t>
      </w:r>
      <w:r w:rsidR="00DB2486">
        <w:rPr>
          <w:rFonts w:asciiTheme="minorHAnsi" w:hAnsiTheme="minorHAnsi" w:cstheme="minorHAnsi"/>
          <w:sz w:val="24"/>
          <w:szCs w:val="24"/>
          <w:shd w:val="clear" w:color="auto" w:fill="FFFFFF"/>
          <w:lang w:val="en-GB"/>
        </w:rPr>
        <w:t>]</w:t>
      </w:r>
      <w:r w:rsidR="00FF2685" w:rsidRPr="00FF2685">
        <w:rPr>
          <w:rFonts w:asciiTheme="minorHAnsi" w:hAnsiTheme="minorHAnsi" w:cstheme="minorHAnsi"/>
          <w:sz w:val="24"/>
          <w:szCs w:val="24"/>
          <w:shd w:val="clear" w:color="auto" w:fill="FFFFFF"/>
          <w:lang w:val="en-GB"/>
        </w:rPr>
        <w:t>.</w:t>
      </w:r>
      <w:r w:rsidR="007210C5" w:rsidRPr="00A1148F">
        <w:rPr>
          <w:rFonts w:asciiTheme="minorHAnsi" w:hAnsiTheme="minorHAnsi" w:cstheme="minorHAnsi"/>
          <w:sz w:val="24"/>
          <w:szCs w:val="24"/>
          <w:shd w:val="clear" w:color="auto" w:fill="FFFFFF"/>
          <w:lang w:val="en-GB"/>
        </w:rPr>
        <w:t xml:space="preserve"> </w:t>
      </w:r>
      <w:r w:rsidR="0061575A">
        <w:rPr>
          <w:rFonts w:asciiTheme="minorHAnsi" w:hAnsiTheme="minorHAnsi" w:cstheme="minorHAnsi"/>
          <w:sz w:val="24"/>
          <w:szCs w:val="24"/>
          <w:shd w:val="clear" w:color="auto" w:fill="FFFFFF"/>
          <w:lang w:val="en-GB"/>
        </w:rPr>
        <w:t xml:space="preserve"> </w:t>
      </w:r>
      <w:r w:rsidR="00D513E7" w:rsidRPr="00D513E7">
        <w:rPr>
          <w:rFonts w:asciiTheme="minorHAnsi" w:hAnsiTheme="minorHAnsi" w:cstheme="minorHAnsi"/>
          <w:sz w:val="24"/>
          <w:szCs w:val="24"/>
          <w:shd w:val="clear" w:color="auto" w:fill="FFFFFF"/>
          <w:lang w:val="en-GB"/>
        </w:rPr>
        <w:t>In Europe, the annual cost of fractures associated with osteoporosis exceeded € 37 billion in 2010 [</w:t>
      </w:r>
      <w:r w:rsidR="00B53ADB">
        <w:rPr>
          <w:rFonts w:asciiTheme="minorHAnsi" w:hAnsiTheme="minorHAnsi" w:cstheme="minorHAnsi"/>
          <w:sz w:val="24"/>
          <w:szCs w:val="24"/>
          <w:shd w:val="clear" w:color="auto" w:fill="FFFFFF"/>
          <w:lang w:val="en-GB"/>
        </w:rPr>
        <w:t>2</w:t>
      </w:r>
      <w:r w:rsidR="00D513E7" w:rsidRPr="00D513E7">
        <w:rPr>
          <w:rFonts w:asciiTheme="minorHAnsi" w:hAnsiTheme="minorHAnsi" w:cstheme="minorHAnsi"/>
          <w:sz w:val="24"/>
          <w:szCs w:val="24"/>
          <w:shd w:val="clear" w:color="auto" w:fill="FFFFFF"/>
          <w:lang w:val="en-GB"/>
        </w:rPr>
        <w:t>].</w:t>
      </w:r>
      <w:r w:rsidR="00D0235D">
        <w:rPr>
          <w:rFonts w:asciiTheme="minorHAnsi" w:hAnsiTheme="minorHAnsi" w:cstheme="minorHAnsi"/>
          <w:sz w:val="24"/>
          <w:szCs w:val="24"/>
          <w:shd w:val="clear" w:color="auto" w:fill="FFFFFF"/>
          <w:lang w:val="en-GB"/>
        </w:rPr>
        <w:t xml:space="preserve"> </w:t>
      </w:r>
      <w:r w:rsidR="00D513E7" w:rsidRPr="00D513E7">
        <w:rPr>
          <w:rFonts w:asciiTheme="minorHAnsi" w:hAnsiTheme="minorHAnsi" w:cstheme="minorHAnsi"/>
          <w:sz w:val="24"/>
          <w:szCs w:val="24"/>
          <w:shd w:val="clear" w:color="auto" w:fill="FFFFFF"/>
          <w:lang w:val="en-GB"/>
        </w:rPr>
        <w:t xml:space="preserve"> </w:t>
      </w:r>
      <w:r w:rsidR="00A612CD" w:rsidRPr="00A1148F">
        <w:rPr>
          <w:rFonts w:asciiTheme="minorHAnsi" w:hAnsiTheme="minorHAnsi" w:cstheme="minorHAnsi"/>
          <w:sz w:val="24"/>
          <w:szCs w:val="24"/>
          <w:shd w:val="clear" w:color="auto" w:fill="FFFFFF"/>
          <w:lang w:val="en-GB"/>
        </w:rPr>
        <w:t>D</w:t>
      </w:r>
      <w:r w:rsidRPr="00A1148F">
        <w:rPr>
          <w:rFonts w:asciiTheme="minorHAnsi" w:hAnsiTheme="minorHAnsi" w:cstheme="minorHAnsi"/>
          <w:sz w:val="24"/>
          <w:szCs w:val="24"/>
          <w:shd w:val="clear" w:color="auto" w:fill="FFFFFF"/>
          <w:lang w:val="en-GB"/>
        </w:rPr>
        <w:t xml:space="preserve">isability due to </w:t>
      </w:r>
      <w:r w:rsidR="00A57373" w:rsidRPr="00A1148F">
        <w:rPr>
          <w:rFonts w:asciiTheme="minorHAnsi" w:hAnsiTheme="minorHAnsi" w:cstheme="minorHAnsi"/>
          <w:sz w:val="24"/>
          <w:szCs w:val="24"/>
          <w:shd w:val="clear" w:color="auto" w:fill="FFFFFF"/>
          <w:lang w:val="en-GB"/>
        </w:rPr>
        <w:t>fragility</w:t>
      </w:r>
      <w:r w:rsidR="00F62C17" w:rsidRPr="00A1148F">
        <w:rPr>
          <w:rFonts w:asciiTheme="minorHAnsi" w:hAnsiTheme="minorHAnsi" w:cstheme="minorHAnsi"/>
          <w:sz w:val="24"/>
          <w:szCs w:val="24"/>
          <w:shd w:val="clear" w:color="auto" w:fill="FFFFFF"/>
          <w:lang w:val="en-GB"/>
        </w:rPr>
        <w:t xml:space="preserve"> fractures</w:t>
      </w:r>
      <w:r w:rsidRPr="00A1148F">
        <w:rPr>
          <w:rFonts w:asciiTheme="minorHAnsi" w:hAnsiTheme="minorHAnsi" w:cstheme="minorHAnsi"/>
          <w:sz w:val="24"/>
          <w:szCs w:val="24"/>
          <w:shd w:val="clear" w:color="auto" w:fill="FFFFFF"/>
          <w:lang w:val="en-GB"/>
        </w:rPr>
        <w:t xml:space="preserve"> was greater than that caused by any single cancer, with the exception of lung cancer</w:t>
      </w:r>
      <w:r w:rsidR="0039319B" w:rsidRPr="00A1148F">
        <w:rPr>
          <w:rFonts w:asciiTheme="minorHAnsi" w:hAnsiTheme="minorHAnsi" w:cstheme="minorHAnsi"/>
          <w:sz w:val="24"/>
          <w:szCs w:val="24"/>
          <w:shd w:val="clear" w:color="auto" w:fill="FFFFFF"/>
          <w:lang w:val="en-GB"/>
        </w:rPr>
        <w:t>,</w:t>
      </w:r>
      <w:r w:rsidRPr="00A1148F">
        <w:rPr>
          <w:rFonts w:asciiTheme="minorHAnsi" w:hAnsiTheme="minorHAnsi" w:cstheme="minorHAnsi"/>
          <w:sz w:val="24"/>
          <w:szCs w:val="24"/>
          <w:shd w:val="clear" w:color="auto" w:fill="FFFFFF"/>
          <w:lang w:val="en-GB"/>
        </w:rPr>
        <w:t xml:space="preserve"> and was comparable or greater than that </w:t>
      </w:r>
      <w:r w:rsidR="00F41D28" w:rsidRPr="00A1148F">
        <w:rPr>
          <w:rFonts w:asciiTheme="minorHAnsi" w:hAnsiTheme="minorHAnsi" w:cstheme="minorHAnsi"/>
          <w:sz w:val="24"/>
          <w:szCs w:val="24"/>
          <w:shd w:val="clear" w:color="auto" w:fill="FFFFFF"/>
          <w:lang w:val="en-GB"/>
        </w:rPr>
        <w:t>caused by</w:t>
      </w:r>
      <w:r w:rsidRPr="00A1148F">
        <w:rPr>
          <w:rFonts w:asciiTheme="minorHAnsi" w:hAnsiTheme="minorHAnsi" w:cstheme="minorHAnsi"/>
          <w:sz w:val="24"/>
          <w:szCs w:val="24"/>
          <w:shd w:val="clear" w:color="auto" w:fill="FFFFFF"/>
          <w:lang w:val="en-GB"/>
        </w:rPr>
        <w:t xml:space="preserve"> a variety of chronic noncommunicable diseases, such as rheumatoid arthritis, asthma </w:t>
      </w:r>
      <w:r w:rsidR="00F97D77" w:rsidRPr="00A1148F">
        <w:rPr>
          <w:rFonts w:asciiTheme="minorHAnsi" w:hAnsiTheme="minorHAnsi" w:cstheme="minorHAnsi"/>
          <w:sz w:val="24"/>
          <w:szCs w:val="24"/>
          <w:shd w:val="clear" w:color="auto" w:fill="FFFFFF"/>
          <w:lang w:val="en-GB"/>
        </w:rPr>
        <w:t>or</w:t>
      </w:r>
      <w:r w:rsidRPr="00A1148F">
        <w:rPr>
          <w:rFonts w:asciiTheme="minorHAnsi" w:hAnsiTheme="minorHAnsi" w:cstheme="minorHAnsi"/>
          <w:sz w:val="24"/>
          <w:szCs w:val="24"/>
          <w:shd w:val="clear" w:color="auto" w:fill="FFFFFF"/>
          <w:lang w:val="en-GB"/>
        </w:rPr>
        <w:t xml:space="preserve"> high blood pressure related heart disease [</w:t>
      </w:r>
      <w:r w:rsidR="00B53ADB">
        <w:rPr>
          <w:rFonts w:asciiTheme="minorHAnsi" w:hAnsiTheme="minorHAnsi" w:cstheme="minorHAnsi"/>
          <w:sz w:val="24"/>
          <w:szCs w:val="24"/>
          <w:shd w:val="clear" w:color="auto" w:fill="FFFFFF"/>
          <w:lang w:val="en-GB"/>
        </w:rPr>
        <w:t>3</w:t>
      </w:r>
      <w:r w:rsidRPr="00A1148F">
        <w:rPr>
          <w:rFonts w:asciiTheme="minorHAnsi" w:hAnsiTheme="minorHAnsi" w:cstheme="minorHAnsi"/>
          <w:sz w:val="24"/>
          <w:szCs w:val="24"/>
          <w:shd w:val="clear" w:color="auto" w:fill="FFFFFF"/>
          <w:lang w:val="en-GB"/>
        </w:rPr>
        <w:t xml:space="preserve">]. </w:t>
      </w:r>
      <w:r w:rsidR="001C571F">
        <w:rPr>
          <w:rFonts w:asciiTheme="minorHAnsi" w:hAnsiTheme="minorHAnsi" w:cstheme="minorHAnsi"/>
          <w:sz w:val="24"/>
          <w:szCs w:val="24"/>
          <w:shd w:val="clear" w:color="auto" w:fill="FFFFFF"/>
          <w:lang w:val="en-GB"/>
        </w:rPr>
        <w:t xml:space="preserve"> </w:t>
      </w:r>
      <w:r w:rsidRPr="00A1148F">
        <w:rPr>
          <w:rFonts w:asciiTheme="minorHAnsi" w:hAnsiTheme="minorHAnsi" w:cstheme="minorHAnsi"/>
          <w:sz w:val="24"/>
          <w:szCs w:val="24"/>
          <w:shd w:val="clear" w:color="auto" w:fill="FFFFFF"/>
          <w:lang w:val="en-GB"/>
        </w:rPr>
        <w:t xml:space="preserve">Fortunately, a wide </w:t>
      </w:r>
      <w:r w:rsidR="00DD1C4A">
        <w:rPr>
          <w:rFonts w:asciiTheme="minorHAnsi" w:hAnsiTheme="minorHAnsi" w:cstheme="minorHAnsi"/>
          <w:sz w:val="24"/>
          <w:szCs w:val="24"/>
          <w:shd w:val="clear" w:color="auto" w:fill="FFFFFF"/>
          <w:lang w:val="en-GB"/>
        </w:rPr>
        <w:t>range</w:t>
      </w:r>
      <w:r w:rsidRPr="00A1148F">
        <w:rPr>
          <w:rFonts w:asciiTheme="minorHAnsi" w:hAnsiTheme="minorHAnsi" w:cstheme="minorHAnsi"/>
          <w:sz w:val="24"/>
          <w:szCs w:val="24"/>
          <w:shd w:val="clear" w:color="auto" w:fill="FFFFFF"/>
          <w:lang w:val="en-GB"/>
        </w:rPr>
        <w:t xml:space="preserve"> of treatments is available </w:t>
      </w:r>
      <w:r w:rsidR="009231D1">
        <w:rPr>
          <w:rFonts w:asciiTheme="minorHAnsi" w:hAnsiTheme="minorHAnsi" w:cstheme="minorHAnsi"/>
          <w:sz w:val="24"/>
          <w:szCs w:val="24"/>
          <w:shd w:val="clear" w:color="auto" w:fill="FFFFFF"/>
          <w:lang w:val="en-GB"/>
        </w:rPr>
        <w:t xml:space="preserve">that </w:t>
      </w:r>
      <w:r w:rsidR="00A666DD">
        <w:rPr>
          <w:rFonts w:asciiTheme="minorHAnsi" w:hAnsiTheme="minorHAnsi" w:cstheme="minorHAnsi"/>
          <w:sz w:val="24"/>
          <w:szCs w:val="24"/>
          <w:shd w:val="clear" w:color="auto" w:fill="FFFFFF"/>
          <w:lang w:val="en-GB"/>
        </w:rPr>
        <w:t>improve</w:t>
      </w:r>
      <w:r w:rsidRPr="00A1148F">
        <w:rPr>
          <w:rFonts w:asciiTheme="minorHAnsi" w:hAnsiTheme="minorHAnsi" w:cstheme="minorHAnsi"/>
          <w:sz w:val="24"/>
          <w:szCs w:val="24"/>
          <w:shd w:val="clear" w:color="auto" w:fill="FFFFFF"/>
          <w:lang w:val="en-GB"/>
        </w:rPr>
        <w:t xml:space="preserve"> bone mass and decrease the risk of fractures associated with osteoporosis [</w:t>
      </w:r>
      <w:r w:rsidR="00B53ADB">
        <w:rPr>
          <w:rFonts w:asciiTheme="minorHAnsi" w:hAnsiTheme="minorHAnsi" w:cstheme="minorHAnsi"/>
          <w:sz w:val="24"/>
          <w:szCs w:val="24"/>
          <w:shd w:val="clear" w:color="auto" w:fill="FFFFFF"/>
          <w:lang w:val="en-GB"/>
        </w:rPr>
        <w:t>4</w:t>
      </w:r>
      <w:r w:rsidRPr="00A1148F">
        <w:rPr>
          <w:rFonts w:asciiTheme="minorHAnsi" w:hAnsiTheme="minorHAnsi" w:cstheme="minorHAnsi"/>
          <w:sz w:val="24"/>
          <w:szCs w:val="24"/>
          <w:shd w:val="clear" w:color="auto" w:fill="FFFFFF"/>
          <w:lang w:val="en-GB"/>
        </w:rPr>
        <w:t>].</w:t>
      </w:r>
      <w:r w:rsidRPr="000E4528">
        <w:rPr>
          <w:rFonts w:asciiTheme="minorHAnsi" w:hAnsiTheme="minorHAnsi" w:cstheme="minorHAnsi"/>
          <w:sz w:val="24"/>
          <w:szCs w:val="24"/>
          <w:shd w:val="clear" w:color="auto" w:fill="FFFFFF"/>
          <w:lang w:val="en-GB"/>
        </w:rPr>
        <w:t xml:space="preserve">  The use of such interventions by health care practitioners is assisted by instruments that assess patients’ fracture risk to optimise clinical decisions about prevention and treatment. The most widely used web-based tool FRAX® (https://www.sheffield.ac.uk/FRAX/) meets these requirements and computes the 10-year probability of fragility fractures based on several common clinical risk factors and, </w:t>
      </w:r>
      <w:r w:rsidR="00790349" w:rsidRPr="000E4528">
        <w:rPr>
          <w:rFonts w:asciiTheme="minorHAnsi" w:hAnsiTheme="minorHAnsi" w:cstheme="minorHAnsi"/>
          <w:sz w:val="24"/>
          <w:szCs w:val="24"/>
          <w:shd w:val="clear" w:color="auto" w:fill="FFFFFF"/>
          <w:lang w:val="en-GB"/>
        </w:rPr>
        <w:t>optionally</w:t>
      </w:r>
      <w:r w:rsidR="00153EDC" w:rsidRPr="000E4528">
        <w:rPr>
          <w:rFonts w:asciiTheme="minorHAnsi" w:hAnsiTheme="minorHAnsi" w:cstheme="minorHAnsi"/>
          <w:sz w:val="24"/>
          <w:szCs w:val="24"/>
          <w:shd w:val="clear" w:color="auto" w:fill="FFFFFF"/>
          <w:lang w:val="en-GB"/>
        </w:rPr>
        <w:t>,</w:t>
      </w:r>
      <w:r w:rsidR="00790349" w:rsidRPr="000E4528">
        <w:rPr>
          <w:rFonts w:asciiTheme="minorHAnsi" w:hAnsiTheme="minorHAnsi" w:cstheme="minorHAnsi"/>
          <w:sz w:val="24"/>
          <w:szCs w:val="24"/>
          <w:shd w:val="clear" w:color="auto" w:fill="FFFFFF"/>
          <w:lang w:val="en-GB"/>
        </w:rPr>
        <w:t xml:space="preserve"> a bone densitometry result obtained from dual x-ray </w:t>
      </w:r>
      <w:r w:rsidR="00790349" w:rsidRPr="002A1338">
        <w:rPr>
          <w:rFonts w:asciiTheme="minorHAnsi" w:hAnsiTheme="minorHAnsi" w:cstheme="minorHAnsi"/>
          <w:sz w:val="24"/>
          <w:szCs w:val="24"/>
          <w:shd w:val="clear" w:color="auto" w:fill="FFFFFF"/>
          <w:lang w:val="en-GB"/>
        </w:rPr>
        <w:t>absorptiometry (</w:t>
      </w:r>
      <w:r w:rsidR="00D73919" w:rsidRPr="002A1338">
        <w:rPr>
          <w:rFonts w:asciiTheme="minorHAnsi" w:hAnsiTheme="minorHAnsi" w:cstheme="minorHAnsi"/>
          <w:sz w:val="24"/>
          <w:szCs w:val="24"/>
          <w:shd w:val="clear" w:color="auto" w:fill="FFFFFF"/>
          <w:lang w:val="en-GB"/>
        </w:rPr>
        <w:t>DXA) [</w:t>
      </w:r>
      <w:r w:rsidR="00B53ADB">
        <w:rPr>
          <w:rFonts w:asciiTheme="minorHAnsi" w:hAnsiTheme="minorHAnsi" w:cstheme="minorHAnsi"/>
          <w:sz w:val="24"/>
          <w:szCs w:val="24"/>
          <w:shd w:val="clear" w:color="auto" w:fill="FFFFFF"/>
          <w:lang w:val="en-GB"/>
        </w:rPr>
        <w:t>5</w:t>
      </w:r>
      <w:r w:rsidRPr="002A1338">
        <w:rPr>
          <w:rFonts w:asciiTheme="minorHAnsi" w:hAnsiTheme="minorHAnsi" w:cstheme="minorHAnsi"/>
          <w:sz w:val="24"/>
          <w:szCs w:val="24"/>
          <w:shd w:val="clear" w:color="auto" w:fill="FFFFFF"/>
          <w:lang w:val="en-GB"/>
        </w:rPr>
        <w:t xml:space="preserve">, </w:t>
      </w:r>
      <w:r w:rsidR="00B53ADB">
        <w:rPr>
          <w:rFonts w:asciiTheme="minorHAnsi" w:hAnsiTheme="minorHAnsi" w:cstheme="minorHAnsi"/>
          <w:sz w:val="24"/>
          <w:szCs w:val="24"/>
          <w:shd w:val="clear" w:color="auto" w:fill="FFFFFF"/>
          <w:lang w:val="en-GB"/>
        </w:rPr>
        <w:t>6</w:t>
      </w:r>
      <w:r w:rsidRPr="002A1338">
        <w:rPr>
          <w:rFonts w:asciiTheme="minorHAnsi" w:hAnsiTheme="minorHAnsi" w:cstheme="minorHAnsi"/>
          <w:sz w:val="24"/>
          <w:szCs w:val="24"/>
          <w:shd w:val="clear" w:color="auto" w:fill="FFFFFF"/>
          <w:lang w:val="en-GB"/>
        </w:rPr>
        <w:t>].  FRAX models are available for 66 countries covering more than 80% of the world population at risk [</w:t>
      </w:r>
      <w:r w:rsidR="00B53ADB">
        <w:rPr>
          <w:rFonts w:asciiTheme="minorHAnsi" w:hAnsiTheme="minorHAnsi" w:cstheme="minorHAnsi"/>
          <w:sz w:val="24"/>
          <w:szCs w:val="24"/>
          <w:shd w:val="clear" w:color="auto" w:fill="FFFFFF"/>
          <w:lang w:val="en-GB"/>
        </w:rPr>
        <w:t>7</w:t>
      </w:r>
      <w:r w:rsidRPr="002A1338">
        <w:rPr>
          <w:rFonts w:asciiTheme="minorHAnsi" w:hAnsiTheme="minorHAnsi" w:cstheme="minorHAnsi"/>
          <w:sz w:val="24"/>
          <w:szCs w:val="24"/>
          <w:shd w:val="clear" w:color="auto" w:fill="FFFFFF"/>
          <w:lang w:val="en-GB"/>
        </w:rPr>
        <w:t>] and ha</w:t>
      </w:r>
      <w:r w:rsidR="00D44B54" w:rsidRPr="002A1338">
        <w:rPr>
          <w:rFonts w:asciiTheme="minorHAnsi" w:hAnsiTheme="minorHAnsi" w:cstheme="minorHAnsi"/>
          <w:sz w:val="24"/>
          <w:szCs w:val="24"/>
          <w:shd w:val="clear" w:color="auto" w:fill="FFFFFF"/>
          <w:lang w:val="en-GB"/>
        </w:rPr>
        <w:t>ve</w:t>
      </w:r>
      <w:r w:rsidRPr="002A1338">
        <w:rPr>
          <w:rFonts w:asciiTheme="minorHAnsi" w:hAnsiTheme="minorHAnsi" w:cstheme="minorHAnsi"/>
          <w:sz w:val="24"/>
          <w:szCs w:val="24"/>
          <w:shd w:val="clear" w:color="auto" w:fill="FFFFFF"/>
          <w:lang w:val="en-GB"/>
        </w:rPr>
        <w:t xml:space="preserve"> been incorporated into more than 100 guidelines worldwide [</w:t>
      </w:r>
      <w:r w:rsidR="00A876F6">
        <w:rPr>
          <w:rFonts w:asciiTheme="minorHAnsi" w:hAnsiTheme="minorHAnsi" w:cstheme="minorHAnsi"/>
          <w:sz w:val="24"/>
          <w:szCs w:val="24"/>
          <w:shd w:val="clear" w:color="auto" w:fill="FFFFFF"/>
          <w:lang w:val="en-GB"/>
        </w:rPr>
        <w:t>8</w:t>
      </w:r>
      <w:r w:rsidRPr="002A1338">
        <w:rPr>
          <w:rFonts w:asciiTheme="minorHAnsi" w:hAnsiTheme="minorHAnsi" w:cstheme="minorHAnsi"/>
          <w:sz w:val="24"/>
          <w:szCs w:val="24"/>
          <w:shd w:val="clear" w:color="auto" w:fill="FFFFFF"/>
          <w:lang w:val="en-GB"/>
        </w:rPr>
        <w:t>].</w:t>
      </w:r>
    </w:p>
    <w:bookmarkEnd w:id="2"/>
    <w:p w14:paraId="0F872AF8" w14:textId="1E9D3D01" w:rsidR="0052751E" w:rsidRPr="00706024" w:rsidRDefault="007C1360" w:rsidP="00827EF0">
      <w:pPr>
        <w:ind w:left="1134"/>
        <w:rPr>
          <w:rFonts w:asciiTheme="minorHAnsi" w:hAnsiTheme="minorHAnsi" w:cstheme="minorHAnsi"/>
          <w:sz w:val="24"/>
          <w:szCs w:val="24"/>
          <w:shd w:val="clear" w:color="auto" w:fill="FFFFFF"/>
          <w:lang w:val="en-GB"/>
        </w:rPr>
      </w:pPr>
      <w:r w:rsidRPr="00706024">
        <w:rPr>
          <w:rFonts w:asciiTheme="minorHAnsi" w:hAnsiTheme="minorHAnsi" w:cstheme="minorHAnsi"/>
          <w:sz w:val="24"/>
          <w:szCs w:val="24"/>
          <w:shd w:val="clear" w:color="auto" w:fill="FFFFFF"/>
          <w:lang w:val="en-GB"/>
        </w:rPr>
        <w:t>A</w:t>
      </w:r>
      <w:r w:rsidR="00E172DF" w:rsidRPr="00706024">
        <w:rPr>
          <w:rFonts w:asciiTheme="minorHAnsi" w:hAnsiTheme="minorHAnsi" w:cstheme="minorHAnsi"/>
          <w:sz w:val="24"/>
          <w:szCs w:val="24"/>
          <w:shd w:val="clear" w:color="auto" w:fill="FFFFFF"/>
          <w:lang w:val="en-GB"/>
        </w:rPr>
        <w:t xml:space="preserve"> </w:t>
      </w:r>
      <w:r w:rsidR="0094205C" w:rsidRPr="00706024">
        <w:rPr>
          <w:rFonts w:asciiTheme="minorHAnsi" w:hAnsiTheme="minorHAnsi" w:cstheme="minorHAnsi"/>
          <w:sz w:val="24"/>
          <w:szCs w:val="24"/>
          <w:shd w:val="clear" w:color="auto" w:fill="FFFFFF"/>
          <w:lang w:val="en-GB"/>
        </w:rPr>
        <w:t>country specific</w:t>
      </w:r>
      <w:r w:rsidR="00E172DF" w:rsidRPr="00706024">
        <w:rPr>
          <w:rFonts w:asciiTheme="minorHAnsi" w:hAnsiTheme="minorHAnsi" w:cstheme="minorHAnsi"/>
          <w:sz w:val="24"/>
          <w:szCs w:val="24"/>
          <w:shd w:val="clear" w:color="auto" w:fill="FFFFFF"/>
          <w:lang w:val="en-GB"/>
        </w:rPr>
        <w:t xml:space="preserve"> FRAX model</w:t>
      </w:r>
      <w:r w:rsidR="00530B8C" w:rsidRPr="00706024">
        <w:rPr>
          <w:rFonts w:asciiTheme="minorHAnsi" w:hAnsiTheme="minorHAnsi" w:cstheme="minorHAnsi"/>
          <w:sz w:val="24"/>
          <w:szCs w:val="24"/>
          <w:shd w:val="clear" w:color="auto" w:fill="FFFFFF"/>
          <w:lang w:val="en-GB"/>
        </w:rPr>
        <w:t xml:space="preserve"> wa</w:t>
      </w:r>
      <w:r w:rsidR="00B56835" w:rsidRPr="00706024">
        <w:rPr>
          <w:rFonts w:asciiTheme="minorHAnsi" w:hAnsiTheme="minorHAnsi" w:cstheme="minorHAnsi"/>
          <w:sz w:val="24"/>
          <w:szCs w:val="24"/>
          <w:shd w:val="clear" w:color="auto" w:fill="FFFFFF"/>
          <w:lang w:val="en-GB"/>
        </w:rPr>
        <w:t>s</w:t>
      </w:r>
      <w:r w:rsidR="00E172DF" w:rsidRPr="00706024">
        <w:rPr>
          <w:rFonts w:asciiTheme="minorHAnsi" w:hAnsiTheme="minorHAnsi" w:cstheme="minorHAnsi"/>
          <w:sz w:val="24"/>
          <w:szCs w:val="24"/>
          <w:shd w:val="clear" w:color="auto" w:fill="FFFFFF"/>
          <w:lang w:val="en-GB"/>
        </w:rPr>
        <w:t xml:space="preserve"> developed for </w:t>
      </w:r>
      <w:r w:rsidR="00F579DA" w:rsidRPr="00706024">
        <w:rPr>
          <w:rFonts w:asciiTheme="minorHAnsi" w:hAnsiTheme="minorHAnsi" w:cstheme="minorHAnsi"/>
          <w:sz w:val="24"/>
          <w:szCs w:val="24"/>
          <w:shd w:val="clear" w:color="auto" w:fill="FFFFFF"/>
          <w:lang w:val="en-GB"/>
        </w:rPr>
        <w:t>Singapore</w:t>
      </w:r>
      <w:r w:rsidR="00E172DF" w:rsidRPr="00706024">
        <w:rPr>
          <w:rFonts w:asciiTheme="minorHAnsi" w:hAnsiTheme="minorHAnsi" w:cstheme="minorHAnsi"/>
          <w:sz w:val="24"/>
          <w:szCs w:val="24"/>
          <w:shd w:val="clear" w:color="auto" w:fill="FFFFFF"/>
          <w:lang w:val="en-GB"/>
        </w:rPr>
        <w:t xml:space="preserve"> which </w:t>
      </w:r>
      <w:r w:rsidR="00B56835" w:rsidRPr="00706024">
        <w:rPr>
          <w:rFonts w:asciiTheme="minorHAnsi" w:hAnsiTheme="minorHAnsi" w:cstheme="minorHAnsi"/>
          <w:sz w:val="24"/>
          <w:szCs w:val="24"/>
          <w:shd w:val="clear" w:color="auto" w:fill="FFFFFF"/>
          <w:lang w:val="en-GB"/>
        </w:rPr>
        <w:t xml:space="preserve">was launched in </w:t>
      </w:r>
      <w:r w:rsidR="00B574C7" w:rsidRPr="00706024">
        <w:rPr>
          <w:rFonts w:asciiTheme="minorHAnsi" w:hAnsiTheme="minorHAnsi" w:cstheme="minorHAnsi"/>
          <w:sz w:val="24"/>
          <w:szCs w:val="24"/>
          <w:shd w:val="clear" w:color="auto" w:fill="FFFFFF"/>
          <w:lang w:val="en-GB"/>
        </w:rPr>
        <w:t>December 2010</w:t>
      </w:r>
      <w:r w:rsidR="00E172DF" w:rsidRPr="00706024">
        <w:rPr>
          <w:rFonts w:asciiTheme="minorHAnsi" w:hAnsiTheme="minorHAnsi" w:cstheme="minorHAnsi"/>
          <w:sz w:val="24"/>
          <w:szCs w:val="24"/>
          <w:shd w:val="clear" w:color="auto" w:fill="FFFFFF"/>
          <w:lang w:val="en-GB"/>
        </w:rPr>
        <w:t xml:space="preserve">. </w:t>
      </w:r>
      <w:r w:rsidR="007728CB">
        <w:rPr>
          <w:rFonts w:asciiTheme="minorHAnsi" w:hAnsiTheme="minorHAnsi" w:cstheme="minorHAnsi"/>
          <w:sz w:val="24"/>
          <w:szCs w:val="24"/>
          <w:shd w:val="clear" w:color="auto" w:fill="FFFFFF"/>
          <w:lang w:val="en-GB"/>
        </w:rPr>
        <w:t xml:space="preserve"> </w:t>
      </w:r>
      <w:r w:rsidR="004A36E8" w:rsidRPr="00706024">
        <w:rPr>
          <w:rFonts w:asciiTheme="minorHAnsi" w:hAnsiTheme="minorHAnsi" w:cstheme="minorHAnsi"/>
          <w:sz w:val="24"/>
          <w:szCs w:val="24"/>
          <w:shd w:val="clear" w:color="auto" w:fill="FFFFFF"/>
          <w:lang w:val="en-GB"/>
        </w:rPr>
        <w:t xml:space="preserve">Whereas the </w:t>
      </w:r>
      <w:r w:rsidR="00E172DF" w:rsidRPr="00706024">
        <w:rPr>
          <w:rFonts w:asciiTheme="minorHAnsi" w:hAnsiTheme="minorHAnsi" w:cstheme="minorHAnsi"/>
          <w:sz w:val="24"/>
          <w:szCs w:val="24"/>
          <w:shd w:val="clear" w:color="auto" w:fill="FFFFFF"/>
          <w:lang w:val="en-GB"/>
        </w:rPr>
        <w:t xml:space="preserve">model should enhance accuracy of determining fracture probability among the </w:t>
      </w:r>
      <w:r w:rsidR="001046B9" w:rsidRPr="00706024">
        <w:rPr>
          <w:rFonts w:asciiTheme="minorHAnsi" w:hAnsiTheme="minorHAnsi" w:cstheme="minorHAnsi"/>
          <w:sz w:val="24"/>
          <w:szCs w:val="24"/>
          <w:shd w:val="clear" w:color="auto" w:fill="FFFFFF"/>
          <w:lang w:val="en-GB"/>
        </w:rPr>
        <w:t>Singaporean</w:t>
      </w:r>
      <w:r w:rsidR="00E172DF" w:rsidRPr="00706024">
        <w:rPr>
          <w:rFonts w:asciiTheme="minorHAnsi" w:hAnsiTheme="minorHAnsi" w:cstheme="minorHAnsi"/>
          <w:sz w:val="24"/>
          <w:szCs w:val="24"/>
          <w:shd w:val="clear" w:color="auto" w:fill="FFFFFF"/>
          <w:lang w:val="en-GB"/>
        </w:rPr>
        <w:t xml:space="preserve"> population</w:t>
      </w:r>
      <w:r w:rsidR="00F30D4F" w:rsidRPr="00706024">
        <w:rPr>
          <w:rFonts w:asciiTheme="minorHAnsi" w:hAnsiTheme="minorHAnsi" w:cstheme="minorHAnsi"/>
          <w:sz w:val="24"/>
          <w:szCs w:val="24"/>
          <w:shd w:val="clear" w:color="auto" w:fill="FFFFFF"/>
          <w:lang w:val="en-GB"/>
        </w:rPr>
        <w:t>,</w:t>
      </w:r>
      <w:r w:rsidR="00E172DF" w:rsidRPr="00706024">
        <w:rPr>
          <w:rFonts w:asciiTheme="minorHAnsi" w:hAnsiTheme="minorHAnsi" w:cstheme="minorHAnsi"/>
          <w:sz w:val="24"/>
          <w:szCs w:val="24"/>
          <w:shd w:val="clear" w:color="auto" w:fill="FFFFFF"/>
          <w:lang w:val="en-GB"/>
        </w:rPr>
        <w:t xml:space="preserve"> </w:t>
      </w:r>
      <w:r w:rsidR="00F30D4F" w:rsidRPr="00706024">
        <w:rPr>
          <w:rFonts w:asciiTheme="minorHAnsi" w:hAnsiTheme="minorHAnsi" w:cstheme="minorHAnsi"/>
          <w:sz w:val="24"/>
          <w:szCs w:val="24"/>
          <w:shd w:val="clear" w:color="auto" w:fill="FFFFFF"/>
          <w:lang w:val="en-GB"/>
        </w:rPr>
        <w:t xml:space="preserve">guidance is </w:t>
      </w:r>
      <w:r w:rsidR="00ED4600">
        <w:rPr>
          <w:rFonts w:asciiTheme="minorHAnsi" w:hAnsiTheme="minorHAnsi" w:cstheme="minorHAnsi"/>
          <w:sz w:val="24"/>
          <w:szCs w:val="24"/>
          <w:shd w:val="clear" w:color="auto" w:fill="FFFFFF"/>
          <w:lang w:val="en-GB"/>
        </w:rPr>
        <w:t>not yet</w:t>
      </w:r>
      <w:r w:rsidR="0062597E">
        <w:rPr>
          <w:rFonts w:asciiTheme="minorHAnsi" w:hAnsiTheme="minorHAnsi" w:cstheme="minorHAnsi"/>
          <w:sz w:val="24"/>
          <w:szCs w:val="24"/>
          <w:shd w:val="clear" w:color="auto" w:fill="FFFFFF"/>
          <w:lang w:val="en-GB"/>
        </w:rPr>
        <w:t xml:space="preserve"> available</w:t>
      </w:r>
      <w:r w:rsidR="00F30D4F" w:rsidRPr="00706024">
        <w:rPr>
          <w:rFonts w:asciiTheme="minorHAnsi" w:hAnsiTheme="minorHAnsi" w:cstheme="minorHAnsi"/>
          <w:sz w:val="24"/>
          <w:szCs w:val="24"/>
          <w:shd w:val="clear" w:color="auto" w:fill="FFFFFF"/>
          <w:lang w:val="en-GB"/>
        </w:rPr>
        <w:t xml:space="preserve"> </w:t>
      </w:r>
      <w:r w:rsidR="001126F3" w:rsidRPr="00706024">
        <w:rPr>
          <w:rFonts w:asciiTheme="minorHAnsi" w:hAnsiTheme="minorHAnsi" w:cstheme="minorHAnsi"/>
          <w:sz w:val="24"/>
          <w:szCs w:val="24"/>
          <w:shd w:val="clear" w:color="auto" w:fill="FFFFFF"/>
          <w:lang w:val="en-GB"/>
        </w:rPr>
        <w:t xml:space="preserve">to make </w:t>
      </w:r>
      <w:r w:rsidR="00E172DF" w:rsidRPr="00706024">
        <w:rPr>
          <w:rFonts w:asciiTheme="minorHAnsi" w:hAnsiTheme="minorHAnsi" w:cstheme="minorHAnsi"/>
          <w:sz w:val="24"/>
          <w:szCs w:val="24"/>
          <w:shd w:val="clear" w:color="auto" w:fill="FFFFFF"/>
          <w:lang w:val="en-GB"/>
        </w:rPr>
        <w:t xml:space="preserve">decisions about </w:t>
      </w:r>
      <w:r w:rsidR="00E172DF" w:rsidRPr="00920BCB">
        <w:rPr>
          <w:rFonts w:asciiTheme="minorHAnsi" w:hAnsiTheme="minorHAnsi" w:cstheme="minorHAnsi"/>
          <w:sz w:val="24"/>
          <w:szCs w:val="24"/>
          <w:shd w:val="clear" w:color="auto" w:fill="FFFFFF"/>
          <w:lang w:val="en-GB"/>
        </w:rPr>
        <w:t>treatment</w:t>
      </w:r>
      <w:r w:rsidR="00354851" w:rsidRPr="00920BCB">
        <w:rPr>
          <w:rFonts w:asciiTheme="minorHAnsi" w:hAnsiTheme="minorHAnsi" w:cstheme="minorHAnsi"/>
          <w:sz w:val="24"/>
          <w:szCs w:val="24"/>
          <w:shd w:val="clear" w:color="auto" w:fill="FFFFFF"/>
          <w:lang w:val="en-GB"/>
        </w:rPr>
        <w:t xml:space="preserve"> [</w:t>
      </w:r>
      <w:r w:rsidR="00A876F6">
        <w:rPr>
          <w:rFonts w:asciiTheme="minorHAnsi" w:hAnsiTheme="minorHAnsi" w:cstheme="minorHAnsi"/>
          <w:sz w:val="24"/>
          <w:szCs w:val="24"/>
          <w:shd w:val="clear" w:color="auto" w:fill="FFFFFF"/>
          <w:lang w:val="en-GB"/>
        </w:rPr>
        <w:t>9</w:t>
      </w:r>
      <w:r w:rsidR="00354851" w:rsidRPr="00920BCB">
        <w:rPr>
          <w:rFonts w:asciiTheme="minorHAnsi" w:hAnsiTheme="minorHAnsi" w:cstheme="minorHAnsi"/>
          <w:sz w:val="24"/>
          <w:szCs w:val="24"/>
          <w:shd w:val="clear" w:color="auto" w:fill="FFFFFF"/>
          <w:lang w:val="en-GB"/>
        </w:rPr>
        <w:t>]</w:t>
      </w:r>
      <w:r w:rsidR="00E172DF" w:rsidRPr="00920BCB">
        <w:rPr>
          <w:rFonts w:asciiTheme="minorHAnsi" w:hAnsiTheme="minorHAnsi" w:cstheme="minorHAnsi"/>
          <w:sz w:val="24"/>
          <w:szCs w:val="24"/>
          <w:shd w:val="clear" w:color="auto" w:fill="FFFFFF"/>
          <w:lang w:val="en-GB"/>
        </w:rPr>
        <w:t xml:space="preserve">. </w:t>
      </w:r>
      <w:r w:rsidR="004B6D8C" w:rsidRPr="00920BCB">
        <w:rPr>
          <w:rFonts w:asciiTheme="minorHAnsi" w:hAnsiTheme="minorHAnsi" w:cstheme="minorHAnsi"/>
          <w:sz w:val="24"/>
          <w:szCs w:val="24"/>
          <w:shd w:val="clear" w:color="auto" w:fill="FFFFFF"/>
          <w:lang w:val="en-GB"/>
        </w:rPr>
        <w:t xml:space="preserve"> </w:t>
      </w:r>
      <w:r w:rsidR="00827864" w:rsidRPr="00920BCB">
        <w:rPr>
          <w:rFonts w:asciiTheme="minorHAnsi" w:hAnsiTheme="minorHAnsi" w:cstheme="minorHAnsi"/>
          <w:sz w:val="24"/>
          <w:szCs w:val="24"/>
          <w:shd w:val="clear" w:color="auto" w:fill="FFFFFF"/>
          <w:lang w:val="en-GB"/>
        </w:rPr>
        <w:t>The</w:t>
      </w:r>
      <w:r w:rsidR="00827864" w:rsidRPr="00706024">
        <w:rPr>
          <w:rFonts w:asciiTheme="minorHAnsi" w:hAnsiTheme="minorHAnsi" w:cstheme="minorHAnsi"/>
          <w:sz w:val="24"/>
          <w:szCs w:val="24"/>
          <w:shd w:val="clear" w:color="auto" w:fill="FFFFFF"/>
          <w:lang w:val="en-GB"/>
        </w:rPr>
        <w:t xml:space="preserve"> aim of the present study </w:t>
      </w:r>
      <w:r w:rsidR="007434EA" w:rsidRPr="00706024">
        <w:rPr>
          <w:rFonts w:asciiTheme="minorHAnsi" w:hAnsiTheme="minorHAnsi" w:cstheme="minorHAnsi"/>
          <w:sz w:val="24"/>
          <w:szCs w:val="24"/>
          <w:shd w:val="clear" w:color="auto" w:fill="FFFFFF"/>
          <w:lang w:val="en-GB"/>
        </w:rPr>
        <w:t xml:space="preserve">was to </w:t>
      </w:r>
      <w:r w:rsidR="002C4F20">
        <w:rPr>
          <w:rFonts w:asciiTheme="minorHAnsi" w:hAnsiTheme="minorHAnsi" w:cstheme="minorHAnsi"/>
          <w:sz w:val="24"/>
          <w:szCs w:val="24"/>
          <w:shd w:val="clear" w:color="auto" w:fill="FFFFFF"/>
          <w:lang w:val="en-GB"/>
        </w:rPr>
        <w:t xml:space="preserve">explore </w:t>
      </w:r>
      <w:r w:rsidR="00C6140B">
        <w:rPr>
          <w:rFonts w:asciiTheme="minorHAnsi" w:hAnsiTheme="minorHAnsi" w:cstheme="minorHAnsi"/>
          <w:sz w:val="24"/>
          <w:szCs w:val="24"/>
          <w:shd w:val="clear" w:color="auto" w:fill="FFFFFF"/>
          <w:lang w:val="en-GB"/>
        </w:rPr>
        <w:t xml:space="preserve">a potential </w:t>
      </w:r>
      <w:r w:rsidR="00D87533">
        <w:rPr>
          <w:rFonts w:asciiTheme="minorHAnsi" w:hAnsiTheme="minorHAnsi" w:cstheme="minorHAnsi"/>
          <w:sz w:val="24"/>
          <w:szCs w:val="24"/>
          <w:shd w:val="clear" w:color="auto" w:fill="FFFFFF"/>
          <w:lang w:val="en-GB"/>
        </w:rPr>
        <w:t xml:space="preserve">assessment pathway for </w:t>
      </w:r>
      <w:r w:rsidR="00D4126C">
        <w:rPr>
          <w:rFonts w:asciiTheme="minorHAnsi" w:hAnsiTheme="minorHAnsi" w:cstheme="minorHAnsi"/>
          <w:sz w:val="24"/>
          <w:szCs w:val="24"/>
          <w:shd w:val="clear" w:color="auto" w:fill="FFFFFF"/>
          <w:lang w:val="en-GB"/>
        </w:rPr>
        <w:t xml:space="preserve">treatment and </w:t>
      </w:r>
      <w:r w:rsidR="005A4E0C">
        <w:rPr>
          <w:rFonts w:asciiTheme="minorHAnsi" w:hAnsiTheme="minorHAnsi" w:cstheme="minorHAnsi"/>
          <w:sz w:val="24"/>
          <w:szCs w:val="24"/>
          <w:shd w:val="clear" w:color="auto" w:fill="FFFFFF"/>
          <w:lang w:val="en-GB"/>
        </w:rPr>
        <w:t xml:space="preserve">characteristics of </w:t>
      </w:r>
      <w:r w:rsidR="00D06D75">
        <w:rPr>
          <w:rFonts w:asciiTheme="minorHAnsi" w:hAnsiTheme="minorHAnsi" w:cstheme="minorHAnsi"/>
          <w:sz w:val="24"/>
          <w:szCs w:val="24"/>
          <w:shd w:val="clear" w:color="auto" w:fill="FFFFFF"/>
          <w:lang w:val="en-GB"/>
        </w:rPr>
        <w:t xml:space="preserve">women </w:t>
      </w:r>
      <w:r w:rsidR="005A4E0C">
        <w:rPr>
          <w:rFonts w:asciiTheme="minorHAnsi" w:hAnsiTheme="minorHAnsi" w:cstheme="minorHAnsi"/>
          <w:sz w:val="24"/>
          <w:szCs w:val="24"/>
          <w:shd w:val="clear" w:color="auto" w:fill="FFFFFF"/>
          <w:lang w:val="en-GB"/>
        </w:rPr>
        <w:t xml:space="preserve">selected </w:t>
      </w:r>
      <w:r w:rsidR="0089796A">
        <w:rPr>
          <w:rFonts w:asciiTheme="minorHAnsi" w:hAnsiTheme="minorHAnsi" w:cstheme="minorHAnsi"/>
          <w:sz w:val="24"/>
          <w:szCs w:val="24"/>
          <w:shd w:val="clear" w:color="auto" w:fill="FFFFFF"/>
          <w:lang w:val="en-GB"/>
        </w:rPr>
        <w:t>for treatment in Singapore</w:t>
      </w:r>
      <w:r w:rsidR="00BA0B5E">
        <w:rPr>
          <w:rFonts w:asciiTheme="minorHAnsi" w:hAnsiTheme="minorHAnsi" w:cstheme="minorHAnsi"/>
          <w:sz w:val="24"/>
          <w:szCs w:val="24"/>
          <w:shd w:val="clear" w:color="auto" w:fill="FFFFFF"/>
          <w:lang w:val="en-GB"/>
        </w:rPr>
        <w:t xml:space="preserve"> </w:t>
      </w:r>
      <w:r w:rsidR="00521709">
        <w:rPr>
          <w:rFonts w:asciiTheme="minorHAnsi" w:hAnsiTheme="minorHAnsi" w:cstheme="minorHAnsi"/>
          <w:sz w:val="24"/>
          <w:szCs w:val="24"/>
          <w:shd w:val="clear" w:color="auto" w:fill="FFFFFF"/>
          <w:lang w:val="en-GB"/>
        </w:rPr>
        <w:t>based on FRAX</w:t>
      </w:r>
      <w:r w:rsidR="002E2460">
        <w:rPr>
          <w:rFonts w:asciiTheme="minorHAnsi" w:hAnsiTheme="minorHAnsi" w:cstheme="minorHAnsi"/>
          <w:sz w:val="24"/>
          <w:szCs w:val="24"/>
          <w:shd w:val="clear" w:color="auto" w:fill="FFFFFF"/>
          <w:lang w:val="en-GB"/>
        </w:rPr>
        <w:t>.</w:t>
      </w:r>
      <w:r w:rsidR="00241ED0">
        <w:rPr>
          <w:rFonts w:asciiTheme="minorHAnsi" w:hAnsiTheme="minorHAnsi" w:cstheme="minorHAnsi"/>
          <w:sz w:val="24"/>
          <w:szCs w:val="24"/>
          <w:shd w:val="clear" w:color="auto" w:fill="FFFFFF"/>
          <w:lang w:val="en-GB"/>
        </w:rPr>
        <w:t xml:space="preserve"> </w:t>
      </w:r>
    </w:p>
    <w:p w14:paraId="121CA5E6" w14:textId="77777777" w:rsidR="006A0DB4" w:rsidRPr="00633E99" w:rsidRDefault="00AB07BE" w:rsidP="00827EF0">
      <w:pPr>
        <w:ind w:left="1134"/>
        <w:rPr>
          <w:rFonts w:asciiTheme="minorHAnsi" w:hAnsiTheme="minorHAnsi" w:cstheme="minorHAnsi"/>
          <w:b/>
          <w:bCs/>
          <w:sz w:val="24"/>
          <w:szCs w:val="24"/>
          <w:shd w:val="clear" w:color="auto" w:fill="FFFFFF"/>
          <w:lang w:val="en-GB"/>
        </w:rPr>
      </w:pPr>
      <w:r w:rsidRPr="00633E99">
        <w:rPr>
          <w:rFonts w:asciiTheme="minorHAnsi" w:hAnsiTheme="minorHAnsi" w:cstheme="minorHAnsi"/>
          <w:b/>
          <w:bCs/>
          <w:sz w:val="24"/>
          <w:szCs w:val="24"/>
          <w:shd w:val="clear" w:color="auto" w:fill="FFFFFF"/>
          <w:lang w:val="en-GB"/>
        </w:rPr>
        <w:t>Methods</w:t>
      </w:r>
    </w:p>
    <w:p w14:paraId="722E6920" w14:textId="77777777" w:rsidR="00F429AC" w:rsidRPr="00633E99" w:rsidRDefault="00F429AC" w:rsidP="00827EF0">
      <w:pPr>
        <w:ind w:left="1134"/>
        <w:rPr>
          <w:rFonts w:asciiTheme="minorHAnsi" w:hAnsiTheme="minorHAnsi" w:cstheme="minorHAnsi"/>
          <w:i/>
          <w:iCs/>
          <w:sz w:val="24"/>
          <w:szCs w:val="24"/>
          <w:shd w:val="clear" w:color="auto" w:fill="FFFFFF"/>
          <w:lang w:val="en-GB"/>
        </w:rPr>
      </w:pPr>
      <w:r w:rsidRPr="00633E99">
        <w:rPr>
          <w:rFonts w:asciiTheme="minorHAnsi" w:hAnsiTheme="minorHAnsi" w:cstheme="minorHAnsi"/>
          <w:i/>
          <w:iCs/>
          <w:sz w:val="24"/>
          <w:szCs w:val="24"/>
          <w:shd w:val="clear" w:color="auto" w:fill="FFFFFF"/>
          <w:lang w:val="en-GB"/>
        </w:rPr>
        <w:t>Population sample</w:t>
      </w:r>
    </w:p>
    <w:p w14:paraId="571D05D0" w14:textId="7BD10FA5" w:rsidR="00C85E80" w:rsidRDefault="00F429AC" w:rsidP="00827EF0">
      <w:pPr>
        <w:ind w:left="1134"/>
        <w:rPr>
          <w:sz w:val="24"/>
          <w:szCs w:val="24"/>
          <w:shd w:val="clear" w:color="auto" w:fill="FFFFFF"/>
          <w:lang w:val="en-GB"/>
        </w:rPr>
      </w:pPr>
      <w:r w:rsidRPr="00053655">
        <w:rPr>
          <w:rFonts w:asciiTheme="minorHAnsi" w:hAnsiTheme="minorHAnsi" w:cstheme="minorHAnsi"/>
          <w:sz w:val="24"/>
          <w:szCs w:val="24"/>
          <w:shd w:val="clear" w:color="auto" w:fill="FFFFFF"/>
          <w:lang w:val="en-GB"/>
        </w:rPr>
        <w:t xml:space="preserve">The population sample used to determine the impact of intervention and assessment thresholds was </w:t>
      </w:r>
      <w:r w:rsidR="0072530F" w:rsidRPr="00053655">
        <w:rPr>
          <w:rFonts w:asciiTheme="minorHAnsi" w:hAnsiTheme="minorHAnsi" w:cstheme="minorHAnsi"/>
          <w:sz w:val="24"/>
          <w:szCs w:val="24"/>
          <w:shd w:val="clear" w:color="auto" w:fill="FFFFFF"/>
          <w:lang w:val="en-GB"/>
        </w:rPr>
        <w:t xml:space="preserve">drawn from </w:t>
      </w:r>
      <w:r w:rsidR="00E817AF" w:rsidRPr="00053655">
        <w:rPr>
          <w:rFonts w:asciiTheme="minorHAnsi" w:hAnsiTheme="minorHAnsi" w:cstheme="minorHAnsi"/>
          <w:sz w:val="24"/>
          <w:szCs w:val="24"/>
          <w:shd w:val="clear" w:color="auto" w:fill="FFFFFF"/>
          <w:lang w:val="en-GB"/>
        </w:rPr>
        <w:t>the</w:t>
      </w:r>
      <w:r w:rsidR="00E817AF" w:rsidRPr="00F37B16">
        <w:rPr>
          <w:sz w:val="24"/>
          <w:szCs w:val="24"/>
          <w:lang w:val="en-GB"/>
        </w:rPr>
        <w:t xml:space="preserve"> </w:t>
      </w:r>
      <w:r w:rsidR="00E817AF" w:rsidRPr="00053655">
        <w:rPr>
          <w:rFonts w:asciiTheme="minorHAnsi" w:hAnsiTheme="minorHAnsi" w:cstheme="minorHAnsi"/>
          <w:sz w:val="24"/>
          <w:szCs w:val="24"/>
          <w:shd w:val="clear" w:color="auto" w:fill="FFFFFF"/>
          <w:lang w:val="en-GB"/>
        </w:rPr>
        <w:t>Singapore Chinese Health Study (SCHS)</w:t>
      </w:r>
      <w:r w:rsidR="00A9061C" w:rsidRPr="00053655">
        <w:rPr>
          <w:rFonts w:asciiTheme="minorHAnsi" w:hAnsiTheme="minorHAnsi" w:cstheme="minorHAnsi"/>
          <w:sz w:val="24"/>
          <w:szCs w:val="24"/>
          <w:shd w:val="clear" w:color="auto" w:fill="FFFFFF"/>
          <w:lang w:val="en-GB"/>
        </w:rPr>
        <w:t xml:space="preserve">.  Details of the </w:t>
      </w:r>
      <w:r w:rsidR="00DA3998" w:rsidRPr="00053655">
        <w:rPr>
          <w:rFonts w:asciiTheme="minorHAnsi" w:hAnsiTheme="minorHAnsi" w:cstheme="minorHAnsi"/>
          <w:sz w:val="24"/>
          <w:szCs w:val="24"/>
          <w:shd w:val="clear" w:color="auto" w:fill="FFFFFF"/>
          <w:lang w:val="en-GB"/>
        </w:rPr>
        <w:t>study cohort</w:t>
      </w:r>
      <w:r w:rsidR="00B633CE" w:rsidRPr="00F37B16">
        <w:rPr>
          <w:sz w:val="24"/>
          <w:szCs w:val="24"/>
          <w:lang w:val="en-GB"/>
        </w:rPr>
        <w:t xml:space="preserve"> </w:t>
      </w:r>
      <w:r w:rsidR="00B633CE" w:rsidRPr="00053655">
        <w:rPr>
          <w:rFonts w:asciiTheme="minorHAnsi" w:hAnsiTheme="minorHAnsi" w:cstheme="minorHAnsi"/>
          <w:sz w:val="24"/>
          <w:szCs w:val="24"/>
          <w:shd w:val="clear" w:color="auto" w:fill="FFFFFF"/>
          <w:lang w:val="en-GB"/>
        </w:rPr>
        <w:t xml:space="preserve">have been previously </w:t>
      </w:r>
      <w:r w:rsidR="00B633CE" w:rsidRPr="009533B2">
        <w:rPr>
          <w:rFonts w:asciiTheme="minorHAnsi" w:hAnsiTheme="minorHAnsi" w:cstheme="minorHAnsi"/>
          <w:sz w:val="24"/>
          <w:szCs w:val="24"/>
          <w:shd w:val="clear" w:color="auto" w:fill="FFFFFF"/>
          <w:lang w:val="en-GB"/>
        </w:rPr>
        <w:t xml:space="preserve">described </w:t>
      </w:r>
      <w:r w:rsidR="00F5425C" w:rsidRPr="009533B2">
        <w:rPr>
          <w:rFonts w:asciiTheme="minorHAnsi" w:hAnsiTheme="minorHAnsi" w:cstheme="minorHAnsi"/>
          <w:sz w:val="24"/>
          <w:szCs w:val="24"/>
          <w:shd w:val="clear" w:color="auto" w:fill="FFFFFF"/>
          <w:lang w:val="en-GB"/>
        </w:rPr>
        <w:t>[</w:t>
      </w:r>
      <w:r w:rsidR="002124D7">
        <w:rPr>
          <w:rFonts w:asciiTheme="minorHAnsi" w:hAnsiTheme="minorHAnsi" w:cstheme="minorHAnsi"/>
          <w:sz w:val="24"/>
          <w:szCs w:val="24"/>
          <w:shd w:val="clear" w:color="auto" w:fill="FFFFFF"/>
          <w:lang w:val="en-GB"/>
        </w:rPr>
        <w:t>10</w:t>
      </w:r>
      <w:r w:rsidR="00F5425C" w:rsidRPr="009533B2">
        <w:rPr>
          <w:rFonts w:asciiTheme="minorHAnsi" w:hAnsiTheme="minorHAnsi" w:cstheme="minorHAnsi"/>
          <w:sz w:val="24"/>
          <w:szCs w:val="24"/>
          <w:shd w:val="clear" w:color="auto" w:fill="FFFFFF"/>
          <w:lang w:val="en-GB"/>
        </w:rPr>
        <w:t xml:space="preserve">, </w:t>
      </w:r>
      <w:r w:rsidR="009533B2" w:rsidRPr="009533B2">
        <w:rPr>
          <w:rFonts w:asciiTheme="minorHAnsi" w:hAnsiTheme="minorHAnsi" w:cstheme="minorHAnsi"/>
          <w:sz w:val="24"/>
          <w:szCs w:val="24"/>
          <w:shd w:val="clear" w:color="auto" w:fill="FFFFFF"/>
          <w:lang w:val="en-GB"/>
        </w:rPr>
        <w:t>1</w:t>
      </w:r>
      <w:r w:rsidR="002124D7">
        <w:rPr>
          <w:rFonts w:asciiTheme="minorHAnsi" w:hAnsiTheme="minorHAnsi" w:cstheme="minorHAnsi"/>
          <w:sz w:val="24"/>
          <w:szCs w:val="24"/>
          <w:shd w:val="clear" w:color="auto" w:fill="FFFFFF"/>
          <w:lang w:val="en-GB"/>
        </w:rPr>
        <w:t>1</w:t>
      </w:r>
      <w:r w:rsidR="00961AB6" w:rsidRPr="009533B2">
        <w:rPr>
          <w:rFonts w:asciiTheme="minorHAnsi" w:hAnsiTheme="minorHAnsi" w:cstheme="minorHAnsi"/>
          <w:sz w:val="24"/>
          <w:szCs w:val="24"/>
          <w:shd w:val="clear" w:color="auto" w:fill="FFFFFF"/>
          <w:lang w:val="en-GB"/>
        </w:rPr>
        <w:t>].</w:t>
      </w:r>
      <w:r w:rsidR="00560E61" w:rsidRPr="009533B2">
        <w:rPr>
          <w:sz w:val="24"/>
          <w:szCs w:val="24"/>
          <w:lang w:val="en-GB"/>
        </w:rPr>
        <w:t xml:space="preserve"> </w:t>
      </w:r>
      <w:r w:rsidR="00663FC5">
        <w:rPr>
          <w:sz w:val="24"/>
          <w:szCs w:val="24"/>
          <w:lang w:val="en-GB"/>
        </w:rPr>
        <w:t xml:space="preserve"> </w:t>
      </w:r>
      <w:r w:rsidR="00560E61" w:rsidRPr="009533B2">
        <w:rPr>
          <w:sz w:val="24"/>
          <w:szCs w:val="24"/>
          <w:lang w:val="en-GB"/>
        </w:rPr>
        <w:t xml:space="preserve">In </w:t>
      </w:r>
      <w:r w:rsidR="00560E61" w:rsidRPr="009533B2">
        <w:rPr>
          <w:rFonts w:asciiTheme="minorHAnsi" w:hAnsiTheme="minorHAnsi" w:cstheme="minorHAnsi"/>
          <w:sz w:val="24"/>
          <w:szCs w:val="24"/>
          <w:shd w:val="clear" w:color="auto" w:fill="FFFFFF"/>
          <w:lang w:val="en-GB"/>
        </w:rPr>
        <w:t xml:space="preserve">brief, </w:t>
      </w:r>
      <w:r w:rsidR="00C64330" w:rsidRPr="009533B2">
        <w:rPr>
          <w:rFonts w:asciiTheme="minorHAnsi" w:hAnsiTheme="minorHAnsi" w:cstheme="minorHAnsi"/>
          <w:sz w:val="24"/>
          <w:szCs w:val="24"/>
          <w:shd w:val="clear" w:color="auto" w:fill="FFFFFF"/>
          <w:lang w:val="en-GB"/>
        </w:rPr>
        <w:t>the cohort was recruited between</w:t>
      </w:r>
      <w:r w:rsidR="00C64330" w:rsidRPr="00C64330">
        <w:rPr>
          <w:rFonts w:asciiTheme="minorHAnsi" w:hAnsiTheme="minorHAnsi" w:cstheme="minorHAnsi"/>
          <w:sz w:val="24"/>
          <w:szCs w:val="24"/>
          <w:shd w:val="clear" w:color="auto" w:fill="FFFFFF"/>
          <w:lang w:val="en-GB"/>
        </w:rPr>
        <w:t xml:space="preserve"> 1993 and 1998, drawn from permanent residents or citizens of Singapore who lived in government-built housing (86 percent of the Singapore population reside</w:t>
      </w:r>
      <w:r w:rsidR="00E860FE">
        <w:rPr>
          <w:rFonts w:asciiTheme="minorHAnsi" w:hAnsiTheme="minorHAnsi" w:cstheme="minorHAnsi"/>
          <w:sz w:val="24"/>
          <w:szCs w:val="24"/>
          <w:shd w:val="clear" w:color="auto" w:fill="FFFFFF"/>
          <w:lang w:val="en-GB"/>
        </w:rPr>
        <w:t>d</w:t>
      </w:r>
      <w:r w:rsidR="00C64330" w:rsidRPr="00C64330">
        <w:rPr>
          <w:rFonts w:asciiTheme="minorHAnsi" w:hAnsiTheme="minorHAnsi" w:cstheme="minorHAnsi"/>
          <w:sz w:val="24"/>
          <w:szCs w:val="24"/>
          <w:shd w:val="clear" w:color="auto" w:fill="FFFFFF"/>
          <w:lang w:val="en-GB"/>
        </w:rPr>
        <w:t xml:space="preserve"> in such facilities</w:t>
      </w:r>
      <w:r w:rsidR="00651BF0">
        <w:rPr>
          <w:rFonts w:asciiTheme="minorHAnsi" w:hAnsiTheme="minorHAnsi" w:cstheme="minorHAnsi"/>
          <w:sz w:val="24"/>
          <w:szCs w:val="24"/>
          <w:shd w:val="clear" w:color="auto" w:fill="FFFFFF"/>
          <w:lang w:val="en-GB"/>
        </w:rPr>
        <w:t xml:space="preserve"> at the time of recruitment</w:t>
      </w:r>
      <w:r w:rsidR="001C035E">
        <w:rPr>
          <w:rFonts w:asciiTheme="minorHAnsi" w:hAnsiTheme="minorHAnsi" w:cstheme="minorHAnsi"/>
          <w:sz w:val="24"/>
          <w:szCs w:val="24"/>
          <w:shd w:val="clear" w:color="auto" w:fill="FFFFFF"/>
          <w:lang w:val="en-GB"/>
        </w:rPr>
        <w:t>, a proportion that has remained stable over time</w:t>
      </w:r>
      <w:r w:rsidR="00C64330" w:rsidRPr="00C64330">
        <w:rPr>
          <w:rFonts w:asciiTheme="minorHAnsi" w:hAnsiTheme="minorHAnsi" w:cstheme="minorHAnsi"/>
          <w:sz w:val="24"/>
          <w:szCs w:val="24"/>
          <w:shd w:val="clear" w:color="auto" w:fill="FFFFFF"/>
          <w:lang w:val="en-GB"/>
        </w:rPr>
        <w:t xml:space="preserve">). </w:t>
      </w:r>
      <w:r w:rsidR="00CE67AC">
        <w:rPr>
          <w:rFonts w:asciiTheme="minorHAnsi" w:hAnsiTheme="minorHAnsi" w:cstheme="minorHAnsi"/>
          <w:sz w:val="24"/>
          <w:szCs w:val="24"/>
          <w:shd w:val="clear" w:color="auto" w:fill="FFFFFF"/>
          <w:lang w:val="en-GB"/>
        </w:rPr>
        <w:t xml:space="preserve"> </w:t>
      </w:r>
      <w:r w:rsidR="00CE67AC" w:rsidRPr="00C64330">
        <w:rPr>
          <w:rFonts w:asciiTheme="minorHAnsi" w:hAnsiTheme="minorHAnsi" w:cstheme="minorHAnsi"/>
          <w:sz w:val="24"/>
          <w:szCs w:val="24"/>
          <w:shd w:val="clear" w:color="auto" w:fill="FFFFFF"/>
          <w:lang w:val="en-GB"/>
        </w:rPr>
        <w:t>Men and women of Chinese ethnicity</w:t>
      </w:r>
      <w:r w:rsidR="00C64330" w:rsidRPr="00C64330">
        <w:rPr>
          <w:rFonts w:asciiTheme="minorHAnsi" w:hAnsiTheme="minorHAnsi" w:cstheme="minorHAnsi"/>
          <w:sz w:val="24"/>
          <w:szCs w:val="24"/>
          <w:shd w:val="clear" w:color="auto" w:fill="FFFFFF"/>
          <w:lang w:val="en-GB"/>
        </w:rPr>
        <w:t xml:space="preserve"> age 45–74 </w:t>
      </w:r>
      <w:r w:rsidR="001B10C6" w:rsidRPr="00C64330">
        <w:rPr>
          <w:rFonts w:asciiTheme="minorHAnsi" w:hAnsiTheme="minorHAnsi" w:cstheme="minorHAnsi"/>
          <w:sz w:val="24"/>
          <w:szCs w:val="24"/>
          <w:shd w:val="clear" w:color="auto" w:fill="FFFFFF"/>
          <w:lang w:val="en-GB"/>
        </w:rPr>
        <w:t>years</w:t>
      </w:r>
      <w:r w:rsidR="001B10C6">
        <w:rPr>
          <w:rFonts w:asciiTheme="minorHAnsi" w:hAnsiTheme="minorHAnsi" w:cstheme="minorHAnsi"/>
          <w:sz w:val="24"/>
          <w:szCs w:val="24"/>
          <w:shd w:val="clear" w:color="auto" w:fill="FFFFFF"/>
          <w:lang w:val="en-GB"/>
        </w:rPr>
        <w:t xml:space="preserve"> </w:t>
      </w:r>
      <w:r w:rsidR="001B10C6" w:rsidRPr="00C64330">
        <w:rPr>
          <w:rFonts w:asciiTheme="minorHAnsi" w:hAnsiTheme="minorHAnsi" w:cstheme="minorHAnsi"/>
          <w:sz w:val="24"/>
          <w:szCs w:val="24"/>
          <w:shd w:val="clear" w:color="auto" w:fill="FFFFFF"/>
          <w:lang w:val="en-GB"/>
        </w:rPr>
        <w:t>were</w:t>
      </w:r>
      <w:r w:rsidR="00C64330" w:rsidRPr="00C64330">
        <w:rPr>
          <w:rFonts w:asciiTheme="minorHAnsi" w:hAnsiTheme="minorHAnsi" w:cstheme="minorHAnsi"/>
          <w:sz w:val="24"/>
          <w:szCs w:val="24"/>
          <w:shd w:val="clear" w:color="auto" w:fill="FFFFFF"/>
          <w:lang w:val="en-GB"/>
        </w:rPr>
        <w:t xml:space="preserve"> eligible</w:t>
      </w:r>
      <w:r w:rsidR="003709F0">
        <w:rPr>
          <w:rFonts w:asciiTheme="minorHAnsi" w:hAnsiTheme="minorHAnsi" w:cstheme="minorHAnsi"/>
          <w:sz w:val="24"/>
          <w:szCs w:val="24"/>
          <w:shd w:val="clear" w:color="auto" w:fill="FFFFFF"/>
          <w:lang w:val="en-GB"/>
        </w:rPr>
        <w:t xml:space="preserve"> for inclusion</w:t>
      </w:r>
      <w:r w:rsidR="00C64330" w:rsidRPr="00C64330">
        <w:rPr>
          <w:rFonts w:asciiTheme="minorHAnsi" w:hAnsiTheme="minorHAnsi" w:cstheme="minorHAnsi"/>
          <w:sz w:val="24"/>
          <w:szCs w:val="24"/>
          <w:shd w:val="clear" w:color="auto" w:fill="FFFFFF"/>
          <w:lang w:val="en-GB"/>
        </w:rPr>
        <w:t xml:space="preserve">. </w:t>
      </w:r>
      <w:r w:rsidR="00663FC5">
        <w:rPr>
          <w:rFonts w:asciiTheme="minorHAnsi" w:hAnsiTheme="minorHAnsi" w:cstheme="minorHAnsi"/>
          <w:sz w:val="24"/>
          <w:szCs w:val="24"/>
          <w:shd w:val="clear" w:color="auto" w:fill="FFFFFF"/>
          <w:lang w:val="en-GB"/>
        </w:rPr>
        <w:t xml:space="preserve"> </w:t>
      </w:r>
      <w:r w:rsidR="00C64330" w:rsidRPr="00C64330">
        <w:rPr>
          <w:rFonts w:asciiTheme="minorHAnsi" w:hAnsiTheme="minorHAnsi" w:cstheme="minorHAnsi"/>
          <w:sz w:val="24"/>
          <w:szCs w:val="24"/>
          <w:shd w:val="clear" w:color="auto" w:fill="FFFFFF"/>
          <w:lang w:val="en-GB"/>
        </w:rPr>
        <w:t>A total of 63,257 persons (</w:t>
      </w:r>
      <w:r w:rsidR="00C64330" w:rsidRPr="00C64330">
        <w:rPr>
          <w:rFonts w:ascii="Cambria Math" w:hAnsi="Cambria Math" w:cs="Cambria Math"/>
          <w:sz w:val="24"/>
          <w:szCs w:val="24"/>
          <w:shd w:val="clear" w:color="auto" w:fill="FFFFFF"/>
          <w:lang w:val="en-GB"/>
        </w:rPr>
        <w:t>∼</w:t>
      </w:r>
      <w:r w:rsidR="00C64330" w:rsidRPr="00C64330">
        <w:rPr>
          <w:rFonts w:asciiTheme="minorHAnsi" w:hAnsiTheme="minorHAnsi" w:cstheme="minorHAnsi"/>
          <w:sz w:val="24"/>
          <w:szCs w:val="24"/>
          <w:shd w:val="clear" w:color="auto" w:fill="FFFFFF"/>
          <w:lang w:val="en-GB"/>
        </w:rPr>
        <w:t xml:space="preserve">85 percent of eligible </w:t>
      </w:r>
      <w:r w:rsidR="007D3A7E">
        <w:rPr>
          <w:rFonts w:asciiTheme="minorHAnsi" w:hAnsiTheme="minorHAnsi" w:cstheme="minorHAnsi"/>
          <w:sz w:val="24"/>
          <w:szCs w:val="24"/>
          <w:shd w:val="clear" w:color="auto" w:fill="FFFFFF"/>
          <w:lang w:val="en-GB"/>
        </w:rPr>
        <w:t xml:space="preserve">and invited </w:t>
      </w:r>
      <w:r w:rsidR="00C64330" w:rsidRPr="00C64330">
        <w:rPr>
          <w:rFonts w:asciiTheme="minorHAnsi" w:hAnsiTheme="minorHAnsi" w:cstheme="minorHAnsi"/>
          <w:sz w:val="24"/>
          <w:szCs w:val="24"/>
          <w:shd w:val="clear" w:color="auto" w:fill="FFFFFF"/>
          <w:lang w:val="en-GB"/>
        </w:rPr>
        <w:t xml:space="preserve">subjects) </w:t>
      </w:r>
      <w:r w:rsidR="00B82FB6">
        <w:rPr>
          <w:rFonts w:asciiTheme="minorHAnsi" w:hAnsiTheme="minorHAnsi" w:cstheme="minorHAnsi"/>
          <w:sz w:val="24"/>
          <w:szCs w:val="24"/>
          <w:shd w:val="clear" w:color="auto" w:fill="FFFFFF"/>
          <w:lang w:val="en-GB"/>
        </w:rPr>
        <w:t>was</w:t>
      </w:r>
      <w:r w:rsidR="00C64330" w:rsidRPr="00C64330">
        <w:rPr>
          <w:rFonts w:asciiTheme="minorHAnsi" w:hAnsiTheme="minorHAnsi" w:cstheme="minorHAnsi"/>
          <w:sz w:val="24"/>
          <w:szCs w:val="24"/>
          <w:shd w:val="clear" w:color="auto" w:fill="FFFFFF"/>
          <w:lang w:val="en-GB"/>
        </w:rPr>
        <w:t xml:space="preserve"> enrolled. </w:t>
      </w:r>
      <w:r w:rsidR="00633E99" w:rsidRPr="00053655">
        <w:rPr>
          <w:color w:val="FF0000"/>
          <w:sz w:val="24"/>
          <w:szCs w:val="24"/>
          <w:shd w:val="clear" w:color="auto" w:fill="FFFFFF"/>
          <w:lang w:val="en-GB"/>
        </w:rPr>
        <w:t xml:space="preserve"> </w:t>
      </w:r>
      <w:r w:rsidR="005E777A" w:rsidRPr="00053655">
        <w:rPr>
          <w:sz w:val="24"/>
          <w:szCs w:val="24"/>
          <w:shd w:val="clear" w:color="auto" w:fill="FFFFFF"/>
          <w:lang w:val="en-GB"/>
        </w:rPr>
        <w:t xml:space="preserve">The present analysis was </w:t>
      </w:r>
      <w:r w:rsidR="00D47405" w:rsidRPr="00053655">
        <w:rPr>
          <w:sz w:val="24"/>
          <w:szCs w:val="24"/>
          <w:shd w:val="clear" w:color="auto" w:fill="FFFFFF"/>
          <w:lang w:val="en-GB"/>
        </w:rPr>
        <w:t>res</w:t>
      </w:r>
      <w:r w:rsidR="00D47405">
        <w:rPr>
          <w:sz w:val="24"/>
          <w:szCs w:val="24"/>
          <w:shd w:val="clear" w:color="auto" w:fill="FFFFFF"/>
          <w:lang w:val="en-GB"/>
        </w:rPr>
        <w:t>t</w:t>
      </w:r>
      <w:r w:rsidR="00D47405" w:rsidRPr="00053655">
        <w:rPr>
          <w:sz w:val="24"/>
          <w:szCs w:val="24"/>
          <w:shd w:val="clear" w:color="auto" w:fill="FFFFFF"/>
          <w:lang w:val="en-GB"/>
        </w:rPr>
        <w:t>ricted</w:t>
      </w:r>
      <w:r w:rsidR="00B82A29" w:rsidRPr="00053655">
        <w:rPr>
          <w:sz w:val="24"/>
          <w:szCs w:val="24"/>
          <w:shd w:val="clear" w:color="auto" w:fill="FFFFFF"/>
          <w:lang w:val="en-GB"/>
        </w:rPr>
        <w:t xml:space="preserve"> to women </w:t>
      </w:r>
      <w:r w:rsidR="00C85E80" w:rsidRPr="00053655">
        <w:rPr>
          <w:sz w:val="24"/>
          <w:szCs w:val="24"/>
          <w:shd w:val="clear" w:color="auto" w:fill="FFFFFF"/>
          <w:lang w:val="en-GB"/>
        </w:rPr>
        <w:t>age 50</w:t>
      </w:r>
      <w:r w:rsidR="00053655" w:rsidRPr="00053655">
        <w:rPr>
          <w:sz w:val="24"/>
          <w:szCs w:val="24"/>
          <w:shd w:val="clear" w:color="auto" w:fill="FFFFFF"/>
          <w:lang w:val="en-GB"/>
        </w:rPr>
        <w:t xml:space="preserve"> years or more</w:t>
      </w:r>
      <w:r w:rsidR="00C85E80" w:rsidRPr="00053655">
        <w:rPr>
          <w:sz w:val="24"/>
          <w:szCs w:val="24"/>
          <w:shd w:val="clear" w:color="auto" w:fill="FFFFFF"/>
          <w:lang w:val="en-GB"/>
        </w:rPr>
        <w:t xml:space="preserve"> </w:t>
      </w:r>
      <w:r w:rsidR="00683B3B" w:rsidRPr="00683B3B">
        <w:rPr>
          <w:sz w:val="24"/>
          <w:szCs w:val="24"/>
          <w:shd w:val="clear" w:color="auto" w:fill="FFFFFF"/>
          <w:lang w:val="en-GB"/>
        </w:rPr>
        <w:t xml:space="preserve">at recruitment </w:t>
      </w:r>
      <w:r w:rsidR="00C85E80" w:rsidRPr="00053655">
        <w:rPr>
          <w:sz w:val="24"/>
          <w:szCs w:val="24"/>
          <w:shd w:val="clear" w:color="auto" w:fill="FFFFFF"/>
          <w:lang w:val="en-GB"/>
        </w:rPr>
        <w:t>(n=</w:t>
      </w:r>
      <w:r w:rsidR="00FA4944" w:rsidRPr="00053655">
        <w:rPr>
          <w:sz w:val="24"/>
          <w:szCs w:val="24"/>
          <w:shd w:val="clear" w:color="auto" w:fill="FFFFFF"/>
          <w:lang w:val="en-GB"/>
        </w:rPr>
        <w:t>29</w:t>
      </w:r>
      <w:r w:rsidR="00B82A29" w:rsidRPr="00053655">
        <w:rPr>
          <w:sz w:val="24"/>
          <w:szCs w:val="24"/>
          <w:shd w:val="clear" w:color="auto" w:fill="FFFFFF"/>
          <w:lang w:val="en-GB"/>
        </w:rPr>
        <w:t>,</w:t>
      </w:r>
      <w:r w:rsidR="00FA4944" w:rsidRPr="00053655">
        <w:rPr>
          <w:sz w:val="24"/>
          <w:szCs w:val="24"/>
          <w:shd w:val="clear" w:color="auto" w:fill="FFFFFF"/>
          <w:lang w:val="en-GB"/>
        </w:rPr>
        <w:t>323</w:t>
      </w:r>
      <w:r w:rsidR="00B82A29" w:rsidRPr="00053655">
        <w:rPr>
          <w:sz w:val="24"/>
          <w:szCs w:val="24"/>
          <w:shd w:val="clear" w:color="auto" w:fill="FFFFFF"/>
          <w:lang w:val="en-GB"/>
        </w:rPr>
        <w:t xml:space="preserve">). </w:t>
      </w:r>
      <w:r w:rsidR="007D4B7F" w:rsidRPr="007D4B7F">
        <w:rPr>
          <w:sz w:val="24"/>
          <w:szCs w:val="24"/>
          <w:shd w:val="clear" w:color="auto" w:fill="FFFFFF"/>
          <w:lang w:val="en-GB"/>
        </w:rPr>
        <w:lastRenderedPageBreak/>
        <w:t>Women were followed for an average of 9.1 years with a maximum of 11.5 years and incident hip fractures were recorded.</w:t>
      </w:r>
    </w:p>
    <w:p w14:paraId="3A878FB6" w14:textId="1142BBE2" w:rsidR="009C375A" w:rsidRDefault="009C375A" w:rsidP="00827EF0">
      <w:pPr>
        <w:spacing w:after="160"/>
        <w:ind w:left="1134"/>
        <w:rPr>
          <w:sz w:val="24"/>
          <w:szCs w:val="24"/>
          <w:lang w:val="en-GB"/>
        </w:rPr>
      </w:pPr>
    </w:p>
    <w:p w14:paraId="43586CA3" w14:textId="0DAF5988" w:rsidR="002E019C" w:rsidRPr="009C375A" w:rsidRDefault="00790FA3" w:rsidP="00827EF0">
      <w:pPr>
        <w:spacing w:after="160"/>
        <w:ind w:left="1134"/>
        <w:rPr>
          <w:sz w:val="24"/>
          <w:szCs w:val="24"/>
          <w:lang w:val="en-GB"/>
        </w:rPr>
      </w:pPr>
      <w:r w:rsidRPr="00615128">
        <w:rPr>
          <w:rFonts w:asciiTheme="minorHAnsi" w:hAnsiTheme="minorHAnsi" w:cstheme="minorHAnsi"/>
          <w:sz w:val="24"/>
          <w:szCs w:val="24"/>
          <w:shd w:val="clear" w:color="auto" w:fill="FFFFFF"/>
          <w:lang w:val="en-GB"/>
        </w:rPr>
        <w:t xml:space="preserve">Age and data on </w:t>
      </w:r>
      <w:r>
        <w:rPr>
          <w:rFonts w:asciiTheme="minorHAnsi" w:hAnsiTheme="minorHAnsi" w:cstheme="minorHAnsi"/>
          <w:sz w:val="24"/>
          <w:szCs w:val="24"/>
          <w:shd w:val="clear" w:color="auto" w:fill="FFFFFF"/>
          <w:lang w:val="en-GB"/>
        </w:rPr>
        <w:t xml:space="preserve">body mass index was available in all women.   </w:t>
      </w:r>
      <w:proofErr w:type="gramStart"/>
      <w:r>
        <w:rPr>
          <w:rFonts w:asciiTheme="minorHAnsi" w:hAnsiTheme="minorHAnsi" w:cstheme="minorHAnsi"/>
          <w:sz w:val="24"/>
          <w:szCs w:val="24"/>
          <w:shd w:val="clear" w:color="auto" w:fill="FFFFFF"/>
          <w:lang w:val="en-GB"/>
        </w:rPr>
        <w:t>W</w:t>
      </w:r>
      <w:r w:rsidRPr="00D47405">
        <w:rPr>
          <w:rFonts w:asciiTheme="minorHAnsi" w:hAnsiTheme="minorHAnsi" w:cstheme="minorHAnsi"/>
          <w:sz w:val="24"/>
          <w:szCs w:val="24"/>
          <w:shd w:val="clear" w:color="auto" w:fill="FFFFFF"/>
          <w:lang w:val="en-GB"/>
        </w:rPr>
        <w:t>ith regard to</w:t>
      </w:r>
      <w:proofErr w:type="gramEnd"/>
      <w:r w:rsidRPr="00D47405">
        <w:rPr>
          <w:rFonts w:asciiTheme="minorHAnsi" w:hAnsiTheme="minorHAnsi" w:cstheme="minorHAnsi"/>
          <w:sz w:val="24"/>
          <w:szCs w:val="24"/>
          <w:shd w:val="clear" w:color="auto" w:fill="FFFFFF"/>
          <w:lang w:val="en-GB"/>
        </w:rPr>
        <w:t xml:space="preserve"> the dichotomous FRAX variable</w:t>
      </w:r>
      <w:r>
        <w:rPr>
          <w:rFonts w:asciiTheme="minorHAnsi" w:hAnsiTheme="minorHAnsi" w:cstheme="minorHAnsi"/>
          <w:sz w:val="24"/>
          <w:szCs w:val="24"/>
          <w:shd w:val="clear" w:color="auto" w:fill="FFFFFF"/>
          <w:lang w:val="en-GB"/>
        </w:rPr>
        <w:t xml:space="preserve">s, information was available for prior </w:t>
      </w:r>
      <w:r w:rsidR="00854DC7">
        <w:rPr>
          <w:rFonts w:asciiTheme="minorHAnsi" w:hAnsiTheme="minorHAnsi" w:cstheme="minorHAnsi"/>
          <w:sz w:val="24"/>
          <w:szCs w:val="24"/>
          <w:shd w:val="clear" w:color="auto" w:fill="FFFFFF"/>
          <w:lang w:val="en-GB"/>
        </w:rPr>
        <w:t>fragility</w:t>
      </w:r>
      <w:r w:rsidR="006815B7">
        <w:rPr>
          <w:rFonts w:asciiTheme="minorHAnsi" w:hAnsiTheme="minorHAnsi" w:cstheme="minorHAnsi"/>
          <w:sz w:val="24"/>
          <w:szCs w:val="24"/>
          <w:shd w:val="clear" w:color="auto" w:fill="FFFFFF"/>
          <w:lang w:val="en-GB"/>
        </w:rPr>
        <w:t xml:space="preserve"> </w:t>
      </w:r>
      <w:r>
        <w:rPr>
          <w:rFonts w:asciiTheme="minorHAnsi" w:hAnsiTheme="minorHAnsi" w:cstheme="minorHAnsi"/>
          <w:sz w:val="24"/>
          <w:szCs w:val="24"/>
          <w:shd w:val="clear" w:color="auto" w:fill="FFFFFF"/>
          <w:lang w:val="en-GB"/>
        </w:rPr>
        <w:t>fracture (</w:t>
      </w:r>
      <w:r w:rsidRPr="00096FB2">
        <w:rPr>
          <w:rFonts w:asciiTheme="minorHAnsi" w:hAnsiTheme="minorHAnsi" w:cstheme="minorHAnsi"/>
          <w:sz w:val="24"/>
          <w:szCs w:val="24"/>
          <w:shd w:val="clear" w:color="auto" w:fill="FFFFFF"/>
          <w:lang w:val="en-GB"/>
        </w:rPr>
        <w:t>hip or other bone fracture</w:t>
      </w:r>
      <w:r>
        <w:rPr>
          <w:rFonts w:asciiTheme="minorHAnsi" w:hAnsiTheme="minorHAnsi" w:cstheme="minorHAnsi"/>
          <w:sz w:val="24"/>
          <w:szCs w:val="24"/>
          <w:shd w:val="clear" w:color="auto" w:fill="FFFFFF"/>
          <w:lang w:val="en-GB"/>
        </w:rPr>
        <w:t>),</w:t>
      </w:r>
      <w:r w:rsidRPr="00F05A4B">
        <w:rPr>
          <w:rFonts w:asciiTheme="minorHAnsi" w:hAnsiTheme="minorHAnsi" w:cstheme="minorHAnsi"/>
          <w:sz w:val="24"/>
          <w:szCs w:val="24"/>
          <w:shd w:val="clear" w:color="auto" w:fill="FFFFFF"/>
          <w:lang w:val="en-GB"/>
        </w:rPr>
        <w:t xml:space="preserve"> </w:t>
      </w:r>
      <w:r>
        <w:rPr>
          <w:rFonts w:asciiTheme="minorHAnsi" w:hAnsiTheme="minorHAnsi" w:cstheme="minorHAnsi"/>
          <w:sz w:val="24"/>
          <w:szCs w:val="24"/>
          <w:shd w:val="clear" w:color="auto" w:fill="FFFFFF"/>
          <w:lang w:val="en-GB"/>
        </w:rPr>
        <w:t>c</w:t>
      </w:r>
      <w:r w:rsidRPr="00F05A4B">
        <w:rPr>
          <w:rFonts w:asciiTheme="minorHAnsi" w:hAnsiTheme="minorHAnsi" w:cstheme="minorHAnsi"/>
          <w:sz w:val="24"/>
          <w:szCs w:val="24"/>
          <w:shd w:val="clear" w:color="auto" w:fill="FFFFFF"/>
          <w:lang w:val="en-GB"/>
        </w:rPr>
        <w:t>urrent smoking</w:t>
      </w:r>
      <w:r>
        <w:rPr>
          <w:rFonts w:asciiTheme="minorHAnsi" w:hAnsiTheme="minorHAnsi" w:cstheme="minorHAnsi"/>
          <w:sz w:val="24"/>
          <w:szCs w:val="24"/>
          <w:shd w:val="clear" w:color="auto" w:fill="FFFFFF"/>
          <w:lang w:val="en-GB"/>
        </w:rPr>
        <w:t>,</w:t>
      </w:r>
      <w:r w:rsidRPr="00F05A4B">
        <w:rPr>
          <w:rFonts w:asciiTheme="minorHAnsi" w:hAnsiTheme="minorHAnsi" w:cstheme="minorHAnsi"/>
          <w:sz w:val="24"/>
          <w:szCs w:val="24"/>
          <w:shd w:val="clear" w:color="auto" w:fill="FFFFFF"/>
          <w:lang w:val="en-GB"/>
        </w:rPr>
        <w:t xml:space="preserve"> </w:t>
      </w:r>
      <w:r>
        <w:rPr>
          <w:rFonts w:asciiTheme="minorHAnsi" w:hAnsiTheme="minorHAnsi" w:cstheme="minorHAnsi"/>
          <w:sz w:val="24"/>
          <w:szCs w:val="24"/>
          <w:shd w:val="clear" w:color="auto" w:fill="FFFFFF"/>
          <w:lang w:val="en-GB"/>
        </w:rPr>
        <w:t>s</w:t>
      </w:r>
      <w:r w:rsidRPr="00F05A4B">
        <w:rPr>
          <w:rFonts w:asciiTheme="minorHAnsi" w:hAnsiTheme="minorHAnsi" w:cstheme="minorHAnsi"/>
          <w:sz w:val="24"/>
          <w:szCs w:val="24"/>
          <w:shd w:val="clear" w:color="auto" w:fill="FFFFFF"/>
          <w:lang w:val="en-GB"/>
        </w:rPr>
        <w:t>econdary osteoporosis</w:t>
      </w:r>
      <w:r>
        <w:rPr>
          <w:rFonts w:asciiTheme="minorHAnsi" w:hAnsiTheme="minorHAnsi" w:cstheme="minorHAnsi"/>
          <w:sz w:val="24"/>
          <w:szCs w:val="24"/>
          <w:shd w:val="clear" w:color="auto" w:fill="FFFFFF"/>
          <w:lang w:val="en-GB"/>
        </w:rPr>
        <w:t xml:space="preserve"> (</w:t>
      </w:r>
      <w:r w:rsidRPr="005E1F64">
        <w:rPr>
          <w:rFonts w:asciiTheme="minorHAnsi" w:hAnsiTheme="minorHAnsi" w:cstheme="minorHAnsi"/>
          <w:sz w:val="24"/>
          <w:szCs w:val="24"/>
          <w:shd w:val="clear" w:color="auto" w:fill="FFFFFF"/>
          <w:lang w:val="en-GB"/>
        </w:rPr>
        <w:t>prevalent type II diabetes</w:t>
      </w:r>
      <w:r w:rsidR="00E24FA2">
        <w:rPr>
          <w:rFonts w:asciiTheme="minorHAnsi" w:hAnsiTheme="minorHAnsi" w:cstheme="minorHAnsi"/>
          <w:sz w:val="24"/>
          <w:szCs w:val="24"/>
          <w:shd w:val="clear" w:color="auto" w:fill="FFFFFF"/>
          <w:lang w:val="en-GB"/>
        </w:rPr>
        <w:t xml:space="preserve"> only</w:t>
      </w:r>
      <w:r>
        <w:rPr>
          <w:rFonts w:asciiTheme="minorHAnsi" w:hAnsiTheme="minorHAnsi" w:cstheme="minorHAnsi"/>
          <w:sz w:val="24"/>
          <w:szCs w:val="24"/>
          <w:shd w:val="clear" w:color="auto" w:fill="FFFFFF"/>
          <w:lang w:val="en-GB"/>
        </w:rPr>
        <w:t>) and high alcohol intake (</w:t>
      </w:r>
      <w:r w:rsidRPr="00F05A4B">
        <w:rPr>
          <w:rFonts w:asciiTheme="minorHAnsi" w:hAnsiTheme="minorHAnsi" w:cstheme="minorHAnsi"/>
          <w:sz w:val="24"/>
          <w:szCs w:val="24"/>
          <w:shd w:val="clear" w:color="auto" w:fill="FFFFFF"/>
          <w:lang w:val="en-GB"/>
        </w:rPr>
        <w:t>3 or more units per day</w:t>
      </w:r>
      <w:r>
        <w:rPr>
          <w:rFonts w:asciiTheme="minorHAnsi" w:hAnsiTheme="minorHAnsi" w:cstheme="minorHAnsi"/>
          <w:sz w:val="24"/>
          <w:szCs w:val="24"/>
          <w:shd w:val="clear" w:color="auto" w:fill="FFFFFF"/>
          <w:lang w:val="en-GB"/>
        </w:rPr>
        <w:t xml:space="preserve">). </w:t>
      </w:r>
      <w:r w:rsidR="00601F4D">
        <w:rPr>
          <w:rFonts w:asciiTheme="minorHAnsi" w:hAnsiTheme="minorHAnsi" w:cstheme="minorHAnsi"/>
          <w:sz w:val="24"/>
          <w:szCs w:val="24"/>
          <w:shd w:val="clear" w:color="auto" w:fill="FFFFFF"/>
          <w:lang w:val="en-GB"/>
        </w:rPr>
        <w:t xml:space="preserve"> </w:t>
      </w:r>
      <w:r w:rsidR="002E019C" w:rsidRPr="002E019C">
        <w:rPr>
          <w:sz w:val="24"/>
          <w:szCs w:val="24"/>
          <w:lang w:val="en-GB"/>
        </w:rPr>
        <w:t xml:space="preserve">BMD values </w:t>
      </w:r>
      <w:r w:rsidR="008B56F6">
        <w:rPr>
          <w:sz w:val="24"/>
          <w:szCs w:val="24"/>
          <w:lang w:val="en-GB"/>
        </w:rPr>
        <w:t>we</w:t>
      </w:r>
      <w:r w:rsidR="002E019C" w:rsidRPr="002E019C">
        <w:rPr>
          <w:sz w:val="24"/>
          <w:szCs w:val="24"/>
          <w:lang w:val="en-GB"/>
        </w:rPr>
        <w:t>re not available</w:t>
      </w:r>
      <w:r w:rsidR="00E24FA2">
        <w:rPr>
          <w:sz w:val="24"/>
          <w:szCs w:val="24"/>
          <w:lang w:val="en-GB"/>
        </w:rPr>
        <w:t>, n</w:t>
      </w:r>
      <w:r w:rsidR="008B56F6">
        <w:rPr>
          <w:sz w:val="24"/>
          <w:szCs w:val="24"/>
          <w:lang w:val="en-GB"/>
        </w:rPr>
        <w:t>or was</w:t>
      </w:r>
      <w:r w:rsidR="002E019C" w:rsidRPr="002E019C">
        <w:rPr>
          <w:sz w:val="24"/>
          <w:szCs w:val="24"/>
          <w:lang w:val="en-GB"/>
        </w:rPr>
        <w:t xml:space="preserve"> </w:t>
      </w:r>
      <w:r w:rsidR="008B56F6">
        <w:rPr>
          <w:sz w:val="24"/>
          <w:szCs w:val="24"/>
          <w:lang w:val="en-GB"/>
        </w:rPr>
        <w:t xml:space="preserve">a parental </w:t>
      </w:r>
      <w:r w:rsidR="002E019C" w:rsidRPr="002E019C">
        <w:rPr>
          <w:sz w:val="24"/>
          <w:szCs w:val="24"/>
          <w:lang w:val="en-GB"/>
        </w:rPr>
        <w:t>history of hip fracture</w:t>
      </w:r>
      <w:r w:rsidR="00BB7F73">
        <w:rPr>
          <w:sz w:val="24"/>
          <w:szCs w:val="24"/>
          <w:lang w:val="en-GB"/>
        </w:rPr>
        <w:t xml:space="preserve">, </w:t>
      </w:r>
      <w:r w:rsidR="00D419E7">
        <w:rPr>
          <w:sz w:val="24"/>
          <w:szCs w:val="24"/>
          <w:lang w:val="en-GB"/>
        </w:rPr>
        <w:t>exposure to</w:t>
      </w:r>
      <w:r w:rsidR="002E019C" w:rsidRPr="002E019C">
        <w:rPr>
          <w:sz w:val="24"/>
          <w:szCs w:val="24"/>
          <w:lang w:val="en-GB"/>
        </w:rPr>
        <w:t xml:space="preserve"> </w:t>
      </w:r>
      <w:r w:rsidR="00AC5E72">
        <w:rPr>
          <w:sz w:val="24"/>
          <w:szCs w:val="24"/>
          <w:lang w:val="en-GB"/>
        </w:rPr>
        <w:t>glucocorticoids</w:t>
      </w:r>
      <w:r w:rsidR="00F57014">
        <w:rPr>
          <w:sz w:val="24"/>
          <w:szCs w:val="24"/>
          <w:lang w:val="en-GB"/>
        </w:rPr>
        <w:t xml:space="preserve"> </w:t>
      </w:r>
      <w:r w:rsidR="002E019C" w:rsidRPr="002E019C">
        <w:rPr>
          <w:sz w:val="24"/>
          <w:szCs w:val="24"/>
          <w:lang w:val="en-GB"/>
        </w:rPr>
        <w:t>and information on rheumatoid arthritis.</w:t>
      </w:r>
      <w:r w:rsidR="00A43F4F">
        <w:rPr>
          <w:sz w:val="24"/>
          <w:szCs w:val="24"/>
          <w:lang w:val="en-GB"/>
        </w:rPr>
        <w:t xml:space="preserve">  For the purposes of this analysis these variables were simulated</w:t>
      </w:r>
      <w:r w:rsidR="004D21CA">
        <w:rPr>
          <w:sz w:val="24"/>
          <w:szCs w:val="24"/>
          <w:lang w:val="en-GB"/>
        </w:rPr>
        <w:t>.</w:t>
      </w:r>
    </w:p>
    <w:p w14:paraId="2F25BCBD" w14:textId="120FC874" w:rsidR="006630B4" w:rsidRPr="007545FA" w:rsidRDefault="00F2324D" w:rsidP="00827EF0">
      <w:pPr>
        <w:ind w:left="1134"/>
        <w:rPr>
          <w:rFonts w:asciiTheme="minorHAnsi" w:hAnsiTheme="minorHAnsi" w:cstheme="minorHAnsi"/>
          <w:i/>
          <w:iCs/>
          <w:sz w:val="24"/>
          <w:szCs w:val="24"/>
          <w:shd w:val="clear" w:color="auto" w:fill="FFFFFF"/>
          <w:lang w:val="en-GB"/>
        </w:rPr>
      </w:pPr>
      <w:r w:rsidRPr="007545FA">
        <w:rPr>
          <w:rFonts w:asciiTheme="minorHAnsi" w:hAnsiTheme="minorHAnsi" w:cstheme="minorHAnsi"/>
          <w:i/>
          <w:iCs/>
          <w:sz w:val="24"/>
          <w:szCs w:val="24"/>
          <w:shd w:val="clear" w:color="auto" w:fill="FFFFFF"/>
          <w:lang w:val="en-GB"/>
        </w:rPr>
        <w:t>Simulation</w:t>
      </w:r>
      <w:r w:rsidR="006630B4" w:rsidRPr="007545FA">
        <w:rPr>
          <w:rFonts w:asciiTheme="minorHAnsi" w:hAnsiTheme="minorHAnsi" w:cstheme="minorHAnsi"/>
          <w:i/>
          <w:iCs/>
          <w:sz w:val="24"/>
          <w:szCs w:val="24"/>
          <w:shd w:val="clear" w:color="auto" w:fill="FFFFFF"/>
          <w:lang w:val="en-GB"/>
        </w:rPr>
        <w:t xml:space="preserve"> of variables</w:t>
      </w:r>
    </w:p>
    <w:p w14:paraId="110C4376" w14:textId="335CE3FA" w:rsidR="004E68B9" w:rsidRPr="007545FA" w:rsidRDefault="00377C60" w:rsidP="00827EF0">
      <w:pPr>
        <w:ind w:left="1134"/>
        <w:rPr>
          <w:rFonts w:asciiTheme="minorHAnsi" w:hAnsiTheme="minorHAnsi" w:cstheme="minorHAnsi"/>
          <w:sz w:val="24"/>
          <w:szCs w:val="24"/>
          <w:shd w:val="clear" w:color="auto" w:fill="FFFFFF"/>
          <w:lang w:val="en-GB"/>
        </w:rPr>
      </w:pPr>
      <w:r>
        <w:rPr>
          <w:rFonts w:asciiTheme="minorHAnsi" w:hAnsiTheme="minorHAnsi" w:cstheme="minorHAnsi"/>
          <w:sz w:val="24"/>
          <w:szCs w:val="24"/>
          <w:shd w:val="clear" w:color="auto" w:fill="FFFFFF"/>
          <w:lang w:val="en-GB"/>
        </w:rPr>
        <w:t>D</w:t>
      </w:r>
      <w:r w:rsidRPr="00377C60">
        <w:rPr>
          <w:rFonts w:asciiTheme="minorHAnsi" w:hAnsiTheme="minorHAnsi" w:cstheme="minorHAnsi"/>
          <w:sz w:val="24"/>
          <w:szCs w:val="24"/>
          <w:shd w:val="clear" w:color="auto" w:fill="FFFFFF"/>
          <w:lang w:val="en-GB"/>
        </w:rPr>
        <w:t xml:space="preserve">ata from the </w:t>
      </w:r>
      <w:r w:rsidR="006C7C2C">
        <w:rPr>
          <w:rFonts w:asciiTheme="minorHAnsi" w:hAnsiTheme="minorHAnsi" w:cstheme="minorHAnsi"/>
          <w:sz w:val="24"/>
          <w:szCs w:val="24"/>
          <w:shd w:val="clear" w:color="auto" w:fill="FFFFFF"/>
          <w:lang w:val="en-GB"/>
        </w:rPr>
        <w:t xml:space="preserve">Mr and </w:t>
      </w:r>
      <w:r w:rsidRPr="00377C60">
        <w:rPr>
          <w:rFonts w:asciiTheme="minorHAnsi" w:hAnsiTheme="minorHAnsi" w:cstheme="minorHAnsi"/>
          <w:sz w:val="24"/>
          <w:szCs w:val="24"/>
          <w:shd w:val="clear" w:color="auto" w:fill="FFFFFF"/>
          <w:lang w:val="en-GB"/>
        </w:rPr>
        <w:t xml:space="preserve">Ms </w:t>
      </w:r>
      <w:proofErr w:type="spellStart"/>
      <w:r w:rsidRPr="00377C60">
        <w:rPr>
          <w:rFonts w:asciiTheme="minorHAnsi" w:hAnsiTheme="minorHAnsi" w:cstheme="minorHAnsi"/>
          <w:sz w:val="24"/>
          <w:szCs w:val="24"/>
          <w:shd w:val="clear" w:color="auto" w:fill="FFFFFF"/>
          <w:lang w:val="en-GB"/>
        </w:rPr>
        <w:t>Os</w:t>
      </w:r>
      <w:proofErr w:type="spellEnd"/>
      <w:r w:rsidRPr="00377C60">
        <w:rPr>
          <w:rFonts w:asciiTheme="minorHAnsi" w:hAnsiTheme="minorHAnsi" w:cstheme="minorHAnsi"/>
          <w:sz w:val="24"/>
          <w:szCs w:val="24"/>
          <w:shd w:val="clear" w:color="auto" w:fill="FFFFFF"/>
          <w:lang w:val="en-GB"/>
        </w:rPr>
        <w:t xml:space="preserve"> Hong </w:t>
      </w:r>
      <w:r w:rsidR="005F11F0" w:rsidRPr="00377C60">
        <w:rPr>
          <w:rFonts w:asciiTheme="minorHAnsi" w:hAnsiTheme="minorHAnsi" w:cstheme="minorHAnsi"/>
          <w:sz w:val="24"/>
          <w:szCs w:val="24"/>
          <w:shd w:val="clear" w:color="auto" w:fill="FFFFFF"/>
          <w:lang w:val="en-GB"/>
        </w:rPr>
        <w:t>Kong cohort</w:t>
      </w:r>
      <w:r w:rsidR="000166E0">
        <w:rPr>
          <w:rFonts w:asciiTheme="minorHAnsi" w:hAnsiTheme="minorHAnsi" w:cstheme="minorHAnsi"/>
          <w:sz w:val="24"/>
          <w:szCs w:val="24"/>
          <w:shd w:val="clear" w:color="auto" w:fill="FFFFFF"/>
          <w:lang w:val="en-GB"/>
        </w:rPr>
        <w:t>s</w:t>
      </w:r>
      <w:r>
        <w:rPr>
          <w:rFonts w:asciiTheme="minorHAnsi" w:hAnsiTheme="minorHAnsi" w:cstheme="minorHAnsi"/>
          <w:sz w:val="24"/>
          <w:szCs w:val="24"/>
          <w:shd w:val="clear" w:color="auto" w:fill="FFFFFF"/>
          <w:lang w:val="en-GB"/>
        </w:rPr>
        <w:t xml:space="preserve"> </w:t>
      </w:r>
      <w:r w:rsidRPr="00377C60">
        <w:rPr>
          <w:rFonts w:asciiTheme="minorHAnsi" w:hAnsiTheme="minorHAnsi" w:cstheme="minorHAnsi"/>
          <w:sz w:val="24"/>
          <w:szCs w:val="24"/>
          <w:shd w:val="clear" w:color="auto" w:fill="FFFFFF"/>
          <w:lang w:val="en-GB"/>
        </w:rPr>
        <w:t xml:space="preserve">were used to identify appropriate logistic regression equations needed to generate data for </w:t>
      </w:r>
      <w:r w:rsidR="00FD6F5A">
        <w:rPr>
          <w:rFonts w:asciiTheme="minorHAnsi" w:hAnsiTheme="minorHAnsi" w:cstheme="minorHAnsi"/>
          <w:sz w:val="24"/>
          <w:szCs w:val="24"/>
          <w:shd w:val="clear" w:color="auto" w:fill="FFFFFF"/>
          <w:lang w:val="en-GB"/>
        </w:rPr>
        <w:t xml:space="preserve">the </w:t>
      </w:r>
      <w:r w:rsidRPr="00377C60">
        <w:rPr>
          <w:rFonts w:asciiTheme="minorHAnsi" w:hAnsiTheme="minorHAnsi" w:cstheme="minorHAnsi"/>
          <w:sz w:val="24"/>
          <w:szCs w:val="24"/>
          <w:shd w:val="clear" w:color="auto" w:fill="FFFFFF"/>
          <w:lang w:val="en-GB"/>
        </w:rPr>
        <w:t xml:space="preserve">missing risk factors in </w:t>
      </w:r>
      <w:r w:rsidR="00CC2D5C">
        <w:rPr>
          <w:rFonts w:asciiTheme="minorHAnsi" w:hAnsiTheme="minorHAnsi" w:cstheme="minorHAnsi"/>
          <w:sz w:val="24"/>
          <w:szCs w:val="24"/>
          <w:shd w:val="clear" w:color="auto" w:fill="FFFFFF"/>
          <w:lang w:val="en-GB"/>
        </w:rPr>
        <w:t xml:space="preserve">the </w:t>
      </w:r>
      <w:r w:rsidRPr="00377C60">
        <w:rPr>
          <w:rFonts w:asciiTheme="minorHAnsi" w:hAnsiTheme="minorHAnsi" w:cstheme="minorHAnsi"/>
          <w:sz w:val="24"/>
          <w:szCs w:val="24"/>
          <w:shd w:val="clear" w:color="auto" w:fill="FFFFFF"/>
          <w:lang w:val="en-GB"/>
        </w:rPr>
        <w:t xml:space="preserve">SCHS </w:t>
      </w:r>
      <w:r w:rsidRPr="00FA1725">
        <w:rPr>
          <w:rFonts w:asciiTheme="minorHAnsi" w:hAnsiTheme="minorHAnsi" w:cstheme="minorHAnsi"/>
          <w:sz w:val="24"/>
          <w:szCs w:val="24"/>
          <w:shd w:val="clear" w:color="auto" w:fill="FFFFFF"/>
          <w:lang w:val="en-GB"/>
        </w:rPr>
        <w:t>cohort</w:t>
      </w:r>
      <w:r w:rsidR="00990DE3" w:rsidRPr="00FA1725">
        <w:rPr>
          <w:sz w:val="24"/>
          <w:szCs w:val="24"/>
        </w:rPr>
        <w:t xml:space="preserve"> </w:t>
      </w:r>
      <w:r w:rsidR="007D6BE8" w:rsidRPr="00FA1725">
        <w:rPr>
          <w:sz w:val="24"/>
          <w:szCs w:val="24"/>
        </w:rPr>
        <w:t xml:space="preserve">using </w:t>
      </w:r>
      <w:r w:rsidR="00FA1725" w:rsidRPr="00FA1725">
        <w:rPr>
          <w:sz w:val="24"/>
          <w:szCs w:val="24"/>
        </w:rPr>
        <w:t xml:space="preserve">methods </w:t>
      </w:r>
      <w:r w:rsidR="00990DE3" w:rsidRPr="00FA1725">
        <w:rPr>
          <w:rFonts w:asciiTheme="minorHAnsi" w:hAnsiTheme="minorHAnsi" w:cstheme="minorHAnsi"/>
          <w:sz w:val="24"/>
          <w:szCs w:val="24"/>
          <w:shd w:val="clear" w:color="auto" w:fill="FFFFFF"/>
          <w:lang w:val="en-GB"/>
        </w:rPr>
        <w:t>described</w:t>
      </w:r>
      <w:r w:rsidR="00990DE3" w:rsidRPr="00990DE3">
        <w:rPr>
          <w:rFonts w:asciiTheme="minorHAnsi" w:hAnsiTheme="minorHAnsi" w:cstheme="minorHAnsi"/>
          <w:sz w:val="24"/>
          <w:szCs w:val="24"/>
          <w:shd w:val="clear" w:color="auto" w:fill="FFFFFF"/>
          <w:lang w:val="en-GB"/>
        </w:rPr>
        <w:t xml:space="preserve"> </w:t>
      </w:r>
      <w:r w:rsidR="00990DE3" w:rsidRPr="00AC5673">
        <w:rPr>
          <w:rFonts w:asciiTheme="minorHAnsi" w:hAnsiTheme="minorHAnsi" w:cstheme="minorHAnsi"/>
          <w:sz w:val="24"/>
          <w:szCs w:val="24"/>
          <w:shd w:val="clear" w:color="auto" w:fill="FFFFFF"/>
          <w:lang w:val="en-GB"/>
        </w:rPr>
        <w:t>previously [</w:t>
      </w:r>
      <w:r w:rsidR="00311CEB" w:rsidRPr="00AC5673">
        <w:rPr>
          <w:rFonts w:asciiTheme="minorHAnsi" w:hAnsiTheme="minorHAnsi" w:cstheme="minorHAnsi"/>
          <w:sz w:val="24"/>
          <w:szCs w:val="24"/>
          <w:shd w:val="clear" w:color="auto" w:fill="FFFFFF"/>
          <w:lang w:val="en-GB"/>
        </w:rPr>
        <w:t>1</w:t>
      </w:r>
      <w:r w:rsidR="00CD29DB">
        <w:rPr>
          <w:rFonts w:asciiTheme="minorHAnsi" w:hAnsiTheme="minorHAnsi" w:cstheme="minorHAnsi"/>
          <w:sz w:val="24"/>
          <w:szCs w:val="24"/>
          <w:shd w:val="clear" w:color="auto" w:fill="FFFFFF"/>
          <w:lang w:val="en-GB"/>
        </w:rPr>
        <w:t>2</w:t>
      </w:r>
      <w:r w:rsidR="00990DE3" w:rsidRPr="00AC5673">
        <w:rPr>
          <w:rFonts w:asciiTheme="minorHAnsi" w:hAnsiTheme="minorHAnsi" w:cstheme="minorHAnsi"/>
          <w:sz w:val="24"/>
          <w:szCs w:val="24"/>
          <w:shd w:val="clear" w:color="auto" w:fill="FFFFFF"/>
          <w:lang w:val="en-GB"/>
        </w:rPr>
        <w:t xml:space="preserve">, </w:t>
      </w:r>
      <w:r w:rsidR="00271591" w:rsidRPr="00AC5673">
        <w:rPr>
          <w:rFonts w:asciiTheme="minorHAnsi" w:hAnsiTheme="minorHAnsi" w:cstheme="minorHAnsi"/>
          <w:sz w:val="24"/>
          <w:szCs w:val="24"/>
          <w:shd w:val="clear" w:color="auto" w:fill="FFFFFF"/>
          <w:lang w:val="en-GB"/>
        </w:rPr>
        <w:t>1</w:t>
      </w:r>
      <w:r w:rsidR="00CD29DB">
        <w:rPr>
          <w:rFonts w:asciiTheme="minorHAnsi" w:hAnsiTheme="minorHAnsi" w:cstheme="minorHAnsi"/>
          <w:sz w:val="24"/>
          <w:szCs w:val="24"/>
          <w:shd w:val="clear" w:color="auto" w:fill="FFFFFF"/>
          <w:lang w:val="en-GB"/>
        </w:rPr>
        <w:t>3</w:t>
      </w:r>
      <w:r w:rsidR="00990DE3" w:rsidRPr="00AC5673">
        <w:rPr>
          <w:rFonts w:asciiTheme="minorHAnsi" w:hAnsiTheme="minorHAnsi" w:cstheme="minorHAnsi"/>
          <w:sz w:val="24"/>
          <w:szCs w:val="24"/>
          <w:shd w:val="clear" w:color="auto" w:fill="FFFFFF"/>
          <w:lang w:val="en-GB"/>
        </w:rPr>
        <w:t xml:space="preserve">, </w:t>
      </w:r>
      <w:r w:rsidR="00AC5673" w:rsidRPr="00AC5673">
        <w:rPr>
          <w:rFonts w:asciiTheme="minorHAnsi" w:hAnsiTheme="minorHAnsi" w:cstheme="minorHAnsi"/>
          <w:sz w:val="24"/>
          <w:szCs w:val="24"/>
          <w:shd w:val="clear" w:color="auto" w:fill="FFFFFF"/>
          <w:lang w:val="en-GB"/>
        </w:rPr>
        <w:t>1</w:t>
      </w:r>
      <w:r w:rsidR="00CD29DB">
        <w:rPr>
          <w:rFonts w:asciiTheme="minorHAnsi" w:hAnsiTheme="minorHAnsi" w:cstheme="minorHAnsi"/>
          <w:sz w:val="24"/>
          <w:szCs w:val="24"/>
          <w:shd w:val="clear" w:color="auto" w:fill="FFFFFF"/>
          <w:lang w:val="en-GB"/>
        </w:rPr>
        <w:t>4</w:t>
      </w:r>
      <w:r w:rsidR="00990DE3" w:rsidRPr="00AC5673">
        <w:rPr>
          <w:rFonts w:asciiTheme="minorHAnsi" w:hAnsiTheme="minorHAnsi" w:cstheme="minorHAnsi"/>
          <w:sz w:val="24"/>
          <w:szCs w:val="24"/>
          <w:shd w:val="clear" w:color="auto" w:fill="FFFFFF"/>
          <w:lang w:val="en-GB"/>
        </w:rPr>
        <w:t>]</w:t>
      </w:r>
      <w:r w:rsidRPr="00AC5673">
        <w:rPr>
          <w:rFonts w:asciiTheme="minorHAnsi" w:hAnsiTheme="minorHAnsi" w:cstheme="minorHAnsi"/>
          <w:sz w:val="24"/>
          <w:szCs w:val="24"/>
          <w:shd w:val="clear" w:color="auto" w:fill="FFFFFF"/>
          <w:lang w:val="en-GB"/>
        </w:rPr>
        <w:t xml:space="preserve">.  </w:t>
      </w:r>
      <w:r w:rsidR="004C2063">
        <w:rPr>
          <w:rFonts w:asciiTheme="minorHAnsi" w:hAnsiTheme="minorHAnsi" w:cstheme="minorHAnsi"/>
          <w:sz w:val="24"/>
          <w:szCs w:val="24"/>
          <w:shd w:val="clear" w:color="auto" w:fill="FFFFFF"/>
          <w:lang w:val="en-GB"/>
        </w:rPr>
        <w:t>Mr a</w:t>
      </w:r>
      <w:r w:rsidR="00AF70D0">
        <w:rPr>
          <w:rFonts w:asciiTheme="minorHAnsi" w:hAnsiTheme="minorHAnsi" w:cstheme="minorHAnsi"/>
          <w:sz w:val="24"/>
          <w:szCs w:val="24"/>
          <w:shd w:val="clear" w:color="auto" w:fill="FFFFFF"/>
          <w:lang w:val="en-GB"/>
        </w:rPr>
        <w:t xml:space="preserve">nd </w:t>
      </w:r>
      <w:r w:rsidR="004E68B9" w:rsidRPr="00AC5673">
        <w:rPr>
          <w:rFonts w:asciiTheme="minorHAnsi" w:hAnsiTheme="minorHAnsi" w:cstheme="minorHAnsi"/>
          <w:sz w:val="24"/>
          <w:szCs w:val="24"/>
          <w:shd w:val="clear" w:color="auto" w:fill="FFFFFF"/>
          <w:lang w:val="en-GB"/>
        </w:rPr>
        <w:t>Ms</w:t>
      </w:r>
      <w:r w:rsidRPr="00AC5673">
        <w:rPr>
          <w:rFonts w:asciiTheme="minorHAnsi" w:hAnsiTheme="minorHAnsi" w:cstheme="minorHAnsi"/>
          <w:sz w:val="24"/>
          <w:szCs w:val="24"/>
          <w:shd w:val="clear" w:color="auto" w:fill="FFFFFF"/>
          <w:lang w:val="en-GB"/>
        </w:rPr>
        <w:t xml:space="preserve"> </w:t>
      </w:r>
      <w:r w:rsidR="004E68B9" w:rsidRPr="00AC5673">
        <w:rPr>
          <w:rFonts w:asciiTheme="minorHAnsi" w:hAnsiTheme="minorHAnsi" w:cstheme="minorHAnsi"/>
          <w:sz w:val="24"/>
          <w:szCs w:val="24"/>
          <w:shd w:val="clear" w:color="auto" w:fill="FFFFFF"/>
          <w:lang w:val="en-GB"/>
        </w:rPr>
        <w:t>OS Hong</w:t>
      </w:r>
      <w:r w:rsidR="004E68B9" w:rsidRPr="004E68B9">
        <w:rPr>
          <w:rFonts w:asciiTheme="minorHAnsi" w:hAnsiTheme="minorHAnsi" w:cstheme="minorHAnsi"/>
          <w:sz w:val="24"/>
          <w:szCs w:val="24"/>
          <w:shd w:val="clear" w:color="auto" w:fill="FFFFFF"/>
          <w:lang w:val="en-GB"/>
        </w:rPr>
        <w:t xml:space="preserve"> Kong included Chinese </w:t>
      </w:r>
      <w:r w:rsidR="00AF70D0">
        <w:rPr>
          <w:rFonts w:asciiTheme="minorHAnsi" w:hAnsiTheme="minorHAnsi" w:cstheme="minorHAnsi"/>
          <w:sz w:val="24"/>
          <w:szCs w:val="24"/>
          <w:shd w:val="clear" w:color="auto" w:fill="FFFFFF"/>
          <w:lang w:val="en-GB"/>
        </w:rPr>
        <w:t xml:space="preserve">men and </w:t>
      </w:r>
      <w:r w:rsidR="004E68B9" w:rsidRPr="004E68B9">
        <w:rPr>
          <w:rFonts w:asciiTheme="minorHAnsi" w:hAnsiTheme="minorHAnsi" w:cstheme="minorHAnsi"/>
          <w:sz w:val="24"/>
          <w:szCs w:val="24"/>
          <w:shd w:val="clear" w:color="auto" w:fill="FFFFFF"/>
          <w:lang w:val="en-GB"/>
        </w:rPr>
        <w:t>women age 65 years and older who were recruited between 2002 and</w:t>
      </w:r>
      <w:r w:rsidR="004E68B9">
        <w:rPr>
          <w:rFonts w:asciiTheme="minorHAnsi" w:hAnsiTheme="minorHAnsi" w:cstheme="minorHAnsi"/>
          <w:sz w:val="24"/>
          <w:szCs w:val="24"/>
          <w:shd w:val="clear" w:color="auto" w:fill="FFFFFF"/>
          <w:lang w:val="en-GB"/>
        </w:rPr>
        <w:t xml:space="preserve"> </w:t>
      </w:r>
      <w:r w:rsidR="004E68B9" w:rsidRPr="004E68B9">
        <w:rPr>
          <w:rFonts w:asciiTheme="minorHAnsi" w:hAnsiTheme="minorHAnsi" w:cstheme="minorHAnsi"/>
          <w:sz w:val="24"/>
          <w:szCs w:val="24"/>
          <w:shd w:val="clear" w:color="auto" w:fill="FFFFFF"/>
          <w:lang w:val="en-GB"/>
        </w:rPr>
        <w:t xml:space="preserve">2003. </w:t>
      </w:r>
      <w:r w:rsidR="009C6391">
        <w:rPr>
          <w:rFonts w:asciiTheme="minorHAnsi" w:hAnsiTheme="minorHAnsi" w:cstheme="minorHAnsi"/>
          <w:sz w:val="24"/>
          <w:szCs w:val="24"/>
          <w:shd w:val="clear" w:color="auto" w:fill="FFFFFF"/>
          <w:lang w:val="en-GB"/>
        </w:rPr>
        <w:t xml:space="preserve"> </w:t>
      </w:r>
      <w:r w:rsidR="004E68B9" w:rsidRPr="004E68B9">
        <w:rPr>
          <w:rFonts w:asciiTheme="minorHAnsi" w:hAnsiTheme="minorHAnsi" w:cstheme="minorHAnsi"/>
          <w:sz w:val="24"/>
          <w:szCs w:val="24"/>
          <w:shd w:val="clear" w:color="auto" w:fill="FFFFFF"/>
          <w:lang w:val="en-GB"/>
        </w:rPr>
        <w:t>Th</w:t>
      </w:r>
      <w:r w:rsidR="00AF70D0">
        <w:rPr>
          <w:rFonts w:asciiTheme="minorHAnsi" w:hAnsiTheme="minorHAnsi" w:cstheme="minorHAnsi"/>
          <w:sz w:val="24"/>
          <w:szCs w:val="24"/>
          <w:shd w:val="clear" w:color="auto" w:fill="FFFFFF"/>
          <w:lang w:val="en-GB"/>
        </w:rPr>
        <w:t>e</w:t>
      </w:r>
      <w:r w:rsidR="004E68B9" w:rsidRPr="004E68B9">
        <w:rPr>
          <w:rFonts w:asciiTheme="minorHAnsi" w:hAnsiTheme="minorHAnsi" w:cstheme="minorHAnsi"/>
          <w:sz w:val="24"/>
          <w:szCs w:val="24"/>
          <w:shd w:val="clear" w:color="auto" w:fill="FFFFFF"/>
          <w:lang w:val="en-GB"/>
        </w:rPr>
        <w:t xml:space="preserve"> cohort w</w:t>
      </w:r>
      <w:r w:rsidR="001B448C">
        <w:rPr>
          <w:rFonts w:asciiTheme="minorHAnsi" w:hAnsiTheme="minorHAnsi" w:cstheme="minorHAnsi"/>
          <w:sz w:val="24"/>
          <w:szCs w:val="24"/>
          <w:shd w:val="clear" w:color="auto" w:fill="FFFFFF"/>
          <w:lang w:val="en-GB"/>
        </w:rPr>
        <w:t>as</w:t>
      </w:r>
      <w:r w:rsidR="004E68B9" w:rsidRPr="004E68B9">
        <w:rPr>
          <w:rFonts w:asciiTheme="minorHAnsi" w:hAnsiTheme="minorHAnsi" w:cstheme="minorHAnsi"/>
          <w:sz w:val="24"/>
          <w:szCs w:val="24"/>
          <w:shd w:val="clear" w:color="auto" w:fill="FFFFFF"/>
          <w:lang w:val="en-GB"/>
        </w:rPr>
        <w:t xml:space="preserve"> age-stratified </w:t>
      </w:r>
      <w:r w:rsidR="003A0236">
        <w:rPr>
          <w:rFonts w:asciiTheme="minorHAnsi" w:hAnsiTheme="minorHAnsi" w:cstheme="minorHAnsi"/>
          <w:sz w:val="24"/>
          <w:szCs w:val="24"/>
          <w:shd w:val="clear" w:color="auto" w:fill="FFFFFF"/>
          <w:lang w:val="en-GB"/>
        </w:rPr>
        <w:t>having</w:t>
      </w:r>
      <w:r w:rsidR="004E68B9" w:rsidRPr="004E68B9">
        <w:rPr>
          <w:rFonts w:asciiTheme="minorHAnsi" w:hAnsiTheme="minorHAnsi" w:cstheme="minorHAnsi"/>
          <w:sz w:val="24"/>
          <w:szCs w:val="24"/>
          <w:shd w:val="clear" w:color="auto" w:fill="FFFFFF"/>
          <w:lang w:val="en-GB"/>
        </w:rPr>
        <w:t xml:space="preserve"> 33% of</w:t>
      </w:r>
      <w:r w:rsidR="004E68B9">
        <w:rPr>
          <w:rFonts w:asciiTheme="minorHAnsi" w:hAnsiTheme="minorHAnsi" w:cstheme="minorHAnsi"/>
          <w:sz w:val="24"/>
          <w:szCs w:val="24"/>
          <w:shd w:val="clear" w:color="auto" w:fill="FFFFFF"/>
          <w:lang w:val="en-GB"/>
        </w:rPr>
        <w:t xml:space="preserve"> </w:t>
      </w:r>
      <w:r w:rsidR="004E68B9" w:rsidRPr="004E68B9">
        <w:rPr>
          <w:rFonts w:asciiTheme="minorHAnsi" w:hAnsiTheme="minorHAnsi" w:cstheme="minorHAnsi"/>
          <w:sz w:val="24"/>
          <w:szCs w:val="24"/>
          <w:shd w:val="clear" w:color="auto" w:fill="FFFFFF"/>
          <w:lang w:val="en-GB"/>
        </w:rPr>
        <w:t>subjects in each of the following age groups: 65 to 69, 70 to 74,</w:t>
      </w:r>
      <w:r w:rsidR="00297E1D">
        <w:rPr>
          <w:rFonts w:asciiTheme="minorHAnsi" w:hAnsiTheme="minorHAnsi" w:cstheme="minorHAnsi"/>
          <w:sz w:val="24"/>
          <w:szCs w:val="24"/>
          <w:shd w:val="clear" w:color="auto" w:fill="FFFFFF"/>
          <w:lang w:val="en-GB"/>
        </w:rPr>
        <w:t xml:space="preserve"> </w:t>
      </w:r>
      <w:r w:rsidR="004E68B9" w:rsidRPr="004E68B9">
        <w:rPr>
          <w:rFonts w:asciiTheme="minorHAnsi" w:hAnsiTheme="minorHAnsi" w:cstheme="minorHAnsi"/>
          <w:sz w:val="24"/>
          <w:szCs w:val="24"/>
          <w:shd w:val="clear" w:color="auto" w:fill="FFFFFF"/>
          <w:lang w:val="en-GB"/>
        </w:rPr>
        <w:t xml:space="preserve">and </w:t>
      </w:r>
      <w:r w:rsidR="00476D09" w:rsidRPr="000123BC">
        <w:rPr>
          <w:rFonts w:asciiTheme="minorHAnsi" w:hAnsiTheme="minorHAnsi" w:cstheme="minorHAnsi"/>
          <w:sz w:val="24"/>
          <w:szCs w:val="24"/>
          <w:u w:val="single"/>
          <w:shd w:val="clear" w:color="auto" w:fill="FFFFFF"/>
          <w:lang w:val="en-GB"/>
        </w:rPr>
        <w:t>&gt;</w:t>
      </w:r>
      <w:r w:rsidR="004E68B9" w:rsidRPr="004E68B9">
        <w:rPr>
          <w:rFonts w:asciiTheme="minorHAnsi" w:hAnsiTheme="minorHAnsi" w:cstheme="minorHAnsi"/>
          <w:sz w:val="24"/>
          <w:szCs w:val="24"/>
          <w:shd w:val="clear" w:color="auto" w:fill="FFFFFF"/>
          <w:lang w:val="en-GB"/>
        </w:rPr>
        <w:t xml:space="preserve">75 years. </w:t>
      </w:r>
      <w:r w:rsidR="003C65A6">
        <w:rPr>
          <w:rFonts w:asciiTheme="minorHAnsi" w:hAnsiTheme="minorHAnsi" w:cstheme="minorHAnsi"/>
          <w:sz w:val="24"/>
          <w:szCs w:val="24"/>
          <w:shd w:val="clear" w:color="auto" w:fill="FFFFFF"/>
          <w:lang w:val="en-GB"/>
        </w:rPr>
        <w:t xml:space="preserve"> </w:t>
      </w:r>
      <w:r w:rsidR="00AF70D0">
        <w:rPr>
          <w:rFonts w:asciiTheme="minorHAnsi" w:hAnsiTheme="minorHAnsi" w:cstheme="minorHAnsi"/>
          <w:sz w:val="24"/>
          <w:szCs w:val="24"/>
          <w:shd w:val="clear" w:color="auto" w:fill="FFFFFF"/>
          <w:lang w:val="en-GB"/>
        </w:rPr>
        <w:t>Subjects</w:t>
      </w:r>
      <w:r w:rsidR="004E68B9" w:rsidRPr="004E68B9">
        <w:rPr>
          <w:rFonts w:asciiTheme="minorHAnsi" w:hAnsiTheme="minorHAnsi" w:cstheme="minorHAnsi"/>
          <w:sz w:val="24"/>
          <w:szCs w:val="24"/>
          <w:shd w:val="clear" w:color="auto" w:fill="FFFFFF"/>
          <w:lang w:val="en-GB"/>
        </w:rPr>
        <w:t xml:space="preserve"> were recruited from housing estates</w:t>
      </w:r>
      <w:r w:rsidR="00297E1D">
        <w:rPr>
          <w:rFonts w:asciiTheme="minorHAnsi" w:hAnsiTheme="minorHAnsi" w:cstheme="minorHAnsi"/>
          <w:sz w:val="24"/>
          <w:szCs w:val="24"/>
          <w:shd w:val="clear" w:color="auto" w:fill="FFFFFF"/>
          <w:lang w:val="en-GB"/>
        </w:rPr>
        <w:t xml:space="preserve"> </w:t>
      </w:r>
      <w:r w:rsidR="004E68B9" w:rsidRPr="004E68B9">
        <w:rPr>
          <w:rFonts w:asciiTheme="minorHAnsi" w:hAnsiTheme="minorHAnsi" w:cstheme="minorHAnsi"/>
          <w:sz w:val="24"/>
          <w:szCs w:val="24"/>
          <w:shd w:val="clear" w:color="auto" w:fill="FFFFFF"/>
          <w:lang w:val="en-GB"/>
        </w:rPr>
        <w:t xml:space="preserve">and community </w:t>
      </w:r>
      <w:r w:rsidR="00FE1214" w:rsidRPr="004E68B9">
        <w:rPr>
          <w:rFonts w:asciiTheme="minorHAnsi" w:hAnsiTheme="minorHAnsi" w:cstheme="minorHAnsi"/>
          <w:sz w:val="24"/>
          <w:szCs w:val="24"/>
          <w:shd w:val="clear" w:color="auto" w:fill="FFFFFF"/>
          <w:lang w:val="en-GB"/>
        </w:rPr>
        <w:t>centres</w:t>
      </w:r>
      <w:r w:rsidR="004E68B9" w:rsidRPr="004E68B9">
        <w:rPr>
          <w:rFonts w:asciiTheme="minorHAnsi" w:hAnsiTheme="minorHAnsi" w:cstheme="minorHAnsi"/>
          <w:sz w:val="24"/>
          <w:szCs w:val="24"/>
          <w:shd w:val="clear" w:color="auto" w:fill="FFFFFF"/>
          <w:lang w:val="en-GB"/>
        </w:rPr>
        <w:t xml:space="preserve"> for the elderly. </w:t>
      </w:r>
      <w:r w:rsidR="003C65A6">
        <w:rPr>
          <w:rFonts w:asciiTheme="minorHAnsi" w:hAnsiTheme="minorHAnsi" w:cstheme="minorHAnsi"/>
          <w:sz w:val="24"/>
          <w:szCs w:val="24"/>
          <w:shd w:val="clear" w:color="auto" w:fill="FFFFFF"/>
          <w:lang w:val="en-GB"/>
        </w:rPr>
        <w:t xml:space="preserve"> </w:t>
      </w:r>
      <w:r w:rsidR="004E68B9" w:rsidRPr="004E68B9">
        <w:rPr>
          <w:rFonts w:asciiTheme="minorHAnsi" w:hAnsiTheme="minorHAnsi" w:cstheme="minorHAnsi"/>
          <w:sz w:val="24"/>
          <w:szCs w:val="24"/>
          <w:shd w:val="clear" w:color="auto" w:fill="FFFFFF"/>
          <w:lang w:val="en-GB"/>
        </w:rPr>
        <w:t>Participants had BMD</w:t>
      </w:r>
      <w:r w:rsidR="00297E1D">
        <w:rPr>
          <w:rFonts w:asciiTheme="minorHAnsi" w:hAnsiTheme="minorHAnsi" w:cstheme="minorHAnsi"/>
          <w:sz w:val="24"/>
          <w:szCs w:val="24"/>
          <w:shd w:val="clear" w:color="auto" w:fill="FFFFFF"/>
          <w:lang w:val="en-GB"/>
        </w:rPr>
        <w:t xml:space="preserve"> </w:t>
      </w:r>
      <w:r w:rsidR="004E68B9" w:rsidRPr="004E68B9">
        <w:rPr>
          <w:rFonts w:asciiTheme="minorHAnsi" w:hAnsiTheme="minorHAnsi" w:cstheme="minorHAnsi"/>
          <w:sz w:val="24"/>
          <w:szCs w:val="24"/>
          <w:shd w:val="clear" w:color="auto" w:fill="FFFFFF"/>
          <w:lang w:val="en-GB"/>
        </w:rPr>
        <w:t>measured using Hologic QDR 4500 devices</w:t>
      </w:r>
      <w:r w:rsidR="00673BBB" w:rsidRPr="00AC5673">
        <w:rPr>
          <w:rFonts w:asciiTheme="minorHAnsi" w:hAnsiTheme="minorHAnsi" w:cstheme="minorHAnsi"/>
          <w:sz w:val="24"/>
          <w:szCs w:val="24"/>
          <w:shd w:val="clear" w:color="auto" w:fill="FFFFFF"/>
          <w:lang w:val="en-GB"/>
        </w:rPr>
        <w:t xml:space="preserve"> [1</w:t>
      </w:r>
      <w:r w:rsidR="00247BF3">
        <w:rPr>
          <w:rFonts w:asciiTheme="minorHAnsi" w:hAnsiTheme="minorHAnsi" w:cstheme="minorHAnsi"/>
          <w:sz w:val="24"/>
          <w:szCs w:val="24"/>
          <w:shd w:val="clear" w:color="auto" w:fill="FFFFFF"/>
          <w:lang w:val="en-GB"/>
        </w:rPr>
        <w:t>5</w:t>
      </w:r>
      <w:r w:rsidR="00673BBB" w:rsidRPr="00AC5673">
        <w:rPr>
          <w:rFonts w:asciiTheme="minorHAnsi" w:hAnsiTheme="minorHAnsi" w:cstheme="minorHAnsi"/>
          <w:sz w:val="24"/>
          <w:szCs w:val="24"/>
          <w:shd w:val="clear" w:color="auto" w:fill="FFFFFF"/>
          <w:lang w:val="en-GB"/>
        </w:rPr>
        <w:t>]</w:t>
      </w:r>
      <w:r w:rsidR="004E68B9" w:rsidRPr="00AC5673">
        <w:rPr>
          <w:rFonts w:asciiTheme="minorHAnsi" w:hAnsiTheme="minorHAnsi" w:cstheme="minorHAnsi"/>
          <w:sz w:val="24"/>
          <w:szCs w:val="24"/>
          <w:shd w:val="clear" w:color="auto" w:fill="FFFFFF"/>
          <w:lang w:val="en-GB"/>
        </w:rPr>
        <w:t>.</w:t>
      </w:r>
    </w:p>
    <w:p w14:paraId="1B8FC8E1" w14:textId="55E82C71" w:rsidR="00941978" w:rsidRDefault="00D10FA2" w:rsidP="00827EF0">
      <w:pPr>
        <w:autoSpaceDE w:val="0"/>
        <w:autoSpaceDN w:val="0"/>
        <w:adjustRightInd w:val="0"/>
        <w:spacing w:after="0"/>
        <w:ind w:left="1134"/>
        <w:rPr>
          <w:rFonts w:asciiTheme="minorHAnsi" w:hAnsiTheme="minorHAnsi" w:cstheme="minorHAnsi"/>
          <w:color w:val="131413"/>
          <w:sz w:val="24"/>
          <w:szCs w:val="24"/>
          <w:lang w:val="en-GB" w:eastAsia="en-GB"/>
        </w:rPr>
      </w:pPr>
      <w:r>
        <w:rPr>
          <w:rFonts w:asciiTheme="minorHAnsi" w:hAnsiTheme="minorHAnsi" w:cstheme="minorHAnsi"/>
          <w:color w:val="131413"/>
          <w:sz w:val="24"/>
          <w:szCs w:val="24"/>
          <w:lang w:val="en-GB" w:eastAsia="en-GB"/>
        </w:rPr>
        <w:t>L</w:t>
      </w:r>
      <w:r w:rsidR="00F2324D" w:rsidRPr="007545FA">
        <w:rPr>
          <w:rFonts w:asciiTheme="minorHAnsi" w:hAnsiTheme="minorHAnsi" w:cstheme="minorHAnsi"/>
          <w:color w:val="131413"/>
          <w:sz w:val="24"/>
          <w:szCs w:val="24"/>
          <w:lang w:val="en-GB" w:eastAsia="en-GB"/>
        </w:rPr>
        <w:t>ogistic regression</w:t>
      </w:r>
      <w:r w:rsidR="00306042" w:rsidRPr="007545FA">
        <w:rPr>
          <w:rFonts w:asciiTheme="minorHAnsi" w:hAnsiTheme="minorHAnsi" w:cstheme="minorHAnsi"/>
          <w:color w:val="131413"/>
          <w:sz w:val="24"/>
          <w:szCs w:val="24"/>
          <w:lang w:val="en-GB" w:eastAsia="en-GB"/>
        </w:rPr>
        <w:t xml:space="preserve"> </w:t>
      </w:r>
      <w:r w:rsidR="00F2324D" w:rsidRPr="007545FA">
        <w:rPr>
          <w:rFonts w:asciiTheme="minorHAnsi" w:hAnsiTheme="minorHAnsi" w:cstheme="minorHAnsi"/>
          <w:color w:val="131413"/>
          <w:sz w:val="24"/>
          <w:szCs w:val="24"/>
          <w:lang w:val="en-GB" w:eastAsia="en-GB"/>
        </w:rPr>
        <w:t>(for dichotomous risk factors) was used to examine the</w:t>
      </w:r>
      <w:r w:rsidR="00306042" w:rsidRPr="007545FA">
        <w:rPr>
          <w:rFonts w:asciiTheme="minorHAnsi" w:hAnsiTheme="minorHAnsi" w:cstheme="minorHAnsi"/>
          <w:color w:val="131413"/>
          <w:sz w:val="24"/>
          <w:szCs w:val="24"/>
          <w:lang w:val="en-GB" w:eastAsia="en-GB"/>
        </w:rPr>
        <w:t xml:space="preserve"> </w:t>
      </w:r>
      <w:r w:rsidR="00F2324D" w:rsidRPr="007545FA">
        <w:rPr>
          <w:rFonts w:asciiTheme="minorHAnsi" w:hAnsiTheme="minorHAnsi" w:cstheme="minorHAnsi"/>
          <w:color w:val="131413"/>
          <w:sz w:val="24"/>
          <w:szCs w:val="24"/>
          <w:lang w:val="en-GB" w:eastAsia="en-GB"/>
        </w:rPr>
        <w:t>conditional probability of the association of the risk factor</w:t>
      </w:r>
      <w:r w:rsidR="00306042" w:rsidRPr="007545FA">
        <w:rPr>
          <w:rFonts w:asciiTheme="minorHAnsi" w:hAnsiTheme="minorHAnsi" w:cstheme="minorHAnsi"/>
          <w:color w:val="131413"/>
          <w:sz w:val="24"/>
          <w:szCs w:val="24"/>
          <w:lang w:val="en-GB" w:eastAsia="en-GB"/>
        </w:rPr>
        <w:t xml:space="preserve"> </w:t>
      </w:r>
      <w:r w:rsidR="00F2324D" w:rsidRPr="007545FA">
        <w:rPr>
          <w:rFonts w:asciiTheme="minorHAnsi" w:hAnsiTheme="minorHAnsi" w:cstheme="minorHAnsi"/>
          <w:color w:val="131413"/>
          <w:sz w:val="24"/>
          <w:szCs w:val="24"/>
          <w:lang w:val="en-GB" w:eastAsia="en-GB"/>
        </w:rPr>
        <w:t xml:space="preserve">to be simulated for </w:t>
      </w:r>
      <w:r w:rsidR="00306042" w:rsidRPr="007545FA">
        <w:rPr>
          <w:rFonts w:asciiTheme="minorHAnsi" w:hAnsiTheme="minorHAnsi" w:cstheme="minorHAnsi"/>
          <w:color w:val="131413"/>
          <w:sz w:val="24"/>
          <w:szCs w:val="24"/>
          <w:lang w:val="en-GB" w:eastAsia="en-GB"/>
        </w:rPr>
        <w:t>SCHS</w:t>
      </w:r>
      <w:r w:rsidR="00F2324D" w:rsidRPr="007545FA">
        <w:rPr>
          <w:rFonts w:asciiTheme="minorHAnsi" w:hAnsiTheme="minorHAnsi" w:cstheme="minorHAnsi"/>
          <w:color w:val="131413"/>
          <w:sz w:val="24"/>
          <w:szCs w:val="24"/>
          <w:lang w:val="en-GB" w:eastAsia="en-GB"/>
        </w:rPr>
        <w:t xml:space="preserve"> with age, sex, </w:t>
      </w:r>
      <w:r w:rsidR="00882026">
        <w:rPr>
          <w:rFonts w:asciiTheme="minorHAnsi" w:hAnsiTheme="minorHAnsi" w:cstheme="minorHAnsi"/>
          <w:color w:val="131413"/>
          <w:sz w:val="24"/>
          <w:szCs w:val="24"/>
          <w:lang w:val="en-GB" w:eastAsia="en-GB"/>
        </w:rPr>
        <w:t>b</w:t>
      </w:r>
      <w:r w:rsidR="00C923ED">
        <w:rPr>
          <w:rFonts w:asciiTheme="minorHAnsi" w:hAnsiTheme="minorHAnsi" w:cstheme="minorHAnsi"/>
          <w:color w:val="131413"/>
          <w:sz w:val="24"/>
          <w:szCs w:val="24"/>
          <w:lang w:val="en-GB" w:eastAsia="en-GB"/>
        </w:rPr>
        <w:t>o</w:t>
      </w:r>
      <w:r w:rsidR="00882026">
        <w:rPr>
          <w:rFonts w:asciiTheme="minorHAnsi" w:hAnsiTheme="minorHAnsi" w:cstheme="minorHAnsi"/>
          <w:color w:val="131413"/>
          <w:sz w:val="24"/>
          <w:szCs w:val="24"/>
          <w:lang w:val="en-GB" w:eastAsia="en-GB"/>
        </w:rPr>
        <w:t>dy mass index</w:t>
      </w:r>
      <w:r w:rsidR="002A7FE6">
        <w:rPr>
          <w:rFonts w:asciiTheme="minorHAnsi" w:hAnsiTheme="minorHAnsi" w:cstheme="minorHAnsi"/>
          <w:color w:val="131413"/>
          <w:sz w:val="24"/>
          <w:szCs w:val="24"/>
          <w:lang w:val="en-GB" w:eastAsia="en-GB"/>
        </w:rPr>
        <w:t xml:space="preserve"> (</w:t>
      </w:r>
      <w:r w:rsidR="00F2324D" w:rsidRPr="007545FA">
        <w:rPr>
          <w:rFonts w:asciiTheme="minorHAnsi" w:hAnsiTheme="minorHAnsi" w:cstheme="minorHAnsi"/>
          <w:color w:val="131413"/>
          <w:sz w:val="24"/>
          <w:szCs w:val="24"/>
          <w:lang w:val="en-GB" w:eastAsia="en-GB"/>
        </w:rPr>
        <w:t>BMI</w:t>
      </w:r>
      <w:r w:rsidR="00CA27C4">
        <w:rPr>
          <w:rFonts w:asciiTheme="minorHAnsi" w:hAnsiTheme="minorHAnsi" w:cstheme="minorHAnsi"/>
          <w:color w:val="131413"/>
          <w:sz w:val="24"/>
          <w:szCs w:val="24"/>
          <w:lang w:val="en-GB" w:eastAsia="en-GB"/>
        </w:rPr>
        <w:t>)</w:t>
      </w:r>
      <w:r w:rsidR="00B93E5C">
        <w:rPr>
          <w:rFonts w:asciiTheme="minorHAnsi" w:hAnsiTheme="minorHAnsi" w:cstheme="minorHAnsi"/>
          <w:color w:val="131413"/>
          <w:sz w:val="24"/>
          <w:szCs w:val="24"/>
          <w:lang w:val="en-GB" w:eastAsia="en-GB"/>
        </w:rPr>
        <w:t xml:space="preserve"> as continuou</w:t>
      </w:r>
      <w:r w:rsidR="00720796">
        <w:rPr>
          <w:rFonts w:asciiTheme="minorHAnsi" w:hAnsiTheme="minorHAnsi" w:cstheme="minorHAnsi"/>
          <w:color w:val="131413"/>
          <w:sz w:val="24"/>
          <w:szCs w:val="24"/>
          <w:lang w:val="en-GB" w:eastAsia="en-GB"/>
        </w:rPr>
        <w:t>s variable and with</w:t>
      </w:r>
      <w:r w:rsidR="00F2324D" w:rsidRPr="007545FA">
        <w:rPr>
          <w:rFonts w:asciiTheme="minorHAnsi" w:hAnsiTheme="minorHAnsi" w:cstheme="minorHAnsi"/>
          <w:color w:val="131413"/>
          <w:sz w:val="24"/>
          <w:szCs w:val="24"/>
          <w:lang w:val="en-GB" w:eastAsia="en-GB"/>
        </w:rPr>
        <w:t xml:space="preserve"> previous fracture, current smoking, and alcohol</w:t>
      </w:r>
      <w:r w:rsidR="00306042" w:rsidRPr="007545FA">
        <w:rPr>
          <w:rFonts w:asciiTheme="minorHAnsi" w:hAnsiTheme="minorHAnsi" w:cstheme="minorHAnsi"/>
          <w:color w:val="131413"/>
          <w:sz w:val="24"/>
          <w:szCs w:val="24"/>
          <w:lang w:val="en-GB" w:eastAsia="en-GB"/>
        </w:rPr>
        <w:t xml:space="preserve"> </w:t>
      </w:r>
      <w:r w:rsidR="00F2324D" w:rsidRPr="007545FA">
        <w:rPr>
          <w:rFonts w:asciiTheme="minorHAnsi" w:hAnsiTheme="minorHAnsi" w:cstheme="minorHAnsi"/>
          <w:color w:val="131413"/>
          <w:sz w:val="24"/>
          <w:szCs w:val="24"/>
          <w:lang w:val="en-GB" w:eastAsia="en-GB"/>
        </w:rPr>
        <w:t>intake</w:t>
      </w:r>
      <w:r w:rsidR="00720796">
        <w:rPr>
          <w:rFonts w:asciiTheme="minorHAnsi" w:hAnsiTheme="minorHAnsi" w:cstheme="minorHAnsi"/>
          <w:color w:val="131413"/>
          <w:sz w:val="24"/>
          <w:szCs w:val="24"/>
          <w:lang w:val="en-GB" w:eastAsia="en-GB"/>
        </w:rPr>
        <w:t xml:space="preserve"> as </w:t>
      </w:r>
      <w:r w:rsidR="006A4E72">
        <w:rPr>
          <w:rFonts w:asciiTheme="minorHAnsi" w:hAnsiTheme="minorHAnsi" w:cstheme="minorHAnsi"/>
          <w:color w:val="131413"/>
          <w:sz w:val="24"/>
          <w:szCs w:val="24"/>
          <w:lang w:val="en-GB" w:eastAsia="en-GB"/>
        </w:rPr>
        <w:t>dichotomous variables</w:t>
      </w:r>
      <w:r w:rsidR="00F2324D" w:rsidRPr="007545FA">
        <w:rPr>
          <w:rFonts w:asciiTheme="minorHAnsi" w:hAnsiTheme="minorHAnsi" w:cstheme="minorHAnsi"/>
          <w:color w:val="131413"/>
          <w:sz w:val="24"/>
          <w:szCs w:val="24"/>
          <w:lang w:val="en-GB" w:eastAsia="en-GB"/>
        </w:rPr>
        <w:t xml:space="preserve">. </w:t>
      </w:r>
      <w:r w:rsidR="00B574CA" w:rsidRPr="007545FA">
        <w:rPr>
          <w:rFonts w:asciiTheme="minorHAnsi" w:hAnsiTheme="minorHAnsi" w:cstheme="minorHAnsi"/>
          <w:color w:val="131413"/>
          <w:sz w:val="24"/>
          <w:szCs w:val="24"/>
          <w:lang w:val="en-GB" w:eastAsia="en-GB"/>
        </w:rPr>
        <w:t>For f</w:t>
      </w:r>
      <w:r w:rsidR="00306042" w:rsidRPr="007545FA">
        <w:rPr>
          <w:rFonts w:asciiTheme="minorHAnsi" w:hAnsiTheme="minorHAnsi" w:cstheme="minorHAnsi"/>
          <w:color w:val="131413"/>
          <w:sz w:val="24"/>
          <w:szCs w:val="24"/>
          <w:lang w:val="en-GB" w:eastAsia="en-GB"/>
        </w:rPr>
        <w:t>amily history of hip fracture</w:t>
      </w:r>
      <w:r w:rsidR="003221FA">
        <w:rPr>
          <w:rFonts w:asciiTheme="minorHAnsi" w:hAnsiTheme="minorHAnsi" w:cstheme="minorHAnsi"/>
          <w:color w:val="131413"/>
          <w:sz w:val="24"/>
          <w:szCs w:val="24"/>
          <w:lang w:val="en-GB" w:eastAsia="en-GB"/>
        </w:rPr>
        <w:t>,</w:t>
      </w:r>
      <w:r w:rsidR="00306042" w:rsidRPr="007545FA">
        <w:rPr>
          <w:rFonts w:asciiTheme="minorHAnsi" w:hAnsiTheme="minorHAnsi" w:cstheme="minorHAnsi"/>
          <w:color w:val="131413"/>
          <w:sz w:val="24"/>
          <w:szCs w:val="24"/>
          <w:lang w:val="en-GB" w:eastAsia="en-GB"/>
        </w:rPr>
        <w:t xml:space="preserve"> </w:t>
      </w:r>
      <w:r w:rsidR="00B574CA" w:rsidRPr="007545FA">
        <w:rPr>
          <w:rFonts w:asciiTheme="minorHAnsi" w:hAnsiTheme="minorHAnsi" w:cstheme="minorHAnsi"/>
          <w:color w:val="131413"/>
          <w:sz w:val="24"/>
          <w:szCs w:val="24"/>
          <w:lang w:val="en-GB" w:eastAsia="en-GB"/>
        </w:rPr>
        <w:t>the associations between the variable and age and previous fracture w</w:t>
      </w:r>
      <w:r w:rsidR="003221FA">
        <w:rPr>
          <w:rFonts w:asciiTheme="minorHAnsi" w:hAnsiTheme="minorHAnsi" w:cstheme="minorHAnsi"/>
          <w:color w:val="131413"/>
          <w:sz w:val="24"/>
          <w:szCs w:val="24"/>
          <w:lang w:val="en-GB" w:eastAsia="en-GB"/>
        </w:rPr>
        <w:t>ere</w:t>
      </w:r>
      <w:r w:rsidR="00B574CA" w:rsidRPr="007545FA">
        <w:rPr>
          <w:rFonts w:asciiTheme="minorHAnsi" w:hAnsiTheme="minorHAnsi" w:cstheme="minorHAnsi"/>
          <w:color w:val="131413"/>
          <w:sz w:val="24"/>
          <w:szCs w:val="24"/>
          <w:lang w:val="en-GB" w:eastAsia="en-GB"/>
        </w:rPr>
        <w:t xml:space="preserve"> used.</w:t>
      </w:r>
      <w:r w:rsidR="003221FA">
        <w:rPr>
          <w:rFonts w:asciiTheme="minorHAnsi" w:hAnsiTheme="minorHAnsi" w:cstheme="minorHAnsi"/>
          <w:color w:val="131413"/>
          <w:sz w:val="24"/>
          <w:szCs w:val="24"/>
          <w:lang w:val="en-GB" w:eastAsia="en-GB"/>
        </w:rPr>
        <w:t xml:space="preserve"> </w:t>
      </w:r>
      <w:r w:rsidR="003C65A6">
        <w:rPr>
          <w:rFonts w:asciiTheme="minorHAnsi" w:hAnsiTheme="minorHAnsi" w:cstheme="minorHAnsi"/>
          <w:color w:val="131413"/>
          <w:sz w:val="24"/>
          <w:szCs w:val="24"/>
          <w:lang w:val="en-GB" w:eastAsia="en-GB"/>
        </w:rPr>
        <w:t xml:space="preserve"> </w:t>
      </w:r>
      <w:r w:rsidR="00B574CA" w:rsidRPr="007545FA">
        <w:rPr>
          <w:rFonts w:asciiTheme="minorHAnsi" w:hAnsiTheme="minorHAnsi" w:cstheme="minorHAnsi"/>
          <w:color w:val="131413"/>
          <w:sz w:val="24"/>
          <w:szCs w:val="24"/>
          <w:lang w:val="en-GB" w:eastAsia="en-GB"/>
        </w:rPr>
        <w:t xml:space="preserve">For </w:t>
      </w:r>
      <w:r w:rsidR="005C0AD8">
        <w:rPr>
          <w:rFonts w:asciiTheme="minorHAnsi" w:hAnsiTheme="minorHAnsi" w:cstheme="minorHAnsi"/>
          <w:color w:val="131413"/>
          <w:sz w:val="24"/>
          <w:szCs w:val="24"/>
          <w:lang w:val="en-GB" w:eastAsia="en-GB"/>
        </w:rPr>
        <w:t>glucocorticoid</w:t>
      </w:r>
      <w:r w:rsidR="00B574CA" w:rsidRPr="007545FA">
        <w:rPr>
          <w:rFonts w:asciiTheme="minorHAnsi" w:hAnsiTheme="minorHAnsi" w:cstheme="minorHAnsi"/>
          <w:color w:val="131413"/>
          <w:sz w:val="24"/>
          <w:szCs w:val="24"/>
          <w:lang w:val="en-GB" w:eastAsia="en-GB"/>
        </w:rPr>
        <w:t xml:space="preserve"> use</w:t>
      </w:r>
      <w:r w:rsidR="003221FA">
        <w:rPr>
          <w:rFonts w:asciiTheme="minorHAnsi" w:hAnsiTheme="minorHAnsi" w:cstheme="minorHAnsi"/>
          <w:color w:val="131413"/>
          <w:sz w:val="24"/>
          <w:szCs w:val="24"/>
          <w:lang w:val="en-GB" w:eastAsia="en-GB"/>
        </w:rPr>
        <w:t>,</w:t>
      </w:r>
      <w:r w:rsidR="00B574CA" w:rsidRPr="007545FA">
        <w:rPr>
          <w:rFonts w:asciiTheme="minorHAnsi" w:hAnsiTheme="minorHAnsi" w:cstheme="minorHAnsi"/>
          <w:color w:val="131413"/>
          <w:sz w:val="24"/>
          <w:szCs w:val="24"/>
          <w:lang w:val="en-GB" w:eastAsia="en-GB"/>
        </w:rPr>
        <w:t xml:space="preserve"> the associations between the variable and age, sex and BMI w</w:t>
      </w:r>
      <w:r w:rsidR="003221FA">
        <w:rPr>
          <w:rFonts w:asciiTheme="minorHAnsi" w:hAnsiTheme="minorHAnsi" w:cstheme="minorHAnsi"/>
          <w:color w:val="131413"/>
          <w:sz w:val="24"/>
          <w:szCs w:val="24"/>
          <w:lang w:val="en-GB" w:eastAsia="en-GB"/>
        </w:rPr>
        <w:t>ere</w:t>
      </w:r>
      <w:r w:rsidR="00B574CA" w:rsidRPr="007545FA">
        <w:rPr>
          <w:rFonts w:asciiTheme="minorHAnsi" w:hAnsiTheme="minorHAnsi" w:cstheme="minorHAnsi"/>
          <w:color w:val="131413"/>
          <w:sz w:val="24"/>
          <w:szCs w:val="24"/>
          <w:lang w:val="en-GB" w:eastAsia="en-GB"/>
        </w:rPr>
        <w:t xml:space="preserve"> used.</w:t>
      </w:r>
      <w:r w:rsidR="003221FA" w:rsidRPr="007545FA">
        <w:rPr>
          <w:rFonts w:asciiTheme="minorHAnsi" w:hAnsiTheme="minorHAnsi" w:cstheme="minorHAnsi"/>
          <w:color w:val="131413"/>
          <w:sz w:val="24"/>
          <w:szCs w:val="24"/>
          <w:lang w:val="en-GB" w:eastAsia="en-GB"/>
        </w:rPr>
        <w:t xml:space="preserve"> </w:t>
      </w:r>
      <w:r w:rsidR="00F57014">
        <w:rPr>
          <w:rFonts w:asciiTheme="minorHAnsi" w:hAnsiTheme="minorHAnsi" w:cstheme="minorHAnsi"/>
          <w:color w:val="131413"/>
          <w:sz w:val="24"/>
          <w:szCs w:val="24"/>
          <w:lang w:val="en-GB" w:eastAsia="en-GB"/>
        </w:rPr>
        <w:t xml:space="preserve"> </w:t>
      </w:r>
      <w:r w:rsidR="00B574CA" w:rsidRPr="007545FA">
        <w:rPr>
          <w:rFonts w:asciiTheme="minorHAnsi" w:hAnsiTheme="minorHAnsi" w:cstheme="minorHAnsi"/>
          <w:color w:val="131413"/>
          <w:sz w:val="24"/>
          <w:szCs w:val="24"/>
          <w:lang w:val="en-GB" w:eastAsia="en-GB"/>
        </w:rPr>
        <w:t xml:space="preserve">For rheumatoid </w:t>
      </w:r>
      <w:r w:rsidR="003C65A6" w:rsidRPr="007545FA">
        <w:rPr>
          <w:rFonts w:asciiTheme="minorHAnsi" w:hAnsiTheme="minorHAnsi" w:cstheme="minorHAnsi"/>
          <w:color w:val="131413"/>
          <w:sz w:val="24"/>
          <w:szCs w:val="24"/>
          <w:lang w:val="en-GB" w:eastAsia="en-GB"/>
        </w:rPr>
        <w:t>arthritis,</w:t>
      </w:r>
      <w:r w:rsidR="00B574CA" w:rsidRPr="007545FA">
        <w:rPr>
          <w:rFonts w:asciiTheme="minorHAnsi" w:hAnsiTheme="minorHAnsi" w:cstheme="minorHAnsi"/>
          <w:color w:val="131413"/>
          <w:sz w:val="24"/>
          <w:szCs w:val="24"/>
          <w:lang w:val="en-GB" w:eastAsia="en-GB"/>
        </w:rPr>
        <w:t xml:space="preserve"> the associations between the variable and sex, BMI and previous fracture w</w:t>
      </w:r>
      <w:r w:rsidR="003221FA">
        <w:rPr>
          <w:rFonts w:asciiTheme="minorHAnsi" w:hAnsiTheme="minorHAnsi" w:cstheme="minorHAnsi"/>
          <w:color w:val="131413"/>
          <w:sz w:val="24"/>
          <w:szCs w:val="24"/>
          <w:lang w:val="en-GB" w:eastAsia="en-GB"/>
        </w:rPr>
        <w:t>ere</w:t>
      </w:r>
      <w:r w:rsidR="00B574CA" w:rsidRPr="007545FA">
        <w:rPr>
          <w:rFonts w:asciiTheme="minorHAnsi" w:hAnsiTheme="minorHAnsi" w:cstheme="minorHAnsi"/>
          <w:color w:val="131413"/>
          <w:sz w:val="24"/>
          <w:szCs w:val="24"/>
          <w:lang w:val="en-GB" w:eastAsia="en-GB"/>
        </w:rPr>
        <w:t xml:space="preserve"> used.</w:t>
      </w:r>
      <w:r w:rsidR="003221FA" w:rsidRPr="007545FA">
        <w:rPr>
          <w:rFonts w:asciiTheme="minorHAnsi" w:hAnsiTheme="minorHAnsi" w:cstheme="minorHAnsi"/>
          <w:color w:val="131413"/>
          <w:sz w:val="24"/>
          <w:szCs w:val="24"/>
          <w:lang w:val="en-GB" w:eastAsia="en-GB"/>
        </w:rPr>
        <w:t xml:space="preserve"> </w:t>
      </w:r>
      <w:r w:rsidR="00F94C9F">
        <w:rPr>
          <w:rFonts w:asciiTheme="minorHAnsi" w:hAnsiTheme="minorHAnsi" w:cstheme="minorHAnsi"/>
          <w:color w:val="131413"/>
          <w:sz w:val="24"/>
          <w:szCs w:val="24"/>
          <w:lang w:val="en-GB" w:eastAsia="en-GB"/>
        </w:rPr>
        <w:t xml:space="preserve">Since the </w:t>
      </w:r>
      <w:r w:rsidR="000A52B2">
        <w:rPr>
          <w:rFonts w:asciiTheme="minorHAnsi" w:hAnsiTheme="minorHAnsi" w:cstheme="minorHAnsi"/>
          <w:color w:val="131413"/>
          <w:sz w:val="24"/>
          <w:szCs w:val="24"/>
          <w:lang w:val="en-GB" w:eastAsia="en-GB"/>
        </w:rPr>
        <w:t xml:space="preserve">weight of the dichotomous clinical risk factors is similar in men and women, </w:t>
      </w:r>
      <w:r w:rsidR="00722259">
        <w:rPr>
          <w:rFonts w:asciiTheme="minorHAnsi" w:hAnsiTheme="minorHAnsi" w:cstheme="minorHAnsi"/>
          <w:color w:val="131413"/>
          <w:sz w:val="24"/>
          <w:szCs w:val="24"/>
          <w:lang w:val="en-GB" w:eastAsia="en-GB"/>
        </w:rPr>
        <w:t>the logistic regressions were determined from Mr an</w:t>
      </w:r>
      <w:r w:rsidR="00166D74">
        <w:rPr>
          <w:rFonts w:asciiTheme="minorHAnsi" w:hAnsiTheme="minorHAnsi" w:cstheme="minorHAnsi"/>
          <w:color w:val="131413"/>
          <w:sz w:val="24"/>
          <w:szCs w:val="24"/>
          <w:lang w:val="en-GB" w:eastAsia="en-GB"/>
        </w:rPr>
        <w:t>d Ms OS combined</w:t>
      </w:r>
      <w:r w:rsidR="009C4F5D" w:rsidRPr="009C4F5D">
        <w:t xml:space="preserve"> </w:t>
      </w:r>
      <w:r w:rsidR="009C4F5D">
        <w:t xml:space="preserve">to </w:t>
      </w:r>
      <w:r w:rsidR="009C4F5D" w:rsidRPr="009C4F5D">
        <w:rPr>
          <w:rFonts w:asciiTheme="minorHAnsi" w:hAnsiTheme="minorHAnsi" w:cstheme="minorHAnsi"/>
          <w:color w:val="131413"/>
          <w:sz w:val="24"/>
          <w:szCs w:val="24"/>
          <w:lang w:val="en-GB" w:eastAsia="en-GB"/>
        </w:rPr>
        <w:t>provide greater power to determine the logistic regressions to be used.</w:t>
      </w:r>
    </w:p>
    <w:p w14:paraId="63CFBA96" w14:textId="77777777" w:rsidR="00941978" w:rsidRDefault="00941978" w:rsidP="00827EF0">
      <w:pPr>
        <w:autoSpaceDE w:val="0"/>
        <w:autoSpaceDN w:val="0"/>
        <w:adjustRightInd w:val="0"/>
        <w:spacing w:after="0"/>
        <w:ind w:left="1134"/>
        <w:rPr>
          <w:rFonts w:asciiTheme="minorHAnsi" w:hAnsiTheme="minorHAnsi" w:cstheme="minorHAnsi"/>
          <w:color w:val="131413"/>
          <w:sz w:val="24"/>
          <w:szCs w:val="24"/>
          <w:lang w:val="en-GB" w:eastAsia="en-GB"/>
        </w:rPr>
      </w:pPr>
    </w:p>
    <w:p w14:paraId="1FBB30AF" w14:textId="01D69C8D" w:rsidR="00083A8C" w:rsidRDefault="00F2324D" w:rsidP="00827EF0">
      <w:pPr>
        <w:autoSpaceDE w:val="0"/>
        <w:autoSpaceDN w:val="0"/>
        <w:adjustRightInd w:val="0"/>
        <w:spacing w:after="0"/>
        <w:ind w:left="1134"/>
        <w:rPr>
          <w:rFonts w:asciiTheme="minorHAnsi" w:hAnsiTheme="minorHAnsi" w:cstheme="minorHAnsi"/>
          <w:color w:val="131413"/>
          <w:sz w:val="24"/>
          <w:szCs w:val="24"/>
          <w:lang w:val="en-GB" w:eastAsia="en-GB"/>
        </w:rPr>
      </w:pPr>
      <w:r w:rsidRPr="007545FA">
        <w:rPr>
          <w:rFonts w:asciiTheme="minorHAnsi" w:hAnsiTheme="minorHAnsi" w:cstheme="minorHAnsi"/>
          <w:color w:val="131413"/>
          <w:sz w:val="24"/>
          <w:szCs w:val="24"/>
          <w:lang w:val="en-GB" w:eastAsia="en-GB"/>
        </w:rPr>
        <w:t>The equations identified in the logistic regressions for</w:t>
      </w:r>
      <w:r w:rsidR="00B574CA" w:rsidRPr="007545FA">
        <w:rPr>
          <w:rFonts w:asciiTheme="minorHAnsi" w:hAnsiTheme="minorHAnsi" w:cstheme="minorHAnsi"/>
          <w:color w:val="131413"/>
          <w:sz w:val="24"/>
          <w:szCs w:val="24"/>
          <w:lang w:val="en-GB" w:eastAsia="en-GB"/>
        </w:rPr>
        <w:t xml:space="preserve"> </w:t>
      </w:r>
      <w:r w:rsidRPr="007545FA">
        <w:rPr>
          <w:rFonts w:asciiTheme="minorHAnsi" w:hAnsiTheme="minorHAnsi" w:cstheme="minorHAnsi"/>
          <w:color w:val="131413"/>
          <w:sz w:val="24"/>
          <w:szCs w:val="24"/>
          <w:lang w:val="en-GB" w:eastAsia="en-GB"/>
        </w:rPr>
        <w:t>the dichotomous risk factors were then applied to the</w:t>
      </w:r>
      <w:r w:rsidR="00B574CA" w:rsidRPr="007545FA">
        <w:rPr>
          <w:rFonts w:asciiTheme="minorHAnsi" w:hAnsiTheme="minorHAnsi" w:cstheme="minorHAnsi"/>
          <w:color w:val="131413"/>
          <w:sz w:val="24"/>
          <w:szCs w:val="24"/>
          <w:lang w:val="en-GB" w:eastAsia="en-GB"/>
        </w:rPr>
        <w:t xml:space="preserve"> </w:t>
      </w:r>
      <w:r w:rsidRPr="007545FA">
        <w:rPr>
          <w:rFonts w:asciiTheme="minorHAnsi" w:hAnsiTheme="minorHAnsi" w:cstheme="minorHAnsi"/>
          <w:color w:val="131413"/>
          <w:sz w:val="24"/>
          <w:szCs w:val="24"/>
          <w:lang w:val="en-GB" w:eastAsia="en-GB"/>
        </w:rPr>
        <w:t xml:space="preserve">measured risk factor data in the </w:t>
      </w:r>
      <w:bookmarkStart w:id="3" w:name="_Hlk35432595"/>
      <w:r w:rsidR="00B574CA" w:rsidRPr="007545FA">
        <w:rPr>
          <w:rFonts w:asciiTheme="minorHAnsi" w:hAnsiTheme="minorHAnsi" w:cstheme="minorHAnsi"/>
          <w:color w:val="131413"/>
          <w:sz w:val="24"/>
          <w:szCs w:val="24"/>
          <w:lang w:val="en-GB" w:eastAsia="en-GB"/>
        </w:rPr>
        <w:t>SCHS cohort</w:t>
      </w:r>
      <w:r w:rsidRPr="007545FA">
        <w:rPr>
          <w:rFonts w:asciiTheme="minorHAnsi" w:hAnsiTheme="minorHAnsi" w:cstheme="minorHAnsi"/>
          <w:color w:val="131413"/>
          <w:sz w:val="24"/>
          <w:szCs w:val="24"/>
          <w:lang w:val="en-GB" w:eastAsia="en-GB"/>
        </w:rPr>
        <w:t xml:space="preserve"> </w:t>
      </w:r>
      <w:bookmarkEnd w:id="3"/>
      <w:r w:rsidRPr="007545FA">
        <w:rPr>
          <w:rFonts w:asciiTheme="minorHAnsi" w:hAnsiTheme="minorHAnsi" w:cstheme="minorHAnsi"/>
          <w:color w:val="131413"/>
          <w:sz w:val="24"/>
          <w:szCs w:val="24"/>
          <w:lang w:val="en-GB" w:eastAsia="en-GB"/>
        </w:rPr>
        <w:t>to</w:t>
      </w:r>
      <w:r w:rsidR="00B574CA" w:rsidRPr="007545FA">
        <w:rPr>
          <w:rFonts w:asciiTheme="minorHAnsi" w:hAnsiTheme="minorHAnsi" w:cstheme="minorHAnsi"/>
          <w:color w:val="131413"/>
          <w:sz w:val="24"/>
          <w:szCs w:val="24"/>
          <w:lang w:val="en-GB" w:eastAsia="en-GB"/>
        </w:rPr>
        <w:t xml:space="preserve"> </w:t>
      </w:r>
      <w:r w:rsidRPr="007545FA">
        <w:rPr>
          <w:rFonts w:asciiTheme="minorHAnsi" w:hAnsiTheme="minorHAnsi" w:cstheme="minorHAnsi"/>
          <w:color w:val="131413"/>
          <w:sz w:val="24"/>
          <w:szCs w:val="24"/>
          <w:lang w:val="en-GB" w:eastAsia="en-GB"/>
        </w:rPr>
        <w:t xml:space="preserve">predict the </w:t>
      </w:r>
      <w:r w:rsidR="00FA211F">
        <w:rPr>
          <w:rFonts w:asciiTheme="minorHAnsi" w:hAnsiTheme="minorHAnsi" w:cstheme="minorHAnsi"/>
          <w:color w:val="131413"/>
          <w:sz w:val="24"/>
          <w:szCs w:val="24"/>
          <w:lang w:val="en-GB" w:eastAsia="en-GB"/>
        </w:rPr>
        <w:t>likelihood</w:t>
      </w:r>
      <w:r w:rsidRPr="007545FA">
        <w:rPr>
          <w:rFonts w:asciiTheme="minorHAnsi" w:hAnsiTheme="minorHAnsi" w:cstheme="minorHAnsi"/>
          <w:color w:val="131413"/>
          <w:sz w:val="24"/>
          <w:szCs w:val="24"/>
          <w:lang w:val="en-GB" w:eastAsia="en-GB"/>
        </w:rPr>
        <w:t xml:space="preserve"> of having a positive value for the</w:t>
      </w:r>
      <w:r w:rsidR="00B574CA" w:rsidRPr="007545FA">
        <w:rPr>
          <w:rFonts w:asciiTheme="minorHAnsi" w:hAnsiTheme="minorHAnsi" w:cstheme="minorHAnsi"/>
          <w:color w:val="131413"/>
          <w:sz w:val="24"/>
          <w:szCs w:val="24"/>
          <w:lang w:val="en-GB" w:eastAsia="en-GB"/>
        </w:rPr>
        <w:t xml:space="preserve"> </w:t>
      </w:r>
      <w:r w:rsidRPr="007545FA">
        <w:rPr>
          <w:rFonts w:asciiTheme="minorHAnsi" w:hAnsiTheme="minorHAnsi" w:cstheme="minorHAnsi"/>
          <w:color w:val="131413"/>
          <w:sz w:val="24"/>
          <w:szCs w:val="24"/>
          <w:lang w:val="en-GB" w:eastAsia="en-GB"/>
        </w:rPr>
        <w:t xml:space="preserve">missing key risk factor for each </w:t>
      </w:r>
      <w:r w:rsidR="00FA211F">
        <w:rPr>
          <w:rFonts w:asciiTheme="minorHAnsi" w:hAnsiTheme="minorHAnsi" w:cstheme="minorHAnsi"/>
          <w:color w:val="131413"/>
          <w:sz w:val="24"/>
          <w:szCs w:val="24"/>
          <w:lang w:val="en-GB" w:eastAsia="en-GB"/>
        </w:rPr>
        <w:t>individual</w:t>
      </w:r>
      <w:r w:rsidRPr="007545FA">
        <w:rPr>
          <w:rFonts w:asciiTheme="minorHAnsi" w:hAnsiTheme="minorHAnsi" w:cstheme="minorHAnsi"/>
          <w:color w:val="131413"/>
          <w:sz w:val="24"/>
          <w:szCs w:val="24"/>
          <w:lang w:val="en-GB" w:eastAsia="en-GB"/>
        </w:rPr>
        <w:t>. Next, a random</w:t>
      </w:r>
      <w:r w:rsidR="00B574CA" w:rsidRPr="007545FA">
        <w:rPr>
          <w:rFonts w:asciiTheme="minorHAnsi" w:hAnsiTheme="minorHAnsi" w:cstheme="minorHAnsi"/>
          <w:color w:val="131413"/>
          <w:sz w:val="24"/>
          <w:szCs w:val="24"/>
          <w:lang w:val="en-GB" w:eastAsia="en-GB"/>
        </w:rPr>
        <w:t xml:space="preserve"> </w:t>
      </w:r>
      <w:r w:rsidRPr="007545FA">
        <w:rPr>
          <w:rFonts w:asciiTheme="minorHAnsi" w:hAnsiTheme="minorHAnsi" w:cstheme="minorHAnsi"/>
          <w:color w:val="131413"/>
          <w:sz w:val="24"/>
          <w:szCs w:val="24"/>
          <w:lang w:val="en-GB" w:eastAsia="en-GB"/>
        </w:rPr>
        <w:t>number was generated using a computer program</w:t>
      </w:r>
      <w:r w:rsidR="000E5C2A">
        <w:rPr>
          <w:rFonts w:asciiTheme="minorHAnsi" w:hAnsiTheme="minorHAnsi" w:cstheme="minorHAnsi"/>
          <w:color w:val="131413"/>
          <w:sz w:val="24"/>
          <w:szCs w:val="24"/>
          <w:lang w:val="en-GB" w:eastAsia="en-GB"/>
        </w:rPr>
        <w:t>me</w:t>
      </w:r>
      <w:r w:rsidRPr="007545FA">
        <w:rPr>
          <w:rFonts w:asciiTheme="minorHAnsi" w:hAnsiTheme="minorHAnsi" w:cstheme="minorHAnsi"/>
          <w:color w:val="131413"/>
          <w:sz w:val="24"/>
          <w:szCs w:val="24"/>
          <w:lang w:val="en-GB" w:eastAsia="en-GB"/>
        </w:rPr>
        <w:t>, which</w:t>
      </w:r>
      <w:r w:rsidR="00B574CA" w:rsidRPr="007545FA">
        <w:rPr>
          <w:rFonts w:asciiTheme="minorHAnsi" w:hAnsiTheme="minorHAnsi" w:cstheme="minorHAnsi"/>
          <w:color w:val="131413"/>
          <w:sz w:val="24"/>
          <w:szCs w:val="24"/>
          <w:lang w:val="en-GB" w:eastAsia="en-GB"/>
        </w:rPr>
        <w:t xml:space="preserve"> </w:t>
      </w:r>
      <w:r w:rsidRPr="007545FA">
        <w:rPr>
          <w:rFonts w:asciiTheme="minorHAnsi" w:hAnsiTheme="minorHAnsi" w:cstheme="minorHAnsi"/>
          <w:color w:val="131413"/>
          <w:sz w:val="24"/>
          <w:szCs w:val="24"/>
          <w:lang w:val="en-GB" w:eastAsia="en-GB"/>
        </w:rPr>
        <w:t xml:space="preserve">was then compared with the predicted </w:t>
      </w:r>
      <w:r w:rsidR="001F2BC3">
        <w:rPr>
          <w:rFonts w:asciiTheme="minorHAnsi" w:hAnsiTheme="minorHAnsi" w:cstheme="minorHAnsi"/>
          <w:color w:val="131413"/>
          <w:sz w:val="24"/>
          <w:szCs w:val="24"/>
          <w:lang w:val="en-GB" w:eastAsia="en-GB"/>
        </w:rPr>
        <w:t>likelihood</w:t>
      </w:r>
      <w:r w:rsidRPr="007545FA">
        <w:rPr>
          <w:rFonts w:asciiTheme="minorHAnsi" w:hAnsiTheme="minorHAnsi" w:cstheme="minorHAnsi"/>
          <w:color w:val="131413"/>
          <w:sz w:val="24"/>
          <w:szCs w:val="24"/>
          <w:lang w:val="en-GB" w:eastAsia="en-GB"/>
        </w:rPr>
        <w:t xml:space="preserve"> for that</w:t>
      </w:r>
      <w:r w:rsidR="003221FA">
        <w:rPr>
          <w:rFonts w:asciiTheme="minorHAnsi" w:hAnsiTheme="minorHAnsi" w:cstheme="minorHAnsi"/>
          <w:color w:val="131413"/>
          <w:sz w:val="24"/>
          <w:szCs w:val="24"/>
          <w:lang w:val="en-GB" w:eastAsia="en-GB"/>
        </w:rPr>
        <w:t xml:space="preserve"> </w:t>
      </w:r>
      <w:r w:rsidRPr="007545FA">
        <w:rPr>
          <w:rFonts w:asciiTheme="minorHAnsi" w:hAnsiTheme="minorHAnsi" w:cstheme="minorHAnsi"/>
          <w:color w:val="131413"/>
          <w:sz w:val="24"/>
          <w:szCs w:val="24"/>
          <w:lang w:val="en-GB" w:eastAsia="en-GB"/>
        </w:rPr>
        <w:t xml:space="preserve">variable for that </w:t>
      </w:r>
      <w:r w:rsidR="001F2BC3">
        <w:rPr>
          <w:rFonts w:asciiTheme="minorHAnsi" w:hAnsiTheme="minorHAnsi" w:cstheme="minorHAnsi"/>
          <w:color w:val="131413"/>
          <w:sz w:val="24"/>
          <w:szCs w:val="24"/>
          <w:lang w:val="en-GB" w:eastAsia="en-GB"/>
        </w:rPr>
        <w:t>individual</w:t>
      </w:r>
      <w:r w:rsidRPr="007545FA">
        <w:rPr>
          <w:rFonts w:asciiTheme="minorHAnsi" w:hAnsiTheme="minorHAnsi" w:cstheme="minorHAnsi"/>
          <w:color w:val="131413"/>
          <w:sz w:val="24"/>
          <w:szCs w:val="24"/>
          <w:lang w:val="en-GB" w:eastAsia="en-GB"/>
        </w:rPr>
        <w:t xml:space="preserve">. </w:t>
      </w:r>
      <w:r w:rsidR="00D3781C">
        <w:rPr>
          <w:rFonts w:asciiTheme="minorHAnsi" w:hAnsiTheme="minorHAnsi" w:cstheme="minorHAnsi"/>
          <w:color w:val="131413"/>
          <w:sz w:val="24"/>
          <w:szCs w:val="24"/>
          <w:lang w:val="en-GB" w:eastAsia="en-GB"/>
        </w:rPr>
        <w:t xml:space="preserve"> </w:t>
      </w:r>
      <w:r w:rsidRPr="007545FA">
        <w:rPr>
          <w:rFonts w:asciiTheme="minorHAnsi" w:hAnsiTheme="minorHAnsi" w:cstheme="minorHAnsi"/>
          <w:color w:val="131413"/>
          <w:sz w:val="24"/>
          <w:szCs w:val="24"/>
          <w:lang w:val="en-GB" w:eastAsia="en-GB"/>
        </w:rPr>
        <w:t>If the random number was less</w:t>
      </w:r>
      <w:r w:rsidR="00B574CA" w:rsidRPr="007545FA">
        <w:rPr>
          <w:rFonts w:asciiTheme="minorHAnsi" w:hAnsiTheme="minorHAnsi" w:cstheme="minorHAnsi"/>
          <w:color w:val="131413"/>
          <w:sz w:val="24"/>
          <w:szCs w:val="24"/>
          <w:lang w:val="en-GB" w:eastAsia="en-GB"/>
        </w:rPr>
        <w:t xml:space="preserve"> </w:t>
      </w:r>
      <w:r w:rsidRPr="007545FA">
        <w:rPr>
          <w:rFonts w:asciiTheme="minorHAnsi" w:hAnsiTheme="minorHAnsi" w:cstheme="minorHAnsi"/>
          <w:color w:val="131413"/>
          <w:sz w:val="24"/>
          <w:szCs w:val="24"/>
          <w:lang w:val="en-GB" w:eastAsia="en-GB"/>
        </w:rPr>
        <w:t xml:space="preserve">than or equal to the predicted probability, the </w:t>
      </w:r>
      <w:r w:rsidR="000E5C2A">
        <w:rPr>
          <w:rFonts w:asciiTheme="minorHAnsi" w:hAnsiTheme="minorHAnsi" w:cstheme="minorHAnsi"/>
          <w:color w:val="131413"/>
          <w:sz w:val="24"/>
          <w:szCs w:val="24"/>
          <w:lang w:val="en-GB" w:eastAsia="en-GB"/>
        </w:rPr>
        <w:t>woman</w:t>
      </w:r>
      <w:r w:rsidR="00B574CA" w:rsidRPr="007545FA">
        <w:rPr>
          <w:rFonts w:asciiTheme="minorHAnsi" w:hAnsiTheme="minorHAnsi" w:cstheme="minorHAnsi"/>
          <w:color w:val="131413"/>
          <w:sz w:val="24"/>
          <w:szCs w:val="24"/>
          <w:lang w:val="en-GB" w:eastAsia="en-GB"/>
        </w:rPr>
        <w:t xml:space="preserve"> </w:t>
      </w:r>
      <w:r w:rsidRPr="007545FA">
        <w:rPr>
          <w:rFonts w:asciiTheme="minorHAnsi" w:hAnsiTheme="minorHAnsi" w:cstheme="minorHAnsi"/>
          <w:color w:val="131413"/>
          <w:sz w:val="24"/>
          <w:szCs w:val="24"/>
          <w:lang w:val="en-GB" w:eastAsia="en-GB"/>
        </w:rPr>
        <w:t xml:space="preserve">was assigned a positive value for the risk factor. </w:t>
      </w:r>
      <w:r w:rsidR="00D3781C">
        <w:rPr>
          <w:rFonts w:asciiTheme="minorHAnsi" w:hAnsiTheme="minorHAnsi" w:cstheme="minorHAnsi"/>
          <w:color w:val="131413"/>
          <w:sz w:val="24"/>
          <w:szCs w:val="24"/>
          <w:lang w:val="en-GB" w:eastAsia="en-GB"/>
        </w:rPr>
        <w:t xml:space="preserve"> </w:t>
      </w:r>
      <w:r w:rsidRPr="007545FA">
        <w:rPr>
          <w:rFonts w:asciiTheme="minorHAnsi" w:hAnsiTheme="minorHAnsi" w:cstheme="minorHAnsi"/>
          <w:color w:val="131413"/>
          <w:sz w:val="24"/>
          <w:szCs w:val="24"/>
          <w:lang w:val="en-GB" w:eastAsia="en-GB"/>
        </w:rPr>
        <w:t>If the</w:t>
      </w:r>
      <w:r w:rsidR="00B574CA" w:rsidRPr="007545FA">
        <w:rPr>
          <w:rFonts w:asciiTheme="minorHAnsi" w:hAnsiTheme="minorHAnsi" w:cstheme="minorHAnsi"/>
          <w:color w:val="131413"/>
          <w:sz w:val="24"/>
          <w:szCs w:val="24"/>
          <w:lang w:val="en-GB" w:eastAsia="en-GB"/>
        </w:rPr>
        <w:t xml:space="preserve"> </w:t>
      </w:r>
      <w:r w:rsidRPr="007545FA">
        <w:rPr>
          <w:rFonts w:asciiTheme="minorHAnsi" w:hAnsiTheme="minorHAnsi" w:cstheme="minorHAnsi"/>
          <w:color w:val="131413"/>
          <w:sz w:val="24"/>
          <w:szCs w:val="24"/>
          <w:lang w:val="en-GB" w:eastAsia="en-GB"/>
        </w:rPr>
        <w:lastRenderedPageBreak/>
        <w:t xml:space="preserve">random number was </w:t>
      </w:r>
      <w:r w:rsidR="009B13AA">
        <w:rPr>
          <w:rFonts w:asciiTheme="minorHAnsi" w:hAnsiTheme="minorHAnsi" w:cstheme="minorHAnsi"/>
          <w:color w:val="131413"/>
          <w:sz w:val="24"/>
          <w:szCs w:val="24"/>
          <w:lang w:val="en-GB" w:eastAsia="en-GB"/>
        </w:rPr>
        <w:t>greater</w:t>
      </w:r>
      <w:r w:rsidRPr="007545FA">
        <w:rPr>
          <w:rFonts w:asciiTheme="minorHAnsi" w:hAnsiTheme="minorHAnsi" w:cstheme="minorHAnsi"/>
          <w:color w:val="131413"/>
          <w:sz w:val="24"/>
          <w:szCs w:val="24"/>
          <w:lang w:val="en-GB" w:eastAsia="en-GB"/>
        </w:rPr>
        <w:t xml:space="preserve"> than the predicted probability, the</w:t>
      </w:r>
      <w:r w:rsidR="00B574CA" w:rsidRPr="007545FA">
        <w:rPr>
          <w:rFonts w:asciiTheme="minorHAnsi" w:hAnsiTheme="minorHAnsi" w:cstheme="minorHAnsi"/>
          <w:color w:val="131413"/>
          <w:sz w:val="24"/>
          <w:szCs w:val="24"/>
          <w:lang w:val="en-GB" w:eastAsia="en-GB"/>
        </w:rPr>
        <w:t xml:space="preserve"> </w:t>
      </w:r>
      <w:r w:rsidR="000E5C2A">
        <w:rPr>
          <w:rFonts w:asciiTheme="minorHAnsi" w:hAnsiTheme="minorHAnsi" w:cstheme="minorHAnsi"/>
          <w:color w:val="131413"/>
          <w:sz w:val="24"/>
          <w:szCs w:val="24"/>
          <w:lang w:val="en-GB" w:eastAsia="en-GB"/>
        </w:rPr>
        <w:t>woma</w:t>
      </w:r>
      <w:r w:rsidR="004432AF">
        <w:rPr>
          <w:rFonts w:asciiTheme="minorHAnsi" w:hAnsiTheme="minorHAnsi" w:cstheme="minorHAnsi"/>
          <w:color w:val="131413"/>
          <w:sz w:val="24"/>
          <w:szCs w:val="24"/>
          <w:lang w:val="en-GB" w:eastAsia="en-GB"/>
        </w:rPr>
        <w:t>n</w:t>
      </w:r>
      <w:r w:rsidRPr="007545FA">
        <w:rPr>
          <w:rFonts w:asciiTheme="minorHAnsi" w:hAnsiTheme="minorHAnsi" w:cstheme="minorHAnsi"/>
          <w:color w:val="131413"/>
          <w:sz w:val="24"/>
          <w:szCs w:val="24"/>
          <w:lang w:val="en-GB" w:eastAsia="en-GB"/>
        </w:rPr>
        <w:t xml:space="preserve"> was assigned a negative value for the risk </w:t>
      </w:r>
      <w:r w:rsidR="006C0196" w:rsidRPr="007545FA">
        <w:rPr>
          <w:rFonts w:asciiTheme="minorHAnsi" w:hAnsiTheme="minorHAnsi" w:cstheme="minorHAnsi"/>
          <w:color w:val="131413"/>
          <w:sz w:val="24"/>
          <w:szCs w:val="24"/>
          <w:lang w:val="en-GB" w:eastAsia="en-GB"/>
        </w:rPr>
        <w:t>factor</w:t>
      </w:r>
      <w:r w:rsidR="006C0196">
        <w:rPr>
          <w:rFonts w:asciiTheme="minorHAnsi" w:hAnsiTheme="minorHAnsi" w:cstheme="minorHAnsi"/>
          <w:color w:val="131413"/>
          <w:sz w:val="24"/>
          <w:szCs w:val="24"/>
          <w:lang w:val="en-GB" w:eastAsia="en-GB"/>
        </w:rPr>
        <w:t>.</w:t>
      </w:r>
      <w:r w:rsidR="00F21732">
        <w:rPr>
          <w:rFonts w:asciiTheme="minorHAnsi" w:hAnsiTheme="minorHAnsi" w:cstheme="minorHAnsi"/>
          <w:color w:val="131413"/>
          <w:sz w:val="24"/>
          <w:szCs w:val="24"/>
          <w:lang w:val="en-GB" w:eastAsia="en-GB"/>
        </w:rPr>
        <w:t xml:space="preserve">  </w:t>
      </w:r>
      <w:r w:rsidR="00BF06EA">
        <w:rPr>
          <w:rFonts w:asciiTheme="minorHAnsi" w:hAnsiTheme="minorHAnsi" w:cstheme="minorHAnsi"/>
          <w:color w:val="131413"/>
          <w:sz w:val="24"/>
          <w:szCs w:val="24"/>
          <w:lang w:val="en-GB" w:eastAsia="en-GB"/>
        </w:rPr>
        <w:t xml:space="preserve">In this way </w:t>
      </w:r>
      <w:r w:rsidR="00784DD0">
        <w:rPr>
          <w:rFonts w:asciiTheme="minorHAnsi" w:hAnsiTheme="minorHAnsi" w:cstheme="minorHAnsi"/>
          <w:color w:val="131413"/>
          <w:sz w:val="24"/>
          <w:szCs w:val="24"/>
          <w:lang w:val="en-GB" w:eastAsia="en-GB"/>
        </w:rPr>
        <w:t xml:space="preserve">FRAX-based </w:t>
      </w:r>
      <w:r w:rsidR="00BF06EA">
        <w:rPr>
          <w:rFonts w:asciiTheme="minorHAnsi" w:hAnsiTheme="minorHAnsi" w:cstheme="minorHAnsi"/>
          <w:color w:val="131413"/>
          <w:sz w:val="24"/>
          <w:szCs w:val="24"/>
          <w:lang w:val="en-GB" w:eastAsia="en-GB"/>
        </w:rPr>
        <w:t>fracture probabilities</w:t>
      </w:r>
      <w:r w:rsidR="00515140">
        <w:rPr>
          <w:rFonts w:asciiTheme="minorHAnsi" w:hAnsiTheme="minorHAnsi" w:cstheme="minorHAnsi"/>
          <w:color w:val="131413"/>
          <w:sz w:val="24"/>
          <w:szCs w:val="24"/>
          <w:lang w:val="en-GB" w:eastAsia="en-GB"/>
        </w:rPr>
        <w:t xml:space="preserve"> (without BMD)</w:t>
      </w:r>
      <w:r w:rsidR="00784DD0">
        <w:rPr>
          <w:rFonts w:asciiTheme="minorHAnsi" w:hAnsiTheme="minorHAnsi" w:cstheme="minorHAnsi"/>
          <w:color w:val="131413"/>
          <w:sz w:val="24"/>
          <w:szCs w:val="24"/>
          <w:lang w:val="en-GB" w:eastAsia="en-GB"/>
        </w:rPr>
        <w:t xml:space="preserve"> could be computed for the</w:t>
      </w:r>
      <w:r w:rsidR="00784DD0" w:rsidRPr="00784DD0">
        <w:t xml:space="preserve"> </w:t>
      </w:r>
      <w:r w:rsidR="00784DD0" w:rsidRPr="00784DD0">
        <w:rPr>
          <w:rFonts w:asciiTheme="minorHAnsi" w:hAnsiTheme="minorHAnsi" w:cstheme="minorHAnsi"/>
          <w:color w:val="131413"/>
          <w:sz w:val="24"/>
          <w:szCs w:val="24"/>
          <w:lang w:val="en-GB" w:eastAsia="en-GB"/>
        </w:rPr>
        <w:t>SCHS cohort</w:t>
      </w:r>
      <w:r w:rsidR="002A7592">
        <w:rPr>
          <w:rFonts w:asciiTheme="minorHAnsi" w:hAnsiTheme="minorHAnsi" w:cstheme="minorHAnsi"/>
          <w:color w:val="131413"/>
          <w:sz w:val="24"/>
          <w:szCs w:val="24"/>
          <w:lang w:val="en-GB" w:eastAsia="en-GB"/>
        </w:rPr>
        <w:t xml:space="preserve">. </w:t>
      </w:r>
      <w:r w:rsidR="00D3781C">
        <w:rPr>
          <w:rFonts w:asciiTheme="minorHAnsi" w:hAnsiTheme="minorHAnsi" w:cstheme="minorHAnsi"/>
          <w:color w:val="131413"/>
          <w:sz w:val="24"/>
          <w:szCs w:val="24"/>
          <w:lang w:val="en-GB" w:eastAsia="en-GB"/>
        </w:rPr>
        <w:t xml:space="preserve"> </w:t>
      </w:r>
      <w:r w:rsidR="007641F4">
        <w:rPr>
          <w:rFonts w:asciiTheme="minorHAnsi" w:hAnsiTheme="minorHAnsi" w:cstheme="minorHAnsi"/>
          <w:color w:val="131413"/>
          <w:sz w:val="24"/>
          <w:szCs w:val="24"/>
          <w:lang w:val="en-GB" w:eastAsia="en-GB"/>
        </w:rPr>
        <w:t>The adequacy</w:t>
      </w:r>
      <w:r w:rsidR="00252F8A">
        <w:rPr>
          <w:rFonts w:asciiTheme="minorHAnsi" w:hAnsiTheme="minorHAnsi" w:cstheme="minorHAnsi"/>
          <w:color w:val="131413"/>
          <w:sz w:val="24"/>
          <w:szCs w:val="24"/>
          <w:lang w:val="en-GB" w:eastAsia="en-GB"/>
        </w:rPr>
        <w:t xml:space="preserve"> of the </w:t>
      </w:r>
      <w:r w:rsidR="00F42320">
        <w:rPr>
          <w:rFonts w:asciiTheme="minorHAnsi" w:hAnsiTheme="minorHAnsi" w:cstheme="minorHAnsi"/>
          <w:color w:val="131413"/>
          <w:sz w:val="24"/>
          <w:szCs w:val="24"/>
          <w:lang w:val="en-GB" w:eastAsia="en-GB"/>
        </w:rPr>
        <w:t xml:space="preserve">simulations was </w:t>
      </w:r>
      <w:r w:rsidR="00F53160">
        <w:rPr>
          <w:rFonts w:asciiTheme="minorHAnsi" w:hAnsiTheme="minorHAnsi" w:cstheme="minorHAnsi"/>
          <w:color w:val="131413"/>
          <w:sz w:val="24"/>
          <w:szCs w:val="24"/>
          <w:lang w:val="en-GB" w:eastAsia="en-GB"/>
        </w:rPr>
        <w:t>checked</w:t>
      </w:r>
      <w:r w:rsidR="006262EE">
        <w:rPr>
          <w:rFonts w:asciiTheme="minorHAnsi" w:hAnsiTheme="minorHAnsi" w:cstheme="minorHAnsi"/>
          <w:color w:val="131413"/>
          <w:sz w:val="24"/>
          <w:szCs w:val="24"/>
          <w:lang w:val="en-GB" w:eastAsia="en-GB"/>
        </w:rPr>
        <w:t xml:space="preserve"> by comparing the </w:t>
      </w:r>
      <w:r w:rsidR="009911DB">
        <w:rPr>
          <w:rFonts w:asciiTheme="minorHAnsi" w:hAnsiTheme="minorHAnsi" w:cstheme="minorHAnsi"/>
          <w:color w:val="131413"/>
          <w:sz w:val="24"/>
          <w:szCs w:val="24"/>
          <w:lang w:val="en-GB" w:eastAsia="en-GB"/>
        </w:rPr>
        <w:t>observed</w:t>
      </w:r>
      <w:r w:rsidR="00961B6E">
        <w:rPr>
          <w:rFonts w:asciiTheme="minorHAnsi" w:hAnsiTheme="minorHAnsi" w:cstheme="minorHAnsi"/>
          <w:color w:val="131413"/>
          <w:sz w:val="24"/>
          <w:szCs w:val="24"/>
          <w:lang w:val="en-GB" w:eastAsia="en-GB"/>
        </w:rPr>
        <w:t xml:space="preserve"> number of h</w:t>
      </w:r>
      <w:r w:rsidR="009911DB">
        <w:rPr>
          <w:rFonts w:asciiTheme="minorHAnsi" w:hAnsiTheme="minorHAnsi" w:cstheme="minorHAnsi"/>
          <w:color w:val="131413"/>
          <w:sz w:val="24"/>
          <w:szCs w:val="24"/>
          <w:lang w:val="en-GB" w:eastAsia="en-GB"/>
        </w:rPr>
        <w:t>i</w:t>
      </w:r>
      <w:r w:rsidR="00961B6E">
        <w:rPr>
          <w:rFonts w:asciiTheme="minorHAnsi" w:hAnsiTheme="minorHAnsi" w:cstheme="minorHAnsi"/>
          <w:color w:val="131413"/>
          <w:sz w:val="24"/>
          <w:szCs w:val="24"/>
          <w:lang w:val="en-GB" w:eastAsia="en-GB"/>
        </w:rPr>
        <w:t>p fractures</w:t>
      </w:r>
      <w:r w:rsidR="009911DB">
        <w:rPr>
          <w:rFonts w:asciiTheme="minorHAnsi" w:hAnsiTheme="minorHAnsi" w:cstheme="minorHAnsi"/>
          <w:color w:val="131413"/>
          <w:sz w:val="24"/>
          <w:szCs w:val="24"/>
          <w:lang w:val="en-GB" w:eastAsia="en-GB"/>
        </w:rPr>
        <w:t xml:space="preserve"> </w:t>
      </w:r>
      <w:r w:rsidR="003D6AB3">
        <w:rPr>
          <w:rFonts w:asciiTheme="minorHAnsi" w:hAnsiTheme="minorHAnsi" w:cstheme="minorHAnsi"/>
          <w:color w:val="131413"/>
          <w:sz w:val="24"/>
          <w:szCs w:val="24"/>
          <w:lang w:val="en-GB" w:eastAsia="en-GB"/>
        </w:rPr>
        <w:t>w</w:t>
      </w:r>
      <w:r w:rsidR="00EE0061">
        <w:rPr>
          <w:rFonts w:asciiTheme="minorHAnsi" w:hAnsiTheme="minorHAnsi" w:cstheme="minorHAnsi"/>
          <w:color w:val="131413"/>
          <w:sz w:val="24"/>
          <w:szCs w:val="24"/>
          <w:lang w:val="en-GB" w:eastAsia="en-GB"/>
        </w:rPr>
        <w:t xml:space="preserve">ith those predicted from </w:t>
      </w:r>
      <w:r w:rsidR="003E21EB">
        <w:rPr>
          <w:rFonts w:asciiTheme="minorHAnsi" w:hAnsiTheme="minorHAnsi" w:cstheme="minorHAnsi"/>
          <w:color w:val="131413"/>
          <w:sz w:val="24"/>
          <w:szCs w:val="24"/>
          <w:lang w:val="en-GB" w:eastAsia="en-GB"/>
        </w:rPr>
        <w:t>hip fracture</w:t>
      </w:r>
      <w:r w:rsidR="00C171A1">
        <w:rPr>
          <w:rFonts w:asciiTheme="minorHAnsi" w:hAnsiTheme="minorHAnsi" w:cstheme="minorHAnsi"/>
          <w:color w:val="131413"/>
          <w:sz w:val="24"/>
          <w:szCs w:val="24"/>
          <w:lang w:val="en-GB" w:eastAsia="en-GB"/>
        </w:rPr>
        <w:t xml:space="preserve"> probabilities computed </w:t>
      </w:r>
      <w:r w:rsidR="00547BC5">
        <w:rPr>
          <w:rFonts w:asciiTheme="minorHAnsi" w:hAnsiTheme="minorHAnsi" w:cstheme="minorHAnsi"/>
          <w:color w:val="131413"/>
          <w:sz w:val="24"/>
          <w:szCs w:val="24"/>
          <w:lang w:val="en-GB" w:eastAsia="en-GB"/>
        </w:rPr>
        <w:t>by FRAX</w:t>
      </w:r>
      <w:r w:rsidR="00E902B1">
        <w:rPr>
          <w:rFonts w:asciiTheme="minorHAnsi" w:hAnsiTheme="minorHAnsi" w:cstheme="minorHAnsi"/>
          <w:color w:val="131413"/>
          <w:sz w:val="24"/>
          <w:szCs w:val="24"/>
          <w:lang w:val="en-GB" w:eastAsia="en-GB"/>
        </w:rPr>
        <w:t>.</w:t>
      </w:r>
      <w:r w:rsidR="003E49CD" w:rsidRPr="003E49CD">
        <w:t xml:space="preserve"> </w:t>
      </w:r>
      <w:r w:rsidR="003B454E">
        <w:t xml:space="preserve"> </w:t>
      </w:r>
      <w:r w:rsidR="003B454E" w:rsidRPr="00211548">
        <w:rPr>
          <w:sz w:val="24"/>
          <w:szCs w:val="24"/>
        </w:rPr>
        <w:t>In addition,</w:t>
      </w:r>
      <w:r w:rsidR="003B454E" w:rsidRPr="00211548">
        <w:t xml:space="preserve"> </w:t>
      </w:r>
      <w:r w:rsidR="003B454E" w:rsidRPr="00211548">
        <w:rPr>
          <w:rFonts w:asciiTheme="minorHAnsi" w:hAnsiTheme="minorHAnsi" w:cstheme="minorHAnsi"/>
          <w:color w:val="131413"/>
          <w:sz w:val="24"/>
          <w:szCs w:val="24"/>
          <w:lang w:val="en-GB" w:eastAsia="en-GB"/>
        </w:rPr>
        <w:t>t</w:t>
      </w:r>
      <w:r w:rsidR="003E49CD" w:rsidRPr="00211548">
        <w:rPr>
          <w:rFonts w:asciiTheme="minorHAnsi" w:hAnsiTheme="minorHAnsi" w:cstheme="minorHAnsi"/>
          <w:color w:val="131413"/>
          <w:sz w:val="24"/>
          <w:szCs w:val="24"/>
          <w:lang w:val="en-GB" w:eastAsia="en-GB"/>
        </w:rPr>
        <w:t>he prevalence of the simulated variables w</w:t>
      </w:r>
      <w:r w:rsidR="00776751" w:rsidRPr="00211548">
        <w:rPr>
          <w:rFonts w:asciiTheme="minorHAnsi" w:hAnsiTheme="minorHAnsi" w:cstheme="minorHAnsi"/>
          <w:color w:val="131413"/>
          <w:sz w:val="24"/>
          <w:szCs w:val="24"/>
          <w:lang w:val="en-GB" w:eastAsia="en-GB"/>
        </w:rPr>
        <w:t>as</w:t>
      </w:r>
      <w:r w:rsidR="003E49CD" w:rsidRPr="00211548">
        <w:rPr>
          <w:rFonts w:asciiTheme="minorHAnsi" w:hAnsiTheme="minorHAnsi" w:cstheme="minorHAnsi"/>
          <w:color w:val="131413"/>
          <w:sz w:val="24"/>
          <w:szCs w:val="24"/>
          <w:lang w:val="en-GB" w:eastAsia="en-GB"/>
        </w:rPr>
        <w:t xml:space="preserve"> compared to the</w:t>
      </w:r>
      <w:r w:rsidR="003E49CD" w:rsidRPr="003E49CD">
        <w:rPr>
          <w:rFonts w:asciiTheme="minorHAnsi" w:hAnsiTheme="minorHAnsi" w:cstheme="minorHAnsi"/>
          <w:color w:val="131413"/>
          <w:sz w:val="24"/>
          <w:szCs w:val="24"/>
          <w:lang w:val="en-GB" w:eastAsia="en-GB"/>
        </w:rPr>
        <w:t xml:space="preserve"> age-adjusted prevalence from Ms </w:t>
      </w:r>
      <w:proofErr w:type="spellStart"/>
      <w:r w:rsidR="003E49CD" w:rsidRPr="003E49CD">
        <w:rPr>
          <w:rFonts w:asciiTheme="minorHAnsi" w:hAnsiTheme="minorHAnsi" w:cstheme="minorHAnsi"/>
          <w:color w:val="131413"/>
          <w:sz w:val="24"/>
          <w:szCs w:val="24"/>
          <w:lang w:val="en-GB" w:eastAsia="en-GB"/>
        </w:rPr>
        <w:t>Os</w:t>
      </w:r>
      <w:proofErr w:type="spellEnd"/>
      <w:r w:rsidR="00BC5EA6">
        <w:rPr>
          <w:rFonts w:asciiTheme="minorHAnsi" w:hAnsiTheme="minorHAnsi" w:cstheme="minorHAnsi"/>
          <w:color w:val="131413"/>
          <w:sz w:val="24"/>
          <w:szCs w:val="24"/>
          <w:lang w:val="en-GB" w:eastAsia="en-GB"/>
        </w:rPr>
        <w:t>.</w:t>
      </w:r>
    </w:p>
    <w:p w14:paraId="2B735147" w14:textId="77777777" w:rsidR="00083A8C" w:rsidRDefault="00083A8C" w:rsidP="00827EF0">
      <w:pPr>
        <w:autoSpaceDE w:val="0"/>
        <w:autoSpaceDN w:val="0"/>
        <w:adjustRightInd w:val="0"/>
        <w:spacing w:after="0"/>
        <w:ind w:left="1134"/>
        <w:rPr>
          <w:rFonts w:asciiTheme="minorHAnsi" w:hAnsiTheme="minorHAnsi" w:cstheme="minorHAnsi"/>
          <w:color w:val="131413"/>
          <w:sz w:val="24"/>
          <w:szCs w:val="24"/>
          <w:lang w:val="en-GB" w:eastAsia="en-GB"/>
        </w:rPr>
      </w:pPr>
    </w:p>
    <w:p w14:paraId="0B34055F" w14:textId="37570123" w:rsidR="00632454" w:rsidRDefault="00F21732" w:rsidP="002405C8">
      <w:pPr>
        <w:autoSpaceDE w:val="0"/>
        <w:autoSpaceDN w:val="0"/>
        <w:adjustRightInd w:val="0"/>
        <w:spacing w:after="0"/>
        <w:ind w:left="1134"/>
        <w:rPr>
          <w:rFonts w:asciiTheme="minorHAnsi" w:hAnsiTheme="minorHAnsi" w:cstheme="minorHAnsi"/>
          <w:sz w:val="24"/>
          <w:szCs w:val="24"/>
          <w:shd w:val="clear" w:color="auto" w:fill="FFFFFF"/>
          <w:lang w:val="en-GB"/>
        </w:rPr>
      </w:pPr>
      <w:r w:rsidRPr="00F21732">
        <w:rPr>
          <w:rFonts w:asciiTheme="minorHAnsi" w:hAnsiTheme="minorHAnsi" w:cstheme="minorHAnsi"/>
          <w:color w:val="131413"/>
          <w:sz w:val="24"/>
          <w:szCs w:val="24"/>
          <w:lang w:val="en-GB" w:eastAsia="en-GB"/>
        </w:rPr>
        <w:t xml:space="preserve">The simulations for </w:t>
      </w:r>
      <w:r w:rsidR="00E52614">
        <w:rPr>
          <w:rFonts w:asciiTheme="minorHAnsi" w:hAnsiTheme="minorHAnsi" w:cstheme="minorHAnsi"/>
          <w:color w:val="131413"/>
          <w:sz w:val="24"/>
          <w:szCs w:val="24"/>
          <w:lang w:val="en-GB" w:eastAsia="en-GB"/>
        </w:rPr>
        <w:t xml:space="preserve">femoral neck </w:t>
      </w:r>
      <w:r w:rsidR="003526C7">
        <w:rPr>
          <w:rFonts w:asciiTheme="minorHAnsi" w:hAnsiTheme="minorHAnsi" w:cstheme="minorHAnsi"/>
          <w:color w:val="131413"/>
          <w:sz w:val="24"/>
          <w:szCs w:val="24"/>
          <w:lang w:val="en-GB" w:eastAsia="en-GB"/>
        </w:rPr>
        <w:t>BMD</w:t>
      </w:r>
      <w:r w:rsidRPr="00F21732">
        <w:rPr>
          <w:rFonts w:asciiTheme="minorHAnsi" w:hAnsiTheme="minorHAnsi" w:cstheme="minorHAnsi"/>
          <w:color w:val="131413"/>
          <w:sz w:val="24"/>
          <w:szCs w:val="24"/>
          <w:lang w:val="en-GB" w:eastAsia="en-GB"/>
        </w:rPr>
        <w:t xml:space="preserve"> were based on examining the conditional probability of the association of BMD with risk factors, age and BMI, by linear </w:t>
      </w:r>
      <w:r w:rsidRPr="00F9003B">
        <w:rPr>
          <w:rFonts w:asciiTheme="minorHAnsi" w:hAnsiTheme="minorHAnsi" w:cstheme="minorHAnsi"/>
          <w:color w:val="131413"/>
          <w:sz w:val="24"/>
          <w:szCs w:val="24"/>
          <w:lang w:val="en-GB" w:eastAsia="en-GB"/>
        </w:rPr>
        <w:t>regression [</w:t>
      </w:r>
      <w:r w:rsidR="00CF2104" w:rsidRPr="00F9003B">
        <w:rPr>
          <w:rFonts w:asciiTheme="minorHAnsi" w:hAnsiTheme="minorHAnsi" w:cstheme="minorHAnsi"/>
          <w:color w:val="131413"/>
          <w:sz w:val="24"/>
          <w:szCs w:val="24"/>
          <w:lang w:val="en-GB" w:eastAsia="en-GB"/>
        </w:rPr>
        <w:t>1</w:t>
      </w:r>
      <w:r w:rsidR="00247BF3">
        <w:rPr>
          <w:rFonts w:asciiTheme="minorHAnsi" w:hAnsiTheme="minorHAnsi" w:cstheme="minorHAnsi"/>
          <w:color w:val="131413"/>
          <w:sz w:val="24"/>
          <w:szCs w:val="24"/>
          <w:lang w:val="en-GB" w:eastAsia="en-GB"/>
        </w:rPr>
        <w:t>3</w:t>
      </w:r>
      <w:r w:rsidRPr="00F9003B">
        <w:rPr>
          <w:rFonts w:asciiTheme="minorHAnsi" w:hAnsiTheme="minorHAnsi" w:cstheme="minorHAnsi"/>
          <w:color w:val="131413"/>
          <w:sz w:val="24"/>
          <w:szCs w:val="24"/>
          <w:lang w:val="en-GB" w:eastAsia="en-GB"/>
        </w:rPr>
        <w:t xml:space="preserve">].  </w:t>
      </w:r>
      <w:r w:rsidR="00DB2B36" w:rsidRPr="00DB2B36">
        <w:rPr>
          <w:rFonts w:asciiTheme="minorHAnsi" w:hAnsiTheme="minorHAnsi" w:cstheme="minorHAnsi"/>
          <w:color w:val="131413"/>
          <w:sz w:val="24"/>
          <w:szCs w:val="24"/>
          <w:lang w:val="en-GB" w:eastAsia="en-GB"/>
        </w:rPr>
        <w:t xml:space="preserve">For BMD, the associations between the variable and age, BMI, previous fracture and smoking were used. </w:t>
      </w:r>
      <w:r w:rsidR="004B6217">
        <w:rPr>
          <w:rFonts w:asciiTheme="minorHAnsi" w:hAnsiTheme="minorHAnsi" w:cstheme="minorHAnsi"/>
          <w:color w:val="131413"/>
          <w:sz w:val="24"/>
          <w:szCs w:val="24"/>
          <w:lang w:val="en-GB" w:eastAsia="en-GB"/>
        </w:rPr>
        <w:t xml:space="preserve"> </w:t>
      </w:r>
      <w:r w:rsidR="00DB2B36">
        <w:rPr>
          <w:rFonts w:asciiTheme="minorHAnsi" w:hAnsiTheme="minorHAnsi" w:cstheme="minorHAnsi"/>
          <w:color w:val="131413"/>
          <w:sz w:val="24"/>
          <w:szCs w:val="24"/>
          <w:lang w:val="en-GB" w:eastAsia="en-GB"/>
        </w:rPr>
        <w:t xml:space="preserve">We </w:t>
      </w:r>
      <w:r w:rsidR="005A4DED" w:rsidRPr="005A4DED">
        <w:rPr>
          <w:rFonts w:asciiTheme="minorHAnsi" w:hAnsiTheme="minorHAnsi" w:cstheme="minorHAnsi"/>
          <w:color w:val="131413"/>
          <w:sz w:val="24"/>
          <w:szCs w:val="24"/>
          <w:lang w:val="en-GB" w:eastAsia="en-GB"/>
        </w:rPr>
        <w:t xml:space="preserve">tested the validity of the simulation by computing the sensitivity and specificity of the Osteoporosis Self-Assessment Tool for Asians (OSTA) that is used in Singapore to identify women with osteoporosis from height and </w:t>
      </w:r>
      <w:r w:rsidR="005A4DED" w:rsidRPr="00F9003B">
        <w:rPr>
          <w:rFonts w:asciiTheme="minorHAnsi" w:hAnsiTheme="minorHAnsi" w:cstheme="minorHAnsi"/>
          <w:color w:val="131413"/>
          <w:sz w:val="24"/>
          <w:szCs w:val="24"/>
          <w:lang w:val="en-GB" w:eastAsia="en-GB"/>
        </w:rPr>
        <w:t>weight [1</w:t>
      </w:r>
      <w:r w:rsidR="00247BF3">
        <w:rPr>
          <w:rFonts w:asciiTheme="minorHAnsi" w:hAnsiTheme="minorHAnsi" w:cstheme="minorHAnsi"/>
          <w:color w:val="131413"/>
          <w:sz w:val="24"/>
          <w:szCs w:val="24"/>
          <w:lang w:val="en-GB" w:eastAsia="en-GB"/>
        </w:rPr>
        <w:t>6</w:t>
      </w:r>
      <w:r w:rsidR="005A4DED" w:rsidRPr="00F9003B">
        <w:rPr>
          <w:rFonts w:asciiTheme="minorHAnsi" w:hAnsiTheme="minorHAnsi" w:cstheme="minorHAnsi"/>
          <w:color w:val="131413"/>
          <w:sz w:val="24"/>
          <w:szCs w:val="24"/>
          <w:lang w:val="en-GB" w:eastAsia="en-GB"/>
        </w:rPr>
        <w:t xml:space="preserve">]. </w:t>
      </w:r>
      <w:r w:rsidR="004B6217">
        <w:rPr>
          <w:rFonts w:asciiTheme="minorHAnsi" w:hAnsiTheme="minorHAnsi" w:cstheme="minorHAnsi"/>
          <w:color w:val="131413"/>
          <w:sz w:val="24"/>
          <w:szCs w:val="24"/>
          <w:lang w:val="en-GB" w:eastAsia="en-GB"/>
        </w:rPr>
        <w:t xml:space="preserve"> </w:t>
      </w:r>
      <w:r w:rsidR="005A4DED" w:rsidRPr="00F9003B">
        <w:rPr>
          <w:rFonts w:asciiTheme="minorHAnsi" w:hAnsiTheme="minorHAnsi" w:cstheme="minorHAnsi"/>
          <w:color w:val="131413"/>
          <w:sz w:val="24"/>
          <w:szCs w:val="24"/>
          <w:lang w:val="en-GB" w:eastAsia="en-GB"/>
        </w:rPr>
        <w:t>We</w:t>
      </w:r>
      <w:r w:rsidR="005A4DED">
        <w:rPr>
          <w:rFonts w:asciiTheme="minorHAnsi" w:hAnsiTheme="minorHAnsi" w:cstheme="minorHAnsi"/>
          <w:color w:val="131413"/>
          <w:sz w:val="24"/>
          <w:szCs w:val="24"/>
          <w:lang w:val="en-GB" w:eastAsia="en-GB"/>
        </w:rPr>
        <w:t xml:space="preserve"> additionally compared the</w:t>
      </w:r>
      <w:bookmarkStart w:id="4" w:name="_Hlk27979905"/>
      <w:bookmarkStart w:id="5" w:name="_Hlk35433835"/>
      <w:r w:rsidR="00F94630">
        <w:rPr>
          <w:rFonts w:asciiTheme="minorHAnsi" w:hAnsiTheme="minorHAnsi" w:cstheme="minorHAnsi"/>
          <w:color w:val="131413"/>
          <w:sz w:val="24"/>
          <w:szCs w:val="24"/>
          <w:lang w:val="en-GB" w:eastAsia="en-GB"/>
        </w:rPr>
        <w:t xml:space="preserve"> </w:t>
      </w:r>
      <w:r w:rsidR="008B76D3">
        <w:rPr>
          <w:rFonts w:asciiTheme="minorHAnsi" w:hAnsiTheme="minorHAnsi" w:cstheme="minorHAnsi"/>
          <w:sz w:val="24"/>
          <w:szCs w:val="24"/>
          <w:shd w:val="clear" w:color="auto" w:fill="FFFFFF"/>
          <w:lang w:val="en-GB"/>
        </w:rPr>
        <w:t>age-</w:t>
      </w:r>
      <w:r w:rsidR="00266F18">
        <w:rPr>
          <w:rFonts w:asciiTheme="minorHAnsi" w:hAnsiTheme="minorHAnsi" w:cstheme="minorHAnsi"/>
          <w:sz w:val="24"/>
          <w:szCs w:val="24"/>
          <w:shd w:val="clear" w:color="auto" w:fill="FFFFFF"/>
          <w:lang w:val="en-GB"/>
        </w:rPr>
        <w:t>matched</w:t>
      </w:r>
      <w:r w:rsidR="008B76D3">
        <w:rPr>
          <w:rFonts w:asciiTheme="minorHAnsi" w:hAnsiTheme="minorHAnsi" w:cstheme="minorHAnsi"/>
          <w:sz w:val="24"/>
          <w:szCs w:val="24"/>
          <w:shd w:val="clear" w:color="auto" w:fill="FFFFFF"/>
          <w:lang w:val="en-GB"/>
        </w:rPr>
        <w:t xml:space="preserve"> BMD values in the Ms </w:t>
      </w:r>
      <w:proofErr w:type="spellStart"/>
      <w:r w:rsidR="008B76D3">
        <w:rPr>
          <w:rFonts w:asciiTheme="minorHAnsi" w:hAnsiTheme="minorHAnsi" w:cstheme="minorHAnsi"/>
          <w:sz w:val="24"/>
          <w:szCs w:val="24"/>
          <w:shd w:val="clear" w:color="auto" w:fill="FFFFFF"/>
          <w:lang w:val="en-GB"/>
        </w:rPr>
        <w:t>Os</w:t>
      </w:r>
      <w:proofErr w:type="spellEnd"/>
      <w:r w:rsidR="008B76D3">
        <w:rPr>
          <w:rFonts w:asciiTheme="minorHAnsi" w:hAnsiTheme="minorHAnsi" w:cstheme="minorHAnsi"/>
          <w:sz w:val="24"/>
          <w:szCs w:val="24"/>
          <w:shd w:val="clear" w:color="auto" w:fill="FFFFFF"/>
          <w:lang w:val="en-GB"/>
        </w:rPr>
        <w:t xml:space="preserve"> and simulated cohort</w:t>
      </w:r>
      <w:r w:rsidR="00266F18">
        <w:rPr>
          <w:rFonts w:asciiTheme="minorHAnsi" w:hAnsiTheme="minorHAnsi" w:cstheme="minorHAnsi"/>
          <w:sz w:val="24"/>
          <w:szCs w:val="24"/>
          <w:shd w:val="clear" w:color="auto" w:fill="FFFFFF"/>
          <w:lang w:val="en-GB"/>
        </w:rPr>
        <w:t>.</w:t>
      </w:r>
      <w:r w:rsidR="008B76D3">
        <w:rPr>
          <w:rFonts w:asciiTheme="minorHAnsi" w:hAnsiTheme="minorHAnsi" w:cstheme="minorHAnsi"/>
          <w:sz w:val="24"/>
          <w:szCs w:val="24"/>
          <w:shd w:val="clear" w:color="auto" w:fill="FFFFFF"/>
          <w:lang w:val="en-GB"/>
        </w:rPr>
        <w:t xml:space="preserve">  </w:t>
      </w:r>
    </w:p>
    <w:p w14:paraId="2AA9601F" w14:textId="77777777" w:rsidR="00DF784A" w:rsidRDefault="00DF784A" w:rsidP="002405C8">
      <w:pPr>
        <w:autoSpaceDE w:val="0"/>
        <w:autoSpaceDN w:val="0"/>
        <w:adjustRightInd w:val="0"/>
        <w:spacing w:after="0"/>
        <w:ind w:left="1134"/>
        <w:rPr>
          <w:rFonts w:asciiTheme="minorHAnsi" w:hAnsiTheme="minorHAnsi" w:cstheme="minorHAnsi"/>
          <w:sz w:val="24"/>
          <w:szCs w:val="24"/>
          <w:shd w:val="clear" w:color="auto" w:fill="FFFFFF"/>
          <w:lang w:val="en-GB"/>
        </w:rPr>
      </w:pPr>
    </w:p>
    <w:bookmarkEnd w:id="4"/>
    <w:bookmarkEnd w:id="5"/>
    <w:p w14:paraId="5EEEC040" w14:textId="77777777" w:rsidR="00F429AC" w:rsidRPr="00592C74" w:rsidRDefault="00F429AC" w:rsidP="00827EF0">
      <w:pPr>
        <w:ind w:left="1134"/>
        <w:rPr>
          <w:rFonts w:asciiTheme="minorHAnsi" w:hAnsiTheme="minorHAnsi" w:cstheme="minorHAnsi"/>
          <w:i/>
          <w:iCs/>
          <w:sz w:val="24"/>
          <w:szCs w:val="24"/>
          <w:shd w:val="clear" w:color="auto" w:fill="FFFFFF"/>
          <w:lang w:val="en-GB"/>
        </w:rPr>
      </w:pPr>
      <w:r w:rsidRPr="00592C74">
        <w:rPr>
          <w:rFonts w:asciiTheme="minorHAnsi" w:hAnsiTheme="minorHAnsi" w:cstheme="minorHAnsi"/>
          <w:i/>
          <w:iCs/>
          <w:sz w:val="24"/>
          <w:szCs w:val="24"/>
          <w:shd w:val="clear" w:color="auto" w:fill="FFFFFF"/>
          <w:lang w:val="en-GB"/>
        </w:rPr>
        <w:t>Fracture probabilities</w:t>
      </w:r>
    </w:p>
    <w:p w14:paraId="08523A02" w14:textId="08F19A3A" w:rsidR="00F429AC" w:rsidRPr="00592C74" w:rsidRDefault="00F429AC" w:rsidP="00827EF0">
      <w:pPr>
        <w:ind w:left="1134"/>
        <w:rPr>
          <w:rFonts w:asciiTheme="minorHAnsi" w:hAnsiTheme="minorHAnsi" w:cstheme="minorHAnsi"/>
          <w:sz w:val="24"/>
          <w:szCs w:val="24"/>
          <w:shd w:val="clear" w:color="auto" w:fill="FFFFFF"/>
          <w:lang w:val="en-GB"/>
        </w:rPr>
      </w:pPr>
      <w:r w:rsidRPr="00592C74">
        <w:rPr>
          <w:rFonts w:asciiTheme="minorHAnsi" w:hAnsiTheme="minorHAnsi" w:cstheme="minorHAnsi"/>
          <w:sz w:val="24"/>
          <w:szCs w:val="24"/>
          <w:shd w:val="clear" w:color="auto" w:fill="FFFFFF"/>
          <w:lang w:val="en-GB"/>
        </w:rPr>
        <w:t>The 10-year probabilities of hip fracture and a major osteoporotic fracture</w:t>
      </w:r>
      <w:r w:rsidR="001E67F8">
        <w:rPr>
          <w:rFonts w:asciiTheme="minorHAnsi" w:hAnsiTheme="minorHAnsi" w:cstheme="minorHAnsi"/>
          <w:sz w:val="24"/>
          <w:szCs w:val="24"/>
          <w:shd w:val="clear" w:color="auto" w:fill="FFFFFF"/>
          <w:lang w:val="en-GB"/>
        </w:rPr>
        <w:t xml:space="preserve"> (</w:t>
      </w:r>
      <w:r w:rsidR="00AA73FA">
        <w:rPr>
          <w:rFonts w:asciiTheme="minorHAnsi" w:hAnsiTheme="minorHAnsi" w:cstheme="minorHAnsi"/>
          <w:sz w:val="24"/>
          <w:szCs w:val="24"/>
          <w:shd w:val="clear" w:color="auto" w:fill="FFFFFF"/>
          <w:lang w:val="en-GB"/>
        </w:rPr>
        <w:t xml:space="preserve">clinical spine, hip, humerus </w:t>
      </w:r>
      <w:r w:rsidR="008A2728">
        <w:rPr>
          <w:rFonts w:asciiTheme="minorHAnsi" w:hAnsiTheme="minorHAnsi" w:cstheme="minorHAnsi"/>
          <w:sz w:val="24"/>
          <w:szCs w:val="24"/>
          <w:shd w:val="clear" w:color="auto" w:fill="FFFFFF"/>
          <w:lang w:val="en-GB"/>
        </w:rPr>
        <w:t>or distal forearm fracture)</w:t>
      </w:r>
      <w:r w:rsidRPr="00592C74">
        <w:rPr>
          <w:rFonts w:asciiTheme="minorHAnsi" w:hAnsiTheme="minorHAnsi" w:cstheme="minorHAnsi"/>
          <w:sz w:val="24"/>
          <w:szCs w:val="24"/>
          <w:shd w:val="clear" w:color="auto" w:fill="FFFFFF"/>
          <w:lang w:val="en-GB"/>
        </w:rPr>
        <w:t xml:space="preserve"> were calculated using the FRAX model</w:t>
      </w:r>
      <w:r w:rsidR="006B584E">
        <w:rPr>
          <w:rFonts w:asciiTheme="minorHAnsi" w:hAnsiTheme="minorHAnsi" w:cstheme="minorHAnsi"/>
          <w:sz w:val="24"/>
          <w:szCs w:val="24"/>
          <w:shd w:val="clear" w:color="auto" w:fill="FFFFFF"/>
          <w:lang w:val="en-GB"/>
        </w:rPr>
        <w:t xml:space="preserve"> for Singapore</w:t>
      </w:r>
      <w:r w:rsidRPr="00592C74">
        <w:rPr>
          <w:rFonts w:asciiTheme="minorHAnsi" w:hAnsiTheme="minorHAnsi" w:cstheme="minorHAnsi"/>
          <w:sz w:val="24"/>
          <w:szCs w:val="24"/>
          <w:shd w:val="clear" w:color="auto" w:fill="FFFFFF"/>
          <w:lang w:val="en-GB"/>
        </w:rPr>
        <w:t xml:space="preserve"> (</w:t>
      </w:r>
      <w:r w:rsidR="001B448C">
        <w:rPr>
          <w:rFonts w:asciiTheme="minorHAnsi" w:hAnsiTheme="minorHAnsi" w:cstheme="minorHAnsi"/>
          <w:sz w:val="24"/>
          <w:szCs w:val="24"/>
          <w:shd w:val="clear" w:color="auto" w:fill="FFFFFF"/>
          <w:lang w:val="en-GB"/>
        </w:rPr>
        <w:t xml:space="preserve">web </w:t>
      </w:r>
      <w:r w:rsidRPr="00592C74">
        <w:rPr>
          <w:rFonts w:asciiTheme="minorHAnsi" w:hAnsiTheme="minorHAnsi" w:cstheme="minorHAnsi"/>
          <w:sz w:val="24"/>
          <w:szCs w:val="24"/>
          <w:shd w:val="clear" w:color="auto" w:fill="FFFFFF"/>
          <w:lang w:val="en-GB"/>
        </w:rPr>
        <w:t xml:space="preserve">version 4.1). </w:t>
      </w:r>
      <w:r w:rsidR="004B6217">
        <w:rPr>
          <w:rFonts w:asciiTheme="minorHAnsi" w:hAnsiTheme="minorHAnsi" w:cstheme="minorHAnsi"/>
          <w:sz w:val="24"/>
          <w:szCs w:val="24"/>
          <w:shd w:val="clear" w:color="auto" w:fill="FFFFFF"/>
          <w:lang w:val="en-GB"/>
        </w:rPr>
        <w:t xml:space="preserve"> </w:t>
      </w:r>
      <w:r w:rsidRPr="00592C74">
        <w:rPr>
          <w:rFonts w:asciiTheme="minorHAnsi" w:hAnsiTheme="minorHAnsi" w:cstheme="minorHAnsi"/>
          <w:sz w:val="24"/>
          <w:szCs w:val="24"/>
          <w:shd w:val="clear" w:color="auto" w:fill="FFFFFF"/>
          <w:lang w:val="en-GB"/>
        </w:rPr>
        <w:t xml:space="preserve">Calculations were undertaken </w:t>
      </w:r>
      <w:r w:rsidR="006B584E">
        <w:rPr>
          <w:rFonts w:asciiTheme="minorHAnsi" w:hAnsiTheme="minorHAnsi" w:cstheme="minorHAnsi"/>
          <w:sz w:val="24"/>
          <w:szCs w:val="24"/>
          <w:shd w:val="clear" w:color="auto" w:fill="FFFFFF"/>
          <w:lang w:val="en-GB"/>
        </w:rPr>
        <w:t xml:space="preserve">with and </w:t>
      </w:r>
      <w:r w:rsidRPr="00592C74">
        <w:rPr>
          <w:rFonts w:asciiTheme="minorHAnsi" w:hAnsiTheme="minorHAnsi" w:cstheme="minorHAnsi"/>
          <w:sz w:val="24"/>
          <w:szCs w:val="24"/>
          <w:shd w:val="clear" w:color="auto" w:fill="FFFFFF"/>
          <w:lang w:val="en-GB"/>
        </w:rPr>
        <w:t xml:space="preserve">without the inclusion of femoral neck BMD. </w:t>
      </w:r>
    </w:p>
    <w:p w14:paraId="66D781E5" w14:textId="1CD21310" w:rsidR="00FB0925" w:rsidRPr="00E15B01" w:rsidRDefault="00FB0925" w:rsidP="00827EF0">
      <w:pPr>
        <w:ind w:left="1134"/>
        <w:rPr>
          <w:rFonts w:asciiTheme="minorHAnsi" w:hAnsiTheme="minorHAnsi" w:cstheme="minorHAnsi"/>
          <w:i/>
          <w:iCs/>
          <w:sz w:val="24"/>
          <w:szCs w:val="24"/>
          <w:shd w:val="clear" w:color="auto" w:fill="FFFFFF"/>
          <w:lang w:val="en-GB"/>
        </w:rPr>
      </w:pPr>
      <w:bookmarkStart w:id="6" w:name="_Hlk27918063"/>
      <w:r w:rsidRPr="00E15B01">
        <w:rPr>
          <w:rFonts w:asciiTheme="minorHAnsi" w:hAnsiTheme="minorHAnsi" w:cstheme="minorHAnsi"/>
          <w:i/>
          <w:iCs/>
          <w:sz w:val="24"/>
          <w:szCs w:val="24"/>
          <w:shd w:val="clear" w:color="auto" w:fill="FFFFFF"/>
          <w:lang w:val="en-GB"/>
        </w:rPr>
        <w:t>Intervention thresholds</w:t>
      </w:r>
      <w:r w:rsidR="00C44444">
        <w:rPr>
          <w:rFonts w:asciiTheme="minorHAnsi" w:hAnsiTheme="minorHAnsi" w:cstheme="minorHAnsi"/>
          <w:i/>
          <w:iCs/>
          <w:sz w:val="24"/>
          <w:szCs w:val="24"/>
          <w:shd w:val="clear" w:color="auto" w:fill="FFFFFF"/>
          <w:lang w:val="en-GB"/>
        </w:rPr>
        <w:t xml:space="preserve"> based on FRAX</w:t>
      </w:r>
    </w:p>
    <w:bookmarkEnd w:id="6"/>
    <w:p w14:paraId="04F05C86" w14:textId="6DD36423" w:rsidR="004A0D2E" w:rsidRDefault="004A0D2E" w:rsidP="00827EF0">
      <w:pPr>
        <w:ind w:left="1134"/>
        <w:rPr>
          <w:rFonts w:asciiTheme="minorHAnsi" w:hAnsiTheme="minorHAnsi" w:cstheme="minorHAnsi"/>
          <w:sz w:val="24"/>
          <w:szCs w:val="24"/>
          <w:shd w:val="clear" w:color="auto" w:fill="FFFFFF"/>
          <w:lang w:val="en-GB"/>
        </w:rPr>
      </w:pPr>
      <w:r w:rsidRPr="004A0D2E">
        <w:rPr>
          <w:rFonts w:asciiTheme="minorHAnsi" w:hAnsiTheme="minorHAnsi" w:cstheme="minorHAnsi"/>
          <w:sz w:val="24"/>
          <w:szCs w:val="24"/>
          <w:shd w:val="clear" w:color="auto" w:fill="FFFFFF"/>
          <w:lang w:val="en-GB"/>
        </w:rPr>
        <w:t xml:space="preserve">The use of FRAX in clinical practice demands a consideration of the fracture probability at which to intervene, both for treatment (an intervention threshold) and for BMD testing (assessment thresholds). </w:t>
      </w:r>
      <w:r w:rsidR="007617F0">
        <w:rPr>
          <w:rFonts w:asciiTheme="minorHAnsi" w:hAnsiTheme="minorHAnsi" w:cstheme="minorHAnsi"/>
          <w:sz w:val="24"/>
          <w:szCs w:val="24"/>
          <w:shd w:val="clear" w:color="auto" w:fill="FFFFFF"/>
          <w:lang w:val="en-GB"/>
        </w:rPr>
        <w:t xml:space="preserve"> </w:t>
      </w:r>
      <w:r w:rsidRPr="004A0D2E">
        <w:rPr>
          <w:rFonts w:asciiTheme="minorHAnsi" w:hAnsiTheme="minorHAnsi" w:cstheme="minorHAnsi"/>
          <w:sz w:val="24"/>
          <w:szCs w:val="24"/>
          <w:shd w:val="clear" w:color="auto" w:fill="FFFFFF"/>
          <w:lang w:val="en-GB"/>
        </w:rPr>
        <w:t xml:space="preserve">The approach to the setting of intervention and assessment thresholds used the methodology adopted by the National </w:t>
      </w:r>
      <w:r w:rsidRPr="00DF785D">
        <w:rPr>
          <w:rFonts w:asciiTheme="minorHAnsi" w:hAnsiTheme="minorHAnsi" w:cstheme="minorHAnsi"/>
          <w:sz w:val="24"/>
          <w:szCs w:val="24"/>
          <w:shd w:val="clear" w:color="auto" w:fill="FFFFFF"/>
          <w:lang w:val="en-GB"/>
        </w:rPr>
        <w:t>Osteoporosis Guideline Group for FRAX-based guidelines in the UK [</w:t>
      </w:r>
      <w:r w:rsidR="00391210" w:rsidRPr="00DF785D">
        <w:rPr>
          <w:rFonts w:asciiTheme="minorHAnsi" w:hAnsiTheme="minorHAnsi" w:cstheme="minorHAnsi"/>
          <w:sz w:val="24"/>
          <w:szCs w:val="24"/>
          <w:shd w:val="clear" w:color="auto" w:fill="FFFFFF"/>
          <w:lang w:val="en-GB"/>
        </w:rPr>
        <w:t>1</w:t>
      </w:r>
      <w:r w:rsidR="00FE3843">
        <w:rPr>
          <w:rFonts w:asciiTheme="minorHAnsi" w:hAnsiTheme="minorHAnsi" w:cstheme="minorHAnsi"/>
          <w:sz w:val="24"/>
          <w:szCs w:val="24"/>
          <w:shd w:val="clear" w:color="auto" w:fill="FFFFFF"/>
          <w:lang w:val="en-GB"/>
        </w:rPr>
        <w:t>7</w:t>
      </w:r>
      <w:r w:rsidRPr="00DF785D">
        <w:rPr>
          <w:rFonts w:asciiTheme="minorHAnsi" w:hAnsiTheme="minorHAnsi" w:cstheme="minorHAnsi"/>
          <w:sz w:val="24"/>
          <w:szCs w:val="24"/>
          <w:shd w:val="clear" w:color="auto" w:fill="FFFFFF"/>
          <w:lang w:val="en-GB"/>
        </w:rPr>
        <w:t>, 1</w:t>
      </w:r>
      <w:r w:rsidR="00FE3843">
        <w:rPr>
          <w:rFonts w:asciiTheme="minorHAnsi" w:hAnsiTheme="minorHAnsi" w:cstheme="minorHAnsi"/>
          <w:sz w:val="24"/>
          <w:szCs w:val="24"/>
          <w:shd w:val="clear" w:color="auto" w:fill="FFFFFF"/>
          <w:lang w:val="en-GB"/>
        </w:rPr>
        <w:t>8</w:t>
      </w:r>
      <w:r w:rsidRPr="00DF785D">
        <w:rPr>
          <w:rFonts w:asciiTheme="minorHAnsi" w:hAnsiTheme="minorHAnsi" w:cstheme="minorHAnsi"/>
          <w:sz w:val="24"/>
          <w:szCs w:val="24"/>
          <w:shd w:val="clear" w:color="auto" w:fill="FFFFFF"/>
          <w:lang w:val="en-GB"/>
        </w:rPr>
        <w:t>]</w:t>
      </w:r>
      <w:r w:rsidR="00725894" w:rsidRPr="00DF785D">
        <w:rPr>
          <w:rFonts w:asciiTheme="minorHAnsi" w:hAnsiTheme="minorHAnsi" w:cstheme="minorHAnsi"/>
          <w:sz w:val="24"/>
          <w:szCs w:val="24"/>
          <w:shd w:val="clear" w:color="auto" w:fill="FFFFFF"/>
          <w:lang w:val="en-GB"/>
        </w:rPr>
        <w:t>.</w:t>
      </w:r>
    </w:p>
    <w:p w14:paraId="62DB2D18" w14:textId="72A7D04F" w:rsidR="00963985" w:rsidRPr="000B4419" w:rsidRDefault="00FB0925" w:rsidP="00827EF0">
      <w:pPr>
        <w:ind w:left="1134"/>
        <w:rPr>
          <w:rFonts w:asciiTheme="minorHAnsi" w:hAnsiTheme="minorHAnsi" w:cstheme="minorHAnsi"/>
          <w:sz w:val="24"/>
          <w:szCs w:val="24"/>
          <w:shd w:val="clear" w:color="auto" w:fill="FFFFFF"/>
          <w:lang w:val="en-GB"/>
        </w:rPr>
      </w:pPr>
      <w:r w:rsidRPr="00E15B01">
        <w:rPr>
          <w:rFonts w:asciiTheme="minorHAnsi" w:hAnsiTheme="minorHAnsi" w:cstheme="minorHAnsi"/>
          <w:sz w:val="24"/>
          <w:szCs w:val="24"/>
          <w:shd w:val="clear" w:color="auto" w:fill="FFFFFF"/>
          <w:lang w:val="en-GB"/>
        </w:rPr>
        <w:t xml:space="preserve">A criterion for recommending </w:t>
      </w:r>
      <w:r w:rsidR="00532AEB">
        <w:rPr>
          <w:rFonts w:asciiTheme="minorHAnsi" w:hAnsiTheme="minorHAnsi" w:cstheme="minorHAnsi"/>
          <w:sz w:val="24"/>
          <w:szCs w:val="24"/>
          <w:shd w:val="clear" w:color="auto" w:fill="FFFFFF"/>
          <w:lang w:val="en-GB"/>
        </w:rPr>
        <w:t>I</w:t>
      </w:r>
      <w:r w:rsidRPr="00E15B01">
        <w:rPr>
          <w:rFonts w:asciiTheme="minorHAnsi" w:hAnsiTheme="minorHAnsi" w:cstheme="minorHAnsi"/>
          <w:sz w:val="24"/>
          <w:szCs w:val="24"/>
          <w:shd w:val="clear" w:color="auto" w:fill="FFFFFF"/>
          <w:lang w:val="en-GB"/>
        </w:rPr>
        <w:t xml:space="preserve">ntervention </w:t>
      </w:r>
      <w:r w:rsidR="00532AEB">
        <w:rPr>
          <w:rFonts w:asciiTheme="minorHAnsi" w:hAnsiTheme="minorHAnsi" w:cstheme="minorHAnsi"/>
          <w:sz w:val="24"/>
          <w:szCs w:val="24"/>
          <w:shd w:val="clear" w:color="auto" w:fill="FFFFFF"/>
          <w:lang w:val="en-GB"/>
        </w:rPr>
        <w:t>I</w:t>
      </w:r>
      <w:r w:rsidRPr="00E15B01">
        <w:rPr>
          <w:rFonts w:asciiTheme="minorHAnsi" w:hAnsiTheme="minorHAnsi" w:cstheme="minorHAnsi"/>
          <w:sz w:val="24"/>
          <w:szCs w:val="24"/>
          <w:shd w:val="clear" w:color="auto" w:fill="FFFFFF"/>
          <w:lang w:val="en-GB"/>
        </w:rPr>
        <w:t xml:space="preserve">n women </w:t>
      </w:r>
      <w:r w:rsidR="0065257E">
        <w:rPr>
          <w:rFonts w:asciiTheme="minorHAnsi" w:hAnsiTheme="minorHAnsi" w:cstheme="minorHAnsi"/>
          <w:sz w:val="24"/>
          <w:szCs w:val="24"/>
          <w:shd w:val="clear" w:color="auto" w:fill="FFFFFF"/>
          <w:lang w:val="en-GB"/>
        </w:rPr>
        <w:t>is</w:t>
      </w:r>
      <w:r w:rsidR="0065257E" w:rsidRPr="00E15B01">
        <w:rPr>
          <w:rFonts w:asciiTheme="minorHAnsi" w:hAnsiTheme="minorHAnsi" w:cstheme="minorHAnsi"/>
          <w:sz w:val="24"/>
          <w:szCs w:val="24"/>
          <w:shd w:val="clear" w:color="auto" w:fill="FFFFFF"/>
          <w:lang w:val="en-GB"/>
        </w:rPr>
        <w:t xml:space="preserve"> </w:t>
      </w:r>
      <w:r w:rsidRPr="00E15B01">
        <w:rPr>
          <w:rFonts w:asciiTheme="minorHAnsi" w:hAnsiTheme="minorHAnsi" w:cstheme="minorHAnsi"/>
          <w:sz w:val="24"/>
          <w:szCs w:val="24"/>
          <w:shd w:val="clear" w:color="auto" w:fill="FFFFFF"/>
          <w:lang w:val="en-GB"/>
        </w:rPr>
        <w:t>a history of a prior fragility fracture since many guidelines</w:t>
      </w:r>
      <w:r w:rsidR="00963985" w:rsidRPr="00E15B01">
        <w:rPr>
          <w:lang w:val="en-GB"/>
        </w:rPr>
        <w:t xml:space="preserve"> </w:t>
      </w:r>
      <w:r w:rsidR="00963985" w:rsidRPr="00E15B01">
        <w:rPr>
          <w:rFonts w:asciiTheme="minorHAnsi" w:hAnsiTheme="minorHAnsi" w:cstheme="minorHAnsi"/>
          <w:sz w:val="24"/>
          <w:szCs w:val="24"/>
          <w:shd w:val="clear" w:color="auto" w:fill="FFFFFF"/>
          <w:lang w:val="en-GB"/>
        </w:rPr>
        <w:t xml:space="preserve">recommend that postmenopausal women with </w:t>
      </w:r>
      <w:r w:rsidR="00A127FC" w:rsidRPr="00E15B01">
        <w:rPr>
          <w:rFonts w:asciiTheme="minorHAnsi" w:hAnsiTheme="minorHAnsi" w:cstheme="minorHAnsi"/>
          <w:sz w:val="24"/>
          <w:szCs w:val="24"/>
          <w:shd w:val="clear" w:color="auto" w:fill="FFFFFF"/>
          <w:lang w:val="en-GB"/>
        </w:rPr>
        <w:t>such</w:t>
      </w:r>
      <w:r w:rsidR="007D7671" w:rsidRPr="00E15B01">
        <w:rPr>
          <w:rFonts w:asciiTheme="minorHAnsi" w:hAnsiTheme="minorHAnsi" w:cstheme="minorHAnsi"/>
          <w:sz w:val="24"/>
          <w:szCs w:val="24"/>
          <w:shd w:val="clear" w:color="auto" w:fill="FFFFFF"/>
          <w:lang w:val="en-GB"/>
        </w:rPr>
        <w:t xml:space="preserve"> an</w:t>
      </w:r>
      <w:r w:rsidR="00963985" w:rsidRPr="00E15B01">
        <w:rPr>
          <w:rFonts w:asciiTheme="minorHAnsi" w:hAnsiTheme="minorHAnsi" w:cstheme="minorHAnsi"/>
          <w:sz w:val="24"/>
          <w:szCs w:val="24"/>
          <w:shd w:val="clear" w:color="auto" w:fill="FFFFFF"/>
          <w:lang w:val="en-GB"/>
        </w:rPr>
        <w:t xml:space="preserve"> </w:t>
      </w:r>
      <w:r w:rsidR="007D7671" w:rsidRPr="00E15B01">
        <w:rPr>
          <w:rFonts w:asciiTheme="minorHAnsi" w:hAnsiTheme="minorHAnsi" w:cstheme="minorHAnsi"/>
          <w:sz w:val="24"/>
          <w:szCs w:val="24"/>
          <w:shd w:val="clear" w:color="auto" w:fill="FFFFFF"/>
          <w:lang w:val="en-GB"/>
        </w:rPr>
        <w:t xml:space="preserve">event </w:t>
      </w:r>
      <w:r w:rsidR="00963985" w:rsidRPr="00E15B01">
        <w:rPr>
          <w:rFonts w:asciiTheme="minorHAnsi" w:hAnsiTheme="minorHAnsi" w:cstheme="minorHAnsi"/>
          <w:sz w:val="24"/>
          <w:szCs w:val="24"/>
          <w:shd w:val="clear" w:color="auto" w:fill="FFFFFF"/>
          <w:lang w:val="en-GB"/>
        </w:rPr>
        <w:t xml:space="preserve">may be considered for intervention without the necessity for a BMD test (other than to </w:t>
      </w:r>
      <w:r w:rsidR="00963985" w:rsidRPr="006752DB">
        <w:rPr>
          <w:rFonts w:asciiTheme="minorHAnsi" w:hAnsiTheme="minorHAnsi" w:cstheme="minorHAnsi"/>
          <w:sz w:val="24"/>
          <w:szCs w:val="24"/>
          <w:shd w:val="clear" w:color="auto" w:fill="FFFFFF"/>
          <w:lang w:val="en-GB"/>
        </w:rPr>
        <w:t>monitor treatment) [</w:t>
      </w:r>
      <w:r w:rsidR="00D24F74">
        <w:rPr>
          <w:rFonts w:asciiTheme="minorHAnsi" w:hAnsiTheme="minorHAnsi" w:cstheme="minorHAnsi"/>
          <w:sz w:val="24"/>
          <w:szCs w:val="24"/>
          <w:shd w:val="clear" w:color="auto" w:fill="FFFFFF"/>
          <w:lang w:val="en-GB"/>
        </w:rPr>
        <w:t>4</w:t>
      </w:r>
      <w:r w:rsidR="00836DF8" w:rsidRPr="006752DB">
        <w:rPr>
          <w:rFonts w:asciiTheme="minorHAnsi" w:hAnsiTheme="minorHAnsi" w:cstheme="minorHAnsi"/>
          <w:sz w:val="24"/>
          <w:szCs w:val="24"/>
          <w:shd w:val="clear" w:color="auto" w:fill="FFFFFF"/>
          <w:lang w:val="en-GB"/>
        </w:rPr>
        <w:t xml:space="preserve">, </w:t>
      </w:r>
      <w:r w:rsidR="0068061F">
        <w:rPr>
          <w:rFonts w:asciiTheme="minorHAnsi" w:hAnsiTheme="minorHAnsi" w:cstheme="minorHAnsi"/>
          <w:sz w:val="24"/>
          <w:szCs w:val="24"/>
          <w:shd w:val="clear" w:color="auto" w:fill="FFFFFF"/>
          <w:lang w:val="en-GB"/>
        </w:rPr>
        <w:t>8</w:t>
      </w:r>
      <w:r w:rsidR="00836DF8" w:rsidRPr="006752DB">
        <w:rPr>
          <w:rFonts w:asciiTheme="minorHAnsi" w:hAnsiTheme="minorHAnsi" w:cstheme="minorHAnsi"/>
          <w:sz w:val="24"/>
          <w:szCs w:val="24"/>
          <w:shd w:val="clear" w:color="auto" w:fill="FFFFFF"/>
          <w:lang w:val="en-GB"/>
        </w:rPr>
        <w:t xml:space="preserve">, </w:t>
      </w:r>
      <w:r w:rsidR="0068061F">
        <w:rPr>
          <w:rFonts w:asciiTheme="minorHAnsi" w:hAnsiTheme="minorHAnsi" w:cstheme="minorHAnsi"/>
          <w:sz w:val="24"/>
          <w:szCs w:val="24"/>
          <w:shd w:val="clear" w:color="auto" w:fill="FFFFFF"/>
          <w:lang w:val="en-GB"/>
        </w:rPr>
        <w:t>9</w:t>
      </w:r>
      <w:r w:rsidR="009855DA" w:rsidRPr="006752DB">
        <w:rPr>
          <w:rFonts w:asciiTheme="minorHAnsi" w:hAnsiTheme="minorHAnsi" w:cstheme="minorHAnsi"/>
          <w:sz w:val="24"/>
          <w:szCs w:val="24"/>
          <w:shd w:val="clear" w:color="auto" w:fill="FFFFFF"/>
          <w:lang w:val="en-GB"/>
        </w:rPr>
        <w:t xml:space="preserve">, </w:t>
      </w:r>
      <w:r w:rsidR="003F1984" w:rsidRPr="006752DB">
        <w:rPr>
          <w:rFonts w:asciiTheme="minorHAnsi" w:hAnsiTheme="minorHAnsi" w:cstheme="minorHAnsi"/>
          <w:sz w:val="24"/>
          <w:szCs w:val="24"/>
          <w:shd w:val="clear" w:color="auto" w:fill="FFFFFF"/>
          <w:lang w:val="en-GB"/>
        </w:rPr>
        <w:t>1</w:t>
      </w:r>
      <w:r w:rsidR="00496C3A">
        <w:rPr>
          <w:rFonts w:asciiTheme="minorHAnsi" w:hAnsiTheme="minorHAnsi" w:cstheme="minorHAnsi"/>
          <w:sz w:val="24"/>
          <w:szCs w:val="24"/>
          <w:shd w:val="clear" w:color="auto" w:fill="FFFFFF"/>
          <w:lang w:val="en-GB"/>
        </w:rPr>
        <w:t>8</w:t>
      </w:r>
      <w:r w:rsidR="00AD3A0A" w:rsidRPr="006752DB">
        <w:rPr>
          <w:rFonts w:asciiTheme="minorHAnsi" w:hAnsiTheme="minorHAnsi" w:cstheme="minorHAnsi"/>
          <w:sz w:val="24"/>
          <w:szCs w:val="24"/>
          <w:shd w:val="clear" w:color="auto" w:fill="FFFFFF"/>
          <w:lang w:val="en-GB"/>
        </w:rPr>
        <w:t>, 1</w:t>
      </w:r>
      <w:r w:rsidR="00496C3A">
        <w:rPr>
          <w:rFonts w:asciiTheme="minorHAnsi" w:hAnsiTheme="minorHAnsi" w:cstheme="minorHAnsi"/>
          <w:sz w:val="24"/>
          <w:szCs w:val="24"/>
          <w:shd w:val="clear" w:color="auto" w:fill="FFFFFF"/>
          <w:lang w:val="en-GB"/>
        </w:rPr>
        <w:t>9</w:t>
      </w:r>
      <w:r w:rsidR="00AD3A0A" w:rsidRPr="006752DB">
        <w:rPr>
          <w:rFonts w:asciiTheme="minorHAnsi" w:hAnsiTheme="minorHAnsi" w:cstheme="minorHAnsi"/>
          <w:sz w:val="24"/>
          <w:szCs w:val="24"/>
          <w:shd w:val="clear" w:color="auto" w:fill="FFFFFF"/>
          <w:lang w:val="en-GB"/>
        </w:rPr>
        <w:t>,</w:t>
      </w:r>
      <w:r w:rsidR="00ED3C6A" w:rsidRPr="006752DB">
        <w:t xml:space="preserve"> </w:t>
      </w:r>
      <w:r w:rsidR="00672C61">
        <w:rPr>
          <w:rFonts w:asciiTheme="minorHAnsi" w:hAnsiTheme="minorHAnsi" w:cstheme="minorHAnsi"/>
          <w:sz w:val="24"/>
          <w:szCs w:val="24"/>
          <w:shd w:val="clear" w:color="auto" w:fill="FFFFFF"/>
          <w:lang w:val="en-GB"/>
        </w:rPr>
        <w:t>20</w:t>
      </w:r>
      <w:r w:rsidR="00AD3A0A" w:rsidRPr="006752DB">
        <w:rPr>
          <w:rFonts w:asciiTheme="minorHAnsi" w:hAnsiTheme="minorHAnsi" w:cstheme="minorHAnsi"/>
          <w:sz w:val="24"/>
          <w:szCs w:val="24"/>
          <w:shd w:val="clear" w:color="auto" w:fill="FFFFFF"/>
          <w:lang w:val="en-GB"/>
        </w:rPr>
        <w:t xml:space="preserve">, </w:t>
      </w:r>
      <w:r w:rsidR="0076589A" w:rsidRPr="006752DB">
        <w:rPr>
          <w:rFonts w:asciiTheme="minorHAnsi" w:hAnsiTheme="minorHAnsi" w:cstheme="minorHAnsi"/>
          <w:sz w:val="24"/>
          <w:szCs w:val="24"/>
          <w:shd w:val="clear" w:color="auto" w:fill="FFFFFF"/>
          <w:lang w:val="en-GB"/>
        </w:rPr>
        <w:t>2</w:t>
      </w:r>
      <w:r w:rsidR="00672C61">
        <w:rPr>
          <w:rFonts w:asciiTheme="minorHAnsi" w:hAnsiTheme="minorHAnsi" w:cstheme="minorHAnsi"/>
          <w:sz w:val="24"/>
          <w:szCs w:val="24"/>
          <w:shd w:val="clear" w:color="auto" w:fill="FFFFFF"/>
          <w:lang w:val="en-GB"/>
        </w:rPr>
        <w:t>1</w:t>
      </w:r>
      <w:r w:rsidR="0076589A" w:rsidRPr="006752DB">
        <w:rPr>
          <w:rFonts w:asciiTheme="minorHAnsi" w:hAnsiTheme="minorHAnsi" w:cstheme="minorHAnsi"/>
          <w:sz w:val="24"/>
          <w:szCs w:val="24"/>
          <w:shd w:val="clear" w:color="auto" w:fill="FFFFFF"/>
          <w:lang w:val="en-GB"/>
        </w:rPr>
        <w:t>, 2</w:t>
      </w:r>
      <w:r w:rsidR="00672C61">
        <w:rPr>
          <w:rFonts w:asciiTheme="minorHAnsi" w:hAnsiTheme="minorHAnsi" w:cstheme="minorHAnsi"/>
          <w:sz w:val="24"/>
          <w:szCs w:val="24"/>
          <w:shd w:val="clear" w:color="auto" w:fill="FFFFFF"/>
          <w:lang w:val="en-GB"/>
        </w:rPr>
        <w:t>2</w:t>
      </w:r>
      <w:r w:rsidR="00963985" w:rsidRPr="006752DB">
        <w:rPr>
          <w:rFonts w:asciiTheme="minorHAnsi" w:hAnsiTheme="minorHAnsi" w:cstheme="minorHAnsi"/>
          <w:sz w:val="24"/>
          <w:szCs w:val="24"/>
          <w:shd w:val="clear" w:color="auto" w:fill="FFFFFF"/>
          <w:lang w:val="en-GB"/>
        </w:rPr>
        <w:t>]. Given that a</w:t>
      </w:r>
      <w:r w:rsidR="00963985" w:rsidRPr="00E15B01">
        <w:rPr>
          <w:rFonts w:asciiTheme="minorHAnsi" w:hAnsiTheme="minorHAnsi" w:cstheme="minorHAnsi"/>
          <w:sz w:val="24"/>
          <w:szCs w:val="24"/>
          <w:shd w:val="clear" w:color="auto" w:fill="FFFFFF"/>
          <w:lang w:val="en-GB"/>
        </w:rPr>
        <w:t xml:space="preserve"> prior </w:t>
      </w:r>
      <w:bookmarkStart w:id="7" w:name="_Hlk43119770"/>
      <w:r w:rsidR="004D0BF3">
        <w:rPr>
          <w:rFonts w:asciiTheme="minorHAnsi" w:hAnsiTheme="minorHAnsi" w:cstheme="minorHAnsi"/>
          <w:sz w:val="24"/>
          <w:szCs w:val="24"/>
          <w:shd w:val="clear" w:color="auto" w:fill="FFFFFF"/>
          <w:lang w:val="en-GB"/>
        </w:rPr>
        <w:t>fragility</w:t>
      </w:r>
      <w:bookmarkEnd w:id="7"/>
      <w:r w:rsidR="004D0BF3">
        <w:rPr>
          <w:rFonts w:asciiTheme="minorHAnsi" w:hAnsiTheme="minorHAnsi" w:cstheme="minorHAnsi"/>
          <w:sz w:val="24"/>
          <w:szCs w:val="24"/>
          <w:shd w:val="clear" w:color="auto" w:fill="FFFFFF"/>
          <w:lang w:val="en-GB"/>
        </w:rPr>
        <w:t xml:space="preserve"> </w:t>
      </w:r>
      <w:r w:rsidR="00963985" w:rsidRPr="00E15B01">
        <w:rPr>
          <w:rFonts w:asciiTheme="minorHAnsi" w:hAnsiTheme="minorHAnsi" w:cstheme="minorHAnsi"/>
          <w:sz w:val="24"/>
          <w:szCs w:val="24"/>
          <w:shd w:val="clear" w:color="auto" w:fill="FFFFFF"/>
          <w:lang w:val="en-GB"/>
        </w:rPr>
        <w:t xml:space="preserve">fracture </w:t>
      </w:r>
      <w:r w:rsidR="0065257E">
        <w:rPr>
          <w:rFonts w:asciiTheme="minorHAnsi" w:hAnsiTheme="minorHAnsi" w:cstheme="minorHAnsi"/>
          <w:sz w:val="24"/>
          <w:szCs w:val="24"/>
          <w:shd w:val="clear" w:color="auto" w:fill="FFFFFF"/>
          <w:lang w:val="en-GB"/>
        </w:rPr>
        <w:t>is</w:t>
      </w:r>
      <w:r w:rsidR="0065257E" w:rsidRPr="00E15B01">
        <w:rPr>
          <w:rFonts w:asciiTheme="minorHAnsi" w:hAnsiTheme="minorHAnsi" w:cstheme="minorHAnsi"/>
          <w:sz w:val="24"/>
          <w:szCs w:val="24"/>
          <w:shd w:val="clear" w:color="auto" w:fill="FFFFFF"/>
          <w:lang w:val="en-GB"/>
        </w:rPr>
        <w:t xml:space="preserve"> </w:t>
      </w:r>
      <w:r w:rsidR="00963985" w:rsidRPr="00E15B01">
        <w:rPr>
          <w:rFonts w:asciiTheme="minorHAnsi" w:hAnsiTheme="minorHAnsi" w:cstheme="minorHAnsi"/>
          <w:sz w:val="24"/>
          <w:szCs w:val="24"/>
          <w:shd w:val="clear" w:color="auto" w:fill="FFFFFF"/>
          <w:lang w:val="en-GB"/>
        </w:rPr>
        <w:t xml:space="preserve">considered to carry a sufficient risk to recommend treatment, the intervention threshold in women without a prior </w:t>
      </w:r>
      <w:r w:rsidR="004D0BF3" w:rsidRPr="004D0BF3">
        <w:rPr>
          <w:rFonts w:asciiTheme="minorHAnsi" w:hAnsiTheme="minorHAnsi" w:cstheme="minorHAnsi"/>
          <w:sz w:val="24"/>
          <w:szCs w:val="24"/>
          <w:shd w:val="clear" w:color="auto" w:fill="FFFFFF"/>
          <w:lang w:val="en-GB"/>
        </w:rPr>
        <w:t xml:space="preserve">fragility </w:t>
      </w:r>
      <w:r w:rsidR="00963985" w:rsidRPr="00E15B01">
        <w:rPr>
          <w:rFonts w:asciiTheme="minorHAnsi" w:hAnsiTheme="minorHAnsi" w:cstheme="minorHAnsi"/>
          <w:sz w:val="24"/>
          <w:szCs w:val="24"/>
          <w:shd w:val="clear" w:color="auto" w:fill="FFFFFF"/>
          <w:lang w:val="en-GB"/>
        </w:rPr>
        <w:t xml:space="preserve">fracture </w:t>
      </w:r>
      <w:r w:rsidR="0065257E">
        <w:rPr>
          <w:rFonts w:asciiTheme="minorHAnsi" w:hAnsiTheme="minorHAnsi" w:cstheme="minorHAnsi"/>
          <w:sz w:val="24"/>
          <w:szCs w:val="24"/>
          <w:shd w:val="clear" w:color="auto" w:fill="FFFFFF"/>
          <w:lang w:val="en-GB"/>
        </w:rPr>
        <w:t>can be</w:t>
      </w:r>
      <w:r w:rsidR="0065257E" w:rsidRPr="00E15B01">
        <w:rPr>
          <w:rFonts w:asciiTheme="minorHAnsi" w:hAnsiTheme="minorHAnsi" w:cstheme="minorHAnsi"/>
          <w:sz w:val="24"/>
          <w:szCs w:val="24"/>
          <w:shd w:val="clear" w:color="auto" w:fill="FFFFFF"/>
          <w:lang w:val="en-GB"/>
        </w:rPr>
        <w:t xml:space="preserve"> </w:t>
      </w:r>
      <w:r w:rsidR="00963985" w:rsidRPr="00E15B01">
        <w:rPr>
          <w:rFonts w:asciiTheme="minorHAnsi" w:hAnsiTheme="minorHAnsi" w:cstheme="minorHAnsi"/>
          <w:sz w:val="24"/>
          <w:szCs w:val="24"/>
          <w:shd w:val="clear" w:color="auto" w:fill="FFFFFF"/>
          <w:lang w:val="en-GB"/>
        </w:rPr>
        <w:t xml:space="preserve">set at the age-specific 10-year probability of a major </w:t>
      </w:r>
      <w:bookmarkStart w:id="8" w:name="_Hlk38669146"/>
      <w:r w:rsidR="00D32C64">
        <w:rPr>
          <w:rFonts w:asciiTheme="minorHAnsi" w:hAnsiTheme="minorHAnsi" w:cstheme="minorHAnsi"/>
          <w:sz w:val="24"/>
          <w:szCs w:val="24"/>
          <w:shd w:val="clear" w:color="auto" w:fill="FFFFFF"/>
          <w:lang w:val="en-GB"/>
        </w:rPr>
        <w:t>osteoporotic</w:t>
      </w:r>
      <w:bookmarkEnd w:id="8"/>
      <w:r w:rsidR="00D32C64">
        <w:rPr>
          <w:rFonts w:asciiTheme="minorHAnsi" w:hAnsiTheme="minorHAnsi" w:cstheme="minorHAnsi"/>
          <w:sz w:val="24"/>
          <w:szCs w:val="24"/>
          <w:shd w:val="clear" w:color="auto" w:fill="FFFFFF"/>
          <w:lang w:val="en-GB"/>
        </w:rPr>
        <w:t xml:space="preserve"> </w:t>
      </w:r>
      <w:r w:rsidR="00963985" w:rsidRPr="00E15B01">
        <w:rPr>
          <w:rFonts w:asciiTheme="minorHAnsi" w:hAnsiTheme="minorHAnsi" w:cstheme="minorHAnsi"/>
          <w:sz w:val="24"/>
          <w:szCs w:val="24"/>
          <w:shd w:val="clear" w:color="auto" w:fill="FFFFFF"/>
          <w:lang w:val="en-GB"/>
        </w:rPr>
        <w:t xml:space="preserve">fracture (hip, spine, forearm or humerus) </w:t>
      </w:r>
      <w:r w:rsidR="00963985" w:rsidRPr="000B4419">
        <w:rPr>
          <w:rFonts w:asciiTheme="minorHAnsi" w:hAnsiTheme="minorHAnsi" w:cstheme="minorHAnsi"/>
          <w:sz w:val="24"/>
          <w:szCs w:val="24"/>
          <w:shd w:val="clear" w:color="auto" w:fill="FFFFFF"/>
          <w:lang w:val="en-GB"/>
        </w:rPr>
        <w:t>equivalent to women with a prior fragility fracture using the FRAX model</w:t>
      </w:r>
      <w:r w:rsidR="0076589A">
        <w:rPr>
          <w:rFonts w:asciiTheme="minorHAnsi" w:hAnsiTheme="minorHAnsi" w:cstheme="minorHAnsi"/>
          <w:sz w:val="24"/>
          <w:szCs w:val="24"/>
          <w:shd w:val="clear" w:color="auto" w:fill="FFFFFF"/>
          <w:lang w:val="en-GB"/>
        </w:rPr>
        <w:t xml:space="preserve"> for Singapore</w:t>
      </w:r>
      <w:r w:rsidR="00963985" w:rsidRPr="000B4419">
        <w:rPr>
          <w:rFonts w:asciiTheme="minorHAnsi" w:hAnsiTheme="minorHAnsi" w:cstheme="minorHAnsi"/>
          <w:sz w:val="24"/>
          <w:szCs w:val="24"/>
          <w:shd w:val="clear" w:color="auto" w:fill="FFFFFF"/>
          <w:lang w:val="en-GB"/>
        </w:rPr>
        <w:t xml:space="preserve">. </w:t>
      </w:r>
      <w:r w:rsidR="00717F04">
        <w:rPr>
          <w:rFonts w:asciiTheme="minorHAnsi" w:hAnsiTheme="minorHAnsi" w:cstheme="minorHAnsi"/>
          <w:sz w:val="24"/>
          <w:szCs w:val="24"/>
          <w:shd w:val="clear" w:color="auto" w:fill="FFFFFF"/>
          <w:lang w:val="en-GB"/>
        </w:rPr>
        <w:t xml:space="preserve"> </w:t>
      </w:r>
      <w:r w:rsidR="00963985" w:rsidRPr="000B4419">
        <w:rPr>
          <w:rFonts w:asciiTheme="minorHAnsi" w:hAnsiTheme="minorHAnsi" w:cstheme="minorHAnsi"/>
          <w:sz w:val="24"/>
          <w:szCs w:val="24"/>
          <w:shd w:val="clear" w:color="auto" w:fill="FFFFFF"/>
          <w:lang w:val="en-GB"/>
        </w:rPr>
        <w:t xml:space="preserve">Body mass index was set at </w:t>
      </w:r>
      <w:r w:rsidR="00B504E0" w:rsidRPr="000B4419">
        <w:rPr>
          <w:rFonts w:asciiTheme="minorHAnsi" w:hAnsiTheme="minorHAnsi" w:cstheme="minorHAnsi"/>
          <w:sz w:val="24"/>
          <w:szCs w:val="24"/>
          <w:shd w:val="clear" w:color="auto" w:fill="FFFFFF"/>
          <w:lang w:val="en-GB"/>
        </w:rPr>
        <w:t xml:space="preserve">an </w:t>
      </w:r>
      <w:r w:rsidR="000B4419" w:rsidRPr="000B4419">
        <w:rPr>
          <w:rFonts w:asciiTheme="minorHAnsi" w:hAnsiTheme="minorHAnsi" w:cstheme="minorHAnsi"/>
          <w:sz w:val="24"/>
          <w:szCs w:val="24"/>
          <w:shd w:val="clear" w:color="auto" w:fill="FFFFFF"/>
          <w:lang w:val="en-GB"/>
        </w:rPr>
        <w:t xml:space="preserve">ethnic- and </w:t>
      </w:r>
      <w:r w:rsidR="00B504E0" w:rsidRPr="000B4419">
        <w:rPr>
          <w:rFonts w:asciiTheme="minorHAnsi" w:hAnsiTheme="minorHAnsi" w:cstheme="minorHAnsi"/>
          <w:sz w:val="24"/>
          <w:szCs w:val="24"/>
          <w:shd w:val="clear" w:color="auto" w:fill="FFFFFF"/>
          <w:lang w:val="en-GB"/>
        </w:rPr>
        <w:t>age-dependen</w:t>
      </w:r>
      <w:r w:rsidR="00E20674" w:rsidRPr="000B4419">
        <w:rPr>
          <w:rFonts w:asciiTheme="minorHAnsi" w:hAnsiTheme="minorHAnsi" w:cstheme="minorHAnsi"/>
          <w:sz w:val="24"/>
          <w:szCs w:val="24"/>
          <w:shd w:val="clear" w:color="auto" w:fill="FFFFFF"/>
          <w:lang w:val="en-GB"/>
        </w:rPr>
        <w:t>t</w:t>
      </w:r>
      <w:r w:rsidR="00B504E0" w:rsidRPr="000B4419">
        <w:rPr>
          <w:rFonts w:asciiTheme="minorHAnsi" w:hAnsiTheme="minorHAnsi" w:cstheme="minorHAnsi"/>
          <w:sz w:val="24"/>
          <w:szCs w:val="24"/>
          <w:shd w:val="clear" w:color="auto" w:fill="FFFFFF"/>
          <w:lang w:val="en-GB"/>
        </w:rPr>
        <w:t xml:space="preserve"> value</w:t>
      </w:r>
      <w:r w:rsidR="000B4419" w:rsidRPr="000B4419">
        <w:rPr>
          <w:rFonts w:asciiTheme="minorHAnsi" w:hAnsiTheme="minorHAnsi" w:cstheme="minorHAnsi"/>
          <w:sz w:val="24"/>
          <w:szCs w:val="24"/>
          <w:shd w:val="clear" w:color="auto" w:fill="FFFFFF"/>
          <w:lang w:val="en-GB"/>
        </w:rPr>
        <w:t xml:space="preserve"> </w:t>
      </w:r>
      <w:r w:rsidR="00EE37C2">
        <w:rPr>
          <w:rFonts w:asciiTheme="minorHAnsi" w:hAnsiTheme="minorHAnsi" w:cstheme="minorHAnsi"/>
          <w:sz w:val="24"/>
          <w:szCs w:val="24"/>
          <w:shd w:val="clear" w:color="auto" w:fill="FFFFFF"/>
          <w:lang w:val="en-GB"/>
        </w:rPr>
        <w:t>[</w:t>
      </w:r>
      <w:r w:rsidR="00E20504">
        <w:rPr>
          <w:rFonts w:asciiTheme="minorHAnsi" w:hAnsiTheme="minorHAnsi" w:cstheme="minorHAnsi"/>
          <w:sz w:val="24"/>
          <w:szCs w:val="24"/>
          <w:shd w:val="clear" w:color="auto" w:fill="FFFFFF"/>
          <w:lang w:val="en-GB"/>
        </w:rPr>
        <w:t>2</w:t>
      </w:r>
      <w:r w:rsidR="00094DCA">
        <w:rPr>
          <w:rFonts w:asciiTheme="minorHAnsi" w:hAnsiTheme="minorHAnsi" w:cstheme="minorHAnsi"/>
          <w:sz w:val="24"/>
          <w:szCs w:val="24"/>
          <w:shd w:val="clear" w:color="auto" w:fill="FFFFFF"/>
          <w:lang w:val="en-GB"/>
        </w:rPr>
        <w:t>3, 24</w:t>
      </w:r>
      <w:r w:rsidR="00E929EC">
        <w:rPr>
          <w:rFonts w:asciiTheme="minorHAnsi" w:hAnsiTheme="minorHAnsi" w:cstheme="minorHAnsi"/>
          <w:sz w:val="24"/>
          <w:szCs w:val="24"/>
          <w:shd w:val="clear" w:color="auto" w:fill="FFFFFF"/>
          <w:lang w:val="en-GB"/>
        </w:rPr>
        <w:t>]</w:t>
      </w:r>
      <w:r w:rsidR="00223475">
        <w:rPr>
          <w:rFonts w:asciiTheme="minorHAnsi" w:hAnsiTheme="minorHAnsi" w:cstheme="minorHAnsi"/>
          <w:sz w:val="24"/>
          <w:szCs w:val="24"/>
          <w:shd w:val="clear" w:color="auto" w:fill="FFFFFF"/>
          <w:lang w:val="en-GB"/>
        </w:rPr>
        <w:t>.</w:t>
      </w:r>
      <w:r w:rsidR="00963985" w:rsidRPr="000B4419">
        <w:rPr>
          <w:rFonts w:asciiTheme="minorHAnsi" w:hAnsiTheme="minorHAnsi" w:cstheme="minorHAnsi"/>
          <w:sz w:val="24"/>
          <w:szCs w:val="24"/>
          <w:shd w:val="clear" w:color="auto" w:fill="FFFFFF"/>
          <w:lang w:val="en-GB"/>
        </w:rPr>
        <w:t xml:space="preserve"> </w:t>
      </w:r>
    </w:p>
    <w:p w14:paraId="2CEA4CB0" w14:textId="0066D908" w:rsidR="00E15B01" w:rsidRPr="003A533D" w:rsidRDefault="00F12288" w:rsidP="00827EF0">
      <w:pPr>
        <w:ind w:left="1134"/>
        <w:rPr>
          <w:rFonts w:asciiTheme="minorHAnsi" w:hAnsiTheme="minorHAnsi" w:cstheme="minorHAnsi"/>
          <w:sz w:val="24"/>
          <w:szCs w:val="24"/>
          <w:shd w:val="clear" w:color="auto" w:fill="FFFFFF"/>
          <w:lang w:val="en-GB"/>
        </w:rPr>
      </w:pPr>
      <w:r>
        <w:rPr>
          <w:rFonts w:asciiTheme="minorHAnsi" w:hAnsiTheme="minorHAnsi" w:cstheme="minorHAnsi"/>
          <w:sz w:val="24"/>
          <w:szCs w:val="24"/>
          <w:shd w:val="clear" w:color="auto" w:fill="FFFFFF"/>
          <w:lang w:val="en-GB"/>
        </w:rPr>
        <w:lastRenderedPageBreak/>
        <w:t>T</w:t>
      </w:r>
      <w:r w:rsidRPr="00F12288">
        <w:rPr>
          <w:rFonts w:asciiTheme="minorHAnsi" w:hAnsiTheme="minorHAnsi" w:cstheme="minorHAnsi"/>
          <w:sz w:val="24"/>
          <w:szCs w:val="24"/>
          <w:shd w:val="clear" w:color="auto" w:fill="FFFFFF"/>
          <w:lang w:val="en-GB"/>
        </w:rPr>
        <w:t xml:space="preserve">he age-specific 10-year probability of a major </w:t>
      </w:r>
      <w:r w:rsidR="00D32C64" w:rsidRPr="00D32C64">
        <w:rPr>
          <w:rFonts w:asciiTheme="minorHAnsi" w:hAnsiTheme="minorHAnsi" w:cstheme="minorHAnsi"/>
          <w:sz w:val="24"/>
          <w:szCs w:val="24"/>
          <w:shd w:val="clear" w:color="auto" w:fill="FFFFFF"/>
          <w:lang w:val="en-GB"/>
        </w:rPr>
        <w:t xml:space="preserve">osteoporotic </w:t>
      </w:r>
      <w:r w:rsidRPr="00F12288">
        <w:rPr>
          <w:rFonts w:asciiTheme="minorHAnsi" w:hAnsiTheme="minorHAnsi" w:cstheme="minorHAnsi"/>
          <w:sz w:val="24"/>
          <w:szCs w:val="24"/>
          <w:shd w:val="clear" w:color="auto" w:fill="FFFFFF"/>
          <w:lang w:val="en-GB"/>
        </w:rPr>
        <w:t xml:space="preserve">fracture equivalent to women with a prior fragility fracture </w:t>
      </w:r>
      <w:r w:rsidR="00D32C64">
        <w:rPr>
          <w:rFonts w:asciiTheme="minorHAnsi" w:hAnsiTheme="minorHAnsi" w:cstheme="minorHAnsi"/>
          <w:sz w:val="24"/>
          <w:szCs w:val="24"/>
          <w:shd w:val="clear" w:color="auto" w:fill="FFFFFF"/>
          <w:lang w:val="en-GB"/>
        </w:rPr>
        <w:t>was</w:t>
      </w:r>
      <w:r w:rsidR="000B4419" w:rsidRPr="003A533D">
        <w:rPr>
          <w:rFonts w:asciiTheme="minorHAnsi" w:hAnsiTheme="minorHAnsi" w:cstheme="minorHAnsi"/>
          <w:sz w:val="24"/>
          <w:szCs w:val="24"/>
          <w:shd w:val="clear" w:color="auto" w:fill="FFFFFF"/>
          <w:lang w:val="en-GB"/>
        </w:rPr>
        <w:t xml:space="preserve"> calculated for each ethnicity in Singapore.</w:t>
      </w:r>
      <w:r w:rsidR="00223475">
        <w:rPr>
          <w:rFonts w:asciiTheme="minorHAnsi" w:hAnsiTheme="minorHAnsi" w:cstheme="minorHAnsi"/>
          <w:sz w:val="24"/>
          <w:szCs w:val="24"/>
          <w:shd w:val="clear" w:color="auto" w:fill="FFFFFF"/>
          <w:lang w:val="en-GB"/>
        </w:rPr>
        <w:t xml:space="preserve"> </w:t>
      </w:r>
      <w:r w:rsidR="000B4419" w:rsidRPr="003A533D">
        <w:rPr>
          <w:rFonts w:asciiTheme="minorHAnsi" w:hAnsiTheme="minorHAnsi" w:cstheme="minorHAnsi"/>
          <w:sz w:val="24"/>
          <w:szCs w:val="24"/>
          <w:shd w:val="clear" w:color="auto" w:fill="FFFFFF"/>
          <w:lang w:val="en-GB"/>
        </w:rPr>
        <w:t xml:space="preserve"> Then </w:t>
      </w:r>
      <w:r w:rsidR="005D2BCA">
        <w:rPr>
          <w:rFonts w:asciiTheme="minorHAnsi" w:hAnsiTheme="minorHAnsi" w:cstheme="minorHAnsi"/>
          <w:sz w:val="24"/>
          <w:szCs w:val="24"/>
          <w:shd w:val="clear" w:color="auto" w:fill="FFFFFF"/>
          <w:lang w:val="en-GB"/>
        </w:rPr>
        <w:t>an intervention t</w:t>
      </w:r>
      <w:r w:rsidR="000B4419" w:rsidRPr="003A533D">
        <w:rPr>
          <w:rFonts w:asciiTheme="minorHAnsi" w:hAnsiTheme="minorHAnsi" w:cstheme="minorHAnsi"/>
          <w:sz w:val="24"/>
          <w:szCs w:val="24"/>
          <w:shd w:val="clear" w:color="auto" w:fill="FFFFFF"/>
          <w:lang w:val="en-GB"/>
        </w:rPr>
        <w:t xml:space="preserve">hreshold </w:t>
      </w:r>
      <w:r w:rsidR="005D2BCA">
        <w:rPr>
          <w:rFonts w:asciiTheme="minorHAnsi" w:hAnsiTheme="minorHAnsi" w:cstheme="minorHAnsi"/>
          <w:sz w:val="24"/>
          <w:szCs w:val="24"/>
          <w:shd w:val="clear" w:color="auto" w:fill="FFFFFF"/>
          <w:lang w:val="en-GB"/>
        </w:rPr>
        <w:t>was</w:t>
      </w:r>
      <w:r w:rsidR="00E0386B">
        <w:rPr>
          <w:rFonts w:asciiTheme="minorHAnsi" w:hAnsiTheme="minorHAnsi" w:cstheme="minorHAnsi"/>
          <w:sz w:val="24"/>
          <w:szCs w:val="24"/>
          <w:shd w:val="clear" w:color="auto" w:fill="FFFFFF"/>
          <w:lang w:val="en-GB"/>
        </w:rPr>
        <w:t xml:space="preserve"> </w:t>
      </w:r>
      <w:r w:rsidR="000B4419" w:rsidRPr="003A533D">
        <w:rPr>
          <w:rFonts w:asciiTheme="minorHAnsi" w:hAnsiTheme="minorHAnsi" w:cstheme="minorHAnsi"/>
          <w:sz w:val="24"/>
          <w:szCs w:val="24"/>
          <w:shd w:val="clear" w:color="auto" w:fill="FFFFFF"/>
          <w:lang w:val="en-GB"/>
        </w:rPr>
        <w:t xml:space="preserve">calculated using </w:t>
      </w:r>
      <w:r w:rsidR="00131E5E">
        <w:rPr>
          <w:rFonts w:asciiTheme="minorHAnsi" w:hAnsiTheme="minorHAnsi" w:cstheme="minorHAnsi"/>
          <w:sz w:val="24"/>
          <w:szCs w:val="24"/>
          <w:shd w:val="clear" w:color="auto" w:fill="FFFFFF"/>
          <w:lang w:val="en-GB"/>
        </w:rPr>
        <w:t>these probabilities</w:t>
      </w:r>
      <w:r w:rsidR="000B4419" w:rsidRPr="003A533D">
        <w:rPr>
          <w:rFonts w:asciiTheme="minorHAnsi" w:hAnsiTheme="minorHAnsi" w:cstheme="minorHAnsi"/>
          <w:sz w:val="24"/>
          <w:szCs w:val="24"/>
          <w:shd w:val="clear" w:color="auto" w:fill="FFFFFF"/>
          <w:lang w:val="en-GB"/>
        </w:rPr>
        <w:t xml:space="preserve"> weighted by the </w:t>
      </w:r>
      <w:r w:rsidR="003A533D" w:rsidRPr="003A533D">
        <w:rPr>
          <w:rFonts w:asciiTheme="minorHAnsi" w:hAnsiTheme="minorHAnsi" w:cstheme="minorHAnsi"/>
          <w:sz w:val="24"/>
          <w:szCs w:val="24"/>
          <w:shd w:val="clear" w:color="auto" w:fill="FFFFFF"/>
          <w:lang w:val="en-GB"/>
        </w:rPr>
        <w:t xml:space="preserve">ethnic-specific </w:t>
      </w:r>
      <w:r w:rsidR="000B4419" w:rsidRPr="003A533D">
        <w:rPr>
          <w:rFonts w:asciiTheme="minorHAnsi" w:hAnsiTheme="minorHAnsi" w:cstheme="minorHAnsi"/>
          <w:sz w:val="24"/>
          <w:szCs w:val="24"/>
          <w:shd w:val="clear" w:color="auto" w:fill="FFFFFF"/>
          <w:lang w:val="en-GB"/>
        </w:rPr>
        <w:t>population of Singapore from 2017</w:t>
      </w:r>
      <w:r w:rsidR="007F3593">
        <w:rPr>
          <w:rFonts w:asciiTheme="minorHAnsi" w:hAnsiTheme="minorHAnsi" w:cstheme="minorHAnsi"/>
          <w:sz w:val="24"/>
          <w:szCs w:val="24"/>
          <w:shd w:val="clear" w:color="auto" w:fill="FFFFFF"/>
          <w:lang w:val="en-GB"/>
        </w:rPr>
        <w:t xml:space="preserve"> at each </w:t>
      </w:r>
      <w:r w:rsidR="008F0BF4">
        <w:rPr>
          <w:rFonts w:asciiTheme="minorHAnsi" w:hAnsiTheme="minorHAnsi" w:cstheme="minorHAnsi"/>
          <w:sz w:val="24"/>
          <w:szCs w:val="24"/>
          <w:shd w:val="clear" w:color="auto" w:fill="FFFFFF"/>
          <w:lang w:val="en-GB"/>
        </w:rPr>
        <w:t>5-year</w:t>
      </w:r>
      <w:r w:rsidR="007F3593">
        <w:rPr>
          <w:rFonts w:asciiTheme="minorHAnsi" w:hAnsiTheme="minorHAnsi" w:cstheme="minorHAnsi"/>
          <w:sz w:val="24"/>
          <w:szCs w:val="24"/>
          <w:shd w:val="clear" w:color="auto" w:fill="FFFFFF"/>
          <w:lang w:val="en-GB"/>
        </w:rPr>
        <w:t xml:space="preserve"> interval from the age of 40</w:t>
      </w:r>
      <w:r w:rsidR="006422B7">
        <w:rPr>
          <w:rFonts w:asciiTheme="minorHAnsi" w:hAnsiTheme="minorHAnsi" w:cstheme="minorHAnsi"/>
          <w:sz w:val="24"/>
          <w:szCs w:val="24"/>
          <w:shd w:val="clear" w:color="auto" w:fill="FFFFFF"/>
          <w:lang w:val="en-GB"/>
        </w:rPr>
        <w:t xml:space="preserve"> years</w:t>
      </w:r>
      <w:r w:rsidR="0058794D" w:rsidRPr="0058794D">
        <w:t xml:space="preserve"> </w:t>
      </w:r>
      <w:r w:rsidR="006F3061">
        <w:t>[</w:t>
      </w:r>
      <w:r w:rsidR="00370EE8">
        <w:t>25]</w:t>
      </w:r>
      <w:r w:rsidR="008A36BF">
        <w:rPr>
          <w:rFonts w:asciiTheme="minorHAnsi" w:hAnsiTheme="minorHAnsi" w:cstheme="minorHAnsi"/>
          <w:sz w:val="24"/>
          <w:szCs w:val="24"/>
          <w:shd w:val="clear" w:color="auto" w:fill="FFFFFF"/>
          <w:lang w:val="en-GB"/>
        </w:rPr>
        <w:t>.</w:t>
      </w:r>
      <w:r w:rsidR="009C2117">
        <w:rPr>
          <w:rFonts w:asciiTheme="minorHAnsi" w:hAnsiTheme="minorHAnsi" w:cstheme="minorHAnsi"/>
          <w:sz w:val="24"/>
          <w:szCs w:val="24"/>
          <w:shd w:val="clear" w:color="auto" w:fill="FFFFFF"/>
          <w:lang w:val="en-GB"/>
        </w:rPr>
        <w:t xml:space="preserve">  </w:t>
      </w:r>
      <w:r w:rsidR="00FC4169">
        <w:rPr>
          <w:rFonts w:asciiTheme="minorHAnsi" w:hAnsiTheme="minorHAnsi" w:cstheme="minorHAnsi"/>
          <w:sz w:val="24"/>
          <w:szCs w:val="24"/>
          <w:shd w:val="clear" w:color="auto" w:fill="FFFFFF"/>
          <w:lang w:val="en-GB"/>
        </w:rPr>
        <w:t xml:space="preserve"> </w:t>
      </w:r>
      <w:r w:rsidR="00120C4E">
        <w:rPr>
          <w:rFonts w:asciiTheme="minorHAnsi" w:hAnsiTheme="minorHAnsi" w:cstheme="minorHAnsi"/>
          <w:sz w:val="24"/>
          <w:szCs w:val="24"/>
          <w:shd w:val="clear" w:color="auto" w:fill="FFFFFF"/>
          <w:lang w:val="en-GB"/>
        </w:rPr>
        <w:t>The setting of the intervention threshold differed fro</w:t>
      </w:r>
      <w:r w:rsidR="008D35B0">
        <w:rPr>
          <w:rFonts w:asciiTheme="minorHAnsi" w:hAnsiTheme="minorHAnsi" w:cstheme="minorHAnsi"/>
          <w:sz w:val="24"/>
          <w:szCs w:val="24"/>
          <w:shd w:val="clear" w:color="auto" w:fill="FFFFFF"/>
          <w:lang w:val="en-GB"/>
        </w:rPr>
        <w:t>m</w:t>
      </w:r>
      <w:r w:rsidR="00120C4E">
        <w:rPr>
          <w:rFonts w:asciiTheme="minorHAnsi" w:hAnsiTheme="minorHAnsi" w:cstheme="minorHAnsi"/>
          <w:sz w:val="24"/>
          <w:szCs w:val="24"/>
          <w:shd w:val="clear" w:color="auto" w:fill="FFFFFF"/>
          <w:lang w:val="en-GB"/>
        </w:rPr>
        <w:t xml:space="preserve"> a previous estimate</w:t>
      </w:r>
      <w:r w:rsidR="008D35B0">
        <w:rPr>
          <w:rFonts w:asciiTheme="minorHAnsi" w:hAnsiTheme="minorHAnsi" w:cstheme="minorHAnsi"/>
          <w:sz w:val="24"/>
          <w:szCs w:val="24"/>
          <w:shd w:val="clear" w:color="auto" w:fill="FFFFFF"/>
          <w:lang w:val="en-GB"/>
        </w:rPr>
        <w:t xml:space="preserve"> </w:t>
      </w:r>
      <w:r w:rsidR="00494A79">
        <w:rPr>
          <w:rFonts w:asciiTheme="minorHAnsi" w:hAnsiTheme="minorHAnsi" w:cstheme="minorHAnsi"/>
          <w:sz w:val="24"/>
          <w:szCs w:val="24"/>
          <w:shd w:val="clear" w:color="auto" w:fill="FFFFFF"/>
          <w:lang w:val="en-GB"/>
        </w:rPr>
        <w:t xml:space="preserve">by using age specific data for the ethnic </w:t>
      </w:r>
      <w:r w:rsidR="00763AF9">
        <w:rPr>
          <w:rFonts w:asciiTheme="minorHAnsi" w:hAnsiTheme="minorHAnsi" w:cstheme="minorHAnsi"/>
          <w:sz w:val="24"/>
          <w:szCs w:val="24"/>
          <w:shd w:val="clear" w:color="auto" w:fill="FFFFFF"/>
          <w:lang w:val="en-GB"/>
        </w:rPr>
        <w:t xml:space="preserve">composition of the population </w:t>
      </w:r>
      <w:r w:rsidR="008F0BF4">
        <w:rPr>
          <w:rFonts w:asciiTheme="minorHAnsi" w:hAnsiTheme="minorHAnsi" w:cstheme="minorHAnsi"/>
          <w:sz w:val="24"/>
          <w:szCs w:val="24"/>
          <w:shd w:val="clear" w:color="auto" w:fill="FFFFFF"/>
          <w:lang w:val="en-GB"/>
        </w:rPr>
        <w:t>rather than a single estimate for all ages</w:t>
      </w:r>
      <w:r w:rsidR="008D35B0">
        <w:rPr>
          <w:rFonts w:asciiTheme="minorHAnsi" w:hAnsiTheme="minorHAnsi" w:cstheme="minorHAnsi"/>
          <w:sz w:val="24"/>
          <w:szCs w:val="24"/>
          <w:shd w:val="clear" w:color="auto" w:fill="FFFFFF"/>
          <w:lang w:val="en-GB"/>
        </w:rPr>
        <w:t xml:space="preserve"> </w:t>
      </w:r>
      <w:r w:rsidR="00FC4169">
        <w:rPr>
          <w:rFonts w:asciiTheme="minorHAnsi" w:hAnsiTheme="minorHAnsi" w:cstheme="minorHAnsi"/>
          <w:sz w:val="24"/>
          <w:szCs w:val="24"/>
          <w:shd w:val="clear" w:color="auto" w:fill="FFFFFF"/>
          <w:lang w:val="en-GB"/>
        </w:rPr>
        <w:t>[</w:t>
      </w:r>
      <w:r w:rsidR="00370EE8">
        <w:rPr>
          <w:rFonts w:asciiTheme="minorHAnsi" w:hAnsiTheme="minorHAnsi" w:cstheme="minorHAnsi"/>
          <w:sz w:val="24"/>
          <w:szCs w:val="24"/>
          <w:shd w:val="clear" w:color="auto" w:fill="FFFFFF"/>
          <w:lang w:val="en-GB"/>
        </w:rPr>
        <w:t>24</w:t>
      </w:r>
      <w:r w:rsidR="009613CF">
        <w:rPr>
          <w:rFonts w:asciiTheme="minorHAnsi" w:hAnsiTheme="minorHAnsi" w:cstheme="minorHAnsi"/>
          <w:sz w:val="24"/>
          <w:szCs w:val="24"/>
          <w:shd w:val="clear" w:color="auto" w:fill="FFFFFF"/>
          <w:lang w:val="en-GB"/>
        </w:rPr>
        <w:t>]</w:t>
      </w:r>
      <w:r w:rsidR="000B4419" w:rsidRPr="003A533D">
        <w:rPr>
          <w:rFonts w:asciiTheme="minorHAnsi" w:hAnsiTheme="minorHAnsi" w:cstheme="minorHAnsi"/>
          <w:sz w:val="24"/>
          <w:szCs w:val="24"/>
          <w:shd w:val="clear" w:color="auto" w:fill="FFFFFF"/>
          <w:lang w:val="en-GB"/>
        </w:rPr>
        <w:t>.</w:t>
      </w:r>
    </w:p>
    <w:p w14:paraId="0D5DEF74" w14:textId="77777777" w:rsidR="00963985" w:rsidRPr="00153768" w:rsidRDefault="00963985" w:rsidP="00827EF0">
      <w:pPr>
        <w:ind w:left="1134"/>
        <w:rPr>
          <w:rFonts w:asciiTheme="minorHAnsi" w:hAnsiTheme="minorHAnsi" w:cstheme="minorHAnsi"/>
          <w:i/>
          <w:iCs/>
          <w:sz w:val="24"/>
          <w:szCs w:val="24"/>
          <w:shd w:val="clear" w:color="auto" w:fill="FFFFFF"/>
          <w:lang w:val="en-GB"/>
        </w:rPr>
      </w:pPr>
      <w:r w:rsidRPr="00153768">
        <w:rPr>
          <w:rFonts w:asciiTheme="minorHAnsi" w:hAnsiTheme="minorHAnsi" w:cstheme="minorHAnsi"/>
          <w:i/>
          <w:iCs/>
          <w:sz w:val="24"/>
          <w:szCs w:val="24"/>
          <w:shd w:val="clear" w:color="auto" w:fill="FFFFFF"/>
          <w:lang w:val="en-GB"/>
        </w:rPr>
        <w:t>Assessment thresholds for BMD testing</w:t>
      </w:r>
    </w:p>
    <w:p w14:paraId="67B7E0AC" w14:textId="04A0C307" w:rsidR="00963985" w:rsidRPr="00153768" w:rsidRDefault="00963985" w:rsidP="00827EF0">
      <w:pPr>
        <w:ind w:left="1134"/>
        <w:rPr>
          <w:rFonts w:asciiTheme="minorHAnsi" w:hAnsiTheme="minorHAnsi" w:cstheme="minorHAnsi"/>
          <w:sz w:val="24"/>
          <w:szCs w:val="24"/>
          <w:shd w:val="clear" w:color="auto" w:fill="FFFFFF"/>
          <w:lang w:val="en-GB"/>
        </w:rPr>
      </w:pPr>
      <w:r w:rsidRPr="00153768">
        <w:rPr>
          <w:rFonts w:asciiTheme="minorHAnsi" w:hAnsiTheme="minorHAnsi" w:cstheme="minorHAnsi"/>
          <w:sz w:val="24"/>
          <w:szCs w:val="24"/>
          <w:shd w:val="clear" w:color="auto" w:fill="FFFFFF"/>
          <w:lang w:val="en-GB"/>
        </w:rPr>
        <w:t xml:space="preserve">Two assessment thresholds for making recommendations for the measurement of BMD were </w:t>
      </w:r>
      <w:r w:rsidRPr="00190B68">
        <w:rPr>
          <w:rFonts w:asciiTheme="minorHAnsi" w:hAnsiTheme="minorHAnsi" w:cstheme="minorHAnsi"/>
          <w:sz w:val="24"/>
          <w:szCs w:val="24"/>
          <w:shd w:val="clear" w:color="auto" w:fill="FFFFFF"/>
          <w:lang w:val="en-GB"/>
        </w:rPr>
        <w:t>considered [</w:t>
      </w:r>
      <w:r w:rsidR="00300CD7" w:rsidRPr="00190B68">
        <w:rPr>
          <w:rFonts w:asciiTheme="minorHAnsi" w:hAnsiTheme="minorHAnsi" w:cstheme="minorHAnsi"/>
          <w:sz w:val="24"/>
          <w:szCs w:val="24"/>
          <w:shd w:val="clear" w:color="auto" w:fill="FFFFFF"/>
          <w:lang w:val="en-GB"/>
        </w:rPr>
        <w:t>1</w:t>
      </w:r>
      <w:r w:rsidR="009613CF">
        <w:rPr>
          <w:rFonts w:asciiTheme="minorHAnsi" w:hAnsiTheme="minorHAnsi" w:cstheme="minorHAnsi"/>
          <w:sz w:val="24"/>
          <w:szCs w:val="24"/>
          <w:shd w:val="clear" w:color="auto" w:fill="FFFFFF"/>
          <w:lang w:val="en-GB"/>
        </w:rPr>
        <w:t>7</w:t>
      </w:r>
      <w:r w:rsidR="00A40DCB" w:rsidRPr="00190B68">
        <w:rPr>
          <w:rFonts w:asciiTheme="minorHAnsi" w:hAnsiTheme="minorHAnsi" w:cstheme="minorHAnsi"/>
          <w:sz w:val="24"/>
          <w:szCs w:val="24"/>
          <w:shd w:val="clear" w:color="auto" w:fill="FFFFFF"/>
          <w:lang w:val="en-GB"/>
        </w:rPr>
        <w:t xml:space="preserve">, </w:t>
      </w:r>
      <w:r w:rsidR="002B3492" w:rsidRPr="00190B68">
        <w:rPr>
          <w:rFonts w:asciiTheme="minorHAnsi" w:hAnsiTheme="minorHAnsi" w:cstheme="minorHAnsi"/>
          <w:sz w:val="24"/>
          <w:szCs w:val="24"/>
          <w:shd w:val="clear" w:color="auto" w:fill="FFFFFF"/>
          <w:lang w:val="en-GB"/>
        </w:rPr>
        <w:t>1</w:t>
      </w:r>
      <w:r w:rsidR="009613CF">
        <w:rPr>
          <w:rFonts w:asciiTheme="minorHAnsi" w:hAnsiTheme="minorHAnsi" w:cstheme="minorHAnsi"/>
          <w:sz w:val="24"/>
          <w:szCs w:val="24"/>
          <w:shd w:val="clear" w:color="auto" w:fill="FFFFFF"/>
          <w:lang w:val="en-GB"/>
        </w:rPr>
        <w:t>8]</w:t>
      </w:r>
      <w:r w:rsidRPr="00190B68">
        <w:rPr>
          <w:rFonts w:asciiTheme="minorHAnsi" w:hAnsiTheme="minorHAnsi" w:cstheme="minorHAnsi"/>
          <w:sz w:val="24"/>
          <w:szCs w:val="24"/>
          <w:shd w:val="clear" w:color="auto" w:fill="FFFFFF"/>
          <w:lang w:val="en-GB"/>
        </w:rPr>
        <w:t>:</w:t>
      </w:r>
    </w:p>
    <w:p w14:paraId="189D1F48" w14:textId="77777777" w:rsidR="00787EB8" w:rsidRPr="00153768" w:rsidRDefault="00963985" w:rsidP="00827EF0">
      <w:pPr>
        <w:ind w:left="1701"/>
        <w:rPr>
          <w:rFonts w:asciiTheme="minorHAnsi" w:hAnsiTheme="minorHAnsi" w:cstheme="minorHAnsi"/>
          <w:sz w:val="24"/>
          <w:szCs w:val="24"/>
          <w:shd w:val="clear" w:color="auto" w:fill="FFFFFF"/>
          <w:lang w:val="en-GB"/>
        </w:rPr>
      </w:pPr>
      <w:r w:rsidRPr="00153768">
        <w:rPr>
          <w:rFonts w:asciiTheme="minorHAnsi" w:hAnsiTheme="minorHAnsi" w:cstheme="minorHAnsi"/>
          <w:sz w:val="24"/>
          <w:szCs w:val="24"/>
          <w:shd w:val="clear" w:color="auto" w:fill="FFFFFF"/>
          <w:lang w:val="en-GB"/>
        </w:rPr>
        <w:t xml:space="preserve">A threshold probability below which neither treatment nor a BMD test should be considered (lower assessment threshold). </w:t>
      </w:r>
    </w:p>
    <w:p w14:paraId="67220E7E" w14:textId="77777777" w:rsidR="00787EB8" w:rsidRPr="00153768" w:rsidRDefault="00963985" w:rsidP="00827EF0">
      <w:pPr>
        <w:ind w:left="1701"/>
        <w:rPr>
          <w:rFonts w:asciiTheme="minorHAnsi" w:hAnsiTheme="minorHAnsi" w:cstheme="minorHAnsi"/>
          <w:sz w:val="24"/>
          <w:szCs w:val="24"/>
          <w:shd w:val="clear" w:color="auto" w:fill="FFFFFF"/>
          <w:lang w:val="en-GB"/>
        </w:rPr>
      </w:pPr>
      <w:r w:rsidRPr="00153768">
        <w:rPr>
          <w:rFonts w:asciiTheme="minorHAnsi" w:hAnsiTheme="minorHAnsi" w:cstheme="minorHAnsi"/>
          <w:sz w:val="24"/>
          <w:szCs w:val="24"/>
          <w:shd w:val="clear" w:color="auto" w:fill="FFFFFF"/>
          <w:lang w:val="en-GB"/>
        </w:rPr>
        <w:t xml:space="preserve">A threshold probability above which treatment may be recommended irrespective of BMD (upper assessment threshold). </w:t>
      </w:r>
    </w:p>
    <w:p w14:paraId="143314C8" w14:textId="6A4552F7" w:rsidR="00963985" w:rsidRPr="00153768" w:rsidRDefault="00963985" w:rsidP="00827EF0">
      <w:pPr>
        <w:ind w:left="1134"/>
        <w:rPr>
          <w:rFonts w:asciiTheme="minorHAnsi" w:hAnsiTheme="minorHAnsi" w:cstheme="minorHAnsi"/>
          <w:sz w:val="24"/>
          <w:szCs w:val="24"/>
          <w:shd w:val="clear" w:color="auto" w:fill="FFFFFF"/>
          <w:lang w:val="en-GB"/>
        </w:rPr>
      </w:pPr>
      <w:r w:rsidRPr="00153768">
        <w:rPr>
          <w:rFonts w:asciiTheme="minorHAnsi" w:hAnsiTheme="minorHAnsi" w:cstheme="minorHAnsi"/>
          <w:sz w:val="24"/>
          <w:szCs w:val="24"/>
          <w:shd w:val="clear" w:color="auto" w:fill="FFFFFF"/>
          <w:lang w:val="en-GB"/>
        </w:rPr>
        <w:t xml:space="preserve">The lower assessment threshold was set to exclude a requirement for BMD testing in women without clinical risk factors, as </w:t>
      </w:r>
      <w:r w:rsidRPr="00013EBC">
        <w:rPr>
          <w:rFonts w:asciiTheme="minorHAnsi" w:hAnsiTheme="minorHAnsi" w:cstheme="minorHAnsi"/>
          <w:sz w:val="24"/>
          <w:szCs w:val="24"/>
          <w:shd w:val="clear" w:color="auto" w:fill="FFFFFF"/>
          <w:lang w:val="en-GB"/>
        </w:rPr>
        <w:t xml:space="preserve">given in </w:t>
      </w:r>
      <w:r w:rsidR="000E477B" w:rsidRPr="00013EBC">
        <w:rPr>
          <w:rFonts w:asciiTheme="minorHAnsi" w:hAnsiTheme="minorHAnsi" w:cstheme="minorHAnsi"/>
          <w:sz w:val="24"/>
          <w:szCs w:val="24"/>
          <w:shd w:val="clear" w:color="auto" w:fill="FFFFFF"/>
          <w:lang w:val="en-GB"/>
        </w:rPr>
        <w:t>current</w:t>
      </w:r>
      <w:r w:rsidRPr="00013EBC">
        <w:rPr>
          <w:rFonts w:asciiTheme="minorHAnsi" w:hAnsiTheme="minorHAnsi" w:cstheme="minorHAnsi"/>
          <w:sz w:val="24"/>
          <w:szCs w:val="24"/>
          <w:shd w:val="clear" w:color="auto" w:fill="FFFFFF"/>
          <w:lang w:val="en-GB"/>
        </w:rPr>
        <w:t xml:space="preserve"> European guidelines [</w:t>
      </w:r>
      <w:r w:rsidR="003975C2">
        <w:rPr>
          <w:rFonts w:asciiTheme="minorHAnsi" w:hAnsiTheme="minorHAnsi" w:cstheme="minorHAnsi"/>
          <w:sz w:val="24"/>
          <w:szCs w:val="24"/>
          <w:shd w:val="clear" w:color="auto" w:fill="FFFFFF"/>
          <w:lang w:val="en-GB"/>
        </w:rPr>
        <w:t>4</w:t>
      </w:r>
      <w:r w:rsidR="0058669B" w:rsidRPr="00013EBC">
        <w:rPr>
          <w:rFonts w:asciiTheme="minorHAnsi" w:hAnsiTheme="minorHAnsi" w:cstheme="minorHAnsi"/>
          <w:sz w:val="24"/>
          <w:szCs w:val="24"/>
          <w:shd w:val="clear" w:color="auto" w:fill="FFFFFF"/>
          <w:lang w:val="en-GB"/>
        </w:rPr>
        <w:t xml:space="preserve">, </w:t>
      </w:r>
      <w:r w:rsidR="008B4654" w:rsidRPr="00013EBC">
        <w:rPr>
          <w:rFonts w:asciiTheme="minorHAnsi" w:hAnsiTheme="minorHAnsi" w:cstheme="minorHAnsi"/>
          <w:sz w:val="24"/>
          <w:szCs w:val="24"/>
          <w:shd w:val="clear" w:color="auto" w:fill="FFFFFF"/>
          <w:lang w:val="en-GB"/>
        </w:rPr>
        <w:t>1</w:t>
      </w:r>
      <w:r w:rsidR="000108B0" w:rsidRPr="00013EBC">
        <w:rPr>
          <w:rFonts w:asciiTheme="minorHAnsi" w:hAnsiTheme="minorHAnsi" w:cstheme="minorHAnsi"/>
          <w:sz w:val="24"/>
          <w:szCs w:val="24"/>
          <w:shd w:val="clear" w:color="auto" w:fill="FFFFFF"/>
          <w:lang w:val="en-GB"/>
        </w:rPr>
        <w:t>9</w:t>
      </w:r>
      <w:r w:rsidR="003975C2">
        <w:rPr>
          <w:rFonts w:asciiTheme="minorHAnsi" w:hAnsiTheme="minorHAnsi" w:cstheme="minorHAnsi"/>
          <w:sz w:val="24"/>
          <w:szCs w:val="24"/>
          <w:shd w:val="clear" w:color="auto" w:fill="FFFFFF"/>
          <w:lang w:val="en-GB"/>
        </w:rPr>
        <w:t>, 20</w:t>
      </w:r>
      <w:r w:rsidR="0087780A">
        <w:rPr>
          <w:rFonts w:asciiTheme="minorHAnsi" w:hAnsiTheme="minorHAnsi" w:cstheme="minorHAnsi"/>
          <w:sz w:val="24"/>
          <w:szCs w:val="24"/>
          <w:shd w:val="clear" w:color="auto" w:fill="FFFFFF"/>
          <w:lang w:val="en-GB"/>
        </w:rPr>
        <w:t>]</w:t>
      </w:r>
      <w:r w:rsidRPr="00013EBC">
        <w:rPr>
          <w:rFonts w:asciiTheme="minorHAnsi" w:hAnsiTheme="minorHAnsi" w:cstheme="minorHAnsi"/>
          <w:sz w:val="24"/>
          <w:szCs w:val="24"/>
          <w:shd w:val="clear" w:color="auto" w:fill="FFFFFF"/>
          <w:lang w:val="en-GB"/>
        </w:rPr>
        <w:t xml:space="preserve">. </w:t>
      </w:r>
      <w:r w:rsidR="005F1442">
        <w:rPr>
          <w:rFonts w:asciiTheme="minorHAnsi" w:hAnsiTheme="minorHAnsi" w:cstheme="minorHAnsi"/>
          <w:sz w:val="24"/>
          <w:szCs w:val="24"/>
          <w:shd w:val="clear" w:color="auto" w:fill="FFFFFF"/>
          <w:lang w:val="en-GB"/>
        </w:rPr>
        <w:t xml:space="preserve"> It </w:t>
      </w:r>
      <w:r w:rsidR="005F1442" w:rsidRPr="00153768">
        <w:rPr>
          <w:rFonts w:asciiTheme="minorHAnsi" w:hAnsiTheme="minorHAnsi" w:cstheme="minorHAnsi"/>
          <w:sz w:val="24"/>
          <w:szCs w:val="24"/>
          <w:shd w:val="clear" w:color="auto" w:fill="FFFFFF"/>
          <w:lang w:val="en-GB"/>
        </w:rPr>
        <w:t xml:space="preserve">was </w:t>
      </w:r>
      <w:r w:rsidR="005F1442">
        <w:rPr>
          <w:rFonts w:asciiTheme="minorHAnsi" w:hAnsiTheme="minorHAnsi" w:cstheme="minorHAnsi"/>
          <w:sz w:val="24"/>
          <w:szCs w:val="24"/>
          <w:shd w:val="clear" w:color="auto" w:fill="FFFFFF"/>
          <w:lang w:val="en-GB"/>
        </w:rPr>
        <w:t xml:space="preserve">therefore </w:t>
      </w:r>
      <w:r w:rsidR="005F1442" w:rsidRPr="00153768">
        <w:rPr>
          <w:rFonts w:asciiTheme="minorHAnsi" w:hAnsiTheme="minorHAnsi" w:cstheme="minorHAnsi"/>
          <w:sz w:val="24"/>
          <w:szCs w:val="24"/>
          <w:shd w:val="clear" w:color="auto" w:fill="FFFFFF"/>
          <w:lang w:val="en-GB"/>
        </w:rPr>
        <w:t>set to the age-specific 10-year probability of a major fracture equivalent to women with no clinical risk factors.</w:t>
      </w:r>
      <w:r w:rsidR="002D71C4">
        <w:rPr>
          <w:rFonts w:asciiTheme="minorHAnsi" w:hAnsiTheme="minorHAnsi" w:cstheme="minorHAnsi"/>
          <w:sz w:val="24"/>
          <w:szCs w:val="24"/>
          <w:shd w:val="clear" w:color="auto" w:fill="FFFFFF"/>
          <w:lang w:val="en-GB"/>
        </w:rPr>
        <w:t xml:space="preserve"> </w:t>
      </w:r>
      <w:r w:rsidR="0087780A">
        <w:rPr>
          <w:rFonts w:asciiTheme="minorHAnsi" w:hAnsiTheme="minorHAnsi" w:cstheme="minorHAnsi"/>
          <w:sz w:val="24"/>
          <w:szCs w:val="24"/>
          <w:shd w:val="clear" w:color="auto" w:fill="FFFFFF"/>
          <w:lang w:val="en-GB"/>
        </w:rPr>
        <w:t xml:space="preserve"> </w:t>
      </w:r>
      <w:r w:rsidRPr="00013EBC">
        <w:rPr>
          <w:rFonts w:asciiTheme="minorHAnsi" w:hAnsiTheme="minorHAnsi" w:cstheme="minorHAnsi"/>
          <w:sz w:val="24"/>
          <w:szCs w:val="24"/>
          <w:shd w:val="clear" w:color="auto" w:fill="FFFFFF"/>
          <w:lang w:val="en-GB"/>
        </w:rPr>
        <w:t>An u</w:t>
      </w:r>
      <w:r w:rsidRPr="00153768">
        <w:rPr>
          <w:rFonts w:asciiTheme="minorHAnsi" w:hAnsiTheme="minorHAnsi" w:cstheme="minorHAnsi"/>
          <w:sz w:val="24"/>
          <w:szCs w:val="24"/>
          <w:shd w:val="clear" w:color="auto" w:fill="FFFFFF"/>
          <w:lang w:val="en-GB"/>
        </w:rPr>
        <w:t xml:space="preserve">pper threshold was chosen to minimise the probability that a patient, characterised to be at high risk </w:t>
      </w:r>
      <w:r w:rsidR="005F1442">
        <w:rPr>
          <w:rFonts w:asciiTheme="minorHAnsi" w:hAnsiTheme="minorHAnsi" w:cstheme="minorHAnsi"/>
          <w:sz w:val="24"/>
          <w:szCs w:val="24"/>
          <w:shd w:val="clear" w:color="auto" w:fill="FFFFFF"/>
          <w:lang w:val="en-GB"/>
        </w:rPr>
        <w:t>using</w:t>
      </w:r>
      <w:r w:rsidR="005F1442" w:rsidRPr="00153768">
        <w:rPr>
          <w:rFonts w:asciiTheme="minorHAnsi" w:hAnsiTheme="minorHAnsi" w:cstheme="minorHAnsi"/>
          <w:sz w:val="24"/>
          <w:szCs w:val="24"/>
          <w:shd w:val="clear" w:color="auto" w:fill="FFFFFF"/>
          <w:lang w:val="en-GB"/>
        </w:rPr>
        <w:t xml:space="preserve"> </w:t>
      </w:r>
      <w:r w:rsidRPr="00153768">
        <w:rPr>
          <w:rFonts w:asciiTheme="minorHAnsi" w:hAnsiTheme="minorHAnsi" w:cstheme="minorHAnsi"/>
          <w:sz w:val="24"/>
          <w:szCs w:val="24"/>
          <w:shd w:val="clear" w:color="auto" w:fill="FFFFFF"/>
          <w:lang w:val="en-GB"/>
        </w:rPr>
        <w:t xml:space="preserve">clinical risk factors alone, would be reclassified to be at low risk with additional information on </w:t>
      </w:r>
      <w:r w:rsidRPr="00A4739D">
        <w:rPr>
          <w:rFonts w:asciiTheme="minorHAnsi" w:hAnsiTheme="minorHAnsi" w:cstheme="minorHAnsi"/>
          <w:sz w:val="24"/>
          <w:szCs w:val="24"/>
          <w:shd w:val="clear" w:color="auto" w:fill="FFFFFF"/>
          <w:lang w:val="en-GB"/>
        </w:rPr>
        <w:t>BMD</w:t>
      </w:r>
      <w:r w:rsidR="00FD6777">
        <w:rPr>
          <w:rFonts w:asciiTheme="minorHAnsi" w:hAnsiTheme="minorHAnsi" w:cstheme="minorHAnsi"/>
          <w:sz w:val="24"/>
          <w:szCs w:val="24"/>
          <w:shd w:val="clear" w:color="auto" w:fill="FFFFFF"/>
          <w:lang w:val="en-GB"/>
        </w:rPr>
        <w:t xml:space="preserve"> and vice versa</w:t>
      </w:r>
      <w:r w:rsidRPr="00A4739D">
        <w:rPr>
          <w:rFonts w:asciiTheme="minorHAnsi" w:hAnsiTheme="minorHAnsi" w:cstheme="minorHAnsi"/>
          <w:sz w:val="24"/>
          <w:szCs w:val="24"/>
          <w:shd w:val="clear" w:color="auto" w:fill="FFFFFF"/>
          <w:lang w:val="en-GB"/>
        </w:rPr>
        <w:t xml:space="preserve"> [</w:t>
      </w:r>
      <w:r w:rsidR="00A4739D" w:rsidRPr="00A4739D">
        <w:rPr>
          <w:rFonts w:asciiTheme="minorHAnsi" w:hAnsiTheme="minorHAnsi" w:cstheme="minorHAnsi"/>
          <w:sz w:val="24"/>
          <w:szCs w:val="24"/>
          <w:shd w:val="clear" w:color="auto" w:fill="FFFFFF"/>
          <w:lang w:val="en-GB"/>
        </w:rPr>
        <w:t>2</w:t>
      </w:r>
      <w:r w:rsidR="003975C2">
        <w:rPr>
          <w:rFonts w:asciiTheme="minorHAnsi" w:hAnsiTheme="minorHAnsi" w:cstheme="minorHAnsi"/>
          <w:sz w:val="24"/>
          <w:szCs w:val="24"/>
          <w:shd w:val="clear" w:color="auto" w:fill="FFFFFF"/>
          <w:lang w:val="en-GB"/>
        </w:rPr>
        <w:t>6]</w:t>
      </w:r>
      <w:r w:rsidRPr="00A4739D">
        <w:rPr>
          <w:rFonts w:asciiTheme="minorHAnsi" w:hAnsiTheme="minorHAnsi" w:cstheme="minorHAnsi"/>
          <w:sz w:val="24"/>
          <w:szCs w:val="24"/>
          <w:shd w:val="clear" w:color="auto" w:fill="FFFFFF"/>
          <w:lang w:val="en-GB"/>
        </w:rPr>
        <w:t>. The</w:t>
      </w:r>
      <w:r w:rsidRPr="00153768">
        <w:rPr>
          <w:rFonts w:asciiTheme="minorHAnsi" w:hAnsiTheme="minorHAnsi" w:cstheme="minorHAnsi"/>
          <w:sz w:val="24"/>
          <w:szCs w:val="24"/>
          <w:shd w:val="clear" w:color="auto" w:fill="FFFFFF"/>
          <w:lang w:val="en-GB"/>
        </w:rPr>
        <w:t xml:space="preserve"> upper assessment threshold was set at 1.2 times the intervention threshold as used in </w:t>
      </w:r>
      <w:r w:rsidRPr="00A4739D">
        <w:rPr>
          <w:rFonts w:asciiTheme="minorHAnsi" w:hAnsiTheme="minorHAnsi" w:cstheme="minorHAnsi"/>
          <w:sz w:val="24"/>
          <w:szCs w:val="24"/>
          <w:shd w:val="clear" w:color="auto" w:fill="FFFFFF"/>
          <w:lang w:val="en-GB"/>
        </w:rPr>
        <w:t>the UK [</w:t>
      </w:r>
      <w:r w:rsidR="00E07B14" w:rsidRPr="00A4739D">
        <w:rPr>
          <w:rFonts w:asciiTheme="minorHAnsi" w:hAnsiTheme="minorHAnsi" w:cstheme="minorHAnsi"/>
          <w:sz w:val="24"/>
          <w:szCs w:val="24"/>
          <w:shd w:val="clear" w:color="auto" w:fill="FFFFFF"/>
          <w:lang w:val="en-GB"/>
        </w:rPr>
        <w:t>1</w:t>
      </w:r>
      <w:r w:rsidR="003975C2">
        <w:rPr>
          <w:rFonts w:asciiTheme="minorHAnsi" w:hAnsiTheme="minorHAnsi" w:cstheme="minorHAnsi"/>
          <w:sz w:val="24"/>
          <w:szCs w:val="24"/>
          <w:shd w:val="clear" w:color="auto" w:fill="FFFFFF"/>
          <w:lang w:val="en-GB"/>
        </w:rPr>
        <w:t>7]</w:t>
      </w:r>
      <w:r w:rsidRPr="00A4739D">
        <w:rPr>
          <w:rFonts w:asciiTheme="minorHAnsi" w:hAnsiTheme="minorHAnsi" w:cstheme="minorHAnsi"/>
          <w:sz w:val="24"/>
          <w:szCs w:val="24"/>
          <w:shd w:val="clear" w:color="auto" w:fill="FFFFFF"/>
          <w:lang w:val="en-GB"/>
        </w:rPr>
        <w:t>.</w:t>
      </w:r>
      <w:r w:rsidR="00692C59" w:rsidRPr="00A4739D">
        <w:rPr>
          <w:lang w:val="en-GB"/>
        </w:rPr>
        <w:t xml:space="preserve"> </w:t>
      </w:r>
    </w:p>
    <w:p w14:paraId="23C9FBB4" w14:textId="77777777" w:rsidR="001349B7" w:rsidRPr="00153768" w:rsidRDefault="001349B7" w:rsidP="00827EF0">
      <w:pPr>
        <w:ind w:left="1134"/>
        <w:rPr>
          <w:rFonts w:asciiTheme="minorHAnsi" w:hAnsiTheme="minorHAnsi" w:cstheme="minorHAnsi"/>
          <w:i/>
          <w:iCs/>
          <w:sz w:val="24"/>
          <w:szCs w:val="24"/>
          <w:shd w:val="clear" w:color="auto" w:fill="FFFFFF"/>
          <w:lang w:val="en-GB"/>
        </w:rPr>
      </w:pPr>
      <w:r w:rsidRPr="00153768">
        <w:rPr>
          <w:rFonts w:asciiTheme="minorHAnsi" w:hAnsiTheme="minorHAnsi" w:cstheme="minorHAnsi"/>
          <w:i/>
          <w:iCs/>
          <w:sz w:val="24"/>
          <w:szCs w:val="24"/>
          <w:shd w:val="clear" w:color="auto" w:fill="FFFFFF"/>
          <w:lang w:val="en-GB"/>
        </w:rPr>
        <w:t>Assessment strategy</w:t>
      </w:r>
    </w:p>
    <w:p w14:paraId="186BD446" w14:textId="55BE526B" w:rsidR="007F2A67" w:rsidRDefault="0001683A" w:rsidP="00827EF0">
      <w:pPr>
        <w:ind w:left="1134"/>
        <w:rPr>
          <w:rFonts w:asciiTheme="minorHAnsi" w:hAnsiTheme="minorHAnsi" w:cstheme="minorHAnsi"/>
          <w:sz w:val="24"/>
          <w:szCs w:val="24"/>
          <w:shd w:val="clear" w:color="auto" w:fill="FFFFFF"/>
          <w:lang w:val="en-GB"/>
        </w:rPr>
      </w:pPr>
      <w:bookmarkStart w:id="9" w:name="_Hlk27918168"/>
      <w:r w:rsidRPr="00153768">
        <w:rPr>
          <w:rFonts w:asciiTheme="minorHAnsi" w:hAnsiTheme="minorHAnsi" w:cstheme="minorHAnsi"/>
          <w:sz w:val="24"/>
          <w:szCs w:val="24"/>
          <w:shd w:val="clear" w:color="auto" w:fill="FFFFFF"/>
          <w:lang w:val="en-GB"/>
        </w:rPr>
        <w:t>As noted above</w:t>
      </w:r>
      <w:r w:rsidR="001349B7" w:rsidRPr="00153768">
        <w:rPr>
          <w:rFonts w:asciiTheme="minorHAnsi" w:hAnsiTheme="minorHAnsi" w:cstheme="minorHAnsi"/>
          <w:sz w:val="24"/>
          <w:szCs w:val="24"/>
          <w:shd w:val="clear" w:color="auto" w:fill="FFFFFF"/>
          <w:lang w:val="en-GB"/>
        </w:rPr>
        <w:t xml:space="preserve">, women with a prior fragility fracture </w:t>
      </w:r>
      <w:proofErr w:type="gramStart"/>
      <w:r w:rsidR="001349B7" w:rsidRPr="00153768">
        <w:rPr>
          <w:rFonts w:asciiTheme="minorHAnsi" w:hAnsiTheme="minorHAnsi" w:cstheme="minorHAnsi"/>
          <w:sz w:val="24"/>
          <w:szCs w:val="24"/>
          <w:shd w:val="clear" w:color="auto" w:fill="FFFFFF"/>
          <w:lang w:val="en-GB"/>
        </w:rPr>
        <w:t xml:space="preserve">were considered </w:t>
      </w:r>
      <w:r w:rsidR="00D866F1">
        <w:rPr>
          <w:rFonts w:asciiTheme="minorHAnsi" w:hAnsiTheme="minorHAnsi" w:cstheme="minorHAnsi"/>
          <w:sz w:val="24"/>
          <w:szCs w:val="24"/>
          <w:shd w:val="clear" w:color="auto" w:fill="FFFFFF"/>
          <w:lang w:val="en-GB"/>
        </w:rPr>
        <w:t>to be</w:t>
      </w:r>
      <w:proofErr w:type="gramEnd"/>
      <w:r w:rsidR="001349B7" w:rsidRPr="00153768">
        <w:rPr>
          <w:rFonts w:asciiTheme="minorHAnsi" w:hAnsiTheme="minorHAnsi" w:cstheme="minorHAnsi"/>
          <w:sz w:val="24"/>
          <w:szCs w:val="24"/>
          <w:shd w:val="clear" w:color="auto" w:fill="FFFFFF"/>
          <w:lang w:val="en-GB"/>
        </w:rPr>
        <w:t xml:space="preserve"> eligible for treatment without the need for further assessment. </w:t>
      </w:r>
      <w:r w:rsidR="004771E2" w:rsidRPr="00153768">
        <w:rPr>
          <w:rFonts w:asciiTheme="minorHAnsi" w:hAnsiTheme="minorHAnsi" w:cstheme="minorHAnsi"/>
          <w:sz w:val="24"/>
          <w:szCs w:val="24"/>
          <w:shd w:val="clear" w:color="auto" w:fill="FFFFFF"/>
          <w:lang w:val="en-GB"/>
        </w:rPr>
        <w:t>I</w:t>
      </w:r>
      <w:r w:rsidR="001349B7" w:rsidRPr="00153768">
        <w:rPr>
          <w:rFonts w:asciiTheme="minorHAnsi" w:hAnsiTheme="minorHAnsi" w:cstheme="minorHAnsi"/>
          <w:sz w:val="24"/>
          <w:szCs w:val="24"/>
          <w:shd w:val="clear" w:color="auto" w:fill="FFFFFF"/>
          <w:lang w:val="en-GB"/>
        </w:rPr>
        <w:t>n women without a previous fragility fracture,</w:t>
      </w:r>
      <w:r w:rsidR="002D71C4">
        <w:rPr>
          <w:rFonts w:asciiTheme="minorHAnsi" w:hAnsiTheme="minorHAnsi" w:cstheme="minorHAnsi"/>
          <w:sz w:val="24"/>
          <w:szCs w:val="24"/>
          <w:shd w:val="clear" w:color="auto" w:fill="FFFFFF"/>
          <w:lang w:val="en-GB"/>
        </w:rPr>
        <w:t xml:space="preserve"> the</w:t>
      </w:r>
      <w:r w:rsidR="001349B7" w:rsidRPr="00153768">
        <w:rPr>
          <w:rFonts w:asciiTheme="minorHAnsi" w:hAnsiTheme="minorHAnsi" w:cstheme="minorHAnsi"/>
          <w:sz w:val="24"/>
          <w:szCs w:val="24"/>
          <w:shd w:val="clear" w:color="auto" w:fill="FFFFFF"/>
          <w:lang w:val="en-GB"/>
        </w:rPr>
        <w:t xml:space="preserve"> management strategy was based on </w:t>
      </w:r>
      <w:bookmarkEnd w:id="9"/>
      <w:r w:rsidR="001349B7" w:rsidRPr="00153768">
        <w:rPr>
          <w:rFonts w:asciiTheme="minorHAnsi" w:hAnsiTheme="minorHAnsi" w:cstheme="minorHAnsi"/>
          <w:sz w:val="24"/>
          <w:szCs w:val="24"/>
          <w:shd w:val="clear" w:color="auto" w:fill="FFFFFF"/>
          <w:lang w:val="en-GB"/>
        </w:rPr>
        <w:t>the assessment of the 10-year probability of a major osteoporotic fracture (clinical spine, hip, forearm or humerus).</w:t>
      </w:r>
      <w:r w:rsidR="00D8384C">
        <w:rPr>
          <w:rFonts w:asciiTheme="minorHAnsi" w:hAnsiTheme="minorHAnsi" w:cstheme="minorHAnsi"/>
          <w:sz w:val="24"/>
          <w:szCs w:val="24"/>
          <w:shd w:val="clear" w:color="auto" w:fill="FFFFFF"/>
          <w:lang w:val="en-GB"/>
        </w:rPr>
        <w:t xml:space="preserve"> </w:t>
      </w:r>
      <w:r w:rsidR="001349B7" w:rsidRPr="00153768">
        <w:rPr>
          <w:rFonts w:asciiTheme="minorHAnsi" w:hAnsiTheme="minorHAnsi" w:cstheme="minorHAnsi"/>
          <w:sz w:val="24"/>
          <w:szCs w:val="24"/>
          <w:shd w:val="clear" w:color="auto" w:fill="FFFFFF"/>
          <w:lang w:val="en-GB"/>
        </w:rPr>
        <w:t xml:space="preserve"> </w:t>
      </w:r>
      <w:r w:rsidR="00393FCA" w:rsidRPr="00153768">
        <w:rPr>
          <w:rFonts w:asciiTheme="minorHAnsi" w:hAnsiTheme="minorHAnsi" w:cstheme="minorHAnsi"/>
          <w:sz w:val="24"/>
          <w:szCs w:val="24"/>
          <w:shd w:val="clear" w:color="auto" w:fill="FFFFFF"/>
          <w:lang w:val="en-GB"/>
        </w:rPr>
        <w:t>W</w:t>
      </w:r>
      <w:r w:rsidR="001349B7" w:rsidRPr="00153768">
        <w:rPr>
          <w:rFonts w:asciiTheme="minorHAnsi" w:hAnsiTheme="minorHAnsi" w:cstheme="minorHAnsi"/>
          <w:sz w:val="24"/>
          <w:szCs w:val="24"/>
          <w:shd w:val="clear" w:color="auto" w:fill="FFFFFF"/>
          <w:lang w:val="en-GB"/>
        </w:rPr>
        <w:t>omen with probabilities below the lower assessment threshold were not considered eligible for treatment.</w:t>
      </w:r>
      <w:r w:rsidR="005F4F36">
        <w:rPr>
          <w:rFonts w:asciiTheme="minorHAnsi" w:hAnsiTheme="minorHAnsi" w:cstheme="minorHAnsi"/>
          <w:sz w:val="24"/>
          <w:szCs w:val="24"/>
          <w:shd w:val="clear" w:color="auto" w:fill="FFFFFF"/>
          <w:lang w:val="en-GB"/>
        </w:rPr>
        <w:t xml:space="preserve"> </w:t>
      </w:r>
      <w:r w:rsidR="001349B7" w:rsidRPr="00153768">
        <w:rPr>
          <w:rFonts w:asciiTheme="minorHAnsi" w:hAnsiTheme="minorHAnsi" w:cstheme="minorHAnsi"/>
          <w:sz w:val="24"/>
          <w:szCs w:val="24"/>
          <w:shd w:val="clear" w:color="auto" w:fill="FFFFFF"/>
          <w:lang w:val="en-GB"/>
        </w:rPr>
        <w:t xml:space="preserve"> </w:t>
      </w:r>
      <w:r w:rsidR="009D6F13" w:rsidRPr="00153768">
        <w:rPr>
          <w:rFonts w:asciiTheme="minorHAnsi" w:hAnsiTheme="minorHAnsi" w:cstheme="minorHAnsi"/>
          <w:sz w:val="24"/>
          <w:szCs w:val="24"/>
          <w:shd w:val="clear" w:color="auto" w:fill="FFFFFF"/>
          <w:lang w:val="en-GB"/>
        </w:rPr>
        <w:t>W</w:t>
      </w:r>
      <w:r w:rsidR="001349B7" w:rsidRPr="00153768">
        <w:rPr>
          <w:rFonts w:asciiTheme="minorHAnsi" w:hAnsiTheme="minorHAnsi" w:cstheme="minorHAnsi"/>
          <w:sz w:val="24"/>
          <w:szCs w:val="24"/>
          <w:shd w:val="clear" w:color="auto" w:fill="FFFFFF"/>
          <w:lang w:val="en-GB"/>
        </w:rPr>
        <w:t xml:space="preserve">omen with probabilities above the upper assessment threshold </w:t>
      </w:r>
      <w:r w:rsidR="00F579DA" w:rsidRPr="00153768">
        <w:rPr>
          <w:rFonts w:asciiTheme="minorHAnsi" w:hAnsiTheme="minorHAnsi" w:cstheme="minorHAnsi"/>
          <w:sz w:val="24"/>
          <w:szCs w:val="24"/>
          <w:shd w:val="clear" w:color="auto" w:fill="FFFFFF"/>
          <w:lang w:val="en-GB"/>
        </w:rPr>
        <w:t>were</w:t>
      </w:r>
      <w:r w:rsidR="001349B7" w:rsidRPr="00153768">
        <w:rPr>
          <w:rFonts w:asciiTheme="minorHAnsi" w:hAnsiTheme="minorHAnsi" w:cstheme="minorHAnsi"/>
          <w:sz w:val="24"/>
          <w:szCs w:val="24"/>
          <w:shd w:val="clear" w:color="auto" w:fill="FFFFFF"/>
          <w:lang w:val="en-GB"/>
        </w:rPr>
        <w:t xml:space="preserve"> eligible for treatment. </w:t>
      </w:r>
      <w:r w:rsidR="009D6F13" w:rsidRPr="00153768">
        <w:rPr>
          <w:rFonts w:asciiTheme="minorHAnsi" w:hAnsiTheme="minorHAnsi" w:cstheme="minorHAnsi"/>
          <w:sz w:val="24"/>
          <w:szCs w:val="24"/>
          <w:shd w:val="clear" w:color="auto" w:fill="FFFFFF"/>
          <w:lang w:val="en-GB"/>
        </w:rPr>
        <w:t>W</w:t>
      </w:r>
      <w:r w:rsidR="001349B7" w:rsidRPr="00153768">
        <w:rPr>
          <w:rFonts w:asciiTheme="minorHAnsi" w:hAnsiTheme="minorHAnsi" w:cstheme="minorHAnsi"/>
          <w:sz w:val="24"/>
          <w:szCs w:val="24"/>
          <w:shd w:val="clear" w:color="auto" w:fill="FFFFFF"/>
          <w:lang w:val="en-GB"/>
        </w:rPr>
        <w:t xml:space="preserve">omen with probabilities between the upper and lower assessment thresholds were to be referred for BMD measurements and their fracture probability reassessed. </w:t>
      </w:r>
      <w:r w:rsidR="005F4F36">
        <w:rPr>
          <w:rFonts w:asciiTheme="minorHAnsi" w:hAnsiTheme="minorHAnsi" w:cstheme="minorHAnsi"/>
          <w:sz w:val="24"/>
          <w:szCs w:val="24"/>
          <w:shd w:val="clear" w:color="auto" w:fill="FFFFFF"/>
          <w:lang w:val="en-GB"/>
        </w:rPr>
        <w:t xml:space="preserve"> </w:t>
      </w:r>
      <w:r w:rsidR="001349B7" w:rsidRPr="00153768">
        <w:rPr>
          <w:rFonts w:asciiTheme="minorHAnsi" w:hAnsiTheme="minorHAnsi" w:cstheme="minorHAnsi"/>
          <w:sz w:val="24"/>
          <w:szCs w:val="24"/>
          <w:shd w:val="clear" w:color="auto" w:fill="FFFFFF"/>
          <w:lang w:val="en-GB"/>
        </w:rPr>
        <w:t>On reassessment of</w:t>
      </w:r>
      <w:r w:rsidR="007F2A67" w:rsidRPr="00153768">
        <w:rPr>
          <w:lang w:val="en-GB"/>
        </w:rPr>
        <w:t xml:space="preserve"> </w:t>
      </w:r>
      <w:r w:rsidR="007F2A67" w:rsidRPr="00153768">
        <w:rPr>
          <w:rFonts w:asciiTheme="minorHAnsi" w:hAnsiTheme="minorHAnsi" w:cstheme="minorHAnsi"/>
          <w:sz w:val="24"/>
          <w:szCs w:val="24"/>
          <w:shd w:val="clear" w:color="auto" w:fill="FFFFFF"/>
          <w:lang w:val="en-GB"/>
        </w:rPr>
        <w:t xml:space="preserve">FRAX with the inclusion of femoral neck BMD, individuals were considered </w:t>
      </w:r>
      <w:r w:rsidR="007F2A67" w:rsidRPr="00B07E6E">
        <w:rPr>
          <w:rFonts w:asciiTheme="minorHAnsi" w:hAnsiTheme="minorHAnsi" w:cstheme="minorHAnsi"/>
          <w:sz w:val="24"/>
          <w:szCs w:val="24"/>
          <w:shd w:val="clear" w:color="auto" w:fill="FFFFFF"/>
          <w:lang w:val="en-GB"/>
        </w:rPr>
        <w:t>eligible for treatment when fracture probabilities lay above the intervention threshold.</w:t>
      </w:r>
    </w:p>
    <w:p w14:paraId="03694578" w14:textId="01D275CA" w:rsidR="00EB5346" w:rsidRPr="00B07E6E" w:rsidRDefault="00EB5346" w:rsidP="00827EF0">
      <w:pPr>
        <w:pStyle w:val="PlainText"/>
        <w:spacing w:after="240" w:line="276" w:lineRule="auto"/>
        <w:ind w:left="1134"/>
        <w:rPr>
          <w:rFonts w:ascii="Calibri" w:hAnsi="Calibri"/>
          <w:b/>
          <w:bCs/>
          <w:sz w:val="24"/>
          <w:szCs w:val="24"/>
          <w:lang w:val="en-GB"/>
        </w:rPr>
      </w:pPr>
      <w:r w:rsidRPr="00B07E6E">
        <w:rPr>
          <w:rFonts w:ascii="Calibri" w:hAnsi="Calibri"/>
          <w:b/>
          <w:bCs/>
          <w:sz w:val="24"/>
          <w:szCs w:val="24"/>
          <w:lang w:val="en-GB"/>
        </w:rPr>
        <w:t>Results</w:t>
      </w:r>
      <w:r w:rsidR="00E31689">
        <w:rPr>
          <w:rFonts w:ascii="Calibri" w:hAnsi="Calibri"/>
          <w:b/>
          <w:bCs/>
          <w:sz w:val="24"/>
          <w:szCs w:val="24"/>
          <w:lang w:val="en-GB"/>
        </w:rPr>
        <w:t xml:space="preserve"> </w:t>
      </w:r>
    </w:p>
    <w:p w14:paraId="2B9297FA" w14:textId="1FF88B28" w:rsidR="00B90BED" w:rsidRPr="00B90BED" w:rsidRDefault="00E550A1" w:rsidP="00B90BED">
      <w:pPr>
        <w:ind w:left="1134"/>
        <w:rPr>
          <w:rFonts w:asciiTheme="minorHAnsi" w:hAnsiTheme="minorHAnsi" w:cstheme="minorHAnsi"/>
          <w:sz w:val="24"/>
          <w:szCs w:val="24"/>
          <w:shd w:val="clear" w:color="auto" w:fill="FFFFFF"/>
          <w:lang w:val="en-GB"/>
        </w:rPr>
      </w:pPr>
      <w:r w:rsidRPr="00E550A1">
        <w:rPr>
          <w:rFonts w:asciiTheme="minorHAnsi" w:hAnsiTheme="minorHAnsi" w:cstheme="minorHAnsi"/>
          <w:sz w:val="24"/>
          <w:szCs w:val="24"/>
          <w:shd w:val="clear" w:color="auto" w:fill="FFFFFF"/>
          <w:lang w:val="en-GB"/>
        </w:rPr>
        <w:lastRenderedPageBreak/>
        <w:t xml:space="preserve">The baseline characteristics are given in Table 1.  </w:t>
      </w:r>
      <w:bookmarkStart w:id="10" w:name="_Hlk35434848"/>
      <w:r w:rsidR="00B90BED" w:rsidRPr="00B90BED">
        <w:rPr>
          <w:rFonts w:asciiTheme="minorHAnsi" w:hAnsiTheme="minorHAnsi" w:cstheme="minorHAnsi"/>
          <w:sz w:val="24"/>
          <w:szCs w:val="24"/>
          <w:shd w:val="clear" w:color="auto" w:fill="FFFFFF"/>
          <w:lang w:val="en-GB"/>
        </w:rPr>
        <w:t xml:space="preserve">The prevalence of the simulated variables </w:t>
      </w:r>
      <w:r w:rsidR="00A55887">
        <w:rPr>
          <w:rFonts w:asciiTheme="minorHAnsi" w:hAnsiTheme="minorHAnsi" w:cstheme="minorHAnsi"/>
          <w:sz w:val="24"/>
          <w:szCs w:val="24"/>
          <w:shd w:val="clear" w:color="auto" w:fill="FFFFFF"/>
          <w:lang w:val="en-GB"/>
        </w:rPr>
        <w:t>was</w:t>
      </w:r>
      <w:r w:rsidR="00B90BED" w:rsidRPr="00B90BED">
        <w:rPr>
          <w:rFonts w:asciiTheme="minorHAnsi" w:hAnsiTheme="minorHAnsi" w:cstheme="minorHAnsi"/>
          <w:sz w:val="24"/>
          <w:szCs w:val="24"/>
          <w:shd w:val="clear" w:color="auto" w:fill="FFFFFF"/>
          <w:lang w:val="en-GB"/>
        </w:rPr>
        <w:t xml:space="preserve"> </w:t>
      </w:r>
      <w:proofErr w:type="gramStart"/>
      <w:r w:rsidR="00A34C78">
        <w:rPr>
          <w:rFonts w:asciiTheme="minorHAnsi" w:hAnsiTheme="minorHAnsi" w:cstheme="minorHAnsi"/>
          <w:sz w:val="24"/>
          <w:szCs w:val="24"/>
          <w:shd w:val="clear" w:color="auto" w:fill="FFFFFF"/>
          <w:lang w:val="en-GB"/>
        </w:rPr>
        <w:t>similar</w:t>
      </w:r>
      <w:r w:rsidR="00B90BED" w:rsidRPr="00B90BED">
        <w:rPr>
          <w:rFonts w:asciiTheme="minorHAnsi" w:hAnsiTheme="minorHAnsi" w:cstheme="minorHAnsi"/>
          <w:sz w:val="24"/>
          <w:szCs w:val="24"/>
          <w:shd w:val="clear" w:color="auto" w:fill="FFFFFF"/>
          <w:lang w:val="en-GB"/>
        </w:rPr>
        <w:t xml:space="preserve"> to</w:t>
      </w:r>
      <w:proofErr w:type="gramEnd"/>
      <w:r w:rsidR="00B90BED" w:rsidRPr="00B90BED">
        <w:rPr>
          <w:rFonts w:asciiTheme="minorHAnsi" w:hAnsiTheme="minorHAnsi" w:cstheme="minorHAnsi"/>
          <w:sz w:val="24"/>
          <w:szCs w:val="24"/>
          <w:shd w:val="clear" w:color="auto" w:fill="FFFFFF"/>
          <w:lang w:val="en-GB"/>
        </w:rPr>
        <w:t xml:space="preserve"> the age-</w:t>
      </w:r>
      <w:r w:rsidR="00A34C78">
        <w:rPr>
          <w:rFonts w:asciiTheme="minorHAnsi" w:hAnsiTheme="minorHAnsi" w:cstheme="minorHAnsi"/>
          <w:sz w:val="24"/>
          <w:szCs w:val="24"/>
          <w:shd w:val="clear" w:color="auto" w:fill="FFFFFF"/>
          <w:lang w:val="en-GB"/>
        </w:rPr>
        <w:t>matched</w:t>
      </w:r>
      <w:r w:rsidR="00B90BED" w:rsidRPr="00B90BED">
        <w:rPr>
          <w:rFonts w:asciiTheme="minorHAnsi" w:hAnsiTheme="minorHAnsi" w:cstheme="minorHAnsi"/>
          <w:sz w:val="24"/>
          <w:szCs w:val="24"/>
          <w:shd w:val="clear" w:color="auto" w:fill="FFFFFF"/>
          <w:lang w:val="en-GB"/>
        </w:rPr>
        <w:t xml:space="preserve"> prevalence </w:t>
      </w:r>
      <w:r w:rsidR="00A34C78">
        <w:rPr>
          <w:rFonts w:asciiTheme="minorHAnsi" w:hAnsiTheme="minorHAnsi" w:cstheme="minorHAnsi"/>
          <w:sz w:val="24"/>
          <w:szCs w:val="24"/>
          <w:shd w:val="clear" w:color="auto" w:fill="FFFFFF"/>
          <w:lang w:val="en-GB"/>
        </w:rPr>
        <w:t xml:space="preserve">of these risk factors </w:t>
      </w:r>
      <w:r w:rsidR="00B90BED" w:rsidRPr="00B90BED">
        <w:rPr>
          <w:rFonts w:asciiTheme="minorHAnsi" w:hAnsiTheme="minorHAnsi" w:cstheme="minorHAnsi"/>
          <w:sz w:val="24"/>
          <w:szCs w:val="24"/>
          <w:shd w:val="clear" w:color="auto" w:fill="FFFFFF"/>
          <w:lang w:val="en-GB"/>
        </w:rPr>
        <w:t xml:space="preserve">from Ms </w:t>
      </w:r>
      <w:proofErr w:type="spellStart"/>
      <w:r w:rsidR="00B90BED" w:rsidRPr="00B90BED">
        <w:rPr>
          <w:rFonts w:asciiTheme="minorHAnsi" w:hAnsiTheme="minorHAnsi" w:cstheme="minorHAnsi"/>
          <w:sz w:val="24"/>
          <w:szCs w:val="24"/>
          <w:shd w:val="clear" w:color="auto" w:fill="FFFFFF"/>
          <w:lang w:val="en-GB"/>
        </w:rPr>
        <w:t>Os</w:t>
      </w:r>
      <w:proofErr w:type="spellEnd"/>
      <w:r w:rsidR="00B90BED" w:rsidRPr="00B90BED">
        <w:rPr>
          <w:rFonts w:asciiTheme="minorHAnsi" w:hAnsiTheme="minorHAnsi" w:cstheme="minorHAnsi"/>
          <w:sz w:val="24"/>
          <w:szCs w:val="24"/>
          <w:shd w:val="clear" w:color="auto" w:fill="FFFFFF"/>
          <w:lang w:val="en-GB"/>
        </w:rPr>
        <w:t xml:space="preserve"> (Table A1, Appendix A).  Similarly, age-</w:t>
      </w:r>
      <w:r w:rsidR="00A34C78">
        <w:rPr>
          <w:rFonts w:asciiTheme="minorHAnsi" w:hAnsiTheme="minorHAnsi" w:cstheme="minorHAnsi"/>
          <w:sz w:val="24"/>
          <w:szCs w:val="24"/>
          <w:shd w:val="clear" w:color="auto" w:fill="FFFFFF"/>
          <w:lang w:val="en-GB"/>
        </w:rPr>
        <w:t>match</w:t>
      </w:r>
      <w:r w:rsidR="005D34F6">
        <w:rPr>
          <w:rFonts w:asciiTheme="minorHAnsi" w:hAnsiTheme="minorHAnsi" w:cstheme="minorHAnsi"/>
          <w:sz w:val="24"/>
          <w:szCs w:val="24"/>
          <w:shd w:val="clear" w:color="auto" w:fill="FFFFFF"/>
          <w:lang w:val="en-GB"/>
        </w:rPr>
        <w:t>e</w:t>
      </w:r>
      <w:r w:rsidR="00A34C78">
        <w:rPr>
          <w:rFonts w:asciiTheme="minorHAnsi" w:hAnsiTheme="minorHAnsi" w:cstheme="minorHAnsi"/>
          <w:sz w:val="24"/>
          <w:szCs w:val="24"/>
          <w:shd w:val="clear" w:color="auto" w:fill="FFFFFF"/>
          <w:lang w:val="en-GB"/>
        </w:rPr>
        <w:t>d</w:t>
      </w:r>
      <w:r w:rsidR="00B90BED" w:rsidRPr="00B90BED">
        <w:rPr>
          <w:rFonts w:asciiTheme="minorHAnsi" w:hAnsiTheme="minorHAnsi" w:cstheme="minorHAnsi"/>
          <w:sz w:val="24"/>
          <w:szCs w:val="24"/>
          <w:shd w:val="clear" w:color="auto" w:fill="FFFFFF"/>
          <w:lang w:val="en-GB"/>
        </w:rPr>
        <w:t xml:space="preserve"> BMD values </w:t>
      </w:r>
      <w:r w:rsidR="00A73DCF" w:rsidRPr="00A73DCF">
        <w:rPr>
          <w:rFonts w:asciiTheme="minorHAnsi" w:hAnsiTheme="minorHAnsi" w:cstheme="minorHAnsi"/>
          <w:sz w:val="24"/>
          <w:szCs w:val="24"/>
          <w:shd w:val="clear" w:color="auto" w:fill="FFFFFF"/>
          <w:lang w:val="en-GB"/>
        </w:rPr>
        <w:t xml:space="preserve">in </w:t>
      </w:r>
      <w:r w:rsidR="00A73DCF">
        <w:rPr>
          <w:rFonts w:asciiTheme="minorHAnsi" w:hAnsiTheme="minorHAnsi" w:cstheme="minorHAnsi"/>
          <w:sz w:val="24"/>
          <w:szCs w:val="24"/>
          <w:shd w:val="clear" w:color="auto" w:fill="FFFFFF"/>
          <w:lang w:val="en-GB"/>
        </w:rPr>
        <w:t xml:space="preserve">the </w:t>
      </w:r>
      <w:r w:rsidR="00A73DCF" w:rsidRPr="00A73DCF">
        <w:rPr>
          <w:rFonts w:asciiTheme="minorHAnsi" w:hAnsiTheme="minorHAnsi" w:cstheme="minorHAnsi"/>
          <w:sz w:val="24"/>
          <w:szCs w:val="24"/>
          <w:shd w:val="clear" w:color="auto" w:fill="FFFFFF"/>
          <w:lang w:val="en-GB"/>
        </w:rPr>
        <w:t xml:space="preserve">SCHS cohort </w:t>
      </w:r>
      <w:r w:rsidR="00B90BED" w:rsidRPr="00B90BED">
        <w:rPr>
          <w:rFonts w:asciiTheme="minorHAnsi" w:hAnsiTheme="minorHAnsi" w:cstheme="minorHAnsi"/>
          <w:sz w:val="24"/>
          <w:szCs w:val="24"/>
          <w:shd w:val="clear" w:color="auto" w:fill="FFFFFF"/>
          <w:lang w:val="en-GB"/>
        </w:rPr>
        <w:t xml:space="preserve">were </w:t>
      </w:r>
      <w:proofErr w:type="gramStart"/>
      <w:r w:rsidR="00B90BED" w:rsidRPr="00B90BED">
        <w:rPr>
          <w:rFonts w:asciiTheme="minorHAnsi" w:hAnsiTheme="minorHAnsi" w:cstheme="minorHAnsi"/>
          <w:sz w:val="24"/>
          <w:szCs w:val="24"/>
          <w:shd w:val="clear" w:color="auto" w:fill="FFFFFF"/>
          <w:lang w:val="en-GB"/>
        </w:rPr>
        <w:t xml:space="preserve">similar </w:t>
      </w:r>
      <w:r w:rsidR="00A73DCF">
        <w:rPr>
          <w:rFonts w:asciiTheme="minorHAnsi" w:hAnsiTheme="minorHAnsi" w:cstheme="minorHAnsi"/>
          <w:sz w:val="24"/>
          <w:szCs w:val="24"/>
          <w:shd w:val="clear" w:color="auto" w:fill="FFFFFF"/>
          <w:lang w:val="en-GB"/>
        </w:rPr>
        <w:t>to</w:t>
      </w:r>
      <w:proofErr w:type="gramEnd"/>
      <w:r w:rsidR="00A73DCF">
        <w:rPr>
          <w:rFonts w:asciiTheme="minorHAnsi" w:hAnsiTheme="minorHAnsi" w:cstheme="minorHAnsi"/>
          <w:sz w:val="24"/>
          <w:szCs w:val="24"/>
          <w:shd w:val="clear" w:color="auto" w:fill="FFFFFF"/>
          <w:lang w:val="en-GB"/>
        </w:rPr>
        <w:t xml:space="preserve"> those </w:t>
      </w:r>
      <w:r w:rsidR="00B90BED" w:rsidRPr="00B90BED">
        <w:rPr>
          <w:rFonts w:asciiTheme="minorHAnsi" w:hAnsiTheme="minorHAnsi" w:cstheme="minorHAnsi"/>
          <w:sz w:val="24"/>
          <w:szCs w:val="24"/>
          <w:shd w:val="clear" w:color="auto" w:fill="FFFFFF"/>
          <w:lang w:val="en-GB"/>
        </w:rPr>
        <w:t xml:space="preserve">in the Ms </w:t>
      </w:r>
      <w:proofErr w:type="spellStart"/>
      <w:r w:rsidR="00B90BED" w:rsidRPr="00B90BED">
        <w:rPr>
          <w:rFonts w:asciiTheme="minorHAnsi" w:hAnsiTheme="minorHAnsi" w:cstheme="minorHAnsi"/>
          <w:sz w:val="24"/>
          <w:szCs w:val="24"/>
          <w:shd w:val="clear" w:color="auto" w:fill="FFFFFF"/>
          <w:lang w:val="en-GB"/>
        </w:rPr>
        <w:t>Os</w:t>
      </w:r>
      <w:proofErr w:type="spellEnd"/>
      <w:r w:rsidR="00B90BED" w:rsidRPr="00B90BED">
        <w:rPr>
          <w:rFonts w:asciiTheme="minorHAnsi" w:hAnsiTheme="minorHAnsi" w:cstheme="minorHAnsi"/>
          <w:sz w:val="24"/>
          <w:szCs w:val="24"/>
          <w:shd w:val="clear" w:color="auto" w:fill="FFFFFF"/>
          <w:lang w:val="en-GB"/>
        </w:rPr>
        <w:t xml:space="preserve"> cohort (Table A2, Appendix A).  </w:t>
      </w:r>
      <w:r w:rsidR="002D71C4">
        <w:rPr>
          <w:rFonts w:asciiTheme="minorHAnsi" w:hAnsiTheme="minorHAnsi" w:cstheme="minorHAnsi"/>
          <w:sz w:val="24"/>
          <w:szCs w:val="24"/>
          <w:shd w:val="clear" w:color="auto" w:fill="FFFFFF"/>
          <w:lang w:val="en-GB"/>
        </w:rPr>
        <w:t>I</w:t>
      </w:r>
      <w:r w:rsidR="00A638C1" w:rsidRPr="00A638C1">
        <w:rPr>
          <w:rFonts w:asciiTheme="minorHAnsi" w:hAnsiTheme="minorHAnsi" w:cstheme="minorHAnsi"/>
          <w:sz w:val="24"/>
          <w:szCs w:val="24"/>
          <w:shd w:val="clear" w:color="auto" w:fill="FFFFFF"/>
          <w:lang w:val="en-GB"/>
        </w:rPr>
        <w:t>n the SCHS cohort</w:t>
      </w:r>
      <w:r w:rsidR="00B90BED" w:rsidRPr="00195EEF">
        <w:rPr>
          <w:rFonts w:asciiTheme="minorHAnsi" w:hAnsiTheme="minorHAnsi" w:cstheme="minorHAnsi"/>
          <w:sz w:val="24"/>
          <w:szCs w:val="24"/>
          <w:shd w:val="clear" w:color="auto" w:fill="FFFFFF"/>
          <w:lang w:val="en-GB"/>
        </w:rPr>
        <w:t xml:space="preserve">, the Osteoporosis Self-Assessment Tool for Asians (OSTA) </w:t>
      </w:r>
      <w:r w:rsidR="00FC6254" w:rsidRPr="00195EEF">
        <w:rPr>
          <w:rFonts w:asciiTheme="minorHAnsi" w:hAnsiTheme="minorHAnsi" w:cstheme="minorHAnsi"/>
          <w:sz w:val="24"/>
          <w:szCs w:val="24"/>
          <w:shd w:val="clear" w:color="auto" w:fill="FFFFFF"/>
          <w:lang w:val="en-GB"/>
        </w:rPr>
        <w:t>yielded</w:t>
      </w:r>
      <w:r w:rsidR="00F013F5" w:rsidRPr="00195EEF">
        <w:rPr>
          <w:rFonts w:asciiTheme="minorHAnsi" w:hAnsiTheme="minorHAnsi" w:cstheme="minorHAnsi"/>
          <w:sz w:val="24"/>
          <w:szCs w:val="24"/>
          <w:shd w:val="clear" w:color="auto" w:fill="FFFFFF"/>
          <w:lang w:val="en-GB"/>
        </w:rPr>
        <w:t xml:space="preserve"> a</w:t>
      </w:r>
      <w:r w:rsidR="00B90BED" w:rsidRPr="00195EEF">
        <w:rPr>
          <w:rFonts w:asciiTheme="minorHAnsi" w:hAnsiTheme="minorHAnsi" w:cstheme="minorHAnsi"/>
          <w:sz w:val="24"/>
          <w:szCs w:val="24"/>
          <w:shd w:val="clear" w:color="auto" w:fill="FFFFFF"/>
          <w:lang w:val="en-GB"/>
        </w:rPr>
        <w:t xml:space="preserve"> </w:t>
      </w:r>
      <w:r w:rsidR="00F013F5" w:rsidRPr="00195EEF">
        <w:rPr>
          <w:rFonts w:asciiTheme="minorHAnsi" w:hAnsiTheme="minorHAnsi" w:cstheme="minorHAnsi"/>
          <w:sz w:val="24"/>
          <w:szCs w:val="24"/>
          <w:shd w:val="clear" w:color="auto" w:fill="FFFFFF"/>
          <w:lang w:val="en-GB"/>
        </w:rPr>
        <w:t>s</w:t>
      </w:r>
      <w:r w:rsidR="00B90BED" w:rsidRPr="00195EEF">
        <w:rPr>
          <w:rFonts w:asciiTheme="minorHAnsi" w:hAnsiTheme="minorHAnsi" w:cstheme="minorHAnsi"/>
          <w:sz w:val="24"/>
          <w:szCs w:val="24"/>
          <w:shd w:val="clear" w:color="auto" w:fill="FFFFFF"/>
          <w:lang w:val="en-GB"/>
        </w:rPr>
        <w:t xml:space="preserve">ensitivity </w:t>
      </w:r>
      <w:r w:rsidR="008B0594" w:rsidRPr="00195EEF">
        <w:rPr>
          <w:rFonts w:asciiTheme="minorHAnsi" w:hAnsiTheme="minorHAnsi" w:cstheme="minorHAnsi"/>
          <w:sz w:val="24"/>
          <w:szCs w:val="24"/>
          <w:shd w:val="clear" w:color="auto" w:fill="FFFFFF"/>
          <w:lang w:val="en-GB"/>
        </w:rPr>
        <w:t>of</w:t>
      </w:r>
      <w:r w:rsidR="00B90BED" w:rsidRPr="00195EEF">
        <w:rPr>
          <w:rFonts w:asciiTheme="minorHAnsi" w:hAnsiTheme="minorHAnsi" w:cstheme="minorHAnsi"/>
          <w:sz w:val="24"/>
          <w:szCs w:val="24"/>
          <w:shd w:val="clear" w:color="auto" w:fill="FFFFFF"/>
          <w:lang w:val="en-GB"/>
        </w:rPr>
        <w:t xml:space="preserve"> 85% and specificity </w:t>
      </w:r>
      <w:r w:rsidR="008B0594" w:rsidRPr="00195EEF">
        <w:rPr>
          <w:rFonts w:asciiTheme="minorHAnsi" w:hAnsiTheme="minorHAnsi" w:cstheme="minorHAnsi"/>
          <w:sz w:val="24"/>
          <w:szCs w:val="24"/>
          <w:shd w:val="clear" w:color="auto" w:fill="FFFFFF"/>
          <w:lang w:val="en-GB"/>
        </w:rPr>
        <w:t>of</w:t>
      </w:r>
      <w:r w:rsidR="00B90BED" w:rsidRPr="00195EEF">
        <w:rPr>
          <w:rFonts w:asciiTheme="minorHAnsi" w:hAnsiTheme="minorHAnsi" w:cstheme="minorHAnsi"/>
          <w:sz w:val="24"/>
          <w:szCs w:val="24"/>
          <w:shd w:val="clear" w:color="auto" w:fill="FFFFFF"/>
          <w:lang w:val="en-GB"/>
        </w:rPr>
        <w:t xml:space="preserve"> 50%</w:t>
      </w:r>
      <w:r w:rsidR="00BB2DF4" w:rsidRPr="00195EEF">
        <w:rPr>
          <w:rFonts w:asciiTheme="minorHAnsi" w:hAnsiTheme="minorHAnsi" w:cstheme="minorHAnsi"/>
          <w:sz w:val="24"/>
          <w:szCs w:val="24"/>
          <w:shd w:val="clear" w:color="auto" w:fill="FFFFFF"/>
          <w:lang w:val="en-GB"/>
        </w:rPr>
        <w:t xml:space="preserve"> based on </w:t>
      </w:r>
      <w:r w:rsidR="00195EEF" w:rsidRPr="00195EEF">
        <w:rPr>
          <w:rFonts w:asciiTheme="minorHAnsi" w:hAnsiTheme="minorHAnsi" w:cstheme="minorHAnsi"/>
          <w:sz w:val="24"/>
          <w:szCs w:val="24"/>
          <w:shd w:val="clear" w:color="auto" w:fill="FFFFFF"/>
          <w:lang w:val="en-GB"/>
        </w:rPr>
        <w:t>BMD at the femoral neck</w:t>
      </w:r>
      <w:r w:rsidR="008B0594" w:rsidRPr="00195EEF">
        <w:rPr>
          <w:rFonts w:asciiTheme="minorHAnsi" w:hAnsiTheme="minorHAnsi" w:cstheme="minorHAnsi"/>
          <w:sz w:val="24"/>
          <w:szCs w:val="24"/>
          <w:shd w:val="clear" w:color="auto" w:fill="FFFFFF"/>
          <w:lang w:val="en-GB"/>
        </w:rPr>
        <w:t>.</w:t>
      </w:r>
      <w:r w:rsidR="00B90BED" w:rsidRPr="00195EEF">
        <w:rPr>
          <w:rFonts w:asciiTheme="minorHAnsi" w:hAnsiTheme="minorHAnsi" w:cstheme="minorHAnsi"/>
          <w:sz w:val="24"/>
          <w:szCs w:val="24"/>
          <w:shd w:val="clear" w:color="auto" w:fill="FFFFFF"/>
          <w:lang w:val="en-GB"/>
        </w:rPr>
        <w:t xml:space="preserve"> </w:t>
      </w:r>
    </w:p>
    <w:bookmarkEnd w:id="10"/>
    <w:p w14:paraId="4FCE9ED9" w14:textId="77777777" w:rsidR="00B90BED" w:rsidRDefault="00B90BED" w:rsidP="00827EF0">
      <w:pPr>
        <w:pStyle w:val="PlainText"/>
        <w:spacing w:after="240" w:line="276" w:lineRule="auto"/>
        <w:ind w:left="1134"/>
        <w:rPr>
          <w:rFonts w:ascii="Calibri" w:hAnsi="Calibri"/>
          <w:sz w:val="24"/>
          <w:szCs w:val="24"/>
          <w:lang w:val="en-GB"/>
        </w:rPr>
      </w:pPr>
    </w:p>
    <w:p w14:paraId="0BAF13AF" w14:textId="1A340A94" w:rsidR="002D0C37" w:rsidRPr="00615128" w:rsidRDefault="002D0C37" w:rsidP="002D0C37">
      <w:pPr>
        <w:spacing w:after="0"/>
        <w:ind w:left="1276"/>
        <w:rPr>
          <w:lang w:val="en-GB"/>
        </w:rPr>
      </w:pPr>
      <w:r w:rsidRPr="00615128">
        <w:rPr>
          <w:b/>
          <w:bCs/>
          <w:lang w:val="en-GB"/>
        </w:rPr>
        <w:t xml:space="preserve">Table </w:t>
      </w:r>
      <w:r>
        <w:rPr>
          <w:b/>
          <w:bCs/>
          <w:lang w:val="en-GB"/>
        </w:rPr>
        <w:t>1</w:t>
      </w:r>
      <w:r w:rsidRPr="00615128">
        <w:rPr>
          <w:lang w:val="en-GB"/>
        </w:rPr>
        <w:t xml:space="preserve">   Summary description of the </w:t>
      </w:r>
      <w:r>
        <w:rPr>
          <w:lang w:val="en-GB"/>
        </w:rPr>
        <w:t>baseline</w:t>
      </w:r>
      <w:r w:rsidRPr="006461CC">
        <w:rPr>
          <w:lang w:val="en-GB"/>
        </w:rPr>
        <w:t xml:space="preserve"> variables in SCHS cohort for women</w:t>
      </w:r>
      <w:r>
        <w:rPr>
          <w:lang w:val="en-GB"/>
        </w:rPr>
        <w:t xml:space="preserve"> age 50 years or more</w:t>
      </w:r>
      <w:r w:rsidR="00FD4512">
        <w:rPr>
          <w:lang w:val="en-GB"/>
        </w:rPr>
        <w:t xml:space="preserve"> (N=</w:t>
      </w:r>
      <w:r w:rsidR="00A753B1">
        <w:rPr>
          <w:lang w:val="en-GB"/>
        </w:rPr>
        <w:t>29323)</w:t>
      </w:r>
      <w:r>
        <w:rPr>
          <w:lang w:val="en-GB"/>
        </w:rPr>
        <w:t>.</w:t>
      </w:r>
    </w:p>
    <w:tbl>
      <w:tblPr>
        <w:tblW w:w="0" w:type="auto"/>
        <w:jc w:val="center"/>
        <w:tblLook w:val="01E0" w:firstRow="1" w:lastRow="1" w:firstColumn="1" w:lastColumn="1" w:noHBand="0" w:noVBand="0"/>
      </w:tblPr>
      <w:tblGrid>
        <w:gridCol w:w="4513"/>
        <w:gridCol w:w="774"/>
        <w:gridCol w:w="735"/>
        <w:gridCol w:w="607"/>
        <w:gridCol w:w="1393"/>
      </w:tblGrid>
      <w:tr w:rsidR="002D0C37" w:rsidRPr="00615128" w14:paraId="4CE222A7" w14:textId="77777777" w:rsidTr="008B3B40">
        <w:trPr>
          <w:cantSplit/>
          <w:trHeight w:val="20"/>
          <w:jc w:val="center"/>
        </w:trPr>
        <w:tc>
          <w:tcPr>
            <w:tcW w:w="0" w:type="auto"/>
            <w:tcBorders>
              <w:top w:val="single" w:sz="4" w:space="0" w:color="auto"/>
              <w:bottom w:val="single" w:sz="4" w:space="0" w:color="auto"/>
            </w:tcBorders>
          </w:tcPr>
          <w:p w14:paraId="5692CF8E" w14:textId="77777777" w:rsidR="002D0C37" w:rsidRPr="00615128" w:rsidRDefault="002D0C37" w:rsidP="00183D53">
            <w:pPr>
              <w:spacing w:before="120" w:after="120"/>
              <w:rPr>
                <w:b/>
                <w:lang w:val="en-GB"/>
              </w:rPr>
            </w:pPr>
          </w:p>
        </w:tc>
        <w:tc>
          <w:tcPr>
            <w:tcW w:w="0" w:type="auto"/>
            <w:tcBorders>
              <w:top w:val="single" w:sz="4" w:space="0" w:color="auto"/>
              <w:bottom w:val="single" w:sz="4" w:space="0" w:color="auto"/>
            </w:tcBorders>
          </w:tcPr>
          <w:p w14:paraId="59315027" w14:textId="77777777" w:rsidR="002D0C37" w:rsidRPr="00615128" w:rsidRDefault="002D0C37" w:rsidP="00183D53">
            <w:pPr>
              <w:spacing w:before="120" w:after="120"/>
              <w:rPr>
                <w:lang w:val="en-GB"/>
              </w:rPr>
            </w:pPr>
            <w:r w:rsidRPr="00615128">
              <w:rPr>
                <w:lang w:val="en-GB"/>
              </w:rPr>
              <w:t>N</w:t>
            </w:r>
          </w:p>
        </w:tc>
        <w:tc>
          <w:tcPr>
            <w:tcW w:w="0" w:type="auto"/>
            <w:tcBorders>
              <w:top w:val="single" w:sz="4" w:space="0" w:color="auto"/>
              <w:bottom w:val="single" w:sz="4" w:space="0" w:color="auto"/>
            </w:tcBorders>
          </w:tcPr>
          <w:p w14:paraId="53DCD2A4" w14:textId="77777777" w:rsidR="002D0C37" w:rsidRPr="00615128" w:rsidRDefault="002D0C37" w:rsidP="00183D53">
            <w:pPr>
              <w:spacing w:before="120" w:after="120"/>
              <w:rPr>
                <w:lang w:val="en-GB"/>
              </w:rPr>
            </w:pPr>
            <w:r>
              <w:rPr>
                <w:lang w:val="en-GB"/>
              </w:rPr>
              <w:t>Mean</w:t>
            </w:r>
          </w:p>
        </w:tc>
        <w:tc>
          <w:tcPr>
            <w:tcW w:w="0" w:type="auto"/>
            <w:tcBorders>
              <w:top w:val="single" w:sz="4" w:space="0" w:color="auto"/>
              <w:bottom w:val="single" w:sz="4" w:space="0" w:color="auto"/>
            </w:tcBorders>
          </w:tcPr>
          <w:p w14:paraId="5989BBB0" w14:textId="77777777" w:rsidR="002D0C37" w:rsidRPr="00615128" w:rsidRDefault="002D0C37" w:rsidP="00183D53">
            <w:pPr>
              <w:spacing w:before="120" w:after="120"/>
              <w:rPr>
                <w:lang w:val="en-GB"/>
              </w:rPr>
            </w:pPr>
            <w:r>
              <w:rPr>
                <w:lang w:val="en-GB"/>
              </w:rPr>
              <w:t>SD</w:t>
            </w:r>
          </w:p>
        </w:tc>
        <w:tc>
          <w:tcPr>
            <w:tcW w:w="0" w:type="auto"/>
            <w:tcBorders>
              <w:top w:val="single" w:sz="4" w:space="0" w:color="auto"/>
              <w:bottom w:val="single" w:sz="4" w:space="0" w:color="auto"/>
            </w:tcBorders>
          </w:tcPr>
          <w:p w14:paraId="13F22E2D" w14:textId="77777777" w:rsidR="002D0C37" w:rsidRPr="00615128" w:rsidRDefault="002D0C37" w:rsidP="00183D53">
            <w:pPr>
              <w:spacing w:before="120" w:after="120"/>
              <w:rPr>
                <w:lang w:val="en-GB"/>
              </w:rPr>
            </w:pPr>
            <w:r>
              <w:rPr>
                <w:lang w:val="en-GB"/>
              </w:rPr>
              <w:t>n (%)</w:t>
            </w:r>
          </w:p>
        </w:tc>
      </w:tr>
      <w:tr w:rsidR="002D0C37" w:rsidRPr="00C36191" w14:paraId="164B9132" w14:textId="77777777" w:rsidTr="008B3B40">
        <w:trPr>
          <w:cantSplit/>
          <w:trHeight w:val="20"/>
          <w:jc w:val="center"/>
        </w:trPr>
        <w:tc>
          <w:tcPr>
            <w:tcW w:w="0" w:type="auto"/>
            <w:tcBorders>
              <w:top w:val="single" w:sz="4" w:space="0" w:color="auto"/>
            </w:tcBorders>
          </w:tcPr>
          <w:p w14:paraId="1A584440" w14:textId="77777777" w:rsidR="002D0C37" w:rsidRPr="00C36191" w:rsidRDefault="002D0C37" w:rsidP="00183D53">
            <w:pPr>
              <w:spacing w:before="120" w:after="0"/>
              <w:rPr>
                <w:lang w:val="en-GB"/>
              </w:rPr>
            </w:pPr>
            <w:r>
              <w:rPr>
                <w:lang w:val="en-GB"/>
              </w:rPr>
              <w:t>A</w:t>
            </w:r>
            <w:r w:rsidRPr="00C36191">
              <w:rPr>
                <w:lang w:val="en-GB"/>
              </w:rPr>
              <w:t>ge (years)</w:t>
            </w:r>
          </w:p>
        </w:tc>
        <w:tc>
          <w:tcPr>
            <w:tcW w:w="0" w:type="auto"/>
            <w:tcBorders>
              <w:top w:val="single" w:sz="4" w:space="0" w:color="auto"/>
            </w:tcBorders>
          </w:tcPr>
          <w:p w14:paraId="473F0E16" w14:textId="77777777" w:rsidR="002D0C37" w:rsidRPr="00C36191" w:rsidRDefault="002D0C37" w:rsidP="00183D53">
            <w:pPr>
              <w:spacing w:before="120" w:after="0"/>
              <w:rPr>
                <w:lang w:val="en-GB"/>
              </w:rPr>
            </w:pPr>
            <w:r>
              <w:rPr>
                <w:lang w:val="en-GB"/>
              </w:rPr>
              <w:t>29323</w:t>
            </w:r>
          </w:p>
        </w:tc>
        <w:tc>
          <w:tcPr>
            <w:tcW w:w="0" w:type="auto"/>
            <w:tcBorders>
              <w:top w:val="single" w:sz="4" w:space="0" w:color="auto"/>
            </w:tcBorders>
          </w:tcPr>
          <w:p w14:paraId="590C3CBB" w14:textId="77777777" w:rsidR="002D0C37" w:rsidRPr="00C36191" w:rsidRDefault="002D0C37" w:rsidP="00183D53">
            <w:pPr>
              <w:spacing w:before="120" w:after="0"/>
              <w:rPr>
                <w:lang w:val="en-GB"/>
              </w:rPr>
            </w:pPr>
            <w:r w:rsidRPr="00800D2F">
              <w:rPr>
                <w:lang w:val="en-GB"/>
              </w:rPr>
              <w:t>61.7</w:t>
            </w:r>
          </w:p>
        </w:tc>
        <w:tc>
          <w:tcPr>
            <w:tcW w:w="0" w:type="auto"/>
            <w:tcBorders>
              <w:top w:val="single" w:sz="4" w:space="0" w:color="auto"/>
            </w:tcBorders>
          </w:tcPr>
          <w:p w14:paraId="4582AA80" w14:textId="77777777" w:rsidR="002D0C37" w:rsidRPr="00C36191" w:rsidRDefault="002D0C37" w:rsidP="00183D53">
            <w:pPr>
              <w:spacing w:before="120" w:after="0"/>
              <w:rPr>
                <w:lang w:val="en-GB"/>
              </w:rPr>
            </w:pPr>
            <w:r w:rsidRPr="00C54D97">
              <w:rPr>
                <w:lang w:val="en-GB"/>
              </w:rPr>
              <w:t>7.8</w:t>
            </w:r>
          </w:p>
        </w:tc>
        <w:tc>
          <w:tcPr>
            <w:tcW w:w="0" w:type="auto"/>
            <w:tcBorders>
              <w:top w:val="single" w:sz="4" w:space="0" w:color="auto"/>
            </w:tcBorders>
          </w:tcPr>
          <w:p w14:paraId="40D3BECD" w14:textId="77777777" w:rsidR="002D0C37" w:rsidRPr="00C36191" w:rsidRDefault="002D0C37" w:rsidP="00183D53">
            <w:pPr>
              <w:spacing w:before="120" w:after="0"/>
              <w:rPr>
                <w:lang w:val="en-GB"/>
              </w:rPr>
            </w:pPr>
          </w:p>
        </w:tc>
      </w:tr>
      <w:tr w:rsidR="002D0C37" w:rsidRPr="002546C8" w14:paraId="6EB1A3D4" w14:textId="77777777" w:rsidTr="008B3B40">
        <w:trPr>
          <w:cantSplit/>
          <w:trHeight w:val="20"/>
          <w:jc w:val="center"/>
        </w:trPr>
        <w:tc>
          <w:tcPr>
            <w:tcW w:w="0" w:type="auto"/>
          </w:tcPr>
          <w:p w14:paraId="6C0DF305" w14:textId="77777777" w:rsidR="002D0C37" w:rsidRPr="002546C8" w:rsidRDefault="002D0C37" w:rsidP="00183D53">
            <w:pPr>
              <w:spacing w:before="120" w:after="0"/>
              <w:rPr>
                <w:lang w:val="en-GB"/>
              </w:rPr>
            </w:pPr>
            <w:r w:rsidRPr="002546C8">
              <w:rPr>
                <w:lang w:val="en-GB"/>
              </w:rPr>
              <w:t>BMI (kg/m</w:t>
            </w:r>
            <w:r w:rsidRPr="002546C8">
              <w:rPr>
                <w:vertAlign w:val="superscript"/>
                <w:lang w:val="en-GB"/>
              </w:rPr>
              <w:t>2</w:t>
            </w:r>
            <w:r w:rsidRPr="002546C8">
              <w:rPr>
                <w:lang w:val="en-GB"/>
              </w:rPr>
              <w:t>)</w:t>
            </w:r>
          </w:p>
        </w:tc>
        <w:tc>
          <w:tcPr>
            <w:tcW w:w="0" w:type="auto"/>
          </w:tcPr>
          <w:p w14:paraId="6E30E812" w14:textId="77777777" w:rsidR="002D0C37" w:rsidRPr="002546C8" w:rsidRDefault="002D0C37" w:rsidP="00183D53">
            <w:pPr>
              <w:spacing w:before="120" w:after="0"/>
              <w:rPr>
                <w:lang w:val="en-GB"/>
              </w:rPr>
            </w:pPr>
            <w:r>
              <w:rPr>
                <w:lang w:val="en-GB"/>
              </w:rPr>
              <w:t>29323</w:t>
            </w:r>
          </w:p>
        </w:tc>
        <w:tc>
          <w:tcPr>
            <w:tcW w:w="0" w:type="auto"/>
          </w:tcPr>
          <w:p w14:paraId="6543F20C" w14:textId="77777777" w:rsidR="002D0C37" w:rsidRPr="002546C8" w:rsidRDefault="002D0C37" w:rsidP="00183D53">
            <w:pPr>
              <w:spacing w:before="120" w:after="0"/>
              <w:rPr>
                <w:lang w:val="en-GB"/>
              </w:rPr>
            </w:pPr>
            <w:r w:rsidRPr="002546C8">
              <w:rPr>
                <w:lang w:val="en-GB"/>
              </w:rPr>
              <w:t>23.2</w:t>
            </w:r>
          </w:p>
        </w:tc>
        <w:tc>
          <w:tcPr>
            <w:tcW w:w="0" w:type="auto"/>
          </w:tcPr>
          <w:p w14:paraId="7AA9ABC5" w14:textId="77777777" w:rsidR="002D0C37" w:rsidRPr="002546C8" w:rsidRDefault="002D0C37" w:rsidP="00183D53">
            <w:pPr>
              <w:spacing w:before="120" w:after="0"/>
              <w:rPr>
                <w:lang w:val="en-GB"/>
              </w:rPr>
            </w:pPr>
            <w:r w:rsidRPr="00A454F8">
              <w:rPr>
                <w:lang w:val="en-GB"/>
              </w:rPr>
              <w:t>3.6</w:t>
            </w:r>
          </w:p>
        </w:tc>
        <w:tc>
          <w:tcPr>
            <w:tcW w:w="0" w:type="auto"/>
          </w:tcPr>
          <w:p w14:paraId="5A2F969B" w14:textId="77777777" w:rsidR="002D0C37" w:rsidRPr="002546C8" w:rsidRDefault="002D0C37" w:rsidP="00183D53">
            <w:pPr>
              <w:spacing w:before="120" w:after="0"/>
              <w:rPr>
                <w:lang w:val="en-GB"/>
              </w:rPr>
            </w:pPr>
          </w:p>
        </w:tc>
      </w:tr>
      <w:tr w:rsidR="002D0C37" w:rsidRPr="002546C8" w14:paraId="7C0A0C9B" w14:textId="77777777" w:rsidTr="008B3B40">
        <w:trPr>
          <w:cantSplit/>
          <w:trHeight w:val="20"/>
          <w:jc w:val="center"/>
        </w:trPr>
        <w:tc>
          <w:tcPr>
            <w:tcW w:w="0" w:type="auto"/>
          </w:tcPr>
          <w:p w14:paraId="2FE6EEF5" w14:textId="0BA97CA6" w:rsidR="002D0C37" w:rsidRPr="002546C8" w:rsidRDefault="002D0C37" w:rsidP="00183D53">
            <w:pPr>
              <w:spacing w:before="120" w:after="0"/>
              <w:rPr>
                <w:lang w:val="en-GB"/>
              </w:rPr>
            </w:pPr>
            <w:r>
              <w:rPr>
                <w:lang w:val="en-GB"/>
              </w:rPr>
              <w:t>Femoral neck BMD (T-score)</w:t>
            </w:r>
            <w:r w:rsidR="00CC7D68" w:rsidRPr="00CC7D68">
              <w:rPr>
                <w:vertAlign w:val="superscript"/>
                <w:lang w:val="en-GB"/>
              </w:rPr>
              <w:t>2</w:t>
            </w:r>
          </w:p>
        </w:tc>
        <w:tc>
          <w:tcPr>
            <w:tcW w:w="0" w:type="auto"/>
          </w:tcPr>
          <w:p w14:paraId="4969F90E" w14:textId="77777777" w:rsidR="002D0C37" w:rsidRDefault="002D0C37" w:rsidP="00183D53">
            <w:pPr>
              <w:spacing w:before="120" w:after="0"/>
              <w:rPr>
                <w:lang w:val="en-GB"/>
              </w:rPr>
            </w:pPr>
            <w:r>
              <w:rPr>
                <w:lang w:val="en-GB"/>
              </w:rPr>
              <w:t>29323</w:t>
            </w:r>
          </w:p>
        </w:tc>
        <w:tc>
          <w:tcPr>
            <w:tcW w:w="0" w:type="auto"/>
          </w:tcPr>
          <w:p w14:paraId="018475F1" w14:textId="77777777" w:rsidR="002D0C37" w:rsidRPr="002546C8" w:rsidRDefault="002D0C37" w:rsidP="00183D53">
            <w:pPr>
              <w:spacing w:before="120" w:after="0"/>
              <w:rPr>
                <w:lang w:val="en-GB"/>
              </w:rPr>
            </w:pPr>
            <w:r>
              <w:rPr>
                <w:lang w:val="en-GB"/>
              </w:rPr>
              <w:t>-1.89</w:t>
            </w:r>
          </w:p>
        </w:tc>
        <w:tc>
          <w:tcPr>
            <w:tcW w:w="0" w:type="auto"/>
          </w:tcPr>
          <w:p w14:paraId="51AD4896" w14:textId="77777777" w:rsidR="002D0C37" w:rsidRPr="00A454F8" w:rsidRDefault="002D0C37" w:rsidP="00183D53">
            <w:pPr>
              <w:spacing w:before="120" w:after="0"/>
              <w:rPr>
                <w:lang w:val="en-GB"/>
              </w:rPr>
            </w:pPr>
            <w:r>
              <w:rPr>
                <w:lang w:val="en-GB"/>
              </w:rPr>
              <w:t>0.87</w:t>
            </w:r>
          </w:p>
        </w:tc>
        <w:tc>
          <w:tcPr>
            <w:tcW w:w="0" w:type="auto"/>
          </w:tcPr>
          <w:p w14:paraId="7FC67882" w14:textId="77777777" w:rsidR="002D0C37" w:rsidRPr="002546C8" w:rsidRDefault="002D0C37" w:rsidP="00183D53">
            <w:pPr>
              <w:spacing w:before="120" w:after="0"/>
              <w:rPr>
                <w:lang w:val="en-GB"/>
              </w:rPr>
            </w:pPr>
          </w:p>
        </w:tc>
      </w:tr>
      <w:tr w:rsidR="002D0C37" w:rsidRPr="003640CB" w14:paraId="7EFED74C" w14:textId="77777777" w:rsidTr="008B3B40">
        <w:trPr>
          <w:cantSplit/>
          <w:trHeight w:val="20"/>
          <w:jc w:val="center"/>
        </w:trPr>
        <w:tc>
          <w:tcPr>
            <w:tcW w:w="0" w:type="auto"/>
          </w:tcPr>
          <w:p w14:paraId="2892A067" w14:textId="77777777" w:rsidR="002D0C37" w:rsidRPr="003640CB" w:rsidRDefault="002D0C37" w:rsidP="00183D53">
            <w:pPr>
              <w:spacing w:before="120" w:after="0"/>
              <w:rPr>
                <w:lang w:val="en-GB"/>
              </w:rPr>
            </w:pPr>
            <w:r w:rsidRPr="003640CB">
              <w:rPr>
                <w:lang w:val="en-GB"/>
              </w:rPr>
              <w:t>Previous fracture</w:t>
            </w:r>
          </w:p>
        </w:tc>
        <w:tc>
          <w:tcPr>
            <w:tcW w:w="0" w:type="auto"/>
          </w:tcPr>
          <w:p w14:paraId="1C206045" w14:textId="77777777" w:rsidR="002D0C37" w:rsidRPr="003640CB" w:rsidRDefault="002D0C37" w:rsidP="00183D53">
            <w:pPr>
              <w:spacing w:before="120" w:after="0"/>
              <w:rPr>
                <w:lang w:val="en-GB"/>
              </w:rPr>
            </w:pPr>
            <w:r>
              <w:rPr>
                <w:lang w:val="en-GB"/>
              </w:rPr>
              <w:t>29323</w:t>
            </w:r>
          </w:p>
        </w:tc>
        <w:tc>
          <w:tcPr>
            <w:tcW w:w="0" w:type="auto"/>
          </w:tcPr>
          <w:p w14:paraId="2119EA2B" w14:textId="77777777" w:rsidR="002D0C37" w:rsidRDefault="002D0C37" w:rsidP="00183D53">
            <w:pPr>
              <w:spacing w:before="120" w:after="0"/>
              <w:rPr>
                <w:lang w:val="en-GB"/>
              </w:rPr>
            </w:pPr>
          </w:p>
        </w:tc>
        <w:tc>
          <w:tcPr>
            <w:tcW w:w="0" w:type="auto"/>
          </w:tcPr>
          <w:p w14:paraId="7A3948D0" w14:textId="77777777" w:rsidR="002D0C37" w:rsidRDefault="002D0C37" w:rsidP="00183D53">
            <w:pPr>
              <w:spacing w:before="120" w:after="0"/>
              <w:rPr>
                <w:lang w:val="en-GB"/>
              </w:rPr>
            </w:pPr>
          </w:p>
        </w:tc>
        <w:tc>
          <w:tcPr>
            <w:tcW w:w="0" w:type="auto"/>
          </w:tcPr>
          <w:p w14:paraId="02AB4190" w14:textId="77777777" w:rsidR="002D0C37" w:rsidRPr="003640CB" w:rsidRDefault="002D0C37" w:rsidP="00183D53">
            <w:pPr>
              <w:spacing w:before="120" w:after="0"/>
              <w:rPr>
                <w:lang w:val="en-GB"/>
              </w:rPr>
            </w:pPr>
            <w:r w:rsidRPr="00A454F8">
              <w:rPr>
                <w:lang w:val="en-GB"/>
              </w:rPr>
              <w:t>1927</w:t>
            </w:r>
            <w:r>
              <w:rPr>
                <w:lang w:val="en-GB"/>
              </w:rPr>
              <w:t xml:space="preserve"> (6</w:t>
            </w:r>
            <w:r w:rsidRPr="003640CB">
              <w:rPr>
                <w:lang w:val="en-GB"/>
              </w:rPr>
              <w:t>.</w:t>
            </w:r>
            <w:r>
              <w:rPr>
                <w:lang w:val="en-GB"/>
              </w:rPr>
              <w:t>6</w:t>
            </w:r>
            <w:r w:rsidRPr="003640CB">
              <w:rPr>
                <w:lang w:val="en-GB"/>
              </w:rPr>
              <w:t>%</w:t>
            </w:r>
            <w:r>
              <w:rPr>
                <w:lang w:val="en-GB"/>
              </w:rPr>
              <w:t>)</w:t>
            </w:r>
            <w:r w:rsidRPr="003640CB">
              <w:rPr>
                <w:lang w:val="en-GB"/>
              </w:rPr>
              <w:t xml:space="preserve"> </w:t>
            </w:r>
          </w:p>
        </w:tc>
      </w:tr>
      <w:tr w:rsidR="002D0C37" w:rsidRPr="003640CB" w14:paraId="707981D1" w14:textId="77777777" w:rsidTr="008B3B40">
        <w:trPr>
          <w:cantSplit/>
          <w:trHeight w:val="20"/>
          <w:jc w:val="center"/>
        </w:trPr>
        <w:tc>
          <w:tcPr>
            <w:tcW w:w="0" w:type="auto"/>
          </w:tcPr>
          <w:p w14:paraId="11968257" w14:textId="77777777" w:rsidR="002D0C37" w:rsidRPr="003640CB" w:rsidRDefault="002D0C37" w:rsidP="00183D53">
            <w:pPr>
              <w:spacing w:before="120" w:after="0"/>
              <w:rPr>
                <w:lang w:val="en-GB"/>
              </w:rPr>
            </w:pPr>
            <w:r w:rsidRPr="003640CB">
              <w:rPr>
                <w:lang w:val="en-GB"/>
              </w:rPr>
              <w:t>Current smoking</w:t>
            </w:r>
          </w:p>
        </w:tc>
        <w:tc>
          <w:tcPr>
            <w:tcW w:w="0" w:type="auto"/>
          </w:tcPr>
          <w:p w14:paraId="5612F43C" w14:textId="77777777" w:rsidR="002D0C37" w:rsidRPr="003640CB" w:rsidRDefault="002D0C37" w:rsidP="00183D53">
            <w:pPr>
              <w:spacing w:before="120" w:after="0"/>
              <w:rPr>
                <w:lang w:val="en-GB"/>
              </w:rPr>
            </w:pPr>
            <w:r>
              <w:rPr>
                <w:lang w:val="en-GB"/>
              </w:rPr>
              <w:t>29323</w:t>
            </w:r>
          </w:p>
        </w:tc>
        <w:tc>
          <w:tcPr>
            <w:tcW w:w="0" w:type="auto"/>
          </w:tcPr>
          <w:p w14:paraId="30307737" w14:textId="77777777" w:rsidR="002D0C37" w:rsidRDefault="002D0C37" w:rsidP="00183D53">
            <w:pPr>
              <w:spacing w:before="120" w:after="0"/>
              <w:rPr>
                <w:lang w:val="en-GB"/>
              </w:rPr>
            </w:pPr>
          </w:p>
        </w:tc>
        <w:tc>
          <w:tcPr>
            <w:tcW w:w="0" w:type="auto"/>
          </w:tcPr>
          <w:p w14:paraId="4E5A5584" w14:textId="77777777" w:rsidR="002D0C37" w:rsidRDefault="002D0C37" w:rsidP="00183D53">
            <w:pPr>
              <w:spacing w:before="120" w:after="0"/>
              <w:rPr>
                <w:lang w:val="en-GB"/>
              </w:rPr>
            </w:pPr>
          </w:p>
        </w:tc>
        <w:tc>
          <w:tcPr>
            <w:tcW w:w="0" w:type="auto"/>
          </w:tcPr>
          <w:p w14:paraId="7A8F8F4D" w14:textId="77777777" w:rsidR="002D0C37" w:rsidRPr="003640CB" w:rsidRDefault="002D0C37" w:rsidP="00183D53">
            <w:pPr>
              <w:spacing w:before="120" w:after="0"/>
              <w:rPr>
                <w:lang w:val="en-GB"/>
              </w:rPr>
            </w:pPr>
            <w:r>
              <w:rPr>
                <w:lang w:val="en-GB"/>
              </w:rPr>
              <w:t>1584 (5</w:t>
            </w:r>
            <w:r w:rsidRPr="003640CB">
              <w:rPr>
                <w:lang w:val="en-GB"/>
              </w:rPr>
              <w:t>.</w:t>
            </w:r>
            <w:r>
              <w:rPr>
                <w:lang w:val="en-GB"/>
              </w:rPr>
              <w:t>4</w:t>
            </w:r>
            <w:r w:rsidRPr="003640CB">
              <w:rPr>
                <w:lang w:val="en-GB"/>
              </w:rPr>
              <w:t>%</w:t>
            </w:r>
            <w:r>
              <w:rPr>
                <w:lang w:val="en-GB"/>
              </w:rPr>
              <w:t>)</w:t>
            </w:r>
          </w:p>
        </w:tc>
      </w:tr>
      <w:tr w:rsidR="002D0C37" w:rsidRPr="003640CB" w14:paraId="47E8BEC3" w14:textId="77777777" w:rsidTr="008B3B40">
        <w:trPr>
          <w:cantSplit/>
          <w:trHeight w:val="20"/>
          <w:jc w:val="center"/>
        </w:trPr>
        <w:tc>
          <w:tcPr>
            <w:tcW w:w="0" w:type="auto"/>
          </w:tcPr>
          <w:p w14:paraId="00763115" w14:textId="297427F1" w:rsidR="002D0C37" w:rsidRPr="003640CB" w:rsidRDefault="002D0C37" w:rsidP="00183D53">
            <w:pPr>
              <w:spacing w:before="120" w:after="0"/>
              <w:rPr>
                <w:lang w:val="en-GB"/>
              </w:rPr>
            </w:pPr>
            <w:r w:rsidRPr="003640CB">
              <w:rPr>
                <w:lang w:val="en-GB"/>
              </w:rPr>
              <w:t>Secondary osteoporosis</w:t>
            </w:r>
            <w:r w:rsidR="00297A72">
              <w:rPr>
                <w:lang w:val="en-GB"/>
              </w:rPr>
              <w:t xml:space="preserve"> </w:t>
            </w:r>
            <w:r w:rsidR="00297A72" w:rsidRPr="00033036">
              <w:rPr>
                <w:vertAlign w:val="superscript"/>
                <w:lang w:val="en-GB"/>
              </w:rPr>
              <w:t>1</w:t>
            </w:r>
          </w:p>
        </w:tc>
        <w:tc>
          <w:tcPr>
            <w:tcW w:w="0" w:type="auto"/>
          </w:tcPr>
          <w:p w14:paraId="5145935F" w14:textId="77777777" w:rsidR="002D0C37" w:rsidRPr="003640CB" w:rsidRDefault="002D0C37" w:rsidP="00183D53">
            <w:pPr>
              <w:spacing w:before="120" w:after="0"/>
              <w:rPr>
                <w:lang w:val="en-GB"/>
              </w:rPr>
            </w:pPr>
            <w:r>
              <w:rPr>
                <w:lang w:val="en-GB"/>
              </w:rPr>
              <w:t>29323</w:t>
            </w:r>
          </w:p>
        </w:tc>
        <w:tc>
          <w:tcPr>
            <w:tcW w:w="0" w:type="auto"/>
          </w:tcPr>
          <w:p w14:paraId="75338BCF" w14:textId="77777777" w:rsidR="002D0C37" w:rsidRPr="003640CB" w:rsidRDefault="002D0C37" w:rsidP="00183D53">
            <w:pPr>
              <w:spacing w:before="120" w:after="0"/>
              <w:rPr>
                <w:lang w:val="en-GB"/>
              </w:rPr>
            </w:pPr>
          </w:p>
        </w:tc>
        <w:tc>
          <w:tcPr>
            <w:tcW w:w="0" w:type="auto"/>
          </w:tcPr>
          <w:p w14:paraId="558789DF" w14:textId="77777777" w:rsidR="002D0C37" w:rsidRPr="003640CB" w:rsidRDefault="002D0C37" w:rsidP="00183D53">
            <w:pPr>
              <w:spacing w:before="120" w:after="0"/>
              <w:rPr>
                <w:lang w:val="en-GB"/>
              </w:rPr>
            </w:pPr>
          </w:p>
        </w:tc>
        <w:tc>
          <w:tcPr>
            <w:tcW w:w="0" w:type="auto"/>
          </w:tcPr>
          <w:p w14:paraId="4BC10BA6" w14:textId="77777777" w:rsidR="002D0C37" w:rsidRPr="003640CB" w:rsidRDefault="002D0C37" w:rsidP="00183D53">
            <w:pPr>
              <w:spacing w:before="120" w:after="0"/>
              <w:rPr>
                <w:lang w:val="en-GB"/>
              </w:rPr>
            </w:pPr>
            <w:r>
              <w:rPr>
                <w:lang w:val="en-GB"/>
              </w:rPr>
              <w:t>4228 (</w:t>
            </w:r>
            <w:r w:rsidRPr="003640CB">
              <w:rPr>
                <w:lang w:val="en-GB"/>
              </w:rPr>
              <w:t>14.4%</w:t>
            </w:r>
            <w:r>
              <w:rPr>
                <w:lang w:val="en-GB"/>
              </w:rPr>
              <w:t xml:space="preserve">) </w:t>
            </w:r>
          </w:p>
        </w:tc>
      </w:tr>
      <w:tr w:rsidR="002D0C37" w:rsidRPr="003640CB" w14:paraId="03487872" w14:textId="77777777" w:rsidTr="008B3B40">
        <w:trPr>
          <w:cantSplit/>
          <w:trHeight w:val="20"/>
          <w:jc w:val="center"/>
        </w:trPr>
        <w:tc>
          <w:tcPr>
            <w:tcW w:w="0" w:type="auto"/>
          </w:tcPr>
          <w:p w14:paraId="46EB286A" w14:textId="77777777" w:rsidR="002D0C37" w:rsidRPr="003640CB" w:rsidRDefault="002D0C37" w:rsidP="00183D53">
            <w:pPr>
              <w:spacing w:before="120" w:after="0"/>
              <w:rPr>
                <w:lang w:val="en-GB"/>
              </w:rPr>
            </w:pPr>
            <w:r w:rsidRPr="003640CB">
              <w:rPr>
                <w:lang w:val="en-GB"/>
              </w:rPr>
              <w:t>Alcohol 3 or more units per day</w:t>
            </w:r>
          </w:p>
        </w:tc>
        <w:tc>
          <w:tcPr>
            <w:tcW w:w="0" w:type="auto"/>
          </w:tcPr>
          <w:p w14:paraId="467A41B9" w14:textId="77777777" w:rsidR="002D0C37" w:rsidRPr="003640CB" w:rsidRDefault="002D0C37" w:rsidP="00183D53">
            <w:pPr>
              <w:spacing w:before="120" w:after="0"/>
              <w:rPr>
                <w:lang w:val="en-GB"/>
              </w:rPr>
            </w:pPr>
            <w:r>
              <w:rPr>
                <w:lang w:val="en-GB"/>
              </w:rPr>
              <w:t>29323</w:t>
            </w:r>
          </w:p>
        </w:tc>
        <w:tc>
          <w:tcPr>
            <w:tcW w:w="0" w:type="auto"/>
          </w:tcPr>
          <w:p w14:paraId="5B384087" w14:textId="77777777" w:rsidR="002D0C37" w:rsidRDefault="002D0C37" w:rsidP="00183D53">
            <w:pPr>
              <w:spacing w:before="120" w:after="0"/>
              <w:rPr>
                <w:lang w:val="en-GB"/>
              </w:rPr>
            </w:pPr>
          </w:p>
        </w:tc>
        <w:tc>
          <w:tcPr>
            <w:tcW w:w="0" w:type="auto"/>
          </w:tcPr>
          <w:p w14:paraId="18107195" w14:textId="77777777" w:rsidR="002D0C37" w:rsidRDefault="002D0C37" w:rsidP="00183D53">
            <w:pPr>
              <w:spacing w:before="120" w:after="0"/>
              <w:rPr>
                <w:lang w:val="en-GB"/>
              </w:rPr>
            </w:pPr>
          </w:p>
        </w:tc>
        <w:tc>
          <w:tcPr>
            <w:tcW w:w="0" w:type="auto"/>
          </w:tcPr>
          <w:p w14:paraId="49E2223E" w14:textId="77777777" w:rsidR="002D0C37" w:rsidRPr="003640CB" w:rsidRDefault="002D0C37" w:rsidP="00183D53">
            <w:pPr>
              <w:spacing w:before="120" w:after="0"/>
              <w:rPr>
                <w:lang w:val="en-GB"/>
              </w:rPr>
            </w:pPr>
            <w:r>
              <w:rPr>
                <w:lang w:val="en-GB"/>
              </w:rPr>
              <w:t>17 (0</w:t>
            </w:r>
            <w:r w:rsidRPr="003640CB">
              <w:rPr>
                <w:lang w:val="en-GB"/>
              </w:rPr>
              <w:t>.0%</w:t>
            </w:r>
            <w:r>
              <w:rPr>
                <w:lang w:val="en-GB"/>
              </w:rPr>
              <w:t>)</w:t>
            </w:r>
          </w:p>
        </w:tc>
      </w:tr>
      <w:tr w:rsidR="002D0C37" w:rsidRPr="003640CB" w14:paraId="2000D161" w14:textId="77777777" w:rsidTr="008B3B40">
        <w:trPr>
          <w:cantSplit/>
          <w:trHeight w:val="20"/>
          <w:jc w:val="center"/>
        </w:trPr>
        <w:tc>
          <w:tcPr>
            <w:tcW w:w="0" w:type="auto"/>
          </w:tcPr>
          <w:p w14:paraId="0E4171AD" w14:textId="368DD91B" w:rsidR="002D0C37" w:rsidRPr="003640CB" w:rsidRDefault="002D0C37" w:rsidP="00183D53">
            <w:pPr>
              <w:spacing w:before="120" w:after="0"/>
              <w:rPr>
                <w:lang w:val="en-GB"/>
              </w:rPr>
            </w:pPr>
            <w:r>
              <w:rPr>
                <w:lang w:val="en-GB"/>
              </w:rPr>
              <w:t>Parental history of hip fracture</w:t>
            </w:r>
            <w:r w:rsidR="00EB230A" w:rsidRPr="00033036">
              <w:rPr>
                <w:vertAlign w:val="superscript"/>
                <w:lang w:val="en-GB"/>
              </w:rPr>
              <w:t>2</w:t>
            </w:r>
          </w:p>
        </w:tc>
        <w:tc>
          <w:tcPr>
            <w:tcW w:w="0" w:type="auto"/>
          </w:tcPr>
          <w:p w14:paraId="7FB2BF88" w14:textId="77777777" w:rsidR="002D0C37" w:rsidRDefault="002D0C37" w:rsidP="00183D53">
            <w:pPr>
              <w:spacing w:before="120" w:after="0"/>
              <w:rPr>
                <w:lang w:val="en-GB"/>
              </w:rPr>
            </w:pPr>
            <w:r>
              <w:rPr>
                <w:lang w:val="en-GB"/>
              </w:rPr>
              <w:t>29323</w:t>
            </w:r>
          </w:p>
        </w:tc>
        <w:tc>
          <w:tcPr>
            <w:tcW w:w="0" w:type="auto"/>
          </w:tcPr>
          <w:p w14:paraId="076AB268" w14:textId="77777777" w:rsidR="002D0C37" w:rsidRDefault="002D0C37" w:rsidP="00183D53">
            <w:pPr>
              <w:spacing w:before="120" w:after="0"/>
              <w:rPr>
                <w:lang w:val="en-GB"/>
              </w:rPr>
            </w:pPr>
          </w:p>
        </w:tc>
        <w:tc>
          <w:tcPr>
            <w:tcW w:w="0" w:type="auto"/>
          </w:tcPr>
          <w:p w14:paraId="234AE5C6" w14:textId="77777777" w:rsidR="002D0C37" w:rsidRDefault="002D0C37" w:rsidP="00183D53">
            <w:pPr>
              <w:spacing w:before="120" w:after="0"/>
              <w:rPr>
                <w:lang w:val="en-GB"/>
              </w:rPr>
            </w:pPr>
          </w:p>
        </w:tc>
        <w:tc>
          <w:tcPr>
            <w:tcW w:w="0" w:type="auto"/>
          </w:tcPr>
          <w:p w14:paraId="0B5D93EE" w14:textId="77777777" w:rsidR="002D0C37" w:rsidRDefault="002D0C37" w:rsidP="00183D53">
            <w:pPr>
              <w:spacing w:before="120" w:after="0"/>
              <w:rPr>
                <w:lang w:val="en-GB"/>
              </w:rPr>
            </w:pPr>
            <w:r>
              <w:rPr>
                <w:lang w:val="en-GB"/>
              </w:rPr>
              <w:t>1044 (</w:t>
            </w:r>
            <w:r w:rsidRPr="00D311E5">
              <w:rPr>
                <w:lang w:val="en-GB"/>
              </w:rPr>
              <w:t>6.6%</w:t>
            </w:r>
            <w:r>
              <w:rPr>
                <w:lang w:val="en-GB"/>
              </w:rPr>
              <w:t>)</w:t>
            </w:r>
          </w:p>
        </w:tc>
      </w:tr>
      <w:tr w:rsidR="002D0C37" w:rsidRPr="003640CB" w14:paraId="4C0DDD53" w14:textId="77777777" w:rsidTr="008B3B40">
        <w:trPr>
          <w:cantSplit/>
          <w:trHeight w:val="20"/>
          <w:jc w:val="center"/>
        </w:trPr>
        <w:tc>
          <w:tcPr>
            <w:tcW w:w="0" w:type="auto"/>
          </w:tcPr>
          <w:p w14:paraId="5A6D2764" w14:textId="7ACEABF5" w:rsidR="002D0C37" w:rsidRDefault="002D0C37" w:rsidP="00183D53">
            <w:pPr>
              <w:spacing w:before="120" w:after="0"/>
              <w:rPr>
                <w:lang w:val="en-GB"/>
              </w:rPr>
            </w:pPr>
            <w:r>
              <w:rPr>
                <w:lang w:val="en-GB"/>
              </w:rPr>
              <w:t>Glucocorticoid exposure</w:t>
            </w:r>
            <w:r w:rsidR="00EB230A" w:rsidRPr="00033036">
              <w:rPr>
                <w:vertAlign w:val="superscript"/>
                <w:lang w:val="en-GB"/>
              </w:rPr>
              <w:t>2</w:t>
            </w:r>
          </w:p>
        </w:tc>
        <w:tc>
          <w:tcPr>
            <w:tcW w:w="0" w:type="auto"/>
          </w:tcPr>
          <w:p w14:paraId="288D072A" w14:textId="77777777" w:rsidR="002D0C37" w:rsidRDefault="002D0C37" w:rsidP="00183D53">
            <w:pPr>
              <w:spacing w:before="120" w:after="0"/>
              <w:rPr>
                <w:lang w:val="en-GB"/>
              </w:rPr>
            </w:pPr>
            <w:r>
              <w:rPr>
                <w:lang w:val="en-GB"/>
              </w:rPr>
              <w:t>29323</w:t>
            </w:r>
          </w:p>
        </w:tc>
        <w:tc>
          <w:tcPr>
            <w:tcW w:w="0" w:type="auto"/>
          </w:tcPr>
          <w:p w14:paraId="455895F2" w14:textId="77777777" w:rsidR="002D0C37" w:rsidRDefault="002D0C37" w:rsidP="00183D53">
            <w:pPr>
              <w:spacing w:before="120" w:after="0"/>
              <w:rPr>
                <w:lang w:val="en-GB"/>
              </w:rPr>
            </w:pPr>
          </w:p>
        </w:tc>
        <w:tc>
          <w:tcPr>
            <w:tcW w:w="0" w:type="auto"/>
          </w:tcPr>
          <w:p w14:paraId="727D4DE3" w14:textId="77777777" w:rsidR="002D0C37" w:rsidRDefault="002D0C37" w:rsidP="00183D53">
            <w:pPr>
              <w:spacing w:before="120" w:after="0"/>
              <w:rPr>
                <w:lang w:val="en-GB"/>
              </w:rPr>
            </w:pPr>
          </w:p>
        </w:tc>
        <w:tc>
          <w:tcPr>
            <w:tcW w:w="0" w:type="auto"/>
          </w:tcPr>
          <w:p w14:paraId="4C21E9A9" w14:textId="77777777" w:rsidR="002D0C37" w:rsidRDefault="002D0C37" w:rsidP="00183D53">
            <w:pPr>
              <w:spacing w:before="120" w:after="0"/>
              <w:rPr>
                <w:lang w:val="en-GB"/>
              </w:rPr>
            </w:pPr>
            <w:r>
              <w:rPr>
                <w:lang w:val="en-GB"/>
              </w:rPr>
              <w:t>116 (0.4%)</w:t>
            </w:r>
          </w:p>
        </w:tc>
      </w:tr>
      <w:tr w:rsidR="002D0C37" w:rsidRPr="003640CB" w14:paraId="052866F8" w14:textId="77777777" w:rsidTr="008B3B40">
        <w:trPr>
          <w:cantSplit/>
          <w:trHeight w:val="20"/>
          <w:jc w:val="center"/>
        </w:trPr>
        <w:tc>
          <w:tcPr>
            <w:tcW w:w="0" w:type="auto"/>
          </w:tcPr>
          <w:p w14:paraId="4AF08654" w14:textId="65A7DD53" w:rsidR="002D0C37" w:rsidRDefault="002D0C37" w:rsidP="00183D53">
            <w:pPr>
              <w:spacing w:before="120" w:after="0"/>
              <w:rPr>
                <w:lang w:val="en-GB"/>
              </w:rPr>
            </w:pPr>
            <w:r w:rsidRPr="005463BE">
              <w:rPr>
                <w:lang w:val="en-GB"/>
              </w:rPr>
              <w:t>Rheumatoid arthritis</w:t>
            </w:r>
            <w:r w:rsidR="00EB230A" w:rsidRPr="00033036">
              <w:rPr>
                <w:vertAlign w:val="superscript"/>
                <w:lang w:val="en-GB"/>
              </w:rPr>
              <w:t>2</w:t>
            </w:r>
          </w:p>
        </w:tc>
        <w:tc>
          <w:tcPr>
            <w:tcW w:w="0" w:type="auto"/>
          </w:tcPr>
          <w:p w14:paraId="085E21CE" w14:textId="77777777" w:rsidR="002D0C37" w:rsidRDefault="002D0C37" w:rsidP="00183D53">
            <w:pPr>
              <w:spacing w:before="120" w:after="0"/>
              <w:rPr>
                <w:lang w:val="en-GB"/>
              </w:rPr>
            </w:pPr>
            <w:r>
              <w:rPr>
                <w:lang w:val="en-GB"/>
              </w:rPr>
              <w:t>29323</w:t>
            </w:r>
          </w:p>
        </w:tc>
        <w:tc>
          <w:tcPr>
            <w:tcW w:w="0" w:type="auto"/>
          </w:tcPr>
          <w:p w14:paraId="1E4394C9" w14:textId="77777777" w:rsidR="002D0C37" w:rsidRDefault="002D0C37" w:rsidP="00183D53">
            <w:pPr>
              <w:spacing w:before="120" w:after="0"/>
              <w:rPr>
                <w:lang w:val="en-GB"/>
              </w:rPr>
            </w:pPr>
          </w:p>
        </w:tc>
        <w:tc>
          <w:tcPr>
            <w:tcW w:w="0" w:type="auto"/>
          </w:tcPr>
          <w:p w14:paraId="21AF984C" w14:textId="77777777" w:rsidR="002D0C37" w:rsidRDefault="002D0C37" w:rsidP="00183D53">
            <w:pPr>
              <w:spacing w:before="120" w:after="0"/>
              <w:rPr>
                <w:lang w:val="en-GB"/>
              </w:rPr>
            </w:pPr>
          </w:p>
        </w:tc>
        <w:tc>
          <w:tcPr>
            <w:tcW w:w="0" w:type="auto"/>
          </w:tcPr>
          <w:p w14:paraId="687254B4" w14:textId="77777777" w:rsidR="002D0C37" w:rsidRDefault="002D0C37" w:rsidP="00183D53">
            <w:pPr>
              <w:spacing w:before="120" w:after="0"/>
              <w:rPr>
                <w:lang w:val="en-GB"/>
              </w:rPr>
            </w:pPr>
            <w:r>
              <w:rPr>
                <w:lang w:val="en-GB"/>
              </w:rPr>
              <w:t>558 (1.9%)</w:t>
            </w:r>
          </w:p>
        </w:tc>
      </w:tr>
      <w:tr w:rsidR="00A753B1" w:rsidRPr="003640CB" w14:paraId="44CE57AD" w14:textId="77777777" w:rsidTr="008B3B40">
        <w:trPr>
          <w:cantSplit/>
          <w:trHeight w:val="20"/>
          <w:jc w:val="center"/>
        </w:trPr>
        <w:tc>
          <w:tcPr>
            <w:tcW w:w="0" w:type="auto"/>
          </w:tcPr>
          <w:p w14:paraId="116B068F" w14:textId="757B678E" w:rsidR="00A753B1" w:rsidRPr="005463BE" w:rsidRDefault="00A753B1" w:rsidP="00A753B1">
            <w:pPr>
              <w:spacing w:before="120" w:after="0"/>
              <w:rPr>
                <w:lang w:val="en-GB"/>
              </w:rPr>
            </w:pPr>
            <w:r w:rsidRPr="00116044">
              <w:rPr>
                <w:lang w:val="en-GB"/>
              </w:rPr>
              <w:t>Ten-year probability</w:t>
            </w:r>
          </w:p>
        </w:tc>
        <w:tc>
          <w:tcPr>
            <w:tcW w:w="0" w:type="auto"/>
          </w:tcPr>
          <w:p w14:paraId="51E75C03" w14:textId="77777777" w:rsidR="00A753B1" w:rsidRDefault="00A753B1" w:rsidP="00A753B1">
            <w:pPr>
              <w:spacing w:before="120" w:after="0"/>
              <w:rPr>
                <w:lang w:val="en-GB"/>
              </w:rPr>
            </w:pPr>
          </w:p>
        </w:tc>
        <w:tc>
          <w:tcPr>
            <w:tcW w:w="0" w:type="auto"/>
          </w:tcPr>
          <w:p w14:paraId="33C1C48B" w14:textId="6793FEAF" w:rsidR="00A753B1" w:rsidRDefault="00A753B1" w:rsidP="00A753B1">
            <w:pPr>
              <w:spacing w:before="120" w:after="0"/>
              <w:rPr>
                <w:lang w:val="en-GB"/>
              </w:rPr>
            </w:pPr>
          </w:p>
        </w:tc>
        <w:tc>
          <w:tcPr>
            <w:tcW w:w="0" w:type="auto"/>
          </w:tcPr>
          <w:p w14:paraId="2B9DE017" w14:textId="0CA66C43" w:rsidR="00A753B1" w:rsidRDefault="00A753B1" w:rsidP="00A753B1">
            <w:pPr>
              <w:spacing w:before="120" w:after="0"/>
              <w:rPr>
                <w:lang w:val="en-GB"/>
              </w:rPr>
            </w:pPr>
          </w:p>
        </w:tc>
        <w:tc>
          <w:tcPr>
            <w:tcW w:w="0" w:type="auto"/>
          </w:tcPr>
          <w:p w14:paraId="62AA92CB" w14:textId="7F437206" w:rsidR="00A753B1" w:rsidRDefault="00A753B1" w:rsidP="00A753B1">
            <w:pPr>
              <w:spacing w:before="120" w:after="0"/>
              <w:rPr>
                <w:lang w:val="en-GB"/>
              </w:rPr>
            </w:pPr>
            <w:r w:rsidRPr="007344A2">
              <w:t>Range</w:t>
            </w:r>
          </w:p>
        </w:tc>
      </w:tr>
      <w:tr w:rsidR="00F17BFD" w:rsidRPr="003640CB" w14:paraId="55C3EEA5" w14:textId="77777777" w:rsidTr="008B3B40">
        <w:trPr>
          <w:cantSplit/>
          <w:trHeight w:val="20"/>
          <w:jc w:val="center"/>
        </w:trPr>
        <w:tc>
          <w:tcPr>
            <w:tcW w:w="0" w:type="auto"/>
          </w:tcPr>
          <w:p w14:paraId="11C45D62" w14:textId="009D5223" w:rsidR="00F17BFD" w:rsidRPr="005463BE" w:rsidRDefault="00F17BFD" w:rsidP="00F17BFD">
            <w:pPr>
              <w:spacing w:before="120" w:after="0"/>
              <w:rPr>
                <w:lang w:val="en-GB"/>
              </w:rPr>
            </w:pPr>
            <w:r w:rsidRPr="00561290">
              <w:rPr>
                <w:rFonts w:cs="Calibri"/>
              </w:rPr>
              <w:t xml:space="preserve">Hip fracture </w:t>
            </w:r>
            <w:r w:rsidR="00CB2ADD" w:rsidRPr="00CB2ADD">
              <w:rPr>
                <w:rFonts w:cs="Calibri"/>
              </w:rPr>
              <w:t>probability</w:t>
            </w:r>
            <w:r w:rsidR="00CB2ADD">
              <w:rPr>
                <w:rFonts w:cs="Calibri"/>
              </w:rPr>
              <w:t xml:space="preserve"> </w:t>
            </w:r>
            <w:r w:rsidRPr="00561290">
              <w:rPr>
                <w:rFonts w:cs="Calibri"/>
              </w:rPr>
              <w:t>calculated without BMD</w:t>
            </w:r>
          </w:p>
        </w:tc>
        <w:tc>
          <w:tcPr>
            <w:tcW w:w="0" w:type="auto"/>
          </w:tcPr>
          <w:p w14:paraId="353F42EE" w14:textId="77777777" w:rsidR="00F17BFD" w:rsidRDefault="00F17BFD" w:rsidP="00F17BFD">
            <w:pPr>
              <w:spacing w:before="120" w:after="0"/>
              <w:rPr>
                <w:lang w:val="en-GB"/>
              </w:rPr>
            </w:pPr>
          </w:p>
        </w:tc>
        <w:tc>
          <w:tcPr>
            <w:tcW w:w="0" w:type="auto"/>
          </w:tcPr>
          <w:p w14:paraId="56F7857E" w14:textId="28724CBE" w:rsidR="00F17BFD" w:rsidRDefault="00F17BFD" w:rsidP="00F17BFD">
            <w:pPr>
              <w:spacing w:before="120" w:after="0"/>
              <w:rPr>
                <w:lang w:val="en-GB"/>
              </w:rPr>
            </w:pPr>
            <w:r w:rsidRPr="00561290">
              <w:rPr>
                <w:rFonts w:cs="Calibri"/>
              </w:rPr>
              <w:t>2.8</w:t>
            </w:r>
          </w:p>
        </w:tc>
        <w:tc>
          <w:tcPr>
            <w:tcW w:w="0" w:type="auto"/>
          </w:tcPr>
          <w:p w14:paraId="70C9153A" w14:textId="43F6E81E" w:rsidR="00F17BFD" w:rsidRDefault="00F17BFD" w:rsidP="00F17BFD">
            <w:pPr>
              <w:spacing w:before="120" w:after="0"/>
              <w:rPr>
                <w:lang w:val="en-GB"/>
              </w:rPr>
            </w:pPr>
            <w:r w:rsidRPr="00561290">
              <w:rPr>
                <w:rFonts w:cs="Calibri"/>
              </w:rPr>
              <w:t>4.0</w:t>
            </w:r>
          </w:p>
        </w:tc>
        <w:tc>
          <w:tcPr>
            <w:tcW w:w="0" w:type="auto"/>
          </w:tcPr>
          <w:p w14:paraId="6D4045D5" w14:textId="7233B198" w:rsidR="00F17BFD" w:rsidRDefault="00F17BFD" w:rsidP="00F17BFD">
            <w:pPr>
              <w:spacing w:before="120" w:after="0"/>
              <w:rPr>
                <w:lang w:val="en-GB"/>
              </w:rPr>
            </w:pPr>
            <w:r w:rsidRPr="00561290">
              <w:rPr>
                <w:rFonts w:cs="Calibri"/>
              </w:rPr>
              <w:t>0.1-70.1</w:t>
            </w:r>
          </w:p>
        </w:tc>
      </w:tr>
      <w:tr w:rsidR="00F17BFD" w:rsidRPr="003640CB" w14:paraId="058B1161" w14:textId="77777777" w:rsidTr="008B3B40">
        <w:trPr>
          <w:cantSplit/>
          <w:trHeight w:val="20"/>
          <w:jc w:val="center"/>
        </w:trPr>
        <w:tc>
          <w:tcPr>
            <w:tcW w:w="0" w:type="auto"/>
          </w:tcPr>
          <w:p w14:paraId="19F56BC3" w14:textId="2B562522" w:rsidR="00F17BFD" w:rsidRPr="005463BE" w:rsidRDefault="00F17BFD" w:rsidP="00F17BFD">
            <w:pPr>
              <w:spacing w:before="120" w:after="0"/>
              <w:rPr>
                <w:lang w:val="en-GB"/>
              </w:rPr>
            </w:pPr>
            <w:r w:rsidRPr="00561290">
              <w:rPr>
                <w:rFonts w:cs="Calibri"/>
              </w:rPr>
              <w:t xml:space="preserve">Hip fracture </w:t>
            </w:r>
            <w:r w:rsidR="00CB2ADD">
              <w:rPr>
                <w:rFonts w:cs="Calibri"/>
              </w:rPr>
              <w:t xml:space="preserve">probability </w:t>
            </w:r>
            <w:r w:rsidRPr="00561290">
              <w:rPr>
                <w:rFonts w:cs="Calibri"/>
              </w:rPr>
              <w:t>calculated with BMD</w:t>
            </w:r>
          </w:p>
        </w:tc>
        <w:tc>
          <w:tcPr>
            <w:tcW w:w="0" w:type="auto"/>
          </w:tcPr>
          <w:p w14:paraId="7733EA1C" w14:textId="77777777" w:rsidR="00F17BFD" w:rsidRDefault="00F17BFD" w:rsidP="00F17BFD">
            <w:pPr>
              <w:spacing w:before="120" w:after="0"/>
              <w:rPr>
                <w:lang w:val="en-GB"/>
              </w:rPr>
            </w:pPr>
          </w:p>
        </w:tc>
        <w:tc>
          <w:tcPr>
            <w:tcW w:w="0" w:type="auto"/>
          </w:tcPr>
          <w:p w14:paraId="1DA91EF2" w14:textId="4431073C" w:rsidR="00F17BFD" w:rsidRDefault="00F17BFD" w:rsidP="00F17BFD">
            <w:pPr>
              <w:spacing w:before="120" w:after="0"/>
              <w:rPr>
                <w:lang w:val="en-GB"/>
              </w:rPr>
            </w:pPr>
            <w:r w:rsidRPr="00561290">
              <w:rPr>
                <w:rFonts w:cs="Calibri"/>
              </w:rPr>
              <w:t>3.0</w:t>
            </w:r>
          </w:p>
        </w:tc>
        <w:tc>
          <w:tcPr>
            <w:tcW w:w="0" w:type="auto"/>
          </w:tcPr>
          <w:p w14:paraId="7C14FD9B" w14:textId="27EF5BBF" w:rsidR="00F17BFD" w:rsidRDefault="00F17BFD" w:rsidP="00F17BFD">
            <w:pPr>
              <w:spacing w:before="120" w:after="0"/>
              <w:rPr>
                <w:lang w:val="en-GB"/>
              </w:rPr>
            </w:pPr>
            <w:r w:rsidRPr="00561290">
              <w:rPr>
                <w:rFonts w:cs="Calibri"/>
              </w:rPr>
              <w:t>4.7</w:t>
            </w:r>
          </w:p>
        </w:tc>
        <w:tc>
          <w:tcPr>
            <w:tcW w:w="0" w:type="auto"/>
          </w:tcPr>
          <w:p w14:paraId="4C521F64" w14:textId="249F64C9" w:rsidR="00F17BFD" w:rsidRDefault="00F17BFD" w:rsidP="00F17BFD">
            <w:pPr>
              <w:spacing w:before="120" w:after="0"/>
              <w:rPr>
                <w:lang w:val="en-GB"/>
              </w:rPr>
            </w:pPr>
            <w:r w:rsidRPr="00561290">
              <w:rPr>
                <w:rFonts w:cs="Calibri"/>
              </w:rPr>
              <w:t>0.1-76.0</w:t>
            </w:r>
          </w:p>
        </w:tc>
      </w:tr>
      <w:tr w:rsidR="00F17BFD" w:rsidRPr="003640CB" w14:paraId="33673BEE" w14:textId="77777777" w:rsidTr="008B3B40">
        <w:trPr>
          <w:cantSplit/>
          <w:trHeight w:val="20"/>
          <w:jc w:val="center"/>
        </w:trPr>
        <w:tc>
          <w:tcPr>
            <w:tcW w:w="0" w:type="auto"/>
          </w:tcPr>
          <w:p w14:paraId="54098ACA" w14:textId="22F6E971" w:rsidR="00F17BFD" w:rsidRPr="005463BE" w:rsidRDefault="00F17BFD" w:rsidP="00F17BFD">
            <w:pPr>
              <w:spacing w:before="120" w:after="0"/>
              <w:rPr>
                <w:lang w:val="en-GB"/>
              </w:rPr>
            </w:pPr>
            <w:r w:rsidRPr="00561290">
              <w:rPr>
                <w:rFonts w:cs="Calibri"/>
              </w:rPr>
              <w:t xml:space="preserve">MOF </w:t>
            </w:r>
            <w:r w:rsidR="00CB2ADD" w:rsidRPr="00CB2ADD">
              <w:rPr>
                <w:rFonts w:cs="Calibri"/>
              </w:rPr>
              <w:t>probability</w:t>
            </w:r>
            <w:r w:rsidR="00CB2ADD">
              <w:rPr>
                <w:rFonts w:cs="Calibri"/>
              </w:rPr>
              <w:t xml:space="preserve"> </w:t>
            </w:r>
            <w:r w:rsidRPr="00561290">
              <w:rPr>
                <w:rFonts w:cs="Calibri"/>
              </w:rPr>
              <w:t>calculated without BMD</w:t>
            </w:r>
          </w:p>
        </w:tc>
        <w:tc>
          <w:tcPr>
            <w:tcW w:w="0" w:type="auto"/>
          </w:tcPr>
          <w:p w14:paraId="0D1E3BAE" w14:textId="77777777" w:rsidR="00F17BFD" w:rsidRDefault="00F17BFD" w:rsidP="00F17BFD">
            <w:pPr>
              <w:spacing w:before="120" w:after="0"/>
              <w:rPr>
                <w:lang w:val="en-GB"/>
              </w:rPr>
            </w:pPr>
          </w:p>
        </w:tc>
        <w:tc>
          <w:tcPr>
            <w:tcW w:w="0" w:type="auto"/>
          </w:tcPr>
          <w:p w14:paraId="5BE442F3" w14:textId="11EA47EB" w:rsidR="00F17BFD" w:rsidRDefault="00F17BFD" w:rsidP="00F17BFD">
            <w:pPr>
              <w:spacing w:before="120" w:after="0"/>
              <w:rPr>
                <w:lang w:val="en-GB"/>
              </w:rPr>
            </w:pPr>
            <w:r w:rsidRPr="00561290">
              <w:rPr>
                <w:rFonts w:cs="Calibri"/>
              </w:rPr>
              <w:t>7.5</w:t>
            </w:r>
          </w:p>
        </w:tc>
        <w:tc>
          <w:tcPr>
            <w:tcW w:w="0" w:type="auto"/>
          </w:tcPr>
          <w:p w14:paraId="5EE93BB8" w14:textId="63D5AE21" w:rsidR="00F17BFD" w:rsidRDefault="00F17BFD" w:rsidP="00F17BFD">
            <w:pPr>
              <w:spacing w:before="120" w:after="0"/>
              <w:rPr>
                <w:lang w:val="en-GB"/>
              </w:rPr>
            </w:pPr>
            <w:r w:rsidRPr="00561290">
              <w:rPr>
                <w:rFonts w:cs="Calibri"/>
              </w:rPr>
              <w:t>6.7</w:t>
            </w:r>
          </w:p>
        </w:tc>
        <w:tc>
          <w:tcPr>
            <w:tcW w:w="0" w:type="auto"/>
          </w:tcPr>
          <w:p w14:paraId="34A4DAB6" w14:textId="178604D4" w:rsidR="00F17BFD" w:rsidRDefault="00F17BFD" w:rsidP="00F17BFD">
            <w:pPr>
              <w:spacing w:before="120" w:after="0"/>
              <w:rPr>
                <w:lang w:val="en-GB"/>
              </w:rPr>
            </w:pPr>
            <w:r w:rsidRPr="00561290">
              <w:rPr>
                <w:rFonts w:cs="Calibri"/>
              </w:rPr>
              <w:t>0.9-77.7</w:t>
            </w:r>
          </w:p>
        </w:tc>
      </w:tr>
      <w:tr w:rsidR="00F17BFD" w:rsidRPr="003640CB" w14:paraId="17BFB870" w14:textId="77777777" w:rsidTr="008B3B40">
        <w:trPr>
          <w:cantSplit/>
          <w:trHeight w:val="20"/>
          <w:jc w:val="center"/>
        </w:trPr>
        <w:tc>
          <w:tcPr>
            <w:tcW w:w="0" w:type="auto"/>
            <w:tcBorders>
              <w:bottom w:val="single" w:sz="4" w:space="0" w:color="auto"/>
            </w:tcBorders>
          </w:tcPr>
          <w:p w14:paraId="7FBF9248" w14:textId="3977AE6E" w:rsidR="00F17BFD" w:rsidRPr="005463BE" w:rsidRDefault="00F17BFD" w:rsidP="00F17BFD">
            <w:pPr>
              <w:spacing w:before="120" w:after="0"/>
              <w:rPr>
                <w:lang w:val="en-GB"/>
              </w:rPr>
            </w:pPr>
            <w:r w:rsidRPr="00561290">
              <w:rPr>
                <w:rFonts w:cs="Calibri"/>
              </w:rPr>
              <w:t xml:space="preserve">MOF </w:t>
            </w:r>
            <w:r w:rsidR="00CB2ADD" w:rsidRPr="00CB2ADD">
              <w:rPr>
                <w:rFonts w:cs="Calibri"/>
              </w:rPr>
              <w:t>probability</w:t>
            </w:r>
            <w:r w:rsidR="00CB2ADD">
              <w:rPr>
                <w:rFonts w:cs="Calibri"/>
              </w:rPr>
              <w:t xml:space="preserve"> </w:t>
            </w:r>
            <w:r w:rsidRPr="00561290">
              <w:rPr>
                <w:rFonts w:cs="Calibri"/>
              </w:rPr>
              <w:t>calculated with BMD</w:t>
            </w:r>
          </w:p>
        </w:tc>
        <w:tc>
          <w:tcPr>
            <w:tcW w:w="0" w:type="auto"/>
            <w:tcBorders>
              <w:bottom w:val="single" w:sz="4" w:space="0" w:color="auto"/>
            </w:tcBorders>
          </w:tcPr>
          <w:p w14:paraId="735BC778" w14:textId="77777777" w:rsidR="00F17BFD" w:rsidRDefault="00F17BFD" w:rsidP="00F17BFD">
            <w:pPr>
              <w:spacing w:before="120" w:after="0"/>
              <w:rPr>
                <w:lang w:val="en-GB"/>
              </w:rPr>
            </w:pPr>
          </w:p>
        </w:tc>
        <w:tc>
          <w:tcPr>
            <w:tcW w:w="0" w:type="auto"/>
            <w:tcBorders>
              <w:bottom w:val="single" w:sz="4" w:space="0" w:color="auto"/>
            </w:tcBorders>
          </w:tcPr>
          <w:p w14:paraId="2300356A" w14:textId="0B73EE85" w:rsidR="00F17BFD" w:rsidRDefault="00F17BFD" w:rsidP="00F17BFD">
            <w:pPr>
              <w:spacing w:before="120" w:after="0"/>
              <w:rPr>
                <w:lang w:val="en-GB"/>
              </w:rPr>
            </w:pPr>
            <w:r w:rsidRPr="00561290">
              <w:rPr>
                <w:rFonts w:cs="Calibri"/>
              </w:rPr>
              <w:t>8.0</w:t>
            </w:r>
          </w:p>
        </w:tc>
        <w:tc>
          <w:tcPr>
            <w:tcW w:w="0" w:type="auto"/>
            <w:tcBorders>
              <w:bottom w:val="single" w:sz="4" w:space="0" w:color="auto"/>
            </w:tcBorders>
          </w:tcPr>
          <w:p w14:paraId="5A0DEFDC" w14:textId="79920BF3" w:rsidR="00F17BFD" w:rsidRDefault="00F17BFD" w:rsidP="00F17BFD">
            <w:pPr>
              <w:spacing w:before="120" w:after="0"/>
              <w:rPr>
                <w:lang w:val="en-GB"/>
              </w:rPr>
            </w:pPr>
            <w:r w:rsidRPr="00561290">
              <w:rPr>
                <w:rFonts w:cs="Calibri"/>
              </w:rPr>
              <w:t>7.3</w:t>
            </w:r>
          </w:p>
        </w:tc>
        <w:tc>
          <w:tcPr>
            <w:tcW w:w="0" w:type="auto"/>
            <w:tcBorders>
              <w:bottom w:val="single" w:sz="4" w:space="0" w:color="auto"/>
            </w:tcBorders>
          </w:tcPr>
          <w:p w14:paraId="63B7A848" w14:textId="72E16CD9" w:rsidR="00F17BFD" w:rsidRDefault="00F17BFD" w:rsidP="00F17BFD">
            <w:pPr>
              <w:spacing w:before="120" w:after="0"/>
              <w:rPr>
                <w:lang w:val="en-GB"/>
              </w:rPr>
            </w:pPr>
            <w:r w:rsidRPr="00561290">
              <w:rPr>
                <w:rFonts w:cs="Calibri"/>
              </w:rPr>
              <w:t>0.9-77.8</w:t>
            </w:r>
          </w:p>
        </w:tc>
      </w:tr>
      <w:tr w:rsidR="002D0C37" w:rsidRPr="003640CB" w14:paraId="439C6DA5" w14:textId="77777777" w:rsidTr="008B3B40">
        <w:trPr>
          <w:cantSplit/>
          <w:trHeight w:val="20"/>
          <w:jc w:val="center"/>
        </w:trPr>
        <w:tc>
          <w:tcPr>
            <w:tcW w:w="0" w:type="auto"/>
            <w:tcBorders>
              <w:top w:val="single" w:sz="4" w:space="0" w:color="auto"/>
            </w:tcBorders>
          </w:tcPr>
          <w:p w14:paraId="7A02E8F2" w14:textId="4C2A7E56" w:rsidR="002D0C37" w:rsidRPr="005463BE" w:rsidRDefault="00262962" w:rsidP="0087786B">
            <w:pPr>
              <w:spacing w:before="120" w:after="0" w:line="240" w:lineRule="auto"/>
              <w:rPr>
                <w:lang w:val="en-GB"/>
              </w:rPr>
            </w:pPr>
            <w:r w:rsidRPr="00033036">
              <w:rPr>
                <w:vertAlign w:val="superscript"/>
                <w:lang w:val="en-GB"/>
              </w:rPr>
              <w:t>1</w:t>
            </w:r>
            <w:r>
              <w:rPr>
                <w:lang w:val="en-GB"/>
              </w:rPr>
              <w:t xml:space="preserve"> </w:t>
            </w:r>
            <w:r w:rsidR="00033036">
              <w:rPr>
                <w:lang w:val="en-GB"/>
              </w:rPr>
              <w:t>Type 2 diabetes</w:t>
            </w:r>
            <w:r w:rsidR="008B3B40">
              <w:rPr>
                <w:lang w:val="en-GB"/>
              </w:rPr>
              <w:br/>
            </w:r>
            <w:r w:rsidRPr="00033036">
              <w:rPr>
                <w:vertAlign w:val="superscript"/>
                <w:lang w:val="en-GB"/>
              </w:rPr>
              <w:t>2</w:t>
            </w:r>
            <w:r>
              <w:rPr>
                <w:lang w:val="en-GB"/>
              </w:rPr>
              <w:t xml:space="preserve"> </w:t>
            </w:r>
            <w:r w:rsidR="002D0C37">
              <w:rPr>
                <w:lang w:val="en-GB"/>
              </w:rPr>
              <w:t>Simulated variable</w:t>
            </w:r>
            <w:r w:rsidR="009E6042">
              <w:rPr>
                <w:lang w:val="en-GB"/>
              </w:rPr>
              <w:br/>
              <w:t>MOF</w:t>
            </w:r>
            <w:r w:rsidR="0087786B">
              <w:rPr>
                <w:lang w:val="en-GB"/>
              </w:rPr>
              <w:t>, major osteoporotic fracture</w:t>
            </w:r>
          </w:p>
        </w:tc>
        <w:tc>
          <w:tcPr>
            <w:tcW w:w="0" w:type="auto"/>
            <w:tcBorders>
              <w:top w:val="single" w:sz="4" w:space="0" w:color="auto"/>
            </w:tcBorders>
          </w:tcPr>
          <w:p w14:paraId="5CAF763C" w14:textId="77777777" w:rsidR="002D0C37" w:rsidRDefault="002D0C37" w:rsidP="00183D53">
            <w:pPr>
              <w:spacing w:before="120" w:after="0"/>
              <w:rPr>
                <w:lang w:val="en-GB"/>
              </w:rPr>
            </w:pPr>
          </w:p>
        </w:tc>
        <w:tc>
          <w:tcPr>
            <w:tcW w:w="0" w:type="auto"/>
            <w:tcBorders>
              <w:top w:val="single" w:sz="4" w:space="0" w:color="auto"/>
            </w:tcBorders>
          </w:tcPr>
          <w:p w14:paraId="5257D268" w14:textId="77777777" w:rsidR="002D0C37" w:rsidRDefault="002D0C37" w:rsidP="00183D53">
            <w:pPr>
              <w:spacing w:before="120" w:after="0"/>
              <w:rPr>
                <w:lang w:val="en-GB"/>
              </w:rPr>
            </w:pPr>
          </w:p>
        </w:tc>
        <w:tc>
          <w:tcPr>
            <w:tcW w:w="0" w:type="auto"/>
            <w:tcBorders>
              <w:top w:val="single" w:sz="4" w:space="0" w:color="auto"/>
            </w:tcBorders>
          </w:tcPr>
          <w:p w14:paraId="0E2FCE3B" w14:textId="77777777" w:rsidR="002D0C37" w:rsidRDefault="002D0C37" w:rsidP="00183D53">
            <w:pPr>
              <w:spacing w:before="120" w:after="0"/>
              <w:rPr>
                <w:lang w:val="en-GB"/>
              </w:rPr>
            </w:pPr>
          </w:p>
        </w:tc>
        <w:tc>
          <w:tcPr>
            <w:tcW w:w="0" w:type="auto"/>
            <w:tcBorders>
              <w:top w:val="single" w:sz="4" w:space="0" w:color="auto"/>
            </w:tcBorders>
          </w:tcPr>
          <w:p w14:paraId="5B0756DE" w14:textId="77777777" w:rsidR="002D0C37" w:rsidRDefault="002D0C37" w:rsidP="00183D53">
            <w:pPr>
              <w:spacing w:before="120" w:after="0"/>
              <w:rPr>
                <w:lang w:val="en-GB"/>
              </w:rPr>
            </w:pPr>
          </w:p>
        </w:tc>
      </w:tr>
    </w:tbl>
    <w:p w14:paraId="63273B77" w14:textId="77777777" w:rsidR="002D0C37" w:rsidRPr="00615128" w:rsidRDefault="002D0C37" w:rsidP="002D0C37">
      <w:pPr>
        <w:spacing w:after="0"/>
        <w:ind w:left="1276"/>
        <w:rPr>
          <w:b/>
          <w:bCs/>
          <w:lang w:val="en-GB"/>
        </w:rPr>
      </w:pPr>
    </w:p>
    <w:p w14:paraId="300990C8" w14:textId="77777777" w:rsidR="002D0C37" w:rsidRDefault="002D0C37" w:rsidP="00827EF0">
      <w:pPr>
        <w:pStyle w:val="PlainText"/>
        <w:spacing w:after="240" w:line="276" w:lineRule="auto"/>
        <w:ind w:left="1134"/>
        <w:rPr>
          <w:rFonts w:ascii="Calibri" w:hAnsi="Calibri"/>
          <w:sz w:val="24"/>
          <w:szCs w:val="24"/>
          <w:lang w:val="en-GB"/>
        </w:rPr>
      </w:pPr>
    </w:p>
    <w:p w14:paraId="789AB6A0" w14:textId="470C4D2B" w:rsidR="00EB5346" w:rsidRPr="00A203A2" w:rsidRDefault="00EB5346" w:rsidP="00827EF0">
      <w:pPr>
        <w:pStyle w:val="PlainText"/>
        <w:spacing w:after="240" w:line="276" w:lineRule="auto"/>
        <w:ind w:left="1134"/>
        <w:rPr>
          <w:rFonts w:ascii="Calibri" w:hAnsi="Calibri"/>
          <w:sz w:val="24"/>
          <w:szCs w:val="24"/>
          <w:lang w:val="en-GB"/>
        </w:rPr>
      </w:pPr>
      <w:r w:rsidRPr="00B07E6E">
        <w:rPr>
          <w:rFonts w:ascii="Calibri" w:hAnsi="Calibri"/>
          <w:sz w:val="24"/>
          <w:szCs w:val="24"/>
          <w:lang w:val="en-GB"/>
        </w:rPr>
        <w:t>Individual probabilities of hip fracture and a major osteoporotic fracture (</w:t>
      </w:r>
      <w:r w:rsidR="00A30122">
        <w:rPr>
          <w:rFonts w:ascii="Calibri" w:hAnsi="Calibri"/>
          <w:sz w:val="24"/>
          <w:szCs w:val="24"/>
          <w:lang w:val="en-GB"/>
        </w:rPr>
        <w:t xml:space="preserve">with and </w:t>
      </w:r>
      <w:r w:rsidRPr="00B07E6E">
        <w:rPr>
          <w:rFonts w:ascii="Calibri" w:hAnsi="Calibri"/>
          <w:sz w:val="24"/>
          <w:szCs w:val="24"/>
          <w:lang w:val="en-GB"/>
        </w:rPr>
        <w:t xml:space="preserve">without BMD) are given in Table </w:t>
      </w:r>
      <w:r w:rsidR="00833404">
        <w:rPr>
          <w:rFonts w:ascii="Calibri" w:hAnsi="Calibri"/>
          <w:sz w:val="24"/>
          <w:szCs w:val="24"/>
          <w:lang w:val="en-GB"/>
        </w:rPr>
        <w:t>1</w:t>
      </w:r>
      <w:r w:rsidRPr="00B07E6E">
        <w:rPr>
          <w:rFonts w:ascii="Calibri" w:hAnsi="Calibri"/>
          <w:sz w:val="24"/>
          <w:szCs w:val="24"/>
          <w:lang w:val="en-GB"/>
        </w:rPr>
        <w:t xml:space="preserve">. The mean probability of a major fracture was </w:t>
      </w:r>
      <w:r w:rsidR="009746D3">
        <w:rPr>
          <w:rFonts w:ascii="Calibri" w:hAnsi="Calibri"/>
          <w:sz w:val="24"/>
          <w:szCs w:val="24"/>
          <w:lang w:val="en-GB"/>
        </w:rPr>
        <w:t>7</w:t>
      </w:r>
      <w:r w:rsidR="00B07E6E" w:rsidRPr="00B07E6E">
        <w:rPr>
          <w:rFonts w:ascii="Calibri" w:hAnsi="Calibri"/>
          <w:sz w:val="24"/>
          <w:szCs w:val="24"/>
          <w:lang w:val="en-GB"/>
        </w:rPr>
        <w:t>.</w:t>
      </w:r>
      <w:r w:rsidR="009746D3">
        <w:rPr>
          <w:rFonts w:ascii="Calibri" w:hAnsi="Calibri"/>
          <w:sz w:val="24"/>
          <w:szCs w:val="24"/>
          <w:lang w:val="en-GB"/>
        </w:rPr>
        <w:t>5</w:t>
      </w:r>
      <w:r w:rsidR="00D24E93" w:rsidRPr="00B07E6E">
        <w:rPr>
          <w:rFonts w:ascii="Calibri" w:hAnsi="Calibri"/>
          <w:sz w:val="24"/>
          <w:szCs w:val="24"/>
          <w:lang w:val="en-GB"/>
        </w:rPr>
        <w:t>%</w:t>
      </w:r>
      <w:r w:rsidRPr="00B07E6E">
        <w:rPr>
          <w:rFonts w:ascii="Calibri" w:hAnsi="Calibri"/>
          <w:sz w:val="24"/>
          <w:szCs w:val="24"/>
          <w:lang w:val="en-GB"/>
        </w:rPr>
        <w:t xml:space="preserve"> and, for a hip fracture</w:t>
      </w:r>
      <w:r w:rsidR="00C15B46">
        <w:rPr>
          <w:rFonts w:ascii="Calibri" w:hAnsi="Calibri"/>
          <w:sz w:val="24"/>
          <w:szCs w:val="24"/>
          <w:lang w:val="en-GB"/>
        </w:rPr>
        <w:t>,</w:t>
      </w:r>
      <w:r w:rsidRPr="00B07E6E">
        <w:rPr>
          <w:rFonts w:ascii="Calibri" w:hAnsi="Calibri"/>
          <w:sz w:val="24"/>
          <w:szCs w:val="24"/>
          <w:lang w:val="en-GB"/>
        </w:rPr>
        <w:t xml:space="preserve"> was </w:t>
      </w:r>
      <w:r w:rsidR="00B07E6E" w:rsidRPr="00A203A2">
        <w:rPr>
          <w:rFonts w:ascii="Calibri" w:hAnsi="Calibri"/>
          <w:sz w:val="24"/>
          <w:szCs w:val="24"/>
          <w:lang w:val="en-GB"/>
        </w:rPr>
        <w:t>2</w:t>
      </w:r>
      <w:r w:rsidR="00D24E93" w:rsidRPr="00A203A2">
        <w:rPr>
          <w:rFonts w:ascii="Calibri" w:hAnsi="Calibri"/>
          <w:sz w:val="24"/>
          <w:szCs w:val="24"/>
          <w:lang w:val="en-GB"/>
        </w:rPr>
        <w:t>.</w:t>
      </w:r>
      <w:r w:rsidR="009746D3">
        <w:rPr>
          <w:rFonts w:ascii="Calibri" w:hAnsi="Calibri"/>
          <w:sz w:val="24"/>
          <w:szCs w:val="24"/>
          <w:lang w:val="en-GB"/>
        </w:rPr>
        <w:t>8</w:t>
      </w:r>
      <w:r w:rsidRPr="00A203A2">
        <w:rPr>
          <w:rFonts w:ascii="Calibri" w:hAnsi="Calibri"/>
          <w:sz w:val="24"/>
          <w:szCs w:val="24"/>
          <w:lang w:val="en-GB"/>
        </w:rPr>
        <w:t>%</w:t>
      </w:r>
      <w:r w:rsidR="00C15B46">
        <w:rPr>
          <w:rFonts w:ascii="Calibri" w:hAnsi="Calibri"/>
          <w:sz w:val="24"/>
          <w:szCs w:val="24"/>
          <w:lang w:val="en-GB"/>
        </w:rPr>
        <w:t xml:space="preserve"> when calculated without BMD</w:t>
      </w:r>
      <w:r w:rsidRPr="00A203A2">
        <w:rPr>
          <w:rFonts w:ascii="Calibri" w:hAnsi="Calibri"/>
          <w:sz w:val="24"/>
          <w:szCs w:val="24"/>
          <w:lang w:val="en-GB"/>
        </w:rPr>
        <w:t xml:space="preserve">. </w:t>
      </w:r>
      <w:r w:rsidR="0001779F">
        <w:rPr>
          <w:rFonts w:ascii="Calibri" w:hAnsi="Calibri"/>
          <w:sz w:val="24"/>
          <w:szCs w:val="24"/>
          <w:lang w:val="en-GB"/>
        </w:rPr>
        <w:t xml:space="preserve"> </w:t>
      </w:r>
      <w:r w:rsidR="00C15B46">
        <w:rPr>
          <w:rFonts w:ascii="Calibri" w:hAnsi="Calibri"/>
          <w:sz w:val="24"/>
          <w:szCs w:val="24"/>
          <w:lang w:val="en-GB"/>
        </w:rPr>
        <w:t>Probabilities calculated with BMD were similar.</w:t>
      </w:r>
      <w:r w:rsidR="00203A1C" w:rsidRPr="00203A1C">
        <w:t xml:space="preserve"> </w:t>
      </w:r>
      <w:r w:rsidR="0001779F">
        <w:t xml:space="preserve"> </w:t>
      </w:r>
      <w:r w:rsidR="00203A1C" w:rsidRPr="00203A1C">
        <w:rPr>
          <w:rFonts w:ascii="Calibri" w:hAnsi="Calibri"/>
          <w:sz w:val="24"/>
          <w:szCs w:val="24"/>
          <w:lang w:val="en-GB"/>
        </w:rPr>
        <w:t xml:space="preserve">As expected, </w:t>
      </w:r>
      <w:r w:rsidR="00203A1C">
        <w:rPr>
          <w:rFonts w:ascii="Calibri" w:hAnsi="Calibri"/>
          <w:sz w:val="24"/>
          <w:szCs w:val="24"/>
          <w:lang w:val="en-GB"/>
        </w:rPr>
        <w:t xml:space="preserve">average </w:t>
      </w:r>
      <w:r w:rsidR="00203A1C" w:rsidRPr="00203A1C">
        <w:rPr>
          <w:rFonts w:ascii="Calibri" w:hAnsi="Calibri"/>
          <w:sz w:val="24"/>
          <w:szCs w:val="24"/>
          <w:lang w:val="en-GB"/>
        </w:rPr>
        <w:t>fracture probabilities increased progressively with age</w:t>
      </w:r>
      <w:r w:rsidR="00F05933">
        <w:rPr>
          <w:rFonts w:ascii="Calibri" w:hAnsi="Calibri"/>
          <w:sz w:val="24"/>
          <w:szCs w:val="24"/>
          <w:lang w:val="en-GB"/>
        </w:rPr>
        <w:t>.  For a major osteoporotic fracture</w:t>
      </w:r>
      <w:r w:rsidR="003B7FF5">
        <w:rPr>
          <w:rFonts w:ascii="Calibri" w:hAnsi="Calibri"/>
          <w:sz w:val="24"/>
          <w:szCs w:val="24"/>
          <w:lang w:val="en-GB"/>
        </w:rPr>
        <w:t>, the ten</w:t>
      </w:r>
      <w:r w:rsidR="00441C7D">
        <w:rPr>
          <w:rFonts w:ascii="Calibri" w:hAnsi="Calibri"/>
          <w:sz w:val="24"/>
          <w:szCs w:val="24"/>
          <w:lang w:val="en-GB"/>
        </w:rPr>
        <w:t xml:space="preserve">-year </w:t>
      </w:r>
      <w:r w:rsidR="00441C7D">
        <w:rPr>
          <w:rFonts w:ascii="Calibri" w:hAnsi="Calibri"/>
          <w:sz w:val="24"/>
          <w:szCs w:val="24"/>
          <w:lang w:val="en-GB"/>
        </w:rPr>
        <w:lastRenderedPageBreak/>
        <w:t xml:space="preserve">probability </w:t>
      </w:r>
      <w:r w:rsidR="0034543F">
        <w:rPr>
          <w:rFonts w:ascii="Calibri" w:hAnsi="Calibri"/>
          <w:sz w:val="24"/>
          <w:szCs w:val="24"/>
          <w:lang w:val="en-GB"/>
        </w:rPr>
        <w:t>rose fr</w:t>
      </w:r>
      <w:r w:rsidR="00185BFB">
        <w:rPr>
          <w:rFonts w:ascii="Calibri" w:hAnsi="Calibri"/>
          <w:sz w:val="24"/>
          <w:szCs w:val="24"/>
          <w:lang w:val="en-GB"/>
        </w:rPr>
        <w:t xml:space="preserve">om 2.1% </w:t>
      </w:r>
      <w:r w:rsidR="00EC3E61">
        <w:rPr>
          <w:rFonts w:ascii="Calibri" w:hAnsi="Calibri"/>
          <w:sz w:val="24"/>
          <w:szCs w:val="24"/>
          <w:lang w:val="en-GB"/>
        </w:rPr>
        <w:t>in the age cate</w:t>
      </w:r>
      <w:r w:rsidR="00620D59">
        <w:rPr>
          <w:rFonts w:ascii="Calibri" w:hAnsi="Calibri"/>
          <w:sz w:val="24"/>
          <w:szCs w:val="24"/>
          <w:lang w:val="en-GB"/>
        </w:rPr>
        <w:t>gor</w:t>
      </w:r>
      <w:r w:rsidR="001F72A9">
        <w:rPr>
          <w:rFonts w:ascii="Calibri" w:hAnsi="Calibri"/>
          <w:sz w:val="24"/>
          <w:szCs w:val="24"/>
          <w:lang w:val="en-GB"/>
        </w:rPr>
        <w:t>y</w:t>
      </w:r>
      <w:r w:rsidR="00620D59">
        <w:rPr>
          <w:rFonts w:ascii="Calibri" w:hAnsi="Calibri"/>
          <w:sz w:val="24"/>
          <w:szCs w:val="24"/>
          <w:lang w:val="en-GB"/>
        </w:rPr>
        <w:t xml:space="preserve"> </w:t>
      </w:r>
      <w:r w:rsidR="001F72A9">
        <w:rPr>
          <w:rFonts w:ascii="Calibri" w:hAnsi="Calibri"/>
          <w:sz w:val="24"/>
          <w:szCs w:val="24"/>
          <w:lang w:val="en-GB"/>
        </w:rPr>
        <w:t>5</w:t>
      </w:r>
      <w:r w:rsidR="00620D59">
        <w:rPr>
          <w:rFonts w:ascii="Calibri" w:hAnsi="Calibri"/>
          <w:sz w:val="24"/>
          <w:szCs w:val="24"/>
          <w:lang w:val="en-GB"/>
        </w:rPr>
        <w:t>0</w:t>
      </w:r>
      <w:r w:rsidR="00F13281">
        <w:rPr>
          <w:rFonts w:ascii="Calibri" w:hAnsi="Calibri"/>
          <w:sz w:val="24"/>
          <w:szCs w:val="24"/>
          <w:lang w:val="en-GB"/>
        </w:rPr>
        <w:t>-54 year</w:t>
      </w:r>
      <w:r w:rsidR="001F72A9">
        <w:rPr>
          <w:rFonts w:ascii="Calibri" w:hAnsi="Calibri"/>
          <w:sz w:val="24"/>
          <w:szCs w:val="24"/>
          <w:lang w:val="en-GB"/>
        </w:rPr>
        <w:t>s</w:t>
      </w:r>
      <w:r w:rsidR="00F13281">
        <w:rPr>
          <w:rFonts w:ascii="Calibri" w:hAnsi="Calibri"/>
          <w:sz w:val="24"/>
          <w:szCs w:val="24"/>
          <w:lang w:val="en-GB"/>
        </w:rPr>
        <w:t xml:space="preserve"> to </w:t>
      </w:r>
      <w:r w:rsidR="00753D9A">
        <w:rPr>
          <w:rFonts w:ascii="Calibri" w:hAnsi="Calibri"/>
          <w:sz w:val="24"/>
          <w:szCs w:val="24"/>
          <w:lang w:val="en-GB"/>
        </w:rPr>
        <w:t>24.3</w:t>
      </w:r>
      <w:r w:rsidR="00C75A67">
        <w:rPr>
          <w:rFonts w:ascii="Calibri" w:hAnsi="Calibri"/>
          <w:sz w:val="24"/>
          <w:szCs w:val="24"/>
          <w:lang w:val="en-GB"/>
        </w:rPr>
        <w:t xml:space="preserve">% for the ages </w:t>
      </w:r>
      <w:r w:rsidR="001F7D30">
        <w:rPr>
          <w:rFonts w:ascii="Calibri" w:hAnsi="Calibri"/>
          <w:sz w:val="24"/>
          <w:szCs w:val="24"/>
          <w:lang w:val="en-GB"/>
        </w:rPr>
        <w:t>80</w:t>
      </w:r>
      <w:r w:rsidR="00C75A67">
        <w:rPr>
          <w:rFonts w:ascii="Calibri" w:hAnsi="Calibri"/>
          <w:sz w:val="24"/>
          <w:szCs w:val="24"/>
          <w:lang w:val="en-GB"/>
        </w:rPr>
        <w:t>-84</w:t>
      </w:r>
      <w:r w:rsidR="001007BB">
        <w:rPr>
          <w:rFonts w:ascii="Calibri" w:hAnsi="Calibri"/>
          <w:sz w:val="24"/>
          <w:szCs w:val="24"/>
          <w:lang w:val="en-GB"/>
        </w:rPr>
        <w:t xml:space="preserve"> years</w:t>
      </w:r>
      <w:r w:rsidR="00C75A67">
        <w:rPr>
          <w:rFonts w:ascii="Calibri" w:hAnsi="Calibri"/>
          <w:sz w:val="24"/>
          <w:szCs w:val="24"/>
          <w:lang w:val="en-GB"/>
        </w:rPr>
        <w:t>.</w:t>
      </w:r>
      <w:r w:rsidR="00753D9A">
        <w:rPr>
          <w:rFonts w:ascii="Calibri" w:hAnsi="Calibri"/>
          <w:sz w:val="24"/>
          <w:szCs w:val="24"/>
          <w:lang w:val="en-GB"/>
        </w:rPr>
        <w:t xml:space="preserve"> </w:t>
      </w:r>
    </w:p>
    <w:p w14:paraId="0475FE2C" w14:textId="3507F6BB" w:rsidR="007F78AA" w:rsidRPr="007F78AA" w:rsidRDefault="00F9018A" w:rsidP="007F78AA">
      <w:pPr>
        <w:spacing w:after="240"/>
        <w:ind w:left="1134"/>
        <w:rPr>
          <w:rFonts w:asciiTheme="minorHAnsi" w:hAnsiTheme="minorHAnsi" w:cstheme="minorHAnsi"/>
          <w:sz w:val="24"/>
          <w:szCs w:val="24"/>
          <w:shd w:val="clear" w:color="auto" w:fill="FFFFFF"/>
          <w:lang w:val="en-GB"/>
        </w:rPr>
      </w:pPr>
      <w:r w:rsidRPr="006D2F5D">
        <w:rPr>
          <w:b/>
          <w:bCs/>
          <w:noProof/>
          <w:color w:val="FF0000"/>
          <w:sz w:val="24"/>
          <w:szCs w:val="24"/>
          <w:lang w:val="en-SG" w:eastAsia="zh-CN"/>
        </w:rPr>
        <w:drawing>
          <wp:anchor distT="0" distB="0" distL="114300" distR="114300" simplePos="0" relativeHeight="251667968" behindDoc="0" locked="0" layoutInCell="1" allowOverlap="1" wp14:anchorId="0EC01BB9" wp14:editId="609FFA80">
            <wp:simplePos x="0" y="0"/>
            <wp:positionH relativeFrom="margin">
              <wp:posOffset>709295</wp:posOffset>
            </wp:positionH>
            <wp:positionV relativeFrom="paragraph">
              <wp:posOffset>1521460</wp:posOffset>
            </wp:positionV>
            <wp:extent cx="4572000" cy="28905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2222" b="3473"/>
                    <a:stretch/>
                  </pic:blipFill>
                  <pic:spPr bwMode="auto">
                    <a:xfrm>
                      <a:off x="0" y="0"/>
                      <a:ext cx="4572000" cy="28905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F78AA" w:rsidRPr="007F78AA">
        <w:rPr>
          <w:rFonts w:asciiTheme="minorHAnsi" w:hAnsiTheme="minorHAnsi" w:cstheme="minorHAnsi"/>
          <w:sz w:val="24"/>
          <w:szCs w:val="24"/>
          <w:shd w:val="clear" w:color="auto" w:fill="FFFFFF"/>
          <w:lang w:val="en-GB"/>
        </w:rPr>
        <w:t xml:space="preserve">Hip fracture incidence was recorded during </w:t>
      </w:r>
      <w:r w:rsidR="00DB13BD">
        <w:rPr>
          <w:rFonts w:asciiTheme="minorHAnsi" w:hAnsiTheme="minorHAnsi" w:cstheme="minorHAnsi"/>
          <w:sz w:val="24"/>
          <w:szCs w:val="24"/>
          <w:shd w:val="clear" w:color="auto" w:fill="FFFFFF"/>
          <w:lang w:val="en-GB"/>
        </w:rPr>
        <w:t>a</w:t>
      </w:r>
      <w:r w:rsidR="007F78AA" w:rsidRPr="007F78AA">
        <w:rPr>
          <w:rFonts w:asciiTheme="minorHAnsi" w:hAnsiTheme="minorHAnsi" w:cstheme="minorHAnsi"/>
          <w:sz w:val="24"/>
          <w:szCs w:val="24"/>
          <w:shd w:val="clear" w:color="auto" w:fill="FFFFFF"/>
          <w:lang w:val="en-GB"/>
        </w:rPr>
        <w:t xml:space="preserve">n average </w:t>
      </w:r>
      <w:r w:rsidR="002909B3">
        <w:rPr>
          <w:rFonts w:asciiTheme="minorHAnsi" w:hAnsiTheme="minorHAnsi" w:cstheme="minorHAnsi"/>
          <w:sz w:val="24"/>
          <w:szCs w:val="24"/>
          <w:shd w:val="clear" w:color="auto" w:fill="FFFFFF"/>
          <w:lang w:val="en-GB"/>
        </w:rPr>
        <w:t xml:space="preserve">of </w:t>
      </w:r>
      <w:r w:rsidR="007F78AA" w:rsidRPr="007F78AA">
        <w:rPr>
          <w:rFonts w:asciiTheme="minorHAnsi" w:hAnsiTheme="minorHAnsi" w:cstheme="minorHAnsi"/>
          <w:sz w:val="24"/>
          <w:szCs w:val="24"/>
          <w:shd w:val="clear" w:color="auto" w:fill="FFFFFF"/>
          <w:lang w:val="en-GB"/>
        </w:rPr>
        <w:t xml:space="preserve">9.1 years with </w:t>
      </w:r>
      <w:r w:rsidR="00A31557">
        <w:rPr>
          <w:rFonts w:asciiTheme="minorHAnsi" w:hAnsiTheme="minorHAnsi" w:cstheme="minorHAnsi"/>
          <w:sz w:val="24"/>
          <w:szCs w:val="24"/>
          <w:shd w:val="clear" w:color="auto" w:fill="FFFFFF"/>
          <w:lang w:val="en-GB"/>
        </w:rPr>
        <w:t xml:space="preserve">a </w:t>
      </w:r>
      <w:r w:rsidR="007F78AA" w:rsidRPr="007F78AA">
        <w:rPr>
          <w:rFonts w:asciiTheme="minorHAnsi" w:hAnsiTheme="minorHAnsi" w:cstheme="minorHAnsi"/>
          <w:sz w:val="24"/>
          <w:szCs w:val="24"/>
          <w:shd w:val="clear" w:color="auto" w:fill="FFFFFF"/>
          <w:lang w:val="en-GB"/>
        </w:rPr>
        <w:t xml:space="preserve">maximum </w:t>
      </w:r>
      <w:r w:rsidR="00A31557">
        <w:rPr>
          <w:rFonts w:asciiTheme="minorHAnsi" w:hAnsiTheme="minorHAnsi" w:cstheme="minorHAnsi"/>
          <w:sz w:val="24"/>
          <w:szCs w:val="24"/>
          <w:shd w:val="clear" w:color="auto" w:fill="FFFFFF"/>
          <w:lang w:val="en-GB"/>
        </w:rPr>
        <w:t xml:space="preserve">of </w:t>
      </w:r>
      <w:r w:rsidR="007F78AA" w:rsidRPr="007F78AA">
        <w:rPr>
          <w:rFonts w:asciiTheme="minorHAnsi" w:hAnsiTheme="minorHAnsi" w:cstheme="minorHAnsi"/>
          <w:sz w:val="24"/>
          <w:szCs w:val="24"/>
          <w:shd w:val="clear" w:color="auto" w:fill="FFFFFF"/>
          <w:lang w:val="en-GB"/>
        </w:rPr>
        <w:t>11.5 years</w:t>
      </w:r>
      <w:r w:rsidR="00A31557">
        <w:rPr>
          <w:rFonts w:asciiTheme="minorHAnsi" w:hAnsiTheme="minorHAnsi" w:cstheme="minorHAnsi"/>
          <w:sz w:val="24"/>
          <w:szCs w:val="24"/>
          <w:shd w:val="clear" w:color="auto" w:fill="FFFFFF"/>
          <w:lang w:val="en-GB"/>
        </w:rPr>
        <w:t xml:space="preserve"> of follow</w:t>
      </w:r>
      <w:r w:rsidR="002C176A">
        <w:rPr>
          <w:rFonts w:asciiTheme="minorHAnsi" w:hAnsiTheme="minorHAnsi" w:cstheme="minorHAnsi"/>
          <w:sz w:val="24"/>
          <w:szCs w:val="24"/>
          <w:shd w:val="clear" w:color="auto" w:fill="FFFFFF"/>
          <w:lang w:val="en-GB"/>
        </w:rPr>
        <w:t>-</w:t>
      </w:r>
      <w:r w:rsidR="00A31557">
        <w:rPr>
          <w:rFonts w:asciiTheme="minorHAnsi" w:hAnsiTheme="minorHAnsi" w:cstheme="minorHAnsi"/>
          <w:sz w:val="24"/>
          <w:szCs w:val="24"/>
          <w:shd w:val="clear" w:color="auto" w:fill="FFFFFF"/>
          <w:lang w:val="en-GB"/>
        </w:rPr>
        <w:t>up</w:t>
      </w:r>
      <w:r w:rsidR="007F78AA" w:rsidRPr="007F78AA">
        <w:rPr>
          <w:rFonts w:asciiTheme="minorHAnsi" w:hAnsiTheme="minorHAnsi" w:cstheme="minorHAnsi"/>
          <w:sz w:val="24"/>
          <w:szCs w:val="24"/>
          <w:shd w:val="clear" w:color="auto" w:fill="FFFFFF"/>
          <w:lang w:val="en-GB"/>
        </w:rPr>
        <w:t xml:space="preserve">. During this period with 266,025 person years of observation, 789 women experienced </w:t>
      </w:r>
      <w:r w:rsidR="005D1F3D">
        <w:rPr>
          <w:rFonts w:asciiTheme="minorHAnsi" w:hAnsiTheme="minorHAnsi" w:cstheme="minorHAnsi"/>
          <w:sz w:val="24"/>
          <w:szCs w:val="24"/>
          <w:shd w:val="clear" w:color="auto" w:fill="FFFFFF"/>
          <w:lang w:val="en-GB"/>
        </w:rPr>
        <w:t>a</w:t>
      </w:r>
      <w:r w:rsidR="006D1B67">
        <w:rPr>
          <w:rFonts w:asciiTheme="minorHAnsi" w:hAnsiTheme="minorHAnsi" w:cstheme="minorHAnsi"/>
          <w:sz w:val="24"/>
          <w:szCs w:val="24"/>
          <w:shd w:val="clear" w:color="auto" w:fill="FFFFFF"/>
          <w:lang w:val="en-GB"/>
        </w:rPr>
        <w:t xml:space="preserve"> first</w:t>
      </w:r>
      <w:r w:rsidR="007F78AA" w:rsidRPr="007F78AA">
        <w:rPr>
          <w:rFonts w:asciiTheme="minorHAnsi" w:hAnsiTheme="minorHAnsi" w:cstheme="minorHAnsi"/>
          <w:sz w:val="24"/>
          <w:szCs w:val="24"/>
          <w:shd w:val="clear" w:color="auto" w:fill="FFFFFF"/>
          <w:lang w:val="en-GB"/>
        </w:rPr>
        <w:t xml:space="preserve"> hip fracture (2.7%).</w:t>
      </w:r>
      <w:r w:rsidR="002F6A39">
        <w:rPr>
          <w:rFonts w:asciiTheme="minorHAnsi" w:hAnsiTheme="minorHAnsi" w:cstheme="minorHAnsi"/>
          <w:sz w:val="24"/>
          <w:szCs w:val="24"/>
          <w:shd w:val="clear" w:color="auto" w:fill="FFFFFF"/>
          <w:lang w:val="en-GB"/>
        </w:rPr>
        <w:t xml:space="preserve">  FRAX</w:t>
      </w:r>
      <w:r w:rsidR="00E16EEA">
        <w:rPr>
          <w:rFonts w:asciiTheme="minorHAnsi" w:hAnsiTheme="minorHAnsi" w:cstheme="minorHAnsi"/>
          <w:sz w:val="24"/>
          <w:szCs w:val="24"/>
          <w:shd w:val="clear" w:color="auto" w:fill="FFFFFF"/>
          <w:lang w:val="en-GB"/>
        </w:rPr>
        <w:t>-based hip fracture probabili</w:t>
      </w:r>
      <w:r w:rsidR="001F1FFB">
        <w:rPr>
          <w:rFonts w:asciiTheme="minorHAnsi" w:hAnsiTheme="minorHAnsi" w:cstheme="minorHAnsi"/>
          <w:sz w:val="24"/>
          <w:szCs w:val="24"/>
          <w:shd w:val="clear" w:color="auto" w:fill="FFFFFF"/>
          <w:lang w:val="en-GB"/>
        </w:rPr>
        <w:t>ties predic</w:t>
      </w:r>
      <w:r w:rsidR="00C708D3">
        <w:rPr>
          <w:rFonts w:asciiTheme="minorHAnsi" w:hAnsiTheme="minorHAnsi" w:cstheme="minorHAnsi"/>
          <w:sz w:val="24"/>
          <w:szCs w:val="24"/>
          <w:shd w:val="clear" w:color="auto" w:fill="FFFFFF"/>
          <w:lang w:val="en-GB"/>
        </w:rPr>
        <w:t>ted</w:t>
      </w:r>
      <w:r w:rsidR="00DE5C11">
        <w:rPr>
          <w:rFonts w:asciiTheme="minorHAnsi" w:hAnsiTheme="minorHAnsi" w:cstheme="minorHAnsi"/>
          <w:sz w:val="24"/>
          <w:szCs w:val="24"/>
          <w:shd w:val="clear" w:color="auto" w:fill="FFFFFF"/>
          <w:lang w:val="en-GB"/>
        </w:rPr>
        <w:t xml:space="preserve"> 808 hip fractures</w:t>
      </w:r>
      <w:r w:rsidR="00850CE6">
        <w:rPr>
          <w:rFonts w:asciiTheme="minorHAnsi" w:hAnsiTheme="minorHAnsi" w:cstheme="minorHAnsi"/>
          <w:sz w:val="24"/>
          <w:szCs w:val="24"/>
          <w:shd w:val="clear" w:color="auto" w:fill="FFFFFF"/>
          <w:lang w:val="en-GB"/>
        </w:rPr>
        <w:t xml:space="preserve">.  There was a close correspondence </w:t>
      </w:r>
      <w:r w:rsidR="00CE1EE3">
        <w:rPr>
          <w:rFonts w:asciiTheme="minorHAnsi" w:hAnsiTheme="minorHAnsi" w:cstheme="minorHAnsi"/>
          <w:sz w:val="24"/>
          <w:szCs w:val="24"/>
          <w:shd w:val="clear" w:color="auto" w:fill="FFFFFF"/>
          <w:lang w:val="en-GB"/>
        </w:rPr>
        <w:t>between</w:t>
      </w:r>
      <w:r w:rsidR="00CF1853">
        <w:rPr>
          <w:rFonts w:asciiTheme="minorHAnsi" w:hAnsiTheme="minorHAnsi" w:cstheme="minorHAnsi"/>
          <w:sz w:val="24"/>
          <w:szCs w:val="24"/>
          <w:shd w:val="clear" w:color="auto" w:fill="FFFFFF"/>
          <w:lang w:val="en-GB"/>
        </w:rPr>
        <w:t xml:space="preserve"> FRAX </w:t>
      </w:r>
      <w:r w:rsidR="00AA6293">
        <w:rPr>
          <w:rFonts w:asciiTheme="minorHAnsi" w:hAnsiTheme="minorHAnsi" w:cstheme="minorHAnsi"/>
          <w:sz w:val="24"/>
          <w:szCs w:val="24"/>
          <w:shd w:val="clear" w:color="auto" w:fill="FFFFFF"/>
          <w:lang w:val="en-GB"/>
        </w:rPr>
        <w:t xml:space="preserve">based hip fracture </w:t>
      </w:r>
      <w:r w:rsidR="00026062">
        <w:rPr>
          <w:rFonts w:asciiTheme="minorHAnsi" w:hAnsiTheme="minorHAnsi" w:cstheme="minorHAnsi"/>
          <w:sz w:val="24"/>
          <w:szCs w:val="24"/>
          <w:shd w:val="clear" w:color="auto" w:fill="FFFFFF"/>
          <w:lang w:val="en-GB"/>
        </w:rPr>
        <w:t>probability</w:t>
      </w:r>
      <w:r w:rsidR="00CA2552">
        <w:rPr>
          <w:rFonts w:asciiTheme="minorHAnsi" w:hAnsiTheme="minorHAnsi" w:cstheme="minorHAnsi"/>
          <w:sz w:val="24"/>
          <w:szCs w:val="24"/>
          <w:shd w:val="clear" w:color="auto" w:fill="FFFFFF"/>
          <w:lang w:val="en-GB"/>
        </w:rPr>
        <w:t xml:space="preserve"> and </w:t>
      </w:r>
      <w:r w:rsidR="00526BC4">
        <w:rPr>
          <w:rFonts w:asciiTheme="minorHAnsi" w:hAnsiTheme="minorHAnsi" w:cstheme="minorHAnsi"/>
          <w:sz w:val="24"/>
          <w:szCs w:val="24"/>
          <w:shd w:val="clear" w:color="auto" w:fill="FFFFFF"/>
          <w:lang w:val="en-GB"/>
        </w:rPr>
        <w:t>observed hip fracture rates</w:t>
      </w:r>
      <w:r w:rsidR="00026062">
        <w:rPr>
          <w:rFonts w:asciiTheme="minorHAnsi" w:hAnsiTheme="minorHAnsi" w:cstheme="minorHAnsi"/>
          <w:sz w:val="24"/>
          <w:szCs w:val="24"/>
          <w:shd w:val="clear" w:color="auto" w:fill="FFFFFF"/>
          <w:lang w:val="en-GB"/>
        </w:rPr>
        <w:t xml:space="preserve"> (Fi</w:t>
      </w:r>
      <w:r w:rsidR="004A4629">
        <w:rPr>
          <w:rFonts w:asciiTheme="minorHAnsi" w:hAnsiTheme="minorHAnsi" w:cstheme="minorHAnsi"/>
          <w:sz w:val="24"/>
          <w:szCs w:val="24"/>
          <w:shd w:val="clear" w:color="auto" w:fill="FFFFFF"/>
          <w:lang w:val="en-GB"/>
        </w:rPr>
        <w:t>gure 1)</w:t>
      </w:r>
      <w:r w:rsidR="00647E19">
        <w:rPr>
          <w:rFonts w:asciiTheme="minorHAnsi" w:hAnsiTheme="minorHAnsi" w:cstheme="minorHAnsi"/>
          <w:sz w:val="24"/>
          <w:szCs w:val="24"/>
          <w:shd w:val="clear" w:color="auto" w:fill="FFFFFF"/>
          <w:lang w:val="en-GB"/>
        </w:rPr>
        <w:t>.</w:t>
      </w:r>
    </w:p>
    <w:p w14:paraId="0B3CCEE6" w14:textId="77777777" w:rsidR="001667CA" w:rsidRPr="00077D42" w:rsidRDefault="001667CA" w:rsidP="001667CA">
      <w:pPr>
        <w:spacing w:after="240"/>
        <w:ind w:left="1701" w:right="873"/>
        <w:rPr>
          <w:bCs/>
          <w:color w:val="000000" w:themeColor="text1"/>
          <w:lang w:val="en-US"/>
        </w:rPr>
      </w:pPr>
      <w:r w:rsidRPr="00077D42">
        <w:rPr>
          <w:b/>
          <w:color w:val="000000" w:themeColor="text1"/>
          <w:lang w:val="en-US"/>
        </w:rPr>
        <w:t>Figure 1.</w:t>
      </w:r>
      <w:r w:rsidRPr="00077D42">
        <w:rPr>
          <w:bCs/>
          <w:color w:val="000000" w:themeColor="text1"/>
          <w:lang w:val="en-US"/>
        </w:rPr>
        <w:t xml:space="preserve">  Number and cumulative number of hip fractures expected from </w:t>
      </w:r>
      <w:r>
        <w:rPr>
          <w:bCs/>
          <w:color w:val="000000" w:themeColor="text1"/>
          <w:lang w:val="en-US"/>
        </w:rPr>
        <w:t xml:space="preserve">categories of </w:t>
      </w:r>
      <w:r w:rsidRPr="00077D42">
        <w:rPr>
          <w:bCs/>
          <w:color w:val="000000" w:themeColor="text1"/>
          <w:lang w:val="en-US"/>
        </w:rPr>
        <w:t>FRAX measured at baseline and hip fractures observed during follow up.</w:t>
      </w:r>
      <w:r w:rsidRPr="004F3454">
        <w:t xml:space="preserve"> </w:t>
      </w:r>
      <w:r>
        <w:rPr>
          <w:bCs/>
          <w:color w:val="000000" w:themeColor="text1"/>
          <w:lang w:val="en-US"/>
        </w:rPr>
        <w:t>I</w:t>
      </w:r>
      <w:r w:rsidRPr="004F3454">
        <w:rPr>
          <w:bCs/>
          <w:color w:val="000000" w:themeColor="text1"/>
          <w:lang w:val="en-US"/>
        </w:rPr>
        <w:t xml:space="preserve">ntervals </w:t>
      </w:r>
      <w:r>
        <w:rPr>
          <w:bCs/>
          <w:color w:val="000000" w:themeColor="text1"/>
          <w:lang w:val="en-US"/>
        </w:rPr>
        <w:t xml:space="preserve">are </w:t>
      </w:r>
      <w:r w:rsidRPr="004F3454">
        <w:rPr>
          <w:bCs/>
          <w:color w:val="000000" w:themeColor="text1"/>
          <w:lang w:val="en-US"/>
        </w:rPr>
        <w:t xml:space="preserve">closed to the left, </w:t>
      </w:r>
      <w:r>
        <w:rPr>
          <w:bCs/>
          <w:color w:val="000000" w:themeColor="text1"/>
          <w:lang w:val="en-US"/>
        </w:rPr>
        <w:t>(</w:t>
      </w:r>
      <w:r w:rsidRPr="004F3454">
        <w:rPr>
          <w:bCs/>
          <w:color w:val="000000" w:themeColor="text1"/>
          <w:lang w:val="en-US"/>
        </w:rPr>
        <w:t>i.e. 0-1 =&gt; 0-0.99, 1-2 =&gt; 1-1.99</w:t>
      </w:r>
      <w:r>
        <w:rPr>
          <w:bCs/>
          <w:color w:val="000000" w:themeColor="text1"/>
          <w:lang w:val="en-US"/>
        </w:rPr>
        <w:t>).</w:t>
      </w:r>
    </w:p>
    <w:p w14:paraId="2B3DEBDA" w14:textId="3C2A122C" w:rsidR="0035216B" w:rsidRDefault="0035216B" w:rsidP="00827EF0">
      <w:pPr>
        <w:pStyle w:val="PlainText"/>
        <w:spacing w:line="276" w:lineRule="auto"/>
        <w:ind w:left="1134"/>
        <w:rPr>
          <w:rFonts w:ascii="Calibri" w:hAnsi="Calibri"/>
          <w:sz w:val="22"/>
          <w:szCs w:val="22"/>
          <w:lang w:val="en-GB"/>
        </w:rPr>
      </w:pPr>
    </w:p>
    <w:p w14:paraId="4A53A7C4" w14:textId="06FFF681" w:rsidR="00D70EE6" w:rsidRPr="008D4852" w:rsidRDefault="00D70EE6" w:rsidP="00827EF0">
      <w:pPr>
        <w:spacing w:after="0"/>
        <w:ind w:left="1134"/>
        <w:rPr>
          <w:bCs/>
          <w:sz w:val="24"/>
          <w:szCs w:val="24"/>
          <w:lang w:val="en-GB"/>
        </w:rPr>
      </w:pPr>
    </w:p>
    <w:p w14:paraId="3CFF9914" w14:textId="4997EEA0" w:rsidR="00EB5346" w:rsidRPr="008D4852" w:rsidRDefault="00AA03F9" w:rsidP="00827EF0">
      <w:pPr>
        <w:pStyle w:val="BodyText"/>
        <w:tabs>
          <w:tab w:val="left" w:pos="3060"/>
        </w:tabs>
        <w:spacing w:line="276" w:lineRule="auto"/>
        <w:ind w:left="1134"/>
        <w:rPr>
          <w:rFonts w:ascii="Calibri" w:hAnsi="Calibri"/>
          <w:i/>
          <w:iCs/>
        </w:rPr>
      </w:pPr>
      <w:r w:rsidRPr="008D4852">
        <w:rPr>
          <w:rFonts w:ascii="Calibri" w:hAnsi="Calibri"/>
          <w:i/>
          <w:iCs/>
        </w:rPr>
        <w:t>Thresholds</w:t>
      </w:r>
    </w:p>
    <w:p w14:paraId="09CE94B7" w14:textId="02407CE1" w:rsidR="00633FE2" w:rsidRPr="003E7BDB" w:rsidRDefault="00633FE2" w:rsidP="00827EF0">
      <w:pPr>
        <w:ind w:left="1134"/>
        <w:rPr>
          <w:rFonts w:asciiTheme="minorHAnsi" w:hAnsiTheme="minorHAnsi" w:cstheme="minorHAnsi"/>
          <w:sz w:val="24"/>
          <w:szCs w:val="24"/>
          <w:shd w:val="clear" w:color="auto" w:fill="FFFFFF"/>
          <w:lang w:val="en-GB"/>
        </w:rPr>
      </w:pPr>
      <w:r w:rsidRPr="008D4852">
        <w:rPr>
          <w:rFonts w:asciiTheme="minorHAnsi" w:hAnsiTheme="minorHAnsi" w:cstheme="minorHAnsi"/>
          <w:sz w:val="24"/>
          <w:szCs w:val="24"/>
          <w:shd w:val="clear" w:color="auto" w:fill="FFFFFF"/>
          <w:lang w:val="en-GB"/>
        </w:rPr>
        <w:t xml:space="preserve">The intervention threshold (set at the age specific </w:t>
      </w:r>
      <w:r w:rsidR="00840EA5">
        <w:rPr>
          <w:rFonts w:asciiTheme="minorHAnsi" w:hAnsiTheme="minorHAnsi" w:cstheme="minorHAnsi"/>
          <w:sz w:val="24"/>
          <w:szCs w:val="24"/>
          <w:shd w:val="clear" w:color="auto" w:fill="FFFFFF"/>
          <w:lang w:val="en-GB"/>
        </w:rPr>
        <w:t xml:space="preserve">major osteoporotic </w:t>
      </w:r>
      <w:r w:rsidRPr="008D4852">
        <w:rPr>
          <w:rFonts w:asciiTheme="minorHAnsi" w:hAnsiTheme="minorHAnsi" w:cstheme="minorHAnsi"/>
          <w:sz w:val="24"/>
          <w:szCs w:val="24"/>
          <w:shd w:val="clear" w:color="auto" w:fill="FFFFFF"/>
          <w:lang w:val="en-GB"/>
        </w:rPr>
        <w:t xml:space="preserve">fracture probability equivalent to women </w:t>
      </w:r>
      <w:r w:rsidR="00840EA5">
        <w:rPr>
          <w:rFonts w:asciiTheme="minorHAnsi" w:hAnsiTheme="minorHAnsi" w:cstheme="minorHAnsi"/>
          <w:sz w:val="24"/>
          <w:szCs w:val="24"/>
          <w:shd w:val="clear" w:color="auto" w:fill="FFFFFF"/>
          <w:lang w:val="en-GB"/>
        </w:rPr>
        <w:t xml:space="preserve">of average BMI </w:t>
      </w:r>
      <w:r w:rsidRPr="008D4852">
        <w:rPr>
          <w:rFonts w:asciiTheme="minorHAnsi" w:hAnsiTheme="minorHAnsi" w:cstheme="minorHAnsi"/>
          <w:sz w:val="24"/>
          <w:szCs w:val="24"/>
          <w:shd w:val="clear" w:color="auto" w:fill="FFFFFF"/>
          <w:lang w:val="en-GB"/>
        </w:rPr>
        <w:t>with a</w:t>
      </w:r>
      <w:r w:rsidRPr="008D4852">
        <w:rPr>
          <w:lang w:val="en-GB"/>
        </w:rPr>
        <w:t xml:space="preserve"> </w:t>
      </w:r>
      <w:r w:rsidRPr="008D4852">
        <w:rPr>
          <w:rFonts w:asciiTheme="minorHAnsi" w:hAnsiTheme="minorHAnsi" w:cstheme="minorHAnsi"/>
          <w:sz w:val="24"/>
          <w:szCs w:val="24"/>
          <w:shd w:val="clear" w:color="auto" w:fill="FFFFFF"/>
          <w:lang w:val="en-GB"/>
        </w:rPr>
        <w:t xml:space="preserve">prior fragility fracture) rose with age </w:t>
      </w:r>
      <w:r w:rsidRPr="003E7BDB">
        <w:rPr>
          <w:rFonts w:asciiTheme="minorHAnsi" w:hAnsiTheme="minorHAnsi" w:cstheme="minorHAnsi"/>
          <w:sz w:val="24"/>
          <w:szCs w:val="24"/>
          <w:shd w:val="clear" w:color="auto" w:fill="FFFFFF"/>
          <w:lang w:val="en-GB"/>
        </w:rPr>
        <w:t xml:space="preserve">from a 10-year probability of </w:t>
      </w:r>
      <w:r w:rsidR="00CE6F5A">
        <w:rPr>
          <w:rFonts w:asciiTheme="minorHAnsi" w:hAnsiTheme="minorHAnsi" w:cstheme="minorHAnsi"/>
          <w:sz w:val="24"/>
          <w:szCs w:val="24"/>
          <w:shd w:val="clear" w:color="auto" w:fill="FFFFFF"/>
          <w:lang w:val="en-GB"/>
        </w:rPr>
        <w:t>2.96</w:t>
      </w:r>
      <w:r w:rsidRPr="003E7BDB">
        <w:rPr>
          <w:rFonts w:asciiTheme="minorHAnsi" w:hAnsiTheme="minorHAnsi" w:cstheme="minorHAnsi"/>
          <w:sz w:val="24"/>
          <w:szCs w:val="24"/>
          <w:shd w:val="clear" w:color="auto" w:fill="FFFFFF"/>
          <w:lang w:val="en-GB"/>
        </w:rPr>
        <w:t xml:space="preserve"> % at the age of 5</w:t>
      </w:r>
      <w:r w:rsidR="00CE6F5A">
        <w:rPr>
          <w:rFonts w:asciiTheme="minorHAnsi" w:hAnsiTheme="minorHAnsi" w:cstheme="minorHAnsi"/>
          <w:sz w:val="24"/>
          <w:szCs w:val="24"/>
          <w:shd w:val="clear" w:color="auto" w:fill="FFFFFF"/>
          <w:lang w:val="en-GB"/>
        </w:rPr>
        <w:t>0</w:t>
      </w:r>
      <w:r w:rsidRPr="003E7BDB">
        <w:rPr>
          <w:rFonts w:asciiTheme="minorHAnsi" w:hAnsiTheme="minorHAnsi" w:cstheme="minorHAnsi"/>
          <w:sz w:val="24"/>
          <w:szCs w:val="24"/>
          <w:shd w:val="clear" w:color="auto" w:fill="FFFFFF"/>
          <w:lang w:val="en-GB"/>
        </w:rPr>
        <w:t xml:space="preserve"> years to </w:t>
      </w:r>
      <w:r w:rsidR="008D4852" w:rsidRPr="003E7BDB">
        <w:rPr>
          <w:rFonts w:asciiTheme="minorHAnsi" w:hAnsiTheme="minorHAnsi" w:cstheme="minorHAnsi"/>
          <w:sz w:val="24"/>
          <w:szCs w:val="24"/>
          <w:shd w:val="clear" w:color="auto" w:fill="FFFFFF"/>
          <w:lang w:val="en-GB"/>
        </w:rPr>
        <w:t>32</w:t>
      </w:r>
      <w:r w:rsidRPr="003E7BDB">
        <w:rPr>
          <w:rFonts w:asciiTheme="minorHAnsi" w:hAnsiTheme="minorHAnsi" w:cstheme="minorHAnsi"/>
          <w:sz w:val="24"/>
          <w:szCs w:val="24"/>
          <w:shd w:val="clear" w:color="auto" w:fill="FFFFFF"/>
          <w:lang w:val="en-GB"/>
        </w:rPr>
        <w:t xml:space="preserve">% at the age of </w:t>
      </w:r>
      <w:r w:rsidR="00717B86">
        <w:rPr>
          <w:rFonts w:asciiTheme="minorHAnsi" w:hAnsiTheme="minorHAnsi" w:cstheme="minorHAnsi"/>
          <w:sz w:val="24"/>
          <w:szCs w:val="24"/>
          <w:shd w:val="clear" w:color="auto" w:fill="FFFFFF"/>
          <w:lang w:val="en-GB"/>
        </w:rPr>
        <w:t>90</w:t>
      </w:r>
      <w:r w:rsidRPr="003E7BDB">
        <w:rPr>
          <w:rFonts w:asciiTheme="minorHAnsi" w:hAnsiTheme="minorHAnsi" w:cstheme="minorHAnsi"/>
          <w:sz w:val="24"/>
          <w:szCs w:val="24"/>
          <w:shd w:val="clear" w:color="auto" w:fill="FFFFFF"/>
          <w:lang w:val="en-GB"/>
        </w:rPr>
        <w:t xml:space="preserve"> years (Table </w:t>
      </w:r>
      <w:r w:rsidR="0060052D">
        <w:rPr>
          <w:rFonts w:asciiTheme="minorHAnsi" w:hAnsiTheme="minorHAnsi" w:cstheme="minorHAnsi"/>
          <w:sz w:val="24"/>
          <w:szCs w:val="24"/>
          <w:shd w:val="clear" w:color="auto" w:fill="FFFFFF"/>
          <w:lang w:val="en-GB"/>
        </w:rPr>
        <w:t>2</w:t>
      </w:r>
      <w:r w:rsidRPr="003E7BDB">
        <w:rPr>
          <w:rFonts w:asciiTheme="minorHAnsi" w:hAnsiTheme="minorHAnsi" w:cstheme="minorHAnsi"/>
          <w:sz w:val="24"/>
          <w:szCs w:val="24"/>
          <w:shd w:val="clear" w:color="auto" w:fill="FFFFFF"/>
          <w:lang w:val="en-GB"/>
        </w:rPr>
        <w:t xml:space="preserve"> and Fig</w:t>
      </w:r>
      <w:r w:rsidR="003D345F" w:rsidRPr="003E7BDB">
        <w:rPr>
          <w:rFonts w:asciiTheme="minorHAnsi" w:hAnsiTheme="minorHAnsi" w:cstheme="minorHAnsi"/>
          <w:sz w:val="24"/>
          <w:szCs w:val="24"/>
          <w:shd w:val="clear" w:color="auto" w:fill="FFFFFF"/>
          <w:lang w:val="en-GB"/>
        </w:rPr>
        <w:t>ure</w:t>
      </w:r>
      <w:r w:rsidRPr="003E7BDB">
        <w:rPr>
          <w:rFonts w:asciiTheme="minorHAnsi" w:hAnsiTheme="minorHAnsi" w:cstheme="minorHAnsi"/>
          <w:sz w:val="24"/>
          <w:szCs w:val="24"/>
          <w:shd w:val="clear" w:color="auto" w:fill="FFFFFF"/>
          <w:lang w:val="en-GB"/>
        </w:rPr>
        <w:t xml:space="preserve"> </w:t>
      </w:r>
      <w:r w:rsidR="004757E4">
        <w:rPr>
          <w:rFonts w:asciiTheme="minorHAnsi" w:hAnsiTheme="minorHAnsi" w:cstheme="minorHAnsi"/>
          <w:sz w:val="24"/>
          <w:szCs w:val="24"/>
          <w:shd w:val="clear" w:color="auto" w:fill="FFFFFF"/>
          <w:lang w:val="en-GB"/>
        </w:rPr>
        <w:t>2</w:t>
      </w:r>
      <w:r w:rsidRPr="003E7BDB">
        <w:rPr>
          <w:rFonts w:asciiTheme="minorHAnsi" w:hAnsiTheme="minorHAnsi" w:cstheme="minorHAnsi"/>
          <w:sz w:val="24"/>
          <w:szCs w:val="24"/>
          <w:shd w:val="clear" w:color="auto" w:fill="FFFFFF"/>
          <w:lang w:val="en-GB"/>
        </w:rPr>
        <w:t xml:space="preserve">). Table </w:t>
      </w:r>
      <w:r w:rsidR="0060052D">
        <w:rPr>
          <w:rFonts w:asciiTheme="minorHAnsi" w:hAnsiTheme="minorHAnsi" w:cstheme="minorHAnsi"/>
          <w:sz w:val="24"/>
          <w:szCs w:val="24"/>
          <w:shd w:val="clear" w:color="auto" w:fill="FFFFFF"/>
          <w:lang w:val="en-GB"/>
        </w:rPr>
        <w:t>2</w:t>
      </w:r>
      <w:r w:rsidRPr="003E7BDB">
        <w:rPr>
          <w:rFonts w:asciiTheme="minorHAnsi" w:hAnsiTheme="minorHAnsi" w:cstheme="minorHAnsi"/>
          <w:sz w:val="24"/>
          <w:szCs w:val="24"/>
          <w:shd w:val="clear" w:color="auto" w:fill="FFFFFF"/>
          <w:lang w:val="en-GB"/>
        </w:rPr>
        <w:t xml:space="preserve"> and Fig</w:t>
      </w:r>
      <w:r w:rsidR="003D345F" w:rsidRPr="003E7BDB">
        <w:rPr>
          <w:rFonts w:asciiTheme="minorHAnsi" w:hAnsiTheme="minorHAnsi" w:cstheme="minorHAnsi"/>
          <w:sz w:val="24"/>
          <w:szCs w:val="24"/>
          <w:shd w:val="clear" w:color="auto" w:fill="FFFFFF"/>
          <w:lang w:val="en-GB"/>
        </w:rPr>
        <w:t xml:space="preserve">ure </w:t>
      </w:r>
      <w:r w:rsidR="004757E4">
        <w:rPr>
          <w:rFonts w:asciiTheme="minorHAnsi" w:hAnsiTheme="minorHAnsi" w:cstheme="minorHAnsi"/>
          <w:sz w:val="24"/>
          <w:szCs w:val="24"/>
          <w:shd w:val="clear" w:color="auto" w:fill="FFFFFF"/>
          <w:lang w:val="en-GB"/>
        </w:rPr>
        <w:t>2</w:t>
      </w:r>
      <w:r w:rsidRPr="003E7BDB">
        <w:rPr>
          <w:rFonts w:asciiTheme="minorHAnsi" w:hAnsiTheme="minorHAnsi" w:cstheme="minorHAnsi"/>
          <w:sz w:val="24"/>
          <w:szCs w:val="24"/>
          <w:shd w:val="clear" w:color="auto" w:fill="FFFFFF"/>
          <w:lang w:val="en-GB"/>
        </w:rPr>
        <w:t xml:space="preserve"> also give the age-specific upper and lower assessment thresholds for recommending the measurement of BMD in the assessment of fracture probability. </w:t>
      </w:r>
      <w:r w:rsidR="00FA6DC0" w:rsidRPr="003E7BDB">
        <w:rPr>
          <w:rFonts w:asciiTheme="minorHAnsi" w:hAnsiTheme="minorHAnsi" w:cstheme="minorHAnsi"/>
          <w:sz w:val="24"/>
          <w:szCs w:val="24"/>
          <w:shd w:val="clear" w:color="auto" w:fill="FFFFFF"/>
          <w:lang w:val="en-GB"/>
        </w:rPr>
        <w:t xml:space="preserve"> </w:t>
      </w:r>
      <w:r w:rsidRPr="003E7BDB">
        <w:rPr>
          <w:rFonts w:asciiTheme="minorHAnsi" w:hAnsiTheme="minorHAnsi" w:cstheme="minorHAnsi"/>
          <w:sz w:val="24"/>
          <w:szCs w:val="24"/>
          <w:shd w:val="clear" w:color="auto" w:fill="FFFFFF"/>
          <w:lang w:val="en-GB"/>
        </w:rPr>
        <w:t>At the age of 6</w:t>
      </w:r>
      <w:r w:rsidR="00136336">
        <w:rPr>
          <w:rFonts w:asciiTheme="minorHAnsi" w:hAnsiTheme="minorHAnsi" w:cstheme="minorHAnsi"/>
          <w:sz w:val="24"/>
          <w:szCs w:val="24"/>
          <w:shd w:val="clear" w:color="auto" w:fill="FFFFFF"/>
          <w:lang w:val="en-GB"/>
        </w:rPr>
        <w:t>5</w:t>
      </w:r>
      <w:r w:rsidRPr="003E7BDB">
        <w:rPr>
          <w:rFonts w:asciiTheme="minorHAnsi" w:hAnsiTheme="minorHAnsi" w:cstheme="minorHAnsi"/>
          <w:sz w:val="24"/>
          <w:szCs w:val="24"/>
          <w:shd w:val="clear" w:color="auto" w:fill="FFFFFF"/>
          <w:lang w:val="en-GB"/>
        </w:rPr>
        <w:t xml:space="preserve"> years, for example, a BMD test would not be recommended in an individual with a fracture probability below </w:t>
      </w:r>
      <w:r w:rsidR="00A22FDB">
        <w:rPr>
          <w:rFonts w:asciiTheme="minorHAnsi" w:hAnsiTheme="minorHAnsi" w:cstheme="minorHAnsi"/>
          <w:sz w:val="24"/>
          <w:szCs w:val="24"/>
          <w:shd w:val="clear" w:color="auto" w:fill="FFFFFF"/>
          <w:lang w:val="en-GB"/>
        </w:rPr>
        <w:t>6</w:t>
      </w:r>
      <w:r w:rsidRPr="003E7BDB">
        <w:rPr>
          <w:rFonts w:asciiTheme="minorHAnsi" w:hAnsiTheme="minorHAnsi" w:cstheme="minorHAnsi"/>
          <w:sz w:val="24"/>
          <w:szCs w:val="24"/>
          <w:shd w:val="clear" w:color="auto" w:fill="FFFFFF"/>
          <w:lang w:val="en-GB"/>
        </w:rPr>
        <w:t>.</w:t>
      </w:r>
      <w:r w:rsidR="00C001AA">
        <w:rPr>
          <w:rFonts w:asciiTheme="minorHAnsi" w:hAnsiTheme="minorHAnsi" w:cstheme="minorHAnsi"/>
          <w:sz w:val="24"/>
          <w:szCs w:val="24"/>
          <w:shd w:val="clear" w:color="auto" w:fill="FFFFFF"/>
          <w:lang w:val="en-GB"/>
        </w:rPr>
        <w:t>5</w:t>
      </w:r>
      <w:r w:rsidRPr="003E7BDB">
        <w:rPr>
          <w:rFonts w:asciiTheme="minorHAnsi" w:hAnsiTheme="minorHAnsi" w:cstheme="minorHAnsi"/>
          <w:sz w:val="24"/>
          <w:szCs w:val="24"/>
          <w:shd w:val="clear" w:color="auto" w:fill="FFFFFF"/>
          <w:lang w:val="en-GB"/>
        </w:rPr>
        <w:t xml:space="preserve">%. </w:t>
      </w:r>
      <w:r w:rsidR="00A74472">
        <w:rPr>
          <w:rFonts w:asciiTheme="minorHAnsi" w:hAnsiTheme="minorHAnsi" w:cstheme="minorHAnsi"/>
          <w:sz w:val="24"/>
          <w:szCs w:val="24"/>
          <w:shd w:val="clear" w:color="auto" w:fill="FFFFFF"/>
          <w:lang w:val="en-GB"/>
        </w:rPr>
        <w:t xml:space="preserve"> </w:t>
      </w:r>
      <w:r w:rsidRPr="003E7BDB">
        <w:rPr>
          <w:rFonts w:asciiTheme="minorHAnsi" w:hAnsiTheme="minorHAnsi" w:cstheme="minorHAnsi"/>
          <w:sz w:val="24"/>
          <w:szCs w:val="24"/>
          <w:shd w:val="clear" w:color="auto" w:fill="FFFFFF"/>
          <w:lang w:val="en-GB"/>
        </w:rPr>
        <w:t xml:space="preserve">At the same age, a BMD test would be recommended with a fracture probability that lay between </w:t>
      </w:r>
      <w:r w:rsidR="0036016E">
        <w:rPr>
          <w:rFonts w:asciiTheme="minorHAnsi" w:hAnsiTheme="minorHAnsi" w:cstheme="minorHAnsi"/>
          <w:sz w:val="24"/>
          <w:szCs w:val="24"/>
          <w:shd w:val="clear" w:color="auto" w:fill="FFFFFF"/>
          <w:lang w:val="en-GB"/>
        </w:rPr>
        <w:t>6.5</w:t>
      </w:r>
      <w:r w:rsidRPr="003E7BDB">
        <w:rPr>
          <w:rFonts w:asciiTheme="minorHAnsi" w:hAnsiTheme="minorHAnsi" w:cstheme="minorHAnsi"/>
          <w:sz w:val="24"/>
          <w:szCs w:val="24"/>
          <w:shd w:val="clear" w:color="auto" w:fill="FFFFFF"/>
          <w:lang w:val="en-GB"/>
        </w:rPr>
        <w:t xml:space="preserve"> and 1</w:t>
      </w:r>
      <w:r w:rsidR="00517E25">
        <w:rPr>
          <w:rFonts w:asciiTheme="minorHAnsi" w:hAnsiTheme="minorHAnsi" w:cstheme="minorHAnsi"/>
          <w:sz w:val="24"/>
          <w:szCs w:val="24"/>
          <w:shd w:val="clear" w:color="auto" w:fill="FFFFFF"/>
          <w:lang w:val="en-GB"/>
        </w:rPr>
        <w:t>6</w:t>
      </w:r>
      <w:r w:rsidRPr="003E7BDB">
        <w:rPr>
          <w:rFonts w:asciiTheme="minorHAnsi" w:hAnsiTheme="minorHAnsi" w:cstheme="minorHAnsi"/>
          <w:sz w:val="24"/>
          <w:szCs w:val="24"/>
          <w:shd w:val="clear" w:color="auto" w:fill="FFFFFF"/>
          <w:lang w:val="en-GB"/>
        </w:rPr>
        <w:t xml:space="preserve"> %.</w:t>
      </w:r>
      <w:r w:rsidR="00A74472">
        <w:rPr>
          <w:rFonts w:asciiTheme="minorHAnsi" w:hAnsiTheme="minorHAnsi" w:cstheme="minorHAnsi"/>
          <w:sz w:val="24"/>
          <w:szCs w:val="24"/>
          <w:shd w:val="clear" w:color="auto" w:fill="FFFFFF"/>
          <w:lang w:val="en-GB"/>
        </w:rPr>
        <w:t xml:space="preserve"> </w:t>
      </w:r>
      <w:r w:rsidRPr="003E7BDB">
        <w:rPr>
          <w:rFonts w:asciiTheme="minorHAnsi" w:hAnsiTheme="minorHAnsi" w:cstheme="minorHAnsi"/>
          <w:sz w:val="24"/>
          <w:szCs w:val="24"/>
          <w:shd w:val="clear" w:color="auto" w:fill="FFFFFF"/>
          <w:lang w:val="en-GB"/>
        </w:rPr>
        <w:t xml:space="preserve"> Treatment would be recommended without the requirement of a BMD test (for </w:t>
      </w:r>
      <w:r w:rsidRPr="003E7BDB">
        <w:rPr>
          <w:rFonts w:asciiTheme="minorHAnsi" w:hAnsiTheme="minorHAnsi" w:cstheme="minorHAnsi"/>
          <w:sz w:val="24"/>
          <w:szCs w:val="24"/>
          <w:shd w:val="clear" w:color="auto" w:fill="FFFFFF"/>
          <w:lang w:val="en-GB"/>
        </w:rPr>
        <w:lastRenderedPageBreak/>
        <w:t>fracture risk assessment, though possibly for monitoring of treatment) in individuals with a fracture probability that exceeded 1</w:t>
      </w:r>
      <w:r w:rsidR="00261651">
        <w:rPr>
          <w:rFonts w:asciiTheme="minorHAnsi" w:hAnsiTheme="minorHAnsi" w:cstheme="minorHAnsi"/>
          <w:sz w:val="24"/>
          <w:szCs w:val="24"/>
          <w:shd w:val="clear" w:color="auto" w:fill="FFFFFF"/>
          <w:lang w:val="en-GB"/>
        </w:rPr>
        <w:t>6</w:t>
      </w:r>
      <w:r w:rsidRPr="003E7BDB">
        <w:rPr>
          <w:rFonts w:asciiTheme="minorHAnsi" w:hAnsiTheme="minorHAnsi" w:cstheme="minorHAnsi"/>
          <w:sz w:val="24"/>
          <w:szCs w:val="24"/>
          <w:shd w:val="clear" w:color="auto" w:fill="FFFFFF"/>
          <w:lang w:val="en-GB"/>
        </w:rPr>
        <w:t xml:space="preserve">%. </w:t>
      </w:r>
      <w:r w:rsidR="006E02C6">
        <w:rPr>
          <w:rFonts w:asciiTheme="minorHAnsi" w:hAnsiTheme="minorHAnsi" w:cstheme="minorHAnsi"/>
          <w:sz w:val="24"/>
          <w:szCs w:val="24"/>
          <w:shd w:val="clear" w:color="auto" w:fill="FFFFFF"/>
          <w:lang w:val="en-GB"/>
        </w:rPr>
        <w:t xml:space="preserve"> </w:t>
      </w:r>
      <w:r w:rsidRPr="003E7BDB">
        <w:rPr>
          <w:rFonts w:asciiTheme="minorHAnsi" w:hAnsiTheme="minorHAnsi" w:cstheme="minorHAnsi"/>
          <w:sz w:val="24"/>
          <w:szCs w:val="24"/>
          <w:shd w:val="clear" w:color="auto" w:fill="FFFFFF"/>
          <w:lang w:val="en-GB"/>
        </w:rPr>
        <w:t>In individuals in whom a BMD test was undertaken</w:t>
      </w:r>
      <w:r w:rsidR="00840EA5">
        <w:rPr>
          <w:rFonts w:asciiTheme="minorHAnsi" w:hAnsiTheme="minorHAnsi" w:cstheme="minorHAnsi"/>
          <w:sz w:val="24"/>
          <w:szCs w:val="24"/>
          <w:shd w:val="clear" w:color="auto" w:fill="FFFFFF"/>
          <w:lang w:val="en-GB"/>
        </w:rPr>
        <w:t xml:space="preserve"> and BMD entered to the FRAX calculation</w:t>
      </w:r>
      <w:r w:rsidRPr="003E7BDB">
        <w:rPr>
          <w:rFonts w:asciiTheme="minorHAnsi" w:hAnsiTheme="minorHAnsi" w:cstheme="minorHAnsi"/>
          <w:sz w:val="24"/>
          <w:szCs w:val="24"/>
          <w:shd w:val="clear" w:color="auto" w:fill="FFFFFF"/>
          <w:lang w:val="en-GB"/>
        </w:rPr>
        <w:t xml:space="preserve">, treatment would be recommended in those with a fracture probability that was </w:t>
      </w:r>
      <w:r w:rsidR="003E7BDB" w:rsidRPr="003E7BDB">
        <w:rPr>
          <w:rFonts w:asciiTheme="minorHAnsi" w:hAnsiTheme="minorHAnsi" w:cstheme="minorHAnsi"/>
          <w:sz w:val="24"/>
          <w:szCs w:val="24"/>
          <w:shd w:val="clear" w:color="auto" w:fill="FFFFFF"/>
          <w:lang w:val="en-GB"/>
        </w:rPr>
        <w:t>1</w:t>
      </w:r>
      <w:r w:rsidR="00261651">
        <w:rPr>
          <w:rFonts w:asciiTheme="minorHAnsi" w:hAnsiTheme="minorHAnsi" w:cstheme="minorHAnsi"/>
          <w:sz w:val="24"/>
          <w:szCs w:val="24"/>
          <w:shd w:val="clear" w:color="auto" w:fill="FFFFFF"/>
          <w:lang w:val="en-GB"/>
        </w:rPr>
        <w:t>3</w:t>
      </w:r>
      <w:r w:rsidRPr="003E7BDB">
        <w:rPr>
          <w:rFonts w:asciiTheme="minorHAnsi" w:hAnsiTheme="minorHAnsi" w:cstheme="minorHAnsi"/>
          <w:sz w:val="24"/>
          <w:szCs w:val="24"/>
          <w:shd w:val="clear" w:color="auto" w:fill="FFFFFF"/>
          <w:lang w:val="en-GB"/>
        </w:rPr>
        <w:t>% or greater.</w:t>
      </w:r>
    </w:p>
    <w:p w14:paraId="71425BCC" w14:textId="77777777" w:rsidR="00200D27" w:rsidRPr="00F579DA" w:rsidRDefault="00200D27" w:rsidP="00827EF0">
      <w:pPr>
        <w:autoSpaceDE w:val="0"/>
        <w:autoSpaceDN w:val="0"/>
        <w:adjustRightInd w:val="0"/>
        <w:spacing w:after="0"/>
        <w:ind w:left="1134"/>
        <w:rPr>
          <w:rFonts w:asciiTheme="minorHAnsi" w:hAnsiTheme="minorHAnsi" w:cstheme="minorHAnsi"/>
          <w:color w:val="FF0000"/>
          <w:sz w:val="24"/>
          <w:szCs w:val="24"/>
          <w:lang w:val="en-GB" w:eastAsia="en-GB"/>
        </w:rPr>
      </w:pPr>
    </w:p>
    <w:p w14:paraId="06A05B5D" w14:textId="4D85F4CE" w:rsidR="004D0091" w:rsidRPr="008D4852" w:rsidRDefault="00200D27" w:rsidP="00CA71ED">
      <w:pPr>
        <w:autoSpaceDE w:val="0"/>
        <w:autoSpaceDN w:val="0"/>
        <w:adjustRightInd w:val="0"/>
        <w:spacing w:after="0" w:line="240" w:lineRule="auto"/>
        <w:ind w:left="1134" w:right="732"/>
        <w:rPr>
          <w:rFonts w:asciiTheme="minorHAnsi" w:hAnsiTheme="minorHAnsi" w:cstheme="minorHAnsi"/>
          <w:sz w:val="20"/>
          <w:szCs w:val="20"/>
          <w:lang w:val="en-GB" w:eastAsia="en-GB"/>
        </w:rPr>
      </w:pPr>
      <w:r w:rsidRPr="008D4852">
        <w:rPr>
          <w:rFonts w:asciiTheme="minorHAnsi" w:hAnsiTheme="minorHAnsi" w:cstheme="minorHAnsi"/>
          <w:b/>
          <w:sz w:val="20"/>
          <w:szCs w:val="20"/>
          <w:lang w:val="en-GB" w:eastAsia="en-GB"/>
        </w:rPr>
        <w:t xml:space="preserve">Table </w:t>
      </w:r>
      <w:r w:rsidR="0060052D">
        <w:rPr>
          <w:rFonts w:asciiTheme="minorHAnsi" w:hAnsiTheme="minorHAnsi" w:cstheme="minorHAnsi"/>
          <w:b/>
          <w:sz w:val="20"/>
          <w:szCs w:val="20"/>
          <w:lang w:val="en-GB" w:eastAsia="en-GB"/>
        </w:rPr>
        <w:t>2</w:t>
      </w:r>
      <w:r w:rsidRPr="008D4852">
        <w:rPr>
          <w:rFonts w:asciiTheme="minorHAnsi" w:hAnsiTheme="minorHAnsi" w:cstheme="minorHAnsi"/>
          <w:sz w:val="20"/>
          <w:szCs w:val="20"/>
          <w:lang w:val="en-GB" w:eastAsia="en-GB"/>
        </w:rPr>
        <w:t xml:space="preserve"> Ten-year probability of a major osteoporotic fracture (%) by age at the intervention threshold</w:t>
      </w:r>
      <w:r w:rsidR="004D0091" w:rsidRPr="008D4852">
        <w:rPr>
          <w:rFonts w:asciiTheme="minorHAnsi" w:hAnsiTheme="minorHAnsi" w:cstheme="minorHAnsi"/>
          <w:sz w:val="20"/>
          <w:szCs w:val="20"/>
          <w:lang w:val="en-GB" w:eastAsia="en-GB"/>
        </w:rPr>
        <w:t xml:space="preserve">, lower and upper assessment thresholds </w:t>
      </w:r>
      <w:r w:rsidRPr="008D4852">
        <w:rPr>
          <w:rFonts w:asciiTheme="minorHAnsi" w:hAnsiTheme="minorHAnsi" w:cstheme="minorHAnsi"/>
          <w:sz w:val="20"/>
          <w:szCs w:val="20"/>
          <w:lang w:val="en-GB" w:eastAsia="en-GB"/>
        </w:rPr>
        <w:t xml:space="preserve">calculated with FRAX for </w:t>
      </w:r>
      <w:r w:rsidR="00F579DA" w:rsidRPr="008D4852">
        <w:rPr>
          <w:rFonts w:asciiTheme="minorHAnsi" w:hAnsiTheme="minorHAnsi" w:cstheme="minorHAnsi"/>
          <w:sz w:val="20"/>
          <w:szCs w:val="20"/>
          <w:lang w:val="en-GB" w:eastAsia="en-GB"/>
        </w:rPr>
        <w:t>Singapore</w:t>
      </w:r>
      <w:r w:rsidR="008D4852" w:rsidRPr="008D4852">
        <w:rPr>
          <w:rFonts w:asciiTheme="minorHAnsi" w:hAnsiTheme="minorHAnsi" w:cstheme="minorHAnsi"/>
          <w:sz w:val="20"/>
          <w:szCs w:val="20"/>
          <w:lang w:val="en-GB" w:eastAsia="en-GB"/>
        </w:rPr>
        <w:t xml:space="preserve"> adjusted for ethnicity</w:t>
      </w:r>
      <w:r w:rsidR="004D0091" w:rsidRPr="008D4852">
        <w:rPr>
          <w:rFonts w:asciiTheme="minorHAnsi" w:hAnsiTheme="minorHAnsi" w:cstheme="minorHAnsi"/>
          <w:sz w:val="20"/>
          <w:szCs w:val="20"/>
          <w:lang w:val="en-GB" w:eastAsia="en-GB"/>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1465"/>
        <w:gridCol w:w="1852"/>
        <w:gridCol w:w="1858"/>
      </w:tblGrid>
      <w:tr w:rsidR="008D4852" w:rsidRPr="008D4852" w14:paraId="3A2D38E0" w14:textId="77777777" w:rsidTr="00CA71ED">
        <w:trPr>
          <w:jc w:val="center"/>
        </w:trPr>
        <w:tc>
          <w:tcPr>
            <w:tcW w:w="0" w:type="auto"/>
            <w:tcBorders>
              <w:top w:val="single" w:sz="4" w:space="0" w:color="auto"/>
              <w:bottom w:val="single" w:sz="4" w:space="0" w:color="auto"/>
            </w:tcBorders>
          </w:tcPr>
          <w:p w14:paraId="0D45D50E" w14:textId="77777777" w:rsidR="00200D27" w:rsidRPr="008D4852" w:rsidRDefault="00200D27" w:rsidP="00321C14">
            <w:pPr>
              <w:pStyle w:val="PlainText"/>
              <w:spacing w:line="360" w:lineRule="auto"/>
              <w:rPr>
                <w:rFonts w:asciiTheme="minorHAnsi" w:hAnsiTheme="minorHAnsi" w:cs="Courier New"/>
                <w:sz w:val="22"/>
                <w:szCs w:val="22"/>
                <w:lang w:val="en-US"/>
              </w:rPr>
            </w:pPr>
            <w:r w:rsidRPr="008D4852">
              <w:rPr>
                <w:rFonts w:asciiTheme="minorHAnsi" w:hAnsiTheme="minorHAnsi" w:cs="Courier New"/>
                <w:sz w:val="22"/>
                <w:szCs w:val="22"/>
                <w:lang w:val="en-US"/>
              </w:rPr>
              <w:t>Age</w:t>
            </w:r>
          </w:p>
          <w:p w14:paraId="42EB7979" w14:textId="267D68FB" w:rsidR="00C36465" w:rsidRPr="008D4852" w:rsidRDefault="00C36465" w:rsidP="00321C14">
            <w:pPr>
              <w:pStyle w:val="PlainText"/>
              <w:spacing w:line="360" w:lineRule="auto"/>
              <w:rPr>
                <w:rFonts w:asciiTheme="minorHAnsi" w:hAnsiTheme="minorHAnsi" w:cs="Courier New"/>
                <w:sz w:val="22"/>
                <w:szCs w:val="22"/>
                <w:lang w:val="en-US"/>
              </w:rPr>
            </w:pPr>
            <w:r w:rsidRPr="008D4852">
              <w:rPr>
                <w:rFonts w:asciiTheme="minorHAnsi" w:hAnsiTheme="minorHAnsi" w:cs="Courier New"/>
                <w:sz w:val="22"/>
                <w:szCs w:val="22"/>
                <w:lang w:val="en-US"/>
              </w:rPr>
              <w:t>(</w:t>
            </w:r>
            <w:r w:rsidR="00E74CDE" w:rsidRPr="008D4852">
              <w:rPr>
                <w:rFonts w:asciiTheme="minorHAnsi" w:hAnsiTheme="minorHAnsi" w:cs="Courier New"/>
                <w:sz w:val="22"/>
                <w:szCs w:val="22"/>
                <w:lang w:val="en-US"/>
              </w:rPr>
              <w:t>years)</w:t>
            </w:r>
          </w:p>
        </w:tc>
        <w:tc>
          <w:tcPr>
            <w:tcW w:w="0" w:type="auto"/>
            <w:tcBorders>
              <w:top w:val="single" w:sz="4" w:space="0" w:color="auto"/>
              <w:bottom w:val="single" w:sz="4" w:space="0" w:color="auto"/>
            </w:tcBorders>
          </w:tcPr>
          <w:p w14:paraId="5E9FE867" w14:textId="1B058766" w:rsidR="00200D27" w:rsidRPr="008D4852" w:rsidRDefault="005B5CD2" w:rsidP="00321C14">
            <w:pPr>
              <w:pStyle w:val="PlainText"/>
              <w:spacing w:line="360" w:lineRule="auto"/>
              <w:jc w:val="center"/>
              <w:rPr>
                <w:rFonts w:asciiTheme="minorHAnsi" w:hAnsiTheme="minorHAnsi" w:cs="Courier New"/>
                <w:sz w:val="22"/>
                <w:szCs w:val="22"/>
                <w:lang w:val="en-US"/>
              </w:rPr>
            </w:pPr>
            <w:r w:rsidRPr="008D4852">
              <w:rPr>
                <w:rFonts w:asciiTheme="minorHAnsi" w:hAnsiTheme="minorHAnsi" w:cstheme="minorHAnsi"/>
                <w:sz w:val="22"/>
                <w:szCs w:val="22"/>
                <w:lang w:val="en-GB" w:eastAsia="en-GB"/>
              </w:rPr>
              <w:t xml:space="preserve">Intervention </w:t>
            </w:r>
            <w:r w:rsidR="00F65E88" w:rsidRPr="008D4852">
              <w:rPr>
                <w:rFonts w:asciiTheme="minorHAnsi" w:hAnsiTheme="minorHAnsi" w:cstheme="minorHAnsi"/>
                <w:sz w:val="22"/>
                <w:szCs w:val="22"/>
                <w:lang w:val="en-GB" w:eastAsia="en-GB"/>
              </w:rPr>
              <w:br/>
            </w:r>
            <w:proofErr w:type="spellStart"/>
            <w:r w:rsidRPr="008D4852">
              <w:rPr>
                <w:rFonts w:asciiTheme="minorHAnsi" w:hAnsiTheme="minorHAnsi" w:cstheme="minorHAnsi"/>
                <w:sz w:val="22"/>
                <w:szCs w:val="22"/>
                <w:lang w:val="en-GB" w:eastAsia="en-GB"/>
              </w:rPr>
              <w:t>threshold</w:t>
            </w:r>
            <w:r w:rsidRPr="008D4852">
              <w:rPr>
                <w:rFonts w:asciiTheme="minorHAnsi" w:hAnsiTheme="minorHAnsi" w:cstheme="minorHAnsi"/>
                <w:sz w:val="22"/>
                <w:szCs w:val="22"/>
                <w:vertAlign w:val="superscript"/>
                <w:lang w:val="en-GB" w:eastAsia="en-GB"/>
              </w:rPr>
              <w:t>a</w:t>
            </w:r>
            <w:proofErr w:type="spellEnd"/>
            <w:r w:rsidR="00F65E88" w:rsidRPr="008D4852">
              <w:rPr>
                <w:rFonts w:asciiTheme="minorHAnsi" w:hAnsiTheme="minorHAnsi" w:cstheme="minorHAnsi"/>
                <w:sz w:val="22"/>
                <w:szCs w:val="22"/>
                <w:vertAlign w:val="superscript"/>
                <w:lang w:val="en-GB" w:eastAsia="en-GB"/>
              </w:rPr>
              <w:t xml:space="preserve"> </w:t>
            </w:r>
            <w:r w:rsidR="00F65E88" w:rsidRPr="008D4852">
              <w:rPr>
                <w:rFonts w:asciiTheme="minorHAnsi" w:hAnsiTheme="minorHAnsi" w:cstheme="minorHAnsi"/>
                <w:sz w:val="22"/>
                <w:szCs w:val="22"/>
                <w:lang w:val="en-GB" w:eastAsia="en-GB"/>
              </w:rPr>
              <w:t>(%)</w:t>
            </w:r>
          </w:p>
        </w:tc>
        <w:tc>
          <w:tcPr>
            <w:tcW w:w="0" w:type="auto"/>
            <w:tcBorders>
              <w:top w:val="single" w:sz="4" w:space="0" w:color="auto"/>
              <w:bottom w:val="single" w:sz="4" w:space="0" w:color="auto"/>
            </w:tcBorders>
          </w:tcPr>
          <w:p w14:paraId="2F7934D9" w14:textId="1826AB35" w:rsidR="009133E1" w:rsidRPr="008D4852" w:rsidRDefault="005B5CD2" w:rsidP="00321C14">
            <w:pPr>
              <w:pStyle w:val="PlainText"/>
              <w:spacing w:line="360" w:lineRule="auto"/>
              <w:jc w:val="center"/>
              <w:rPr>
                <w:rFonts w:asciiTheme="minorHAnsi" w:hAnsiTheme="minorHAnsi" w:cstheme="minorHAnsi"/>
                <w:sz w:val="22"/>
                <w:szCs w:val="22"/>
                <w:lang w:val="en-GB" w:eastAsia="en-GB"/>
              </w:rPr>
            </w:pPr>
            <w:r w:rsidRPr="008D4852">
              <w:rPr>
                <w:rFonts w:asciiTheme="minorHAnsi" w:hAnsiTheme="minorHAnsi" w:cs="Courier New"/>
                <w:sz w:val="22"/>
                <w:szCs w:val="22"/>
                <w:lang w:val="en-US"/>
              </w:rPr>
              <w:t>Lower</w:t>
            </w:r>
            <w:r w:rsidR="00F65E88" w:rsidRPr="008D4852">
              <w:rPr>
                <w:rFonts w:asciiTheme="minorHAnsi" w:hAnsiTheme="minorHAnsi" w:cs="Courier New"/>
                <w:sz w:val="22"/>
                <w:szCs w:val="22"/>
                <w:lang w:val="en-US"/>
              </w:rPr>
              <w:t xml:space="preserve"> </w:t>
            </w:r>
            <w:r w:rsidR="00F65E88" w:rsidRPr="008D4852">
              <w:rPr>
                <w:rFonts w:asciiTheme="minorHAnsi" w:hAnsiTheme="minorHAnsi" w:cstheme="minorHAnsi"/>
                <w:sz w:val="22"/>
                <w:szCs w:val="22"/>
                <w:lang w:val="en-GB" w:eastAsia="en-GB"/>
              </w:rPr>
              <w:t>assessment</w:t>
            </w:r>
          </w:p>
          <w:p w14:paraId="37A3A244" w14:textId="41471869" w:rsidR="00200D27" w:rsidRPr="008D4852" w:rsidRDefault="00F65E88" w:rsidP="00321C14">
            <w:pPr>
              <w:pStyle w:val="PlainText"/>
              <w:spacing w:line="360" w:lineRule="auto"/>
              <w:jc w:val="center"/>
              <w:rPr>
                <w:rFonts w:asciiTheme="minorHAnsi" w:hAnsiTheme="minorHAnsi" w:cs="Courier New"/>
                <w:sz w:val="22"/>
                <w:szCs w:val="22"/>
                <w:lang w:val="en-US"/>
              </w:rPr>
            </w:pPr>
            <w:r w:rsidRPr="008D4852">
              <w:rPr>
                <w:rFonts w:asciiTheme="minorHAnsi" w:hAnsiTheme="minorHAnsi" w:cstheme="minorHAnsi"/>
                <w:sz w:val="22"/>
                <w:szCs w:val="22"/>
                <w:lang w:val="en-GB" w:eastAsia="en-GB"/>
              </w:rPr>
              <w:t>threshold</w:t>
            </w:r>
            <w:r w:rsidR="005B5CD2" w:rsidRPr="008D4852">
              <w:rPr>
                <w:rFonts w:asciiTheme="minorHAnsi" w:hAnsiTheme="minorHAnsi" w:cs="Courier New"/>
                <w:sz w:val="22"/>
                <w:szCs w:val="22"/>
                <w:vertAlign w:val="superscript"/>
                <w:lang w:val="en-US"/>
              </w:rPr>
              <w:t>b</w:t>
            </w:r>
            <w:r w:rsidR="009133E1" w:rsidRPr="008D4852">
              <w:rPr>
                <w:rFonts w:asciiTheme="minorHAnsi" w:hAnsiTheme="minorHAnsi" w:cs="Courier New"/>
                <w:sz w:val="22"/>
                <w:szCs w:val="22"/>
                <w:lang w:val="en-US"/>
              </w:rPr>
              <w:t xml:space="preserve"> (%)</w:t>
            </w:r>
          </w:p>
        </w:tc>
        <w:tc>
          <w:tcPr>
            <w:tcW w:w="0" w:type="auto"/>
            <w:tcBorders>
              <w:top w:val="single" w:sz="4" w:space="0" w:color="auto"/>
              <w:bottom w:val="single" w:sz="4" w:space="0" w:color="auto"/>
            </w:tcBorders>
          </w:tcPr>
          <w:p w14:paraId="533E6493" w14:textId="1E82DD95" w:rsidR="009133E1" w:rsidRPr="008D4852" w:rsidRDefault="005B5CD2" w:rsidP="00321C14">
            <w:pPr>
              <w:pStyle w:val="PlainText"/>
              <w:spacing w:line="360" w:lineRule="auto"/>
              <w:jc w:val="center"/>
              <w:rPr>
                <w:rFonts w:asciiTheme="minorHAnsi" w:hAnsiTheme="minorHAnsi" w:cs="Courier New"/>
                <w:sz w:val="22"/>
                <w:szCs w:val="22"/>
                <w:lang w:val="en-US"/>
              </w:rPr>
            </w:pPr>
            <w:r w:rsidRPr="008D4852">
              <w:rPr>
                <w:rFonts w:asciiTheme="minorHAnsi" w:hAnsiTheme="minorHAnsi" w:cs="Courier New"/>
                <w:sz w:val="22"/>
                <w:szCs w:val="22"/>
                <w:lang w:val="en-US"/>
              </w:rPr>
              <w:t>Upper</w:t>
            </w:r>
            <w:r w:rsidR="00F65E88" w:rsidRPr="008D4852">
              <w:rPr>
                <w:rFonts w:asciiTheme="minorHAnsi" w:hAnsiTheme="minorHAnsi" w:cs="Courier New"/>
                <w:sz w:val="22"/>
                <w:szCs w:val="22"/>
                <w:lang w:val="en-US"/>
              </w:rPr>
              <w:t xml:space="preserve"> assessment</w:t>
            </w:r>
          </w:p>
          <w:p w14:paraId="1B94E54B" w14:textId="5A3C3733" w:rsidR="00200D27" w:rsidRPr="008D4852" w:rsidRDefault="00F65E88" w:rsidP="00321C14">
            <w:pPr>
              <w:pStyle w:val="PlainText"/>
              <w:spacing w:line="360" w:lineRule="auto"/>
              <w:jc w:val="center"/>
              <w:rPr>
                <w:rFonts w:asciiTheme="minorHAnsi" w:hAnsiTheme="minorHAnsi" w:cs="Courier New"/>
                <w:sz w:val="22"/>
                <w:szCs w:val="22"/>
                <w:lang w:val="en-US"/>
              </w:rPr>
            </w:pPr>
            <w:proofErr w:type="spellStart"/>
            <w:r w:rsidRPr="008D4852">
              <w:rPr>
                <w:rFonts w:asciiTheme="minorHAnsi" w:hAnsiTheme="minorHAnsi" w:cs="Courier New"/>
                <w:sz w:val="22"/>
                <w:szCs w:val="22"/>
                <w:lang w:val="en-US"/>
              </w:rPr>
              <w:t>threshold</w:t>
            </w:r>
            <w:r w:rsidR="005B5CD2" w:rsidRPr="008D4852">
              <w:rPr>
                <w:rFonts w:asciiTheme="minorHAnsi" w:hAnsiTheme="minorHAnsi" w:cs="Courier New"/>
                <w:sz w:val="22"/>
                <w:szCs w:val="22"/>
                <w:vertAlign w:val="superscript"/>
                <w:lang w:val="en-US"/>
              </w:rPr>
              <w:t>c</w:t>
            </w:r>
            <w:proofErr w:type="spellEnd"/>
            <w:r w:rsidR="009133E1" w:rsidRPr="008D4852">
              <w:rPr>
                <w:rFonts w:asciiTheme="minorHAnsi" w:hAnsiTheme="minorHAnsi" w:cs="Courier New"/>
                <w:sz w:val="22"/>
                <w:szCs w:val="22"/>
                <w:lang w:val="en-US"/>
              </w:rPr>
              <w:t xml:space="preserve"> </w:t>
            </w:r>
            <w:r w:rsidR="009133E1" w:rsidRPr="008D4852">
              <w:rPr>
                <w:rFonts w:asciiTheme="minorHAnsi" w:hAnsiTheme="minorHAnsi" w:cstheme="minorHAnsi"/>
                <w:sz w:val="22"/>
                <w:szCs w:val="22"/>
                <w:lang w:val="en-GB" w:eastAsia="en-GB"/>
              </w:rPr>
              <w:t>(%)</w:t>
            </w:r>
          </w:p>
        </w:tc>
      </w:tr>
      <w:tr w:rsidR="00376F83" w:rsidRPr="008D4852" w14:paraId="02A19F26" w14:textId="77777777" w:rsidTr="00B47599">
        <w:trPr>
          <w:jc w:val="center"/>
        </w:trPr>
        <w:tc>
          <w:tcPr>
            <w:tcW w:w="0" w:type="auto"/>
          </w:tcPr>
          <w:p w14:paraId="73EBBFEA" w14:textId="256F08AC" w:rsidR="00376F83" w:rsidRPr="008D4852" w:rsidRDefault="00376F83" w:rsidP="00376F83">
            <w:pPr>
              <w:pStyle w:val="PlainText"/>
              <w:rPr>
                <w:rFonts w:asciiTheme="minorHAnsi" w:hAnsiTheme="minorHAnsi" w:cs="Courier New"/>
                <w:sz w:val="22"/>
                <w:szCs w:val="22"/>
                <w:lang w:val="en-US"/>
              </w:rPr>
            </w:pPr>
            <w:r>
              <w:rPr>
                <w:rFonts w:asciiTheme="minorHAnsi" w:hAnsiTheme="minorHAnsi" w:cstheme="minorHAnsi"/>
                <w:sz w:val="22"/>
                <w:szCs w:val="22"/>
                <w:lang w:val="en-US"/>
              </w:rPr>
              <w:t>40</w:t>
            </w:r>
          </w:p>
        </w:tc>
        <w:tc>
          <w:tcPr>
            <w:tcW w:w="0" w:type="auto"/>
          </w:tcPr>
          <w:p w14:paraId="362E6C58" w14:textId="039414AA"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1.51</w:t>
            </w:r>
          </w:p>
        </w:tc>
        <w:tc>
          <w:tcPr>
            <w:tcW w:w="0" w:type="auto"/>
          </w:tcPr>
          <w:p w14:paraId="2DFF3B05" w14:textId="2A2DB575"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0.65</w:t>
            </w:r>
          </w:p>
        </w:tc>
        <w:tc>
          <w:tcPr>
            <w:tcW w:w="0" w:type="auto"/>
            <w:vAlign w:val="bottom"/>
          </w:tcPr>
          <w:p w14:paraId="3387FA7F" w14:textId="5BD27F91" w:rsidR="00376F83" w:rsidRPr="008D4852" w:rsidRDefault="00376F83" w:rsidP="00376F83">
            <w:pPr>
              <w:jc w:val="center"/>
              <w:rPr>
                <w:rFonts w:cstheme="minorHAnsi"/>
                <w:sz w:val="22"/>
                <w:szCs w:val="22"/>
              </w:rPr>
            </w:pPr>
            <w:r>
              <w:rPr>
                <w:rFonts w:cstheme="minorHAnsi"/>
                <w:color w:val="000000"/>
              </w:rPr>
              <w:t>1.81</w:t>
            </w:r>
          </w:p>
        </w:tc>
      </w:tr>
      <w:tr w:rsidR="00376F83" w:rsidRPr="008D4852" w14:paraId="7A8B7FE4" w14:textId="77777777" w:rsidTr="00CA71ED">
        <w:trPr>
          <w:jc w:val="center"/>
        </w:trPr>
        <w:tc>
          <w:tcPr>
            <w:tcW w:w="0" w:type="auto"/>
          </w:tcPr>
          <w:p w14:paraId="0D633373" w14:textId="084471D9" w:rsidR="00376F83" w:rsidRPr="008D4852" w:rsidRDefault="00376F83" w:rsidP="00376F83">
            <w:pPr>
              <w:pStyle w:val="PlainText"/>
              <w:rPr>
                <w:rFonts w:asciiTheme="minorHAnsi" w:hAnsiTheme="minorHAnsi" w:cs="Courier New"/>
                <w:sz w:val="22"/>
                <w:szCs w:val="22"/>
                <w:lang w:val="en-US"/>
              </w:rPr>
            </w:pPr>
            <w:r>
              <w:rPr>
                <w:rFonts w:asciiTheme="minorHAnsi" w:hAnsiTheme="minorHAnsi" w:cstheme="minorHAnsi"/>
                <w:sz w:val="22"/>
                <w:szCs w:val="22"/>
                <w:lang w:val="en-US"/>
              </w:rPr>
              <w:t>45</w:t>
            </w:r>
          </w:p>
        </w:tc>
        <w:tc>
          <w:tcPr>
            <w:tcW w:w="0" w:type="auto"/>
          </w:tcPr>
          <w:p w14:paraId="31B97090" w14:textId="31C94F8A"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1.95</w:t>
            </w:r>
          </w:p>
        </w:tc>
        <w:tc>
          <w:tcPr>
            <w:tcW w:w="0" w:type="auto"/>
          </w:tcPr>
          <w:p w14:paraId="32200E1E" w14:textId="5B8B5F49"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0.85</w:t>
            </w:r>
          </w:p>
        </w:tc>
        <w:tc>
          <w:tcPr>
            <w:tcW w:w="0" w:type="auto"/>
            <w:vAlign w:val="bottom"/>
          </w:tcPr>
          <w:p w14:paraId="12CA6B85" w14:textId="22CFA2A3" w:rsidR="00376F83" w:rsidRPr="008D4852" w:rsidRDefault="00376F83" w:rsidP="00376F83">
            <w:pPr>
              <w:jc w:val="center"/>
              <w:rPr>
                <w:rFonts w:cstheme="minorHAnsi"/>
                <w:sz w:val="22"/>
                <w:szCs w:val="22"/>
              </w:rPr>
            </w:pPr>
            <w:r>
              <w:rPr>
                <w:rFonts w:cstheme="minorHAnsi"/>
                <w:color w:val="000000"/>
              </w:rPr>
              <w:t>2.34</w:t>
            </w:r>
          </w:p>
        </w:tc>
      </w:tr>
      <w:tr w:rsidR="00376F83" w:rsidRPr="008D4852" w14:paraId="79E48234" w14:textId="77777777" w:rsidTr="00CA71ED">
        <w:trPr>
          <w:jc w:val="center"/>
        </w:trPr>
        <w:tc>
          <w:tcPr>
            <w:tcW w:w="0" w:type="auto"/>
          </w:tcPr>
          <w:p w14:paraId="54B63EF8" w14:textId="02FA50A7" w:rsidR="00376F83" w:rsidRPr="008D4852" w:rsidRDefault="00376F83" w:rsidP="00376F83">
            <w:pPr>
              <w:pStyle w:val="PlainText"/>
              <w:rPr>
                <w:rFonts w:asciiTheme="minorHAnsi" w:hAnsiTheme="minorHAnsi" w:cs="Courier New"/>
                <w:sz w:val="22"/>
                <w:szCs w:val="22"/>
                <w:lang w:val="en-US"/>
              </w:rPr>
            </w:pPr>
            <w:r>
              <w:rPr>
                <w:rFonts w:asciiTheme="minorHAnsi" w:hAnsiTheme="minorHAnsi" w:cstheme="minorHAnsi"/>
                <w:sz w:val="22"/>
                <w:szCs w:val="22"/>
                <w:lang w:val="en-US"/>
              </w:rPr>
              <w:t>50</w:t>
            </w:r>
          </w:p>
        </w:tc>
        <w:tc>
          <w:tcPr>
            <w:tcW w:w="0" w:type="auto"/>
          </w:tcPr>
          <w:p w14:paraId="6E9A94B8" w14:textId="1376A60D"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2.96</w:t>
            </w:r>
          </w:p>
        </w:tc>
        <w:tc>
          <w:tcPr>
            <w:tcW w:w="0" w:type="auto"/>
          </w:tcPr>
          <w:p w14:paraId="3B4854E0" w14:textId="7ACFE9C4"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1.32</w:t>
            </w:r>
          </w:p>
        </w:tc>
        <w:tc>
          <w:tcPr>
            <w:tcW w:w="0" w:type="auto"/>
            <w:vAlign w:val="bottom"/>
          </w:tcPr>
          <w:p w14:paraId="60ECDCEE" w14:textId="083F6BB3" w:rsidR="00376F83" w:rsidRPr="008D4852" w:rsidRDefault="00376F83" w:rsidP="00376F83">
            <w:pPr>
              <w:jc w:val="center"/>
              <w:rPr>
                <w:rFonts w:cstheme="minorHAnsi"/>
                <w:sz w:val="22"/>
                <w:szCs w:val="22"/>
              </w:rPr>
            </w:pPr>
            <w:r>
              <w:rPr>
                <w:rFonts w:cstheme="minorHAnsi"/>
                <w:color w:val="000000"/>
              </w:rPr>
              <w:t>3.56</w:t>
            </w:r>
          </w:p>
        </w:tc>
      </w:tr>
      <w:tr w:rsidR="00376F83" w:rsidRPr="008D4852" w14:paraId="746B3F34" w14:textId="77777777" w:rsidTr="00CA71ED">
        <w:trPr>
          <w:jc w:val="center"/>
        </w:trPr>
        <w:tc>
          <w:tcPr>
            <w:tcW w:w="0" w:type="auto"/>
          </w:tcPr>
          <w:p w14:paraId="4E640CBC" w14:textId="66D8E9A5" w:rsidR="00376F83" w:rsidRPr="008D4852" w:rsidRDefault="00376F83" w:rsidP="00376F83">
            <w:pPr>
              <w:pStyle w:val="PlainText"/>
              <w:rPr>
                <w:rFonts w:asciiTheme="minorHAnsi" w:hAnsiTheme="minorHAnsi" w:cs="Courier New"/>
                <w:sz w:val="22"/>
                <w:szCs w:val="22"/>
                <w:lang w:val="en-US"/>
              </w:rPr>
            </w:pPr>
            <w:r>
              <w:rPr>
                <w:rFonts w:asciiTheme="minorHAnsi" w:hAnsiTheme="minorHAnsi" w:cstheme="minorHAnsi"/>
                <w:sz w:val="22"/>
                <w:szCs w:val="22"/>
                <w:lang w:val="en-US"/>
              </w:rPr>
              <w:t>55</w:t>
            </w:r>
          </w:p>
        </w:tc>
        <w:tc>
          <w:tcPr>
            <w:tcW w:w="0" w:type="auto"/>
          </w:tcPr>
          <w:p w14:paraId="6F496E46" w14:textId="595BFC32"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4.94</w:t>
            </w:r>
          </w:p>
        </w:tc>
        <w:tc>
          <w:tcPr>
            <w:tcW w:w="0" w:type="auto"/>
          </w:tcPr>
          <w:p w14:paraId="6F18556F" w14:textId="77F5EE5A"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2.26</w:t>
            </w:r>
          </w:p>
        </w:tc>
        <w:tc>
          <w:tcPr>
            <w:tcW w:w="0" w:type="auto"/>
            <w:vAlign w:val="bottom"/>
          </w:tcPr>
          <w:p w14:paraId="139273A5" w14:textId="31583D84" w:rsidR="00376F83" w:rsidRPr="008D4852" w:rsidRDefault="00376F83" w:rsidP="00376F83">
            <w:pPr>
              <w:jc w:val="center"/>
              <w:rPr>
                <w:rFonts w:cstheme="minorHAnsi"/>
                <w:sz w:val="22"/>
                <w:szCs w:val="22"/>
              </w:rPr>
            </w:pPr>
            <w:r>
              <w:rPr>
                <w:rFonts w:cstheme="minorHAnsi"/>
                <w:color w:val="000000"/>
              </w:rPr>
              <w:t>5.93</w:t>
            </w:r>
          </w:p>
        </w:tc>
      </w:tr>
      <w:tr w:rsidR="00376F83" w:rsidRPr="008D4852" w14:paraId="6AF25312" w14:textId="77777777" w:rsidTr="00CA71ED">
        <w:trPr>
          <w:jc w:val="center"/>
        </w:trPr>
        <w:tc>
          <w:tcPr>
            <w:tcW w:w="0" w:type="auto"/>
          </w:tcPr>
          <w:p w14:paraId="5164ABEB" w14:textId="4B4F9047" w:rsidR="00376F83" w:rsidRPr="008D4852" w:rsidRDefault="00376F83" w:rsidP="00376F83">
            <w:pPr>
              <w:pStyle w:val="PlainText"/>
              <w:rPr>
                <w:rFonts w:asciiTheme="minorHAnsi" w:hAnsiTheme="minorHAnsi" w:cs="Courier New"/>
                <w:sz w:val="22"/>
                <w:szCs w:val="22"/>
                <w:lang w:val="en-US"/>
              </w:rPr>
            </w:pPr>
            <w:r>
              <w:rPr>
                <w:rFonts w:asciiTheme="minorHAnsi" w:hAnsiTheme="minorHAnsi" w:cstheme="minorHAnsi"/>
                <w:sz w:val="22"/>
                <w:szCs w:val="22"/>
                <w:lang w:val="en-US"/>
              </w:rPr>
              <w:t>60</w:t>
            </w:r>
          </w:p>
        </w:tc>
        <w:tc>
          <w:tcPr>
            <w:tcW w:w="0" w:type="auto"/>
          </w:tcPr>
          <w:p w14:paraId="1E24444B" w14:textId="0D2787A4"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8.35</w:t>
            </w:r>
          </w:p>
        </w:tc>
        <w:tc>
          <w:tcPr>
            <w:tcW w:w="0" w:type="auto"/>
          </w:tcPr>
          <w:p w14:paraId="705CB6A1" w14:textId="34E637CA"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3.95</w:t>
            </w:r>
          </w:p>
        </w:tc>
        <w:tc>
          <w:tcPr>
            <w:tcW w:w="0" w:type="auto"/>
            <w:vAlign w:val="bottom"/>
          </w:tcPr>
          <w:p w14:paraId="2FD71FF9" w14:textId="66B34587" w:rsidR="00376F83" w:rsidRPr="008D4852" w:rsidRDefault="00376F83" w:rsidP="00376F83">
            <w:pPr>
              <w:jc w:val="center"/>
              <w:rPr>
                <w:rFonts w:cstheme="minorHAnsi"/>
                <w:sz w:val="22"/>
                <w:szCs w:val="22"/>
              </w:rPr>
            </w:pPr>
            <w:r>
              <w:rPr>
                <w:rFonts w:cstheme="minorHAnsi"/>
                <w:color w:val="000000"/>
              </w:rPr>
              <w:t>10.02</w:t>
            </w:r>
          </w:p>
        </w:tc>
      </w:tr>
      <w:tr w:rsidR="00376F83" w:rsidRPr="008D4852" w14:paraId="702DE526" w14:textId="77777777" w:rsidTr="00CA71ED">
        <w:trPr>
          <w:jc w:val="center"/>
        </w:trPr>
        <w:tc>
          <w:tcPr>
            <w:tcW w:w="0" w:type="auto"/>
          </w:tcPr>
          <w:p w14:paraId="6D69BB8B" w14:textId="4067D5FA" w:rsidR="00376F83" w:rsidRPr="00E95924" w:rsidRDefault="00376F83" w:rsidP="00376F83">
            <w:pPr>
              <w:pStyle w:val="PlainText"/>
              <w:rPr>
                <w:rFonts w:asciiTheme="minorHAnsi" w:hAnsiTheme="minorHAnsi" w:cs="Courier New"/>
                <w:sz w:val="22"/>
                <w:szCs w:val="22"/>
                <w:lang w:val="en-US"/>
              </w:rPr>
            </w:pPr>
            <w:r>
              <w:rPr>
                <w:rFonts w:asciiTheme="minorHAnsi" w:hAnsiTheme="minorHAnsi" w:cstheme="minorHAnsi"/>
                <w:sz w:val="22"/>
                <w:szCs w:val="22"/>
                <w:lang w:val="en-US"/>
              </w:rPr>
              <w:t>65</w:t>
            </w:r>
          </w:p>
        </w:tc>
        <w:tc>
          <w:tcPr>
            <w:tcW w:w="0" w:type="auto"/>
          </w:tcPr>
          <w:p w14:paraId="0C4CB3D1" w14:textId="3DC61E84" w:rsidR="00376F83" w:rsidRPr="00E95924"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13.07</w:t>
            </w:r>
          </w:p>
        </w:tc>
        <w:tc>
          <w:tcPr>
            <w:tcW w:w="0" w:type="auto"/>
          </w:tcPr>
          <w:p w14:paraId="759B1730" w14:textId="581F124A" w:rsidR="00376F83" w:rsidRPr="00E95924"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6.51</w:t>
            </w:r>
          </w:p>
        </w:tc>
        <w:tc>
          <w:tcPr>
            <w:tcW w:w="0" w:type="auto"/>
            <w:vAlign w:val="bottom"/>
          </w:tcPr>
          <w:p w14:paraId="59D58A77" w14:textId="0EEA9FBA" w:rsidR="00376F83" w:rsidRPr="008D4852" w:rsidRDefault="00376F83" w:rsidP="00376F83">
            <w:pPr>
              <w:jc w:val="center"/>
              <w:rPr>
                <w:rFonts w:cstheme="minorHAnsi"/>
                <w:sz w:val="22"/>
                <w:szCs w:val="22"/>
              </w:rPr>
            </w:pPr>
            <w:r>
              <w:rPr>
                <w:rFonts w:cstheme="minorHAnsi"/>
                <w:color w:val="000000"/>
              </w:rPr>
              <w:t>15.68</w:t>
            </w:r>
          </w:p>
        </w:tc>
      </w:tr>
      <w:tr w:rsidR="00376F83" w:rsidRPr="008D4852" w14:paraId="5B326613" w14:textId="77777777" w:rsidTr="00CA71ED">
        <w:trPr>
          <w:jc w:val="center"/>
        </w:trPr>
        <w:tc>
          <w:tcPr>
            <w:tcW w:w="0" w:type="auto"/>
          </w:tcPr>
          <w:p w14:paraId="2BBCCE8E" w14:textId="19B28AF5" w:rsidR="00376F83" w:rsidRPr="008D4852" w:rsidRDefault="00376F83" w:rsidP="00376F83">
            <w:pPr>
              <w:pStyle w:val="PlainText"/>
              <w:rPr>
                <w:rFonts w:asciiTheme="minorHAnsi" w:hAnsiTheme="minorHAnsi" w:cs="Courier New"/>
                <w:sz w:val="22"/>
                <w:szCs w:val="22"/>
                <w:lang w:val="en-US"/>
              </w:rPr>
            </w:pPr>
            <w:r>
              <w:rPr>
                <w:rFonts w:asciiTheme="minorHAnsi" w:hAnsiTheme="minorHAnsi" w:cstheme="minorHAnsi"/>
                <w:sz w:val="22"/>
                <w:szCs w:val="22"/>
                <w:lang w:val="en-US"/>
              </w:rPr>
              <w:t>70</w:t>
            </w:r>
          </w:p>
        </w:tc>
        <w:tc>
          <w:tcPr>
            <w:tcW w:w="0" w:type="auto"/>
          </w:tcPr>
          <w:p w14:paraId="054CD8DC" w14:textId="71D0A8BF"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19.87</w:t>
            </w:r>
          </w:p>
        </w:tc>
        <w:tc>
          <w:tcPr>
            <w:tcW w:w="0" w:type="auto"/>
          </w:tcPr>
          <w:p w14:paraId="70281708" w14:textId="0F3D44C2"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10.68</w:t>
            </w:r>
          </w:p>
        </w:tc>
        <w:tc>
          <w:tcPr>
            <w:tcW w:w="0" w:type="auto"/>
            <w:vAlign w:val="bottom"/>
          </w:tcPr>
          <w:p w14:paraId="4D088711" w14:textId="18EAAE56" w:rsidR="00376F83" w:rsidRPr="008D4852" w:rsidRDefault="00376F83" w:rsidP="00376F83">
            <w:pPr>
              <w:jc w:val="center"/>
              <w:rPr>
                <w:rFonts w:cstheme="minorHAnsi"/>
                <w:sz w:val="22"/>
                <w:szCs w:val="22"/>
              </w:rPr>
            </w:pPr>
            <w:r>
              <w:rPr>
                <w:rFonts w:cstheme="minorHAnsi"/>
                <w:color w:val="000000"/>
              </w:rPr>
              <w:t>23.85</w:t>
            </w:r>
          </w:p>
        </w:tc>
      </w:tr>
      <w:tr w:rsidR="00376F83" w:rsidRPr="008D4852" w14:paraId="60735D71" w14:textId="77777777" w:rsidTr="00CA71ED">
        <w:trPr>
          <w:jc w:val="center"/>
        </w:trPr>
        <w:tc>
          <w:tcPr>
            <w:tcW w:w="0" w:type="auto"/>
          </w:tcPr>
          <w:p w14:paraId="3782CB02" w14:textId="4554F70E" w:rsidR="00376F83" w:rsidRPr="008D4852" w:rsidRDefault="00376F83" w:rsidP="00376F83">
            <w:pPr>
              <w:pStyle w:val="PlainText"/>
              <w:rPr>
                <w:rFonts w:asciiTheme="minorHAnsi" w:hAnsiTheme="minorHAnsi" w:cs="Courier New"/>
                <w:sz w:val="22"/>
                <w:szCs w:val="22"/>
                <w:lang w:val="en-US"/>
              </w:rPr>
            </w:pPr>
            <w:r>
              <w:rPr>
                <w:rFonts w:asciiTheme="minorHAnsi" w:hAnsiTheme="minorHAnsi" w:cstheme="minorHAnsi"/>
                <w:sz w:val="22"/>
                <w:szCs w:val="22"/>
                <w:lang w:val="en-US"/>
              </w:rPr>
              <w:t>75</w:t>
            </w:r>
          </w:p>
        </w:tc>
        <w:tc>
          <w:tcPr>
            <w:tcW w:w="0" w:type="auto"/>
          </w:tcPr>
          <w:p w14:paraId="2FB2D8FB" w14:textId="66D227F2"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25.67</w:t>
            </w:r>
          </w:p>
        </w:tc>
        <w:tc>
          <w:tcPr>
            <w:tcW w:w="0" w:type="auto"/>
          </w:tcPr>
          <w:p w14:paraId="7B3AD312" w14:textId="65117945"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14.99</w:t>
            </w:r>
          </w:p>
        </w:tc>
        <w:tc>
          <w:tcPr>
            <w:tcW w:w="0" w:type="auto"/>
            <w:vAlign w:val="bottom"/>
          </w:tcPr>
          <w:p w14:paraId="1AC05B18" w14:textId="7166464A" w:rsidR="00376F83" w:rsidRPr="008D4852" w:rsidRDefault="00376F83" w:rsidP="00376F83">
            <w:pPr>
              <w:jc w:val="center"/>
              <w:rPr>
                <w:rFonts w:cstheme="minorHAnsi"/>
                <w:sz w:val="22"/>
                <w:szCs w:val="22"/>
              </w:rPr>
            </w:pPr>
            <w:r>
              <w:rPr>
                <w:rFonts w:cstheme="minorHAnsi"/>
                <w:color w:val="000000"/>
              </w:rPr>
              <w:t>30.80</w:t>
            </w:r>
          </w:p>
        </w:tc>
      </w:tr>
      <w:tr w:rsidR="00376F83" w:rsidRPr="008D4852" w14:paraId="0917F17E" w14:textId="77777777" w:rsidTr="00CA71ED">
        <w:trPr>
          <w:jc w:val="center"/>
        </w:trPr>
        <w:tc>
          <w:tcPr>
            <w:tcW w:w="0" w:type="auto"/>
          </w:tcPr>
          <w:p w14:paraId="44D49AF5" w14:textId="1839CA30" w:rsidR="00376F83" w:rsidRPr="008D4852" w:rsidRDefault="00376F83" w:rsidP="00376F83">
            <w:pPr>
              <w:pStyle w:val="PlainText"/>
              <w:rPr>
                <w:rFonts w:asciiTheme="minorHAnsi" w:hAnsiTheme="minorHAnsi" w:cs="Courier New"/>
                <w:sz w:val="22"/>
                <w:szCs w:val="22"/>
                <w:lang w:val="en-US"/>
              </w:rPr>
            </w:pPr>
            <w:r>
              <w:rPr>
                <w:rFonts w:asciiTheme="minorHAnsi" w:hAnsiTheme="minorHAnsi" w:cstheme="minorHAnsi"/>
                <w:sz w:val="22"/>
                <w:szCs w:val="22"/>
                <w:lang w:val="en-US"/>
              </w:rPr>
              <w:t>80</w:t>
            </w:r>
          </w:p>
        </w:tc>
        <w:tc>
          <w:tcPr>
            <w:tcW w:w="0" w:type="auto"/>
          </w:tcPr>
          <w:p w14:paraId="2B4979DA" w14:textId="4581B317"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28.53</w:t>
            </w:r>
          </w:p>
        </w:tc>
        <w:tc>
          <w:tcPr>
            <w:tcW w:w="0" w:type="auto"/>
          </w:tcPr>
          <w:p w14:paraId="3CD479A9" w14:textId="470DDE97"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18.24</w:t>
            </w:r>
          </w:p>
        </w:tc>
        <w:tc>
          <w:tcPr>
            <w:tcW w:w="0" w:type="auto"/>
            <w:vAlign w:val="bottom"/>
          </w:tcPr>
          <w:p w14:paraId="3E4C1D97" w14:textId="637763C4" w:rsidR="00376F83" w:rsidRPr="008D4852" w:rsidRDefault="00376F83" w:rsidP="00376F83">
            <w:pPr>
              <w:jc w:val="center"/>
              <w:rPr>
                <w:rFonts w:cstheme="minorHAnsi"/>
                <w:sz w:val="22"/>
                <w:szCs w:val="22"/>
              </w:rPr>
            </w:pPr>
            <w:r>
              <w:rPr>
                <w:rFonts w:cstheme="minorHAnsi"/>
                <w:color w:val="000000"/>
              </w:rPr>
              <w:t>34.23</w:t>
            </w:r>
          </w:p>
        </w:tc>
      </w:tr>
      <w:tr w:rsidR="00376F83" w:rsidRPr="008D4852" w14:paraId="43C56A4F" w14:textId="77777777" w:rsidTr="00CA71ED">
        <w:trPr>
          <w:jc w:val="center"/>
        </w:trPr>
        <w:tc>
          <w:tcPr>
            <w:tcW w:w="0" w:type="auto"/>
          </w:tcPr>
          <w:p w14:paraId="769814C2" w14:textId="4F245E3E" w:rsidR="00376F83" w:rsidRPr="008D4852" w:rsidRDefault="00376F83" w:rsidP="00376F83">
            <w:pPr>
              <w:pStyle w:val="PlainText"/>
              <w:rPr>
                <w:rFonts w:asciiTheme="minorHAnsi" w:hAnsiTheme="minorHAnsi" w:cs="Courier New"/>
                <w:sz w:val="22"/>
                <w:szCs w:val="22"/>
                <w:lang w:val="en-US"/>
              </w:rPr>
            </w:pPr>
            <w:r>
              <w:rPr>
                <w:rFonts w:asciiTheme="minorHAnsi" w:hAnsiTheme="minorHAnsi" w:cstheme="minorHAnsi"/>
                <w:sz w:val="22"/>
                <w:szCs w:val="22"/>
                <w:lang w:val="en-US"/>
              </w:rPr>
              <w:t>85</w:t>
            </w:r>
          </w:p>
        </w:tc>
        <w:tc>
          <w:tcPr>
            <w:tcW w:w="0" w:type="auto"/>
          </w:tcPr>
          <w:p w14:paraId="43615A33" w14:textId="3B923EDB"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31.66</w:t>
            </w:r>
          </w:p>
        </w:tc>
        <w:tc>
          <w:tcPr>
            <w:tcW w:w="0" w:type="auto"/>
          </w:tcPr>
          <w:p w14:paraId="08CE3CF5" w14:textId="5A8EC68F"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20.81</w:t>
            </w:r>
          </w:p>
        </w:tc>
        <w:tc>
          <w:tcPr>
            <w:tcW w:w="0" w:type="auto"/>
            <w:vAlign w:val="bottom"/>
          </w:tcPr>
          <w:p w14:paraId="6B054217" w14:textId="4C44B777" w:rsidR="00376F83" w:rsidRPr="008D4852" w:rsidRDefault="00376F83" w:rsidP="00376F83">
            <w:pPr>
              <w:jc w:val="center"/>
              <w:rPr>
                <w:rFonts w:cstheme="minorHAnsi"/>
                <w:sz w:val="22"/>
                <w:szCs w:val="22"/>
              </w:rPr>
            </w:pPr>
            <w:r>
              <w:rPr>
                <w:rFonts w:cstheme="minorHAnsi"/>
                <w:color w:val="000000"/>
              </w:rPr>
              <w:t>37.99</w:t>
            </w:r>
          </w:p>
        </w:tc>
      </w:tr>
      <w:tr w:rsidR="00376F83" w:rsidRPr="008D4852" w14:paraId="0938F1EC" w14:textId="77777777" w:rsidTr="00CA71ED">
        <w:trPr>
          <w:jc w:val="center"/>
        </w:trPr>
        <w:tc>
          <w:tcPr>
            <w:tcW w:w="0" w:type="auto"/>
          </w:tcPr>
          <w:p w14:paraId="6CE3D963" w14:textId="41404DF6" w:rsidR="00376F83" w:rsidRDefault="00376F83" w:rsidP="00376F83">
            <w:pPr>
              <w:pStyle w:val="PlainText"/>
              <w:rPr>
                <w:rFonts w:asciiTheme="minorHAnsi" w:hAnsiTheme="minorHAnsi" w:cstheme="minorHAnsi"/>
                <w:sz w:val="22"/>
                <w:szCs w:val="22"/>
                <w:lang w:val="en-US"/>
              </w:rPr>
            </w:pPr>
            <w:r>
              <w:rPr>
                <w:rFonts w:asciiTheme="minorHAnsi" w:hAnsiTheme="minorHAnsi" w:cstheme="minorHAnsi"/>
                <w:sz w:val="22"/>
                <w:szCs w:val="22"/>
                <w:lang w:val="en-US"/>
              </w:rPr>
              <w:t>90</w:t>
            </w:r>
          </w:p>
        </w:tc>
        <w:tc>
          <w:tcPr>
            <w:tcW w:w="0" w:type="auto"/>
          </w:tcPr>
          <w:p w14:paraId="7C179E20" w14:textId="748223E8"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31.79</w:t>
            </w:r>
          </w:p>
        </w:tc>
        <w:tc>
          <w:tcPr>
            <w:tcW w:w="0" w:type="auto"/>
          </w:tcPr>
          <w:p w14:paraId="311A38DF" w14:textId="033F26ED" w:rsidR="00376F83" w:rsidRPr="008D4852" w:rsidRDefault="00376F83" w:rsidP="00376F83">
            <w:pPr>
              <w:pStyle w:val="PlainText"/>
              <w:jc w:val="center"/>
              <w:rPr>
                <w:rFonts w:asciiTheme="minorHAnsi" w:hAnsiTheme="minorHAnsi" w:cstheme="minorHAnsi"/>
                <w:sz w:val="22"/>
                <w:szCs w:val="22"/>
                <w:lang w:val="en-US"/>
              </w:rPr>
            </w:pPr>
            <w:r>
              <w:rPr>
                <w:rFonts w:asciiTheme="minorHAnsi" w:hAnsiTheme="minorHAnsi" w:cstheme="minorHAnsi"/>
                <w:sz w:val="22"/>
                <w:szCs w:val="22"/>
                <w:lang w:val="en-US"/>
              </w:rPr>
              <w:t>21.08</w:t>
            </w:r>
          </w:p>
        </w:tc>
        <w:tc>
          <w:tcPr>
            <w:tcW w:w="0" w:type="auto"/>
            <w:vAlign w:val="bottom"/>
          </w:tcPr>
          <w:p w14:paraId="5604979B" w14:textId="28C50BA5" w:rsidR="00376F83" w:rsidRPr="008D4852" w:rsidRDefault="00376F83" w:rsidP="00376F83">
            <w:pPr>
              <w:jc w:val="center"/>
              <w:rPr>
                <w:rFonts w:cstheme="minorHAnsi"/>
              </w:rPr>
            </w:pPr>
            <w:r>
              <w:rPr>
                <w:rFonts w:cstheme="minorHAnsi"/>
                <w:color w:val="000000"/>
              </w:rPr>
              <w:t>38.15</w:t>
            </w:r>
          </w:p>
        </w:tc>
      </w:tr>
    </w:tbl>
    <w:p w14:paraId="5DDF64EE" w14:textId="52FDA655" w:rsidR="00200D27" w:rsidRPr="008D4852" w:rsidRDefault="00200D27" w:rsidP="00827EF0">
      <w:pPr>
        <w:autoSpaceDE w:val="0"/>
        <w:autoSpaceDN w:val="0"/>
        <w:adjustRightInd w:val="0"/>
        <w:spacing w:after="0" w:line="240" w:lineRule="auto"/>
        <w:ind w:left="1134"/>
        <w:rPr>
          <w:rFonts w:asciiTheme="minorHAnsi" w:hAnsiTheme="minorHAnsi" w:cstheme="minorHAnsi"/>
          <w:sz w:val="20"/>
          <w:szCs w:val="20"/>
          <w:lang w:val="en-GB" w:eastAsia="en-GB"/>
        </w:rPr>
      </w:pPr>
      <w:proofErr w:type="spellStart"/>
      <w:r w:rsidRPr="008D4852">
        <w:rPr>
          <w:rFonts w:asciiTheme="minorHAnsi" w:hAnsiTheme="minorHAnsi" w:cstheme="minorHAnsi"/>
          <w:sz w:val="20"/>
          <w:szCs w:val="20"/>
          <w:vertAlign w:val="superscript"/>
          <w:lang w:val="en-GB" w:eastAsia="en-GB"/>
        </w:rPr>
        <w:t>a</w:t>
      </w:r>
      <w:proofErr w:type="spellEnd"/>
      <w:r w:rsidRPr="008D4852">
        <w:rPr>
          <w:rFonts w:asciiTheme="minorHAnsi" w:hAnsiTheme="minorHAnsi" w:cstheme="minorHAnsi"/>
          <w:sz w:val="20"/>
          <w:szCs w:val="20"/>
          <w:lang w:val="en-GB" w:eastAsia="en-GB"/>
        </w:rPr>
        <w:t xml:space="preserve"> </w:t>
      </w:r>
      <w:proofErr w:type="gramStart"/>
      <w:r w:rsidRPr="008D4852">
        <w:rPr>
          <w:rFonts w:asciiTheme="minorHAnsi" w:hAnsiTheme="minorHAnsi" w:cstheme="minorHAnsi"/>
          <w:sz w:val="20"/>
          <w:szCs w:val="20"/>
          <w:lang w:val="en-GB" w:eastAsia="en-GB"/>
        </w:rPr>
        <w:t>The</w:t>
      </w:r>
      <w:proofErr w:type="gramEnd"/>
      <w:r w:rsidRPr="008D4852">
        <w:rPr>
          <w:rFonts w:asciiTheme="minorHAnsi" w:hAnsiTheme="minorHAnsi" w:cstheme="minorHAnsi"/>
          <w:sz w:val="20"/>
          <w:szCs w:val="20"/>
          <w:lang w:val="en-GB" w:eastAsia="en-GB"/>
        </w:rPr>
        <w:t xml:space="preserve"> threshold is the probability of </w:t>
      </w:r>
      <w:r w:rsidR="00AD2F45" w:rsidRPr="008D4852">
        <w:rPr>
          <w:rFonts w:asciiTheme="minorHAnsi" w:hAnsiTheme="minorHAnsi" w:cstheme="minorHAnsi"/>
          <w:sz w:val="20"/>
          <w:szCs w:val="20"/>
          <w:lang w:val="en-GB" w:eastAsia="en-GB"/>
        </w:rPr>
        <w:t xml:space="preserve">a major </w:t>
      </w:r>
      <w:r w:rsidRPr="008D4852">
        <w:rPr>
          <w:rFonts w:asciiTheme="minorHAnsi" w:hAnsiTheme="minorHAnsi" w:cstheme="minorHAnsi"/>
          <w:sz w:val="20"/>
          <w:szCs w:val="20"/>
          <w:lang w:val="en-GB" w:eastAsia="en-GB"/>
        </w:rPr>
        <w:t>osteoporotic fracture for a woman with a previous fracture and no other clinical risk factors</w:t>
      </w:r>
      <w:r w:rsidR="00AF1DF9" w:rsidRPr="008D4852">
        <w:rPr>
          <w:rFonts w:asciiTheme="minorHAnsi" w:hAnsiTheme="minorHAnsi" w:cstheme="minorHAnsi"/>
          <w:sz w:val="20"/>
          <w:szCs w:val="20"/>
          <w:lang w:val="en-GB" w:eastAsia="en-GB"/>
        </w:rPr>
        <w:t xml:space="preserve"> without</w:t>
      </w:r>
      <w:r w:rsidRPr="008D4852">
        <w:rPr>
          <w:rFonts w:asciiTheme="minorHAnsi" w:hAnsiTheme="minorHAnsi" w:cstheme="minorHAnsi"/>
          <w:sz w:val="20"/>
          <w:szCs w:val="20"/>
          <w:lang w:val="en-GB" w:eastAsia="en-GB"/>
        </w:rPr>
        <w:t xml:space="preserve"> BMD</w:t>
      </w:r>
      <w:r w:rsidR="00EF2825" w:rsidRPr="008D4852">
        <w:rPr>
          <w:rFonts w:asciiTheme="minorHAnsi" w:hAnsiTheme="minorHAnsi" w:cstheme="minorHAnsi"/>
          <w:sz w:val="20"/>
          <w:szCs w:val="20"/>
          <w:lang w:val="en-GB" w:eastAsia="en-GB"/>
        </w:rPr>
        <w:t>.</w:t>
      </w:r>
      <w:r w:rsidRPr="008D4852">
        <w:rPr>
          <w:rFonts w:asciiTheme="minorHAnsi" w:hAnsiTheme="minorHAnsi" w:cstheme="minorHAnsi"/>
          <w:sz w:val="20"/>
          <w:szCs w:val="20"/>
          <w:lang w:val="en-GB" w:eastAsia="en-GB"/>
        </w:rPr>
        <w:t xml:space="preserve"> </w:t>
      </w:r>
    </w:p>
    <w:p w14:paraId="7A856C76" w14:textId="087F1211" w:rsidR="00200D27" w:rsidRPr="003564A2" w:rsidRDefault="00200D27" w:rsidP="00827EF0">
      <w:pPr>
        <w:autoSpaceDE w:val="0"/>
        <w:autoSpaceDN w:val="0"/>
        <w:adjustRightInd w:val="0"/>
        <w:spacing w:after="0" w:line="240" w:lineRule="auto"/>
        <w:ind w:left="1134"/>
        <w:rPr>
          <w:rFonts w:asciiTheme="minorHAnsi" w:hAnsiTheme="minorHAnsi" w:cstheme="minorHAnsi"/>
          <w:sz w:val="20"/>
          <w:szCs w:val="20"/>
          <w:lang w:val="en-GB" w:eastAsia="en-GB"/>
        </w:rPr>
      </w:pPr>
      <w:r w:rsidRPr="008D4852">
        <w:rPr>
          <w:rFonts w:asciiTheme="minorHAnsi" w:hAnsiTheme="minorHAnsi" w:cstheme="minorHAnsi"/>
          <w:sz w:val="20"/>
          <w:szCs w:val="20"/>
          <w:vertAlign w:val="superscript"/>
          <w:lang w:val="en-GB" w:eastAsia="en-GB"/>
        </w:rPr>
        <w:t>b</w:t>
      </w:r>
      <w:r w:rsidRPr="008D4852">
        <w:rPr>
          <w:rFonts w:asciiTheme="minorHAnsi" w:hAnsiTheme="minorHAnsi" w:cstheme="minorHAnsi"/>
          <w:sz w:val="20"/>
          <w:szCs w:val="20"/>
          <w:lang w:val="en-GB" w:eastAsia="en-GB"/>
        </w:rPr>
        <w:t xml:space="preserve"> </w:t>
      </w:r>
      <w:proofErr w:type="gramStart"/>
      <w:r w:rsidRPr="008D4852">
        <w:rPr>
          <w:rFonts w:asciiTheme="minorHAnsi" w:hAnsiTheme="minorHAnsi" w:cstheme="minorHAnsi"/>
          <w:sz w:val="20"/>
          <w:szCs w:val="20"/>
          <w:lang w:val="en-GB" w:eastAsia="en-GB"/>
        </w:rPr>
        <w:t>The</w:t>
      </w:r>
      <w:proofErr w:type="gramEnd"/>
      <w:r w:rsidRPr="008D4852">
        <w:rPr>
          <w:rFonts w:asciiTheme="minorHAnsi" w:hAnsiTheme="minorHAnsi" w:cstheme="minorHAnsi"/>
          <w:sz w:val="20"/>
          <w:szCs w:val="20"/>
          <w:lang w:val="en-GB" w:eastAsia="en-GB"/>
        </w:rPr>
        <w:t xml:space="preserve"> lower assessment is the probability of </w:t>
      </w:r>
      <w:r w:rsidR="00AD2F45" w:rsidRPr="008D4852">
        <w:rPr>
          <w:rFonts w:asciiTheme="minorHAnsi" w:hAnsiTheme="minorHAnsi" w:cstheme="minorHAnsi"/>
          <w:sz w:val="20"/>
          <w:szCs w:val="20"/>
          <w:lang w:val="en-GB" w:eastAsia="en-GB"/>
        </w:rPr>
        <w:t xml:space="preserve">a major </w:t>
      </w:r>
      <w:r w:rsidRPr="008D4852">
        <w:rPr>
          <w:rFonts w:asciiTheme="minorHAnsi" w:hAnsiTheme="minorHAnsi" w:cstheme="minorHAnsi"/>
          <w:sz w:val="20"/>
          <w:szCs w:val="20"/>
          <w:lang w:val="en-GB" w:eastAsia="en-GB"/>
        </w:rPr>
        <w:t xml:space="preserve">osteoporotic fracture for a woman </w:t>
      </w:r>
      <w:r w:rsidR="00C57C79">
        <w:rPr>
          <w:rFonts w:asciiTheme="minorHAnsi" w:hAnsiTheme="minorHAnsi" w:cstheme="minorHAnsi"/>
          <w:sz w:val="20"/>
          <w:szCs w:val="20"/>
          <w:lang w:val="en-GB" w:eastAsia="en-GB"/>
        </w:rPr>
        <w:t>with</w:t>
      </w:r>
      <w:r w:rsidRPr="008D4852">
        <w:rPr>
          <w:rFonts w:asciiTheme="minorHAnsi" w:hAnsiTheme="minorHAnsi" w:cstheme="minorHAnsi"/>
          <w:sz w:val="20"/>
          <w:szCs w:val="20"/>
          <w:lang w:val="en-GB" w:eastAsia="en-GB"/>
        </w:rPr>
        <w:t xml:space="preserve"> no </w:t>
      </w:r>
      <w:r w:rsidRPr="003564A2">
        <w:rPr>
          <w:rFonts w:asciiTheme="minorHAnsi" w:hAnsiTheme="minorHAnsi" w:cstheme="minorHAnsi"/>
          <w:sz w:val="20"/>
          <w:szCs w:val="20"/>
          <w:lang w:val="en-GB" w:eastAsia="en-GB"/>
        </w:rPr>
        <w:t>clinical risk factors</w:t>
      </w:r>
      <w:r w:rsidR="00EF2825" w:rsidRPr="003564A2">
        <w:rPr>
          <w:rFonts w:asciiTheme="minorHAnsi" w:hAnsiTheme="minorHAnsi" w:cstheme="minorHAnsi"/>
          <w:sz w:val="20"/>
          <w:szCs w:val="20"/>
          <w:lang w:val="en-GB" w:eastAsia="en-GB"/>
        </w:rPr>
        <w:t xml:space="preserve"> without</w:t>
      </w:r>
      <w:r w:rsidRPr="003564A2">
        <w:rPr>
          <w:rFonts w:asciiTheme="minorHAnsi" w:hAnsiTheme="minorHAnsi" w:cstheme="minorHAnsi"/>
          <w:sz w:val="20"/>
          <w:szCs w:val="20"/>
          <w:lang w:val="en-GB" w:eastAsia="en-GB"/>
        </w:rPr>
        <w:t xml:space="preserve"> BMD</w:t>
      </w:r>
    </w:p>
    <w:p w14:paraId="6C9832FF" w14:textId="43A7765D" w:rsidR="00200D27" w:rsidRPr="003564A2" w:rsidRDefault="00200D27" w:rsidP="00827EF0">
      <w:pPr>
        <w:autoSpaceDE w:val="0"/>
        <w:autoSpaceDN w:val="0"/>
        <w:adjustRightInd w:val="0"/>
        <w:spacing w:after="0"/>
        <w:ind w:left="1134"/>
        <w:rPr>
          <w:rFonts w:asciiTheme="minorHAnsi" w:hAnsiTheme="minorHAnsi" w:cstheme="minorHAnsi"/>
          <w:sz w:val="20"/>
          <w:szCs w:val="20"/>
          <w:lang w:val="en-GB" w:eastAsia="en-GB"/>
        </w:rPr>
      </w:pPr>
      <w:r w:rsidRPr="003564A2">
        <w:rPr>
          <w:rFonts w:asciiTheme="minorHAnsi" w:hAnsiTheme="minorHAnsi" w:cstheme="minorHAnsi"/>
          <w:sz w:val="20"/>
          <w:szCs w:val="20"/>
          <w:vertAlign w:val="superscript"/>
          <w:lang w:val="en-GB" w:eastAsia="en-GB"/>
        </w:rPr>
        <w:t>c</w:t>
      </w:r>
      <w:r w:rsidRPr="003564A2">
        <w:rPr>
          <w:rFonts w:asciiTheme="minorHAnsi" w:hAnsiTheme="minorHAnsi" w:cstheme="minorHAnsi"/>
          <w:sz w:val="20"/>
          <w:szCs w:val="20"/>
          <w:lang w:val="en-GB" w:eastAsia="en-GB"/>
        </w:rPr>
        <w:t xml:space="preserve"> </w:t>
      </w:r>
      <w:proofErr w:type="gramStart"/>
      <w:r w:rsidRPr="003564A2">
        <w:rPr>
          <w:rFonts w:asciiTheme="minorHAnsi" w:hAnsiTheme="minorHAnsi" w:cstheme="minorHAnsi"/>
          <w:sz w:val="20"/>
          <w:szCs w:val="20"/>
          <w:lang w:val="en-GB" w:eastAsia="en-GB"/>
        </w:rPr>
        <w:t>The</w:t>
      </w:r>
      <w:proofErr w:type="gramEnd"/>
      <w:r w:rsidRPr="003564A2">
        <w:rPr>
          <w:rFonts w:asciiTheme="minorHAnsi" w:hAnsiTheme="minorHAnsi" w:cstheme="minorHAnsi"/>
          <w:sz w:val="20"/>
          <w:szCs w:val="20"/>
          <w:lang w:val="en-GB" w:eastAsia="en-GB"/>
        </w:rPr>
        <w:t xml:space="preserve"> upper assessment was set at 1.2 times the intervention threshold</w:t>
      </w:r>
      <w:r w:rsidR="00EF2825" w:rsidRPr="003564A2">
        <w:rPr>
          <w:rFonts w:asciiTheme="minorHAnsi" w:hAnsiTheme="minorHAnsi" w:cstheme="minorHAnsi"/>
          <w:sz w:val="20"/>
          <w:szCs w:val="20"/>
          <w:lang w:val="en-GB" w:eastAsia="en-GB"/>
        </w:rPr>
        <w:t>.</w:t>
      </w:r>
    </w:p>
    <w:p w14:paraId="020D2E46" w14:textId="09487C9C" w:rsidR="00200D27" w:rsidRPr="003564A2" w:rsidRDefault="00083706" w:rsidP="00827EF0">
      <w:pPr>
        <w:autoSpaceDE w:val="0"/>
        <w:autoSpaceDN w:val="0"/>
        <w:adjustRightInd w:val="0"/>
        <w:spacing w:after="0"/>
        <w:ind w:left="1134"/>
        <w:rPr>
          <w:rFonts w:asciiTheme="minorHAnsi" w:hAnsiTheme="minorHAnsi" w:cstheme="minorHAnsi"/>
          <w:sz w:val="20"/>
          <w:szCs w:val="20"/>
          <w:lang w:val="en-GB" w:eastAsia="en-GB"/>
        </w:rPr>
      </w:pPr>
      <w:r w:rsidRPr="00083706">
        <w:rPr>
          <w:rFonts w:asciiTheme="minorHAnsi" w:hAnsiTheme="minorHAnsi" w:cstheme="minorHAnsi"/>
          <w:noProof/>
          <w:sz w:val="20"/>
          <w:szCs w:val="20"/>
          <w:lang w:val="en-GB" w:eastAsia="en-GB"/>
        </w:rPr>
        <w:lastRenderedPageBreak/>
        <w:drawing>
          <wp:anchor distT="0" distB="0" distL="114300" distR="114300" simplePos="0" relativeHeight="251659776" behindDoc="0" locked="0" layoutInCell="1" allowOverlap="1" wp14:anchorId="21C32175" wp14:editId="3CE131C2">
            <wp:simplePos x="0" y="0"/>
            <wp:positionH relativeFrom="column">
              <wp:posOffset>1362075</wp:posOffset>
            </wp:positionH>
            <wp:positionV relativeFrom="paragraph">
              <wp:posOffset>304800</wp:posOffset>
            </wp:positionV>
            <wp:extent cx="3223895" cy="297624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062" t="8889" r="15418" b="4306"/>
                    <a:stretch/>
                  </pic:blipFill>
                  <pic:spPr bwMode="auto">
                    <a:xfrm>
                      <a:off x="0" y="0"/>
                      <a:ext cx="3223895" cy="2976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F1C916" w14:textId="08DBD4B8" w:rsidR="00F3738D" w:rsidRPr="00200267" w:rsidRDefault="00F3738D" w:rsidP="005A3E44">
      <w:pPr>
        <w:autoSpaceDE w:val="0"/>
        <w:autoSpaceDN w:val="0"/>
        <w:adjustRightInd w:val="0"/>
        <w:spacing w:after="0" w:line="240" w:lineRule="auto"/>
        <w:rPr>
          <w:rFonts w:asciiTheme="minorHAnsi" w:hAnsiTheme="minorHAnsi" w:cstheme="minorHAnsi"/>
          <w:sz w:val="24"/>
          <w:szCs w:val="24"/>
          <w:lang w:val="en-GB" w:eastAsia="en-GB"/>
        </w:rPr>
      </w:pPr>
    </w:p>
    <w:p w14:paraId="332B8B96" w14:textId="0CA4BCCF" w:rsidR="00D62541" w:rsidRPr="00200267" w:rsidRDefault="00D62541" w:rsidP="00221DAD">
      <w:pPr>
        <w:autoSpaceDE w:val="0"/>
        <w:autoSpaceDN w:val="0"/>
        <w:adjustRightInd w:val="0"/>
        <w:spacing w:after="0" w:line="240" w:lineRule="auto"/>
        <w:ind w:left="1985" w:right="1724"/>
        <w:rPr>
          <w:rFonts w:asciiTheme="minorHAnsi" w:hAnsiTheme="minorHAnsi" w:cstheme="minorHAnsi"/>
          <w:sz w:val="20"/>
          <w:szCs w:val="20"/>
          <w:lang w:val="en-GB" w:eastAsia="en-GB"/>
        </w:rPr>
      </w:pPr>
      <w:r w:rsidRPr="00200267">
        <w:rPr>
          <w:rFonts w:asciiTheme="minorHAnsi" w:hAnsiTheme="minorHAnsi" w:cstheme="minorHAnsi"/>
          <w:b/>
          <w:sz w:val="20"/>
          <w:szCs w:val="20"/>
          <w:lang w:val="en-GB" w:eastAsia="en-GB"/>
        </w:rPr>
        <w:t xml:space="preserve">Figure </w:t>
      </w:r>
      <w:r w:rsidR="00ED1E08">
        <w:rPr>
          <w:rFonts w:asciiTheme="minorHAnsi" w:hAnsiTheme="minorHAnsi" w:cstheme="minorHAnsi"/>
          <w:b/>
          <w:sz w:val="20"/>
          <w:szCs w:val="20"/>
          <w:lang w:val="en-GB" w:eastAsia="en-GB"/>
        </w:rPr>
        <w:t>2</w:t>
      </w:r>
      <w:r w:rsidRPr="00200267">
        <w:rPr>
          <w:rFonts w:asciiTheme="minorHAnsi" w:hAnsiTheme="minorHAnsi" w:cstheme="minorHAnsi"/>
          <w:b/>
          <w:sz w:val="20"/>
          <w:szCs w:val="20"/>
          <w:lang w:val="en-GB" w:eastAsia="en-GB"/>
        </w:rPr>
        <w:t>.</w:t>
      </w:r>
      <w:r w:rsidRPr="00200267">
        <w:rPr>
          <w:rFonts w:asciiTheme="minorHAnsi" w:hAnsiTheme="minorHAnsi" w:cstheme="minorHAnsi"/>
          <w:sz w:val="20"/>
          <w:szCs w:val="20"/>
          <w:lang w:val="en-GB" w:eastAsia="en-GB"/>
        </w:rPr>
        <w:t xml:space="preserve"> </w:t>
      </w:r>
      <w:r w:rsidR="00D0508E" w:rsidRPr="00200267">
        <w:rPr>
          <w:rFonts w:asciiTheme="minorHAnsi" w:hAnsiTheme="minorHAnsi" w:cstheme="minorHAnsi"/>
          <w:sz w:val="20"/>
          <w:szCs w:val="20"/>
          <w:lang w:val="en-GB" w:eastAsia="en-GB"/>
        </w:rPr>
        <w:t>10-year probability (%) of a major osteoporotic fracture corresponding to the l</w:t>
      </w:r>
      <w:r w:rsidRPr="00200267">
        <w:rPr>
          <w:rFonts w:asciiTheme="minorHAnsi" w:hAnsiTheme="minorHAnsi" w:cstheme="minorHAnsi"/>
          <w:sz w:val="20"/>
          <w:szCs w:val="20"/>
          <w:lang w:val="en-GB" w:eastAsia="en-GB"/>
        </w:rPr>
        <w:t xml:space="preserve">ower assessment threshold </w:t>
      </w:r>
      <w:r w:rsidR="00D0508E" w:rsidRPr="00200267">
        <w:rPr>
          <w:rFonts w:asciiTheme="minorHAnsi" w:hAnsiTheme="minorHAnsi" w:cstheme="minorHAnsi"/>
          <w:sz w:val="20"/>
          <w:szCs w:val="20"/>
          <w:lang w:val="en-GB" w:eastAsia="en-GB"/>
        </w:rPr>
        <w:t xml:space="preserve">(LAT) </w:t>
      </w:r>
      <w:r w:rsidRPr="00200267">
        <w:rPr>
          <w:rFonts w:asciiTheme="minorHAnsi" w:hAnsiTheme="minorHAnsi" w:cstheme="minorHAnsi"/>
          <w:sz w:val="20"/>
          <w:szCs w:val="20"/>
          <w:lang w:val="en-GB" w:eastAsia="en-GB"/>
        </w:rPr>
        <w:t xml:space="preserve">and upper </w:t>
      </w:r>
      <w:bookmarkStart w:id="11" w:name="_Hlk12098985"/>
      <w:r w:rsidRPr="00200267">
        <w:rPr>
          <w:rFonts w:asciiTheme="minorHAnsi" w:hAnsiTheme="minorHAnsi" w:cstheme="minorHAnsi"/>
          <w:sz w:val="20"/>
          <w:szCs w:val="20"/>
          <w:lang w:val="en-GB" w:eastAsia="en-GB"/>
        </w:rPr>
        <w:t xml:space="preserve">assessment threshold </w:t>
      </w:r>
      <w:bookmarkEnd w:id="11"/>
      <w:r w:rsidR="00D0508E" w:rsidRPr="00200267">
        <w:rPr>
          <w:rFonts w:asciiTheme="minorHAnsi" w:hAnsiTheme="minorHAnsi" w:cstheme="minorHAnsi"/>
          <w:sz w:val="20"/>
          <w:szCs w:val="20"/>
          <w:lang w:val="en-GB" w:eastAsia="en-GB"/>
        </w:rPr>
        <w:t xml:space="preserve">(UAT) </w:t>
      </w:r>
      <w:r w:rsidRPr="00200267">
        <w:rPr>
          <w:rFonts w:asciiTheme="minorHAnsi" w:hAnsiTheme="minorHAnsi" w:cstheme="minorHAnsi"/>
          <w:sz w:val="20"/>
          <w:szCs w:val="20"/>
          <w:lang w:val="en-GB" w:eastAsia="en-GB"/>
        </w:rPr>
        <w:t xml:space="preserve">for </w:t>
      </w:r>
      <w:r w:rsidR="00F579DA" w:rsidRPr="00200267">
        <w:rPr>
          <w:rFonts w:asciiTheme="minorHAnsi" w:hAnsiTheme="minorHAnsi" w:cstheme="minorHAnsi"/>
          <w:sz w:val="20"/>
          <w:szCs w:val="20"/>
          <w:lang w:val="en-GB" w:eastAsia="en-GB"/>
        </w:rPr>
        <w:t>Singapore</w:t>
      </w:r>
      <w:r w:rsidRPr="00200267">
        <w:rPr>
          <w:rFonts w:asciiTheme="minorHAnsi" w:hAnsiTheme="minorHAnsi" w:cstheme="minorHAnsi"/>
          <w:sz w:val="20"/>
          <w:szCs w:val="20"/>
          <w:lang w:val="en-GB" w:eastAsia="en-GB"/>
        </w:rPr>
        <w:t xml:space="preserve">. The red area is where the treatment </w:t>
      </w:r>
      <w:r w:rsidR="007B4BC9" w:rsidRPr="00200267">
        <w:rPr>
          <w:rFonts w:asciiTheme="minorHAnsi" w:hAnsiTheme="minorHAnsi" w:cstheme="minorHAnsi"/>
          <w:sz w:val="20"/>
          <w:szCs w:val="20"/>
          <w:lang w:val="en-GB" w:eastAsia="en-GB"/>
        </w:rPr>
        <w:t>would normally</w:t>
      </w:r>
      <w:r w:rsidRPr="00200267">
        <w:rPr>
          <w:rFonts w:asciiTheme="minorHAnsi" w:hAnsiTheme="minorHAnsi" w:cstheme="minorHAnsi"/>
          <w:sz w:val="20"/>
          <w:szCs w:val="20"/>
          <w:lang w:val="en-GB" w:eastAsia="en-GB"/>
        </w:rPr>
        <w:t xml:space="preserve"> be recommended, the orange area shows the limits of fracture probabilities for the assessment of BMD, and the green area is where treatment would not </w:t>
      </w:r>
      <w:r w:rsidR="00905A14" w:rsidRPr="00200267">
        <w:rPr>
          <w:rFonts w:asciiTheme="minorHAnsi" w:hAnsiTheme="minorHAnsi" w:cstheme="minorHAnsi"/>
          <w:sz w:val="20"/>
          <w:szCs w:val="20"/>
          <w:lang w:val="en-GB" w:eastAsia="en-GB"/>
        </w:rPr>
        <w:t xml:space="preserve">normally </w:t>
      </w:r>
      <w:r w:rsidRPr="00200267">
        <w:rPr>
          <w:rFonts w:asciiTheme="minorHAnsi" w:hAnsiTheme="minorHAnsi" w:cstheme="minorHAnsi"/>
          <w:sz w:val="20"/>
          <w:szCs w:val="20"/>
          <w:lang w:val="en-GB" w:eastAsia="en-GB"/>
        </w:rPr>
        <w:t xml:space="preserve">be recommended. </w:t>
      </w:r>
      <w:r w:rsidR="00B76008" w:rsidRPr="00200267">
        <w:rPr>
          <w:rFonts w:asciiTheme="minorHAnsi" w:hAnsiTheme="minorHAnsi" w:cstheme="minorHAnsi"/>
          <w:sz w:val="20"/>
          <w:szCs w:val="20"/>
          <w:lang w:val="en-GB" w:eastAsia="en-GB"/>
        </w:rPr>
        <w:br/>
      </w:r>
    </w:p>
    <w:p w14:paraId="78AD517D" w14:textId="433B194D" w:rsidR="00D62541" w:rsidRPr="00F579DA" w:rsidRDefault="00D62541" w:rsidP="00221DAD">
      <w:pPr>
        <w:autoSpaceDE w:val="0"/>
        <w:autoSpaceDN w:val="0"/>
        <w:adjustRightInd w:val="0"/>
        <w:spacing w:after="0" w:line="240" w:lineRule="auto"/>
        <w:ind w:left="1985"/>
        <w:rPr>
          <w:rFonts w:asciiTheme="minorHAnsi" w:hAnsiTheme="minorHAnsi" w:cstheme="minorHAnsi"/>
          <w:b/>
          <w:bCs/>
          <w:color w:val="FF0000"/>
          <w:sz w:val="24"/>
          <w:szCs w:val="24"/>
          <w:lang w:val="en-US" w:eastAsia="en-GB"/>
        </w:rPr>
      </w:pPr>
    </w:p>
    <w:p w14:paraId="121131A1" w14:textId="77777777" w:rsidR="00B76008" w:rsidRPr="00393D0E" w:rsidRDefault="00B76008" w:rsidP="00F3738D">
      <w:pPr>
        <w:autoSpaceDE w:val="0"/>
        <w:autoSpaceDN w:val="0"/>
        <w:adjustRightInd w:val="0"/>
        <w:spacing w:after="0" w:line="240" w:lineRule="auto"/>
        <w:rPr>
          <w:rFonts w:asciiTheme="minorHAnsi" w:hAnsiTheme="minorHAnsi" w:cstheme="minorHAnsi"/>
          <w:b/>
          <w:bCs/>
          <w:sz w:val="24"/>
          <w:szCs w:val="24"/>
          <w:lang w:val="en-US" w:eastAsia="en-GB"/>
        </w:rPr>
      </w:pPr>
    </w:p>
    <w:p w14:paraId="34FAA2A6" w14:textId="508B0682" w:rsidR="00F3738D" w:rsidRPr="00393D0E" w:rsidRDefault="00F3738D" w:rsidP="00827EF0">
      <w:pPr>
        <w:autoSpaceDE w:val="0"/>
        <w:autoSpaceDN w:val="0"/>
        <w:adjustRightInd w:val="0"/>
        <w:spacing w:after="0" w:line="240" w:lineRule="auto"/>
        <w:ind w:left="1134"/>
        <w:rPr>
          <w:rFonts w:asciiTheme="minorHAnsi" w:hAnsiTheme="minorHAnsi" w:cstheme="minorHAnsi"/>
          <w:b/>
          <w:bCs/>
          <w:sz w:val="24"/>
          <w:szCs w:val="24"/>
          <w:lang w:val="en-US" w:eastAsia="en-GB"/>
        </w:rPr>
      </w:pPr>
      <w:r w:rsidRPr="00800AAA">
        <w:rPr>
          <w:rFonts w:asciiTheme="minorHAnsi" w:hAnsiTheme="minorHAnsi" w:cstheme="minorHAnsi"/>
          <w:i/>
          <w:iCs/>
          <w:sz w:val="24"/>
          <w:szCs w:val="24"/>
          <w:lang w:val="en-US" w:eastAsia="en-GB"/>
        </w:rPr>
        <w:t xml:space="preserve">Management </w:t>
      </w:r>
      <w:r w:rsidR="000374CE" w:rsidRPr="00800AAA">
        <w:rPr>
          <w:rFonts w:asciiTheme="minorHAnsi" w:hAnsiTheme="minorHAnsi" w:cstheme="minorHAnsi"/>
          <w:i/>
          <w:iCs/>
          <w:sz w:val="24"/>
          <w:szCs w:val="24"/>
          <w:lang w:val="en-US" w:eastAsia="en-GB"/>
        </w:rPr>
        <w:t>pathway</w:t>
      </w:r>
      <w:r w:rsidR="00AD0CC6">
        <w:rPr>
          <w:rFonts w:asciiTheme="minorHAnsi" w:hAnsiTheme="minorHAnsi" w:cstheme="minorHAnsi"/>
          <w:b/>
          <w:bCs/>
          <w:sz w:val="24"/>
          <w:szCs w:val="24"/>
          <w:lang w:val="en-US" w:eastAsia="en-GB"/>
        </w:rPr>
        <w:t xml:space="preserve"> </w:t>
      </w:r>
    </w:p>
    <w:p w14:paraId="0345174A" w14:textId="7CEBAEE6" w:rsidR="000374CE" w:rsidRPr="00393D0E" w:rsidRDefault="000374CE" w:rsidP="00827EF0">
      <w:pPr>
        <w:autoSpaceDE w:val="0"/>
        <w:autoSpaceDN w:val="0"/>
        <w:adjustRightInd w:val="0"/>
        <w:spacing w:after="0" w:line="240" w:lineRule="auto"/>
        <w:ind w:left="1134"/>
        <w:rPr>
          <w:rFonts w:asciiTheme="minorHAnsi" w:hAnsiTheme="minorHAnsi" w:cstheme="minorHAnsi"/>
          <w:b/>
          <w:bCs/>
          <w:sz w:val="24"/>
          <w:szCs w:val="24"/>
          <w:lang w:val="en-US" w:eastAsia="en-GB"/>
        </w:rPr>
      </w:pPr>
    </w:p>
    <w:p w14:paraId="3D3AF1D3" w14:textId="5B50FBE1" w:rsidR="006A47DA" w:rsidRDefault="00A438DD" w:rsidP="00827EF0">
      <w:pPr>
        <w:autoSpaceDE w:val="0"/>
        <w:autoSpaceDN w:val="0"/>
        <w:adjustRightInd w:val="0"/>
        <w:spacing w:after="0"/>
        <w:ind w:left="1134"/>
        <w:rPr>
          <w:rFonts w:asciiTheme="minorHAnsi" w:hAnsiTheme="minorHAnsi" w:cstheme="minorHAnsi"/>
          <w:sz w:val="24"/>
          <w:szCs w:val="24"/>
          <w:lang w:val="en-US" w:eastAsia="en-GB"/>
        </w:rPr>
      </w:pPr>
      <w:r>
        <w:rPr>
          <w:rFonts w:asciiTheme="minorHAnsi" w:hAnsiTheme="minorHAnsi" w:cstheme="minorHAnsi"/>
          <w:sz w:val="24"/>
          <w:szCs w:val="24"/>
          <w:lang w:val="en-US" w:eastAsia="en-GB"/>
        </w:rPr>
        <w:t>One thousan</w:t>
      </w:r>
      <w:r w:rsidR="00CF67A4">
        <w:rPr>
          <w:rFonts w:asciiTheme="minorHAnsi" w:hAnsiTheme="minorHAnsi" w:cstheme="minorHAnsi"/>
          <w:sz w:val="24"/>
          <w:szCs w:val="24"/>
          <w:lang w:val="en-US" w:eastAsia="en-GB"/>
        </w:rPr>
        <w:t>d nine hun</w:t>
      </w:r>
      <w:r w:rsidR="00CA676A">
        <w:rPr>
          <w:rFonts w:asciiTheme="minorHAnsi" w:hAnsiTheme="minorHAnsi" w:cstheme="minorHAnsi"/>
          <w:sz w:val="24"/>
          <w:szCs w:val="24"/>
          <w:lang w:val="en-US" w:eastAsia="en-GB"/>
        </w:rPr>
        <w:t>d</w:t>
      </w:r>
      <w:r w:rsidR="00CF67A4">
        <w:rPr>
          <w:rFonts w:asciiTheme="minorHAnsi" w:hAnsiTheme="minorHAnsi" w:cstheme="minorHAnsi"/>
          <w:sz w:val="24"/>
          <w:szCs w:val="24"/>
          <w:lang w:val="en-US" w:eastAsia="en-GB"/>
        </w:rPr>
        <w:t xml:space="preserve">red and </w:t>
      </w:r>
      <w:r w:rsidR="00926C08">
        <w:rPr>
          <w:rFonts w:asciiTheme="minorHAnsi" w:hAnsiTheme="minorHAnsi" w:cstheme="minorHAnsi"/>
          <w:sz w:val="24"/>
          <w:szCs w:val="24"/>
          <w:lang w:val="en-US" w:eastAsia="en-GB"/>
        </w:rPr>
        <w:t>twenty seven</w:t>
      </w:r>
      <w:r w:rsidR="00CA676A">
        <w:rPr>
          <w:rFonts w:asciiTheme="minorHAnsi" w:hAnsiTheme="minorHAnsi" w:cstheme="minorHAnsi"/>
          <w:sz w:val="24"/>
          <w:szCs w:val="24"/>
          <w:lang w:val="en-US" w:eastAsia="en-GB"/>
        </w:rPr>
        <w:t xml:space="preserve"> </w:t>
      </w:r>
      <w:r w:rsidR="00F75F26" w:rsidRPr="00393D0E">
        <w:rPr>
          <w:rFonts w:asciiTheme="minorHAnsi" w:hAnsiTheme="minorHAnsi" w:cstheme="minorHAnsi"/>
          <w:sz w:val="24"/>
          <w:szCs w:val="24"/>
          <w:lang w:val="en-US" w:eastAsia="en-GB"/>
        </w:rPr>
        <w:t>o</w:t>
      </w:r>
      <w:r w:rsidR="0090735B" w:rsidRPr="00393D0E">
        <w:rPr>
          <w:rFonts w:asciiTheme="minorHAnsi" w:hAnsiTheme="minorHAnsi" w:cstheme="minorHAnsi"/>
          <w:sz w:val="24"/>
          <w:szCs w:val="24"/>
          <w:lang w:val="en-US" w:eastAsia="en-GB"/>
        </w:rPr>
        <w:t xml:space="preserve">f </w:t>
      </w:r>
      <w:r w:rsidR="00393D0E" w:rsidRPr="00393D0E">
        <w:rPr>
          <w:rFonts w:asciiTheme="minorHAnsi" w:hAnsiTheme="minorHAnsi" w:cstheme="minorHAnsi"/>
          <w:sz w:val="24"/>
          <w:szCs w:val="24"/>
          <w:lang w:val="en-US" w:eastAsia="en-GB"/>
        </w:rPr>
        <w:t>29</w:t>
      </w:r>
      <w:r w:rsidR="00BE53A4">
        <w:rPr>
          <w:rFonts w:asciiTheme="minorHAnsi" w:hAnsiTheme="minorHAnsi" w:cstheme="minorHAnsi"/>
          <w:sz w:val="24"/>
          <w:szCs w:val="24"/>
          <w:lang w:val="en-US" w:eastAsia="en-GB"/>
        </w:rPr>
        <w:t>,</w:t>
      </w:r>
      <w:r w:rsidR="00393D0E" w:rsidRPr="00393D0E">
        <w:rPr>
          <w:rFonts w:asciiTheme="minorHAnsi" w:hAnsiTheme="minorHAnsi" w:cstheme="minorHAnsi"/>
          <w:sz w:val="24"/>
          <w:szCs w:val="24"/>
          <w:lang w:val="en-US" w:eastAsia="en-GB"/>
        </w:rPr>
        <w:t>323</w:t>
      </w:r>
      <w:r w:rsidR="0090735B" w:rsidRPr="00393D0E">
        <w:rPr>
          <w:rFonts w:asciiTheme="minorHAnsi" w:hAnsiTheme="minorHAnsi" w:cstheme="minorHAnsi"/>
          <w:sz w:val="24"/>
          <w:szCs w:val="24"/>
          <w:lang w:val="en-US" w:eastAsia="en-GB"/>
        </w:rPr>
        <w:t xml:space="preserve"> women </w:t>
      </w:r>
      <w:r w:rsidR="00F75F26" w:rsidRPr="00393D0E">
        <w:rPr>
          <w:rFonts w:asciiTheme="minorHAnsi" w:hAnsiTheme="minorHAnsi" w:cstheme="minorHAnsi"/>
          <w:sz w:val="24"/>
          <w:szCs w:val="24"/>
          <w:lang w:val="en-US" w:eastAsia="en-GB"/>
        </w:rPr>
        <w:t>(</w:t>
      </w:r>
      <w:r w:rsidR="00CA078B">
        <w:rPr>
          <w:rFonts w:asciiTheme="minorHAnsi" w:hAnsiTheme="minorHAnsi" w:cstheme="minorHAnsi"/>
          <w:sz w:val="24"/>
          <w:szCs w:val="24"/>
          <w:lang w:val="en-US" w:eastAsia="en-GB"/>
        </w:rPr>
        <w:t>7</w:t>
      </w:r>
      <w:r w:rsidR="00B338B8" w:rsidRPr="00393D0E">
        <w:rPr>
          <w:rFonts w:asciiTheme="minorHAnsi" w:hAnsiTheme="minorHAnsi" w:cstheme="minorHAnsi"/>
          <w:sz w:val="24"/>
          <w:szCs w:val="24"/>
          <w:lang w:val="en-US" w:eastAsia="en-GB"/>
        </w:rPr>
        <w:t>%)</w:t>
      </w:r>
      <w:r w:rsidR="00BE7D9C" w:rsidRPr="00393D0E">
        <w:rPr>
          <w:rFonts w:asciiTheme="minorHAnsi" w:hAnsiTheme="minorHAnsi" w:cstheme="minorHAnsi"/>
          <w:sz w:val="24"/>
          <w:szCs w:val="24"/>
          <w:lang w:val="en-US" w:eastAsia="en-GB"/>
        </w:rPr>
        <w:t xml:space="preserve"> </w:t>
      </w:r>
      <w:r w:rsidR="0090735B" w:rsidRPr="00393D0E">
        <w:rPr>
          <w:rFonts w:asciiTheme="minorHAnsi" w:hAnsiTheme="minorHAnsi" w:cstheme="minorHAnsi"/>
          <w:sz w:val="24"/>
          <w:szCs w:val="24"/>
          <w:lang w:val="en-US" w:eastAsia="en-GB"/>
        </w:rPr>
        <w:t>had a prior fragility fracture</w:t>
      </w:r>
      <w:r w:rsidR="00F0069C" w:rsidRPr="00393D0E">
        <w:rPr>
          <w:rFonts w:asciiTheme="minorHAnsi" w:hAnsiTheme="minorHAnsi" w:cstheme="minorHAnsi"/>
          <w:sz w:val="24"/>
          <w:szCs w:val="24"/>
          <w:lang w:val="en-US" w:eastAsia="en-GB"/>
        </w:rPr>
        <w:t xml:space="preserve"> and would be eligible for treatment on this basis.</w:t>
      </w:r>
      <w:r w:rsidR="00434796" w:rsidRPr="00393D0E">
        <w:rPr>
          <w:rFonts w:asciiTheme="minorHAnsi" w:hAnsiTheme="minorHAnsi" w:cstheme="minorHAnsi"/>
          <w:sz w:val="24"/>
          <w:szCs w:val="24"/>
          <w:lang w:val="en-US" w:eastAsia="en-GB"/>
        </w:rPr>
        <w:t xml:space="preserve"> </w:t>
      </w:r>
      <w:r w:rsidR="00570C92" w:rsidRPr="008362E2">
        <w:rPr>
          <w:rFonts w:asciiTheme="minorHAnsi" w:hAnsiTheme="minorHAnsi" w:cstheme="minorHAnsi"/>
          <w:sz w:val="24"/>
          <w:szCs w:val="24"/>
          <w:lang w:val="en-US" w:eastAsia="en-GB"/>
        </w:rPr>
        <w:t xml:space="preserve">For those without a prior </w:t>
      </w:r>
      <w:r w:rsidR="00117B40" w:rsidRPr="00117B40">
        <w:rPr>
          <w:rFonts w:asciiTheme="minorHAnsi" w:hAnsiTheme="minorHAnsi" w:cstheme="minorHAnsi"/>
          <w:sz w:val="24"/>
          <w:szCs w:val="24"/>
          <w:lang w:val="en-US" w:eastAsia="en-GB"/>
        </w:rPr>
        <w:t xml:space="preserve">fragility </w:t>
      </w:r>
      <w:r w:rsidR="00570C92" w:rsidRPr="008362E2">
        <w:rPr>
          <w:rFonts w:asciiTheme="minorHAnsi" w:hAnsiTheme="minorHAnsi" w:cstheme="minorHAnsi"/>
          <w:sz w:val="24"/>
          <w:szCs w:val="24"/>
          <w:lang w:val="en-US" w:eastAsia="en-GB"/>
        </w:rPr>
        <w:t>fracture</w:t>
      </w:r>
      <w:r w:rsidR="00B307FF" w:rsidRPr="008362E2">
        <w:rPr>
          <w:rFonts w:asciiTheme="minorHAnsi" w:hAnsiTheme="minorHAnsi" w:cstheme="minorHAnsi"/>
          <w:sz w:val="24"/>
          <w:szCs w:val="24"/>
          <w:lang w:val="en-US" w:eastAsia="en-GB"/>
        </w:rPr>
        <w:t xml:space="preserve"> (n=</w:t>
      </w:r>
      <w:r w:rsidR="00BE53A4">
        <w:rPr>
          <w:rFonts w:asciiTheme="minorHAnsi" w:hAnsiTheme="minorHAnsi" w:cstheme="minorHAnsi"/>
          <w:sz w:val="24"/>
          <w:szCs w:val="24"/>
          <w:lang w:val="en-US" w:eastAsia="en-GB"/>
        </w:rPr>
        <w:t>27</w:t>
      </w:r>
      <w:r w:rsidR="008362E2" w:rsidRPr="008362E2">
        <w:rPr>
          <w:rFonts w:asciiTheme="minorHAnsi" w:hAnsiTheme="minorHAnsi" w:cstheme="minorHAnsi"/>
          <w:sz w:val="24"/>
          <w:szCs w:val="24"/>
          <w:lang w:val="en-US" w:eastAsia="en-GB"/>
        </w:rPr>
        <w:t>,</w:t>
      </w:r>
      <w:r w:rsidR="00BE53A4">
        <w:rPr>
          <w:rFonts w:asciiTheme="minorHAnsi" w:hAnsiTheme="minorHAnsi" w:cstheme="minorHAnsi"/>
          <w:sz w:val="24"/>
          <w:szCs w:val="24"/>
          <w:lang w:val="en-US" w:eastAsia="en-GB"/>
        </w:rPr>
        <w:t>396</w:t>
      </w:r>
      <w:r w:rsidR="00B307FF" w:rsidRPr="008362E2">
        <w:rPr>
          <w:rFonts w:asciiTheme="minorHAnsi" w:hAnsiTheme="minorHAnsi" w:cstheme="minorHAnsi"/>
          <w:sz w:val="24"/>
          <w:szCs w:val="24"/>
          <w:lang w:val="en-US" w:eastAsia="en-GB"/>
        </w:rPr>
        <w:t>)</w:t>
      </w:r>
      <w:r w:rsidR="000843BB" w:rsidRPr="008362E2">
        <w:rPr>
          <w:rFonts w:asciiTheme="minorHAnsi" w:hAnsiTheme="minorHAnsi" w:cstheme="minorHAnsi"/>
          <w:sz w:val="24"/>
          <w:szCs w:val="24"/>
          <w:lang w:val="en-US" w:eastAsia="en-GB"/>
        </w:rPr>
        <w:t>, the</w:t>
      </w:r>
      <w:r w:rsidR="00F3738D" w:rsidRPr="008362E2">
        <w:rPr>
          <w:rFonts w:asciiTheme="minorHAnsi" w:hAnsiTheme="minorHAnsi" w:cstheme="minorHAnsi"/>
          <w:sz w:val="24"/>
          <w:szCs w:val="24"/>
          <w:lang w:val="en-US" w:eastAsia="en-GB"/>
        </w:rPr>
        <w:t xml:space="preserve"> </w:t>
      </w:r>
      <w:r w:rsidR="00E26207">
        <w:rPr>
          <w:rFonts w:asciiTheme="minorHAnsi" w:hAnsiTheme="minorHAnsi" w:cstheme="minorHAnsi"/>
          <w:sz w:val="24"/>
          <w:szCs w:val="24"/>
          <w:lang w:val="en-US" w:eastAsia="en-GB"/>
        </w:rPr>
        <w:t>outcome of</w:t>
      </w:r>
      <w:r w:rsidR="00F3738D" w:rsidRPr="008362E2">
        <w:rPr>
          <w:rFonts w:asciiTheme="minorHAnsi" w:hAnsiTheme="minorHAnsi" w:cstheme="minorHAnsi"/>
          <w:sz w:val="24"/>
          <w:szCs w:val="24"/>
          <w:lang w:val="en-US" w:eastAsia="en-GB"/>
        </w:rPr>
        <w:t xml:space="preserve"> risk assessment is shown in Figure </w:t>
      </w:r>
      <w:r w:rsidR="00D92D91">
        <w:rPr>
          <w:rFonts w:asciiTheme="minorHAnsi" w:hAnsiTheme="minorHAnsi" w:cstheme="minorHAnsi"/>
          <w:sz w:val="24"/>
          <w:szCs w:val="24"/>
          <w:lang w:val="en-US" w:eastAsia="en-GB"/>
        </w:rPr>
        <w:t>3</w:t>
      </w:r>
      <w:r w:rsidR="00F3738D" w:rsidRPr="008362E2">
        <w:rPr>
          <w:rFonts w:asciiTheme="minorHAnsi" w:hAnsiTheme="minorHAnsi" w:cstheme="minorHAnsi"/>
          <w:sz w:val="24"/>
          <w:szCs w:val="24"/>
          <w:lang w:val="en-US" w:eastAsia="en-GB"/>
        </w:rPr>
        <w:t xml:space="preserve">. </w:t>
      </w:r>
      <w:r w:rsidR="00022CC5">
        <w:rPr>
          <w:rFonts w:asciiTheme="minorHAnsi" w:hAnsiTheme="minorHAnsi" w:cstheme="minorHAnsi"/>
          <w:sz w:val="24"/>
          <w:szCs w:val="24"/>
          <w:lang w:val="en-US" w:eastAsia="en-GB"/>
        </w:rPr>
        <w:t xml:space="preserve"> O</w:t>
      </w:r>
      <w:r w:rsidR="00022CC5" w:rsidRPr="00022CC5">
        <w:rPr>
          <w:rFonts w:asciiTheme="minorHAnsi" w:hAnsiTheme="minorHAnsi" w:cstheme="minorHAnsi"/>
          <w:sz w:val="24"/>
          <w:szCs w:val="24"/>
          <w:lang w:val="en-US" w:eastAsia="en-GB"/>
        </w:rPr>
        <w:t>f the whole cohort</w:t>
      </w:r>
      <w:r w:rsidR="00022CC5">
        <w:rPr>
          <w:rFonts w:asciiTheme="minorHAnsi" w:hAnsiTheme="minorHAnsi" w:cstheme="minorHAnsi"/>
          <w:sz w:val="24"/>
          <w:szCs w:val="24"/>
          <w:lang w:val="en-US" w:eastAsia="en-GB"/>
        </w:rPr>
        <w:t>,</w:t>
      </w:r>
      <w:r w:rsidR="00022CC5" w:rsidRPr="00022CC5">
        <w:rPr>
          <w:rFonts w:asciiTheme="minorHAnsi" w:hAnsiTheme="minorHAnsi" w:cstheme="minorHAnsi"/>
          <w:sz w:val="24"/>
          <w:szCs w:val="24"/>
          <w:lang w:val="en-US" w:eastAsia="en-GB"/>
        </w:rPr>
        <w:t xml:space="preserve"> </w:t>
      </w:r>
      <w:r w:rsidR="008362E2">
        <w:rPr>
          <w:rFonts w:asciiTheme="minorHAnsi" w:hAnsiTheme="minorHAnsi" w:cstheme="minorHAnsi"/>
          <w:sz w:val="24"/>
          <w:szCs w:val="24"/>
          <w:lang w:val="en-US" w:eastAsia="en-GB"/>
        </w:rPr>
        <w:t>2</w:t>
      </w:r>
      <w:r w:rsidR="0085739F">
        <w:rPr>
          <w:rFonts w:asciiTheme="minorHAnsi" w:hAnsiTheme="minorHAnsi" w:cstheme="minorHAnsi"/>
          <w:sz w:val="24"/>
          <w:szCs w:val="24"/>
          <w:lang w:val="en-US" w:eastAsia="en-GB"/>
        </w:rPr>
        <w:t>69</w:t>
      </w:r>
      <w:r w:rsidR="00373376" w:rsidRPr="008362E2">
        <w:rPr>
          <w:rFonts w:asciiTheme="minorHAnsi" w:hAnsiTheme="minorHAnsi" w:cstheme="minorHAnsi"/>
          <w:sz w:val="24"/>
          <w:szCs w:val="24"/>
          <w:lang w:val="en-US" w:eastAsia="en-GB"/>
        </w:rPr>
        <w:t xml:space="preserve"> additional women </w:t>
      </w:r>
      <w:r w:rsidR="00D946D2" w:rsidRPr="008362E2">
        <w:rPr>
          <w:rFonts w:asciiTheme="minorHAnsi" w:hAnsiTheme="minorHAnsi" w:cstheme="minorHAnsi"/>
          <w:sz w:val="24"/>
          <w:szCs w:val="24"/>
          <w:lang w:val="en-US" w:eastAsia="en-GB"/>
        </w:rPr>
        <w:t>(</w:t>
      </w:r>
      <w:r w:rsidR="00923DEA">
        <w:rPr>
          <w:rFonts w:asciiTheme="minorHAnsi" w:hAnsiTheme="minorHAnsi" w:cstheme="minorHAnsi"/>
          <w:sz w:val="24"/>
          <w:szCs w:val="24"/>
          <w:lang w:val="en-US" w:eastAsia="en-GB"/>
        </w:rPr>
        <w:t>1</w:t>
      </w:r>
      <w:r w:rsidR="008362E2" w:rsidRPr="008362E2">
        <w:rPr>
          <w:rFonts w:asciiTheme="minorHAnsi" w:hAnsiTheme="minorHAnsi" w:cstheme="minorHAnsi"/>
          <w:sz w:val="24"/>
          <w:szCs w:val="24"/>
          <w:lang w:val="en-US" w:eastAsia="en-GB"/>
        </w:rPr>
        <w:t>%</w:t>
      </w:r>
      <w:r w:rsidR="00EE2956">
        <w:rPr>
          <w:rFonts w:asciiTheme="minorHAnsi" w:hAnsiTheme="minorHAnsi" w:cstheme="minorHAnsi"/>
          <w:sz w:val="24"/>
          <w:szCs w:val="24"/>
          <w:lang w:val="en-US" w:eastAsia="en-GB"/>
        </w:rPr>
        <w:t>)</w:t>
      </w:r>
      <w:r w:rsidR="003D0853" w:rsidRPr="008362E2">
        <w:rPr>
          <w:rFonts w:asciiTheme="minorHAnsi" w:hAnsiTheme="minorHAnsi" w:cstheme="minorHAnsi"/>
          <w:sz w:val="24"/>
          <w:szCs w:val="24"/>
          <w:lang w:val="en-US" w:eastAsia="en-GB"/>
        </w:rPr>
        <w:t xml:space="preserve"> </w:t>
      </w:r>
      <w:r w:rsidR="00373376" w:rsidRPr="008362E2">
        <w:rPr>
          <w:rFonts w:asciiTheme="minorHAnsi" w:hAnsiTheme="minorHAnsi" w:cstheme="minorHAnsi"/>
          <w:sz w:val="24"/>
          <w:szCs w:val="24"/>
          <w:lang w:val="en-US" w:eastAsia="en-GB"/>
        </w:rPr>
        <w:t xml:space="preserve">would be eligible for </w:t>
      </w:r>
      <w:r w:rsidR="00373376" w:rsidRPr="00927788">
        <w:rPr>
          <w:rFonts w:asciiTheme="minorHAnsi" w:hAnsiTheme="minorHAnsi" w:cstheme="minorHAnsi"/>
          <w:sz w:val="24"/>
          <w:szCs w:val="24"/>
          <w:lang w:val="en-US" w:eastAsia="en-GB"/>
        </w:rPr>
        <w:t xml:space="preserve">treatment in that their fracture probability exceeded the </w:t>
      </w:r>
      <w:r w:rsidR="00D01A35">
        <w:rPr>
          <w:rFonts w:asciiTheme="minorHAnsi" w:hAnsiTheme="minorHAnsi" w:cstheme="minorHAnsi"/>
          <w:sz w:val="24"/>
          <w:szCs w:val="24"/>
          <w:lang w:val="en-US" w:eastAsia="en-GB"/>
        </w:rPr>
        <w:t xml:space="preserve">upper assessment </w:t>
      </w:r>
      <w:r w:rsidR="00373376" w:rsidRPr="00927788">
        <w:rPr>
          <w:rFonts w:asciiTheme="minorHAnsi" w:hAnsiTheme="minorHAnsi" w:cstheme="minorHAnsi"/>
          <w:sz w:val="24"/>
          <w:szCs w:val="24"/>
          <w:lang w:val="en-US" w:eastAsia="en-GB"/>
        </w:rPr>
        <w:t xml:space="preserve">threshold for </w:t>
      </w:r>
      <w:r w:rsidR="00F579DA" w:rsidRPr="00927788">
        <w:rPr>
          <w:rFonts w:asciiTheme="minorHAnsi" w:hAnsiTheme="minorHAnsi" w:cstheme="minorHAnsi"/>
          <w:sz w:val="24"/>
          <w:szCs w:val="24"/>
          <w:lang w:val="en-US" w:eastAsia="en-GB"/>
        </w:rPr>
        <w:t>Singapore</w:t>
      </w:r>
      <w:r w:rsidR="00373376" w:rsidRPr="00927788">
        <w:rPr>
          <w:rFonts w:asciiTheme="minorHAnsi" w:hAnsiTheme="minorHAnsi" w:cstheme="minorHAnsi"/>
          <w:sz w:val="24"/>
          <w:szCs w:val="24"/>
          <w:lang w:val="en-US" w:eastAsia="en-GB"/>
        </w:rPr>
        <w:t xml:space="preserve">. </w:t>
      </w:r>
      <w:r w:rsidR="00F3738D" w:rsidRPr="00927788">
        <w:rPr>
          <w:rFonts w:asciiTheme="minorHAnsi" w:hAnsiTheme="minorHAnsi" w:cstheme="minorHAnsi"/>
          <w:sz w:val="24"/>
          <w:szCs w:val="24"/>
          <w:lang w:val="en-US" w:eastAsia="en-GB"/>
        </w:rPr>
        <w:t>Conversely</w:t>
      </w:r>
      <w:r w:rsidR="008B732E" w:rsidRPr="00927788">
        <w:rPr>
          <w:rFonts w:asciiTheme="minorHAnsi" w:hAnsiTheme="minorHAnsi" w:cstheme="minorHAnsi"/>
          <w:sz w:val="24"/>
          <w:szCs w:val="24"/>
          <w:lang w:val="en-US" w:eastAsia="en-GB"/>
        </w:rPr>
        <w:t>,</w:t>
      </w:r>
      <w:r w:rsidR="00F3738D" w:rsidRPr="00927788">
        <w:rPr>
          <w:rFonts w:asciiTheme="minorHAnsi" w:hAnsiTheme="minorHAnsi" w:cstheme="minorHAnsi"/>
          <w:sz w:val="24"/>
          <w:szCs w:val="24"/>
          <w:lang w:val="en-US" w:eastAsia="en-GB"/>
        </w:rPr>
        <w:t xml:space="preserve"> </w:t>
      </w:r>
      <w:r w:rsidR="00927788" w:rsidRPr="00927788">
        <w:rPr>
          <w:rFonts w:asciiTheme="minorHAnsi" w:hAnsiTheme="minorHAnsi" w:cstheme="minorHAnsi"/>
          <w:sz w:val="24"/>
          <w:szCs w:val="24"/>
          <w:lang w:val="en-US" w:eastAsia="en-GB"/>
        </w:rPr>
        <w:t xml:space="preserve">9406 low risk women </w:t>
      </w:r>
      <w:r w:rsidR="00566D03" w:rsidRPr="00927788">
        <w:rPr>
          <w:rFonts w:asciiTheme="minorHAnsi" w:hAnsiTheme="minorHAnsi" w:cstheme="minorHAnsi"/>
          <w:sz w:val="24"/>
          <w:szCs w:val="24"/>
          <w:lang w:val="en-US" w:eastAsia="en-GB"/>
        </w:rPr>
        <w:t>(</w:t>
      </w:r>
      <w:r w:rsidR="008E5C10">
        <w:rPr>
          <w:rFonts w:asciiTheme="minorHAnsi" w:hAnsiTheme="minorHAnsi" w:cstheme="minorHAnsi"/>
          <w:sz w:val="24"/>
          <w:szCs w:val="24"/>
          <w:lang w:val="en-US" w:eastAsia="en-GB"/>
        </w:rPr>
        <w:t>32</w:t>
      </w:r>
      <w:r w:rsidR="00927788" w:rsidRPr="00927788">
        <w:rPr>
          <w:rFonts w:asciiTheme="minorHAnsi" w:hAnsiTheme="minorHAnsi" w:cstheme="minorHAnsi"/>
          <w:sz w:val="24"/>
          <w:szCs w:val="24"/>
          <w:lang w:val="en-US" w:eastAsia="en-GB"/>
        </w:rPr>
        <w:t>%</w:t>
      </w:r>
      <w:r w:rsidR="00BE53A4">
        <w:rPr>
          <w:rFonts w:asciiTheme="minorHAnsi" w:hAnsiTheme="minorHAnsi" w:cstheme="minorHAnsi"/>
          <w:sz w:val="24"/>
          <w:szCs w:val="24"/>
          <w:lang w:val="en-US" w:eastAsia="en-GB"/>
        </w:rPr>
        <w:t>)</w:t>
      </w:r>
      <w:r w:rsidR="00566D03" w:rsidRPr="00927788">
        <w:rPr>
          <w:rFonts w:asciiTheme="minorHAnsi" w:hAnsiTheme="minorHAnsi" w:cstheme="minorHAnsi"/>
          <w:sz w:val="24"/>
          <w:szCs w:val="24"/>
          <w:lang w:val="en-US" w:eastAsia="en-GB"/>
        </w:rPr>
        <w:t xml:space="preserve"> </w:t>
      </w:r>
      <w:r w:rsidR="00F3738D" w:rsidRPr="00927788">
        <w:rPr>
          <w:rFonts w:asciiTheme="minorHAnsi" w:hAnsiTheme="minorHAnsi" w:cstheme="minorHAnsi"/>
          <w:sz w:val="24"/>
          <w:szCs w:val="24"/>
          <w:lang w:val="en-US" w:eastAsia="en-GB"/>
        </w:rPr>
        <w:t>would not normally be eligible for further assessment</w:t>
      </w:r>
      <w:r w:rsidR="00834FC7" w:rsidRPr="00927788">
        <w:rPr>
          <w:rFonts w:asciiTheme="minorHAnsi" w:hAnsiTheme="minorHAnsi" w:cstheme="minorHAnsi"/>
          <w:sz w:val="24"/>
          <w:szCs w:val="24"/>
          <w:lang w:val="en-US" w:eastAsia="en-GB"/>
        </w:rPr>
        <w:t xml:space="preserve"> </w:t>
      </w:r>
      <w:r w:rsidR="00834FC7" w:rsidRPr="00FA2913">
        <w:rPr>
          <w:rFonts w:asciiTheme="minorHAnsi" w:hAnsiTheme="minorHAnsi" w:cstheme="minorHAnsi"/>
          <w:sz w:val="24"/>
          <w:szCs w:val="24"/>
          <w:lang w:val="en-US" w:eastAsia="en-GB"/>
        </w:rPr>
        <w:t>in that their fracture probability lay below the lower assessment threshold</w:t>
      </w:r>
      <w:r w:rsidR="00F3738D" w:rsidRPr="00FA2913">
        <w:rPr>
          <w:rFonts w:asciiTheme="minorHAnsi" w:hAnsiTheme="minorHAnsi" w:cstheme="minorHAnsi"/>
          <w:sz w:val="24"/>
          <w:szCs w:val="24"/>
          <w:lang w:val="en-US" w:eastAsia="en-GB"/>
        </w:rPr>
        <w:t>. The intermediate category</w:t>
      </w:r>
      <w:r w:rsidR="008B732E" w:rsidRPr="00FA2913">
        <w:rPr>
          <w:rFonts w:asciiTheme="minorHAnsi" w:hAnsiTheme="minorHAnsi" w:cstheme="minorHAnsi"/>
          <w:sz w:val="24"/>
          <w:szCs w:val="24"/>
          <w:lang w:val="en-US" w:eastAsia="en-GB"/>
        </w:rPr>
        <w:t xml:space="preserve"> </w:t>
      </w:r>
      <w:r w:rsidR="00650872" w:rsidRPr="00FA2913">
        <w:rPr>
          <w:rFonts w:asciiTheme="minorHAnsi" w:hAnsiTheme="minorHAnsi" w:cstheme="minorHAnsi"/>
          <w:sz w:val="24"/>
          <w:szCs w:val="24"/>
          <w:lang w:val="en-US" w:eastAsia="en-GB"/>
        </w:rPr>
        <w:t>of risk</w:t>
      </w:r>
      <w:r w:rsidR="00F3738D" w:rsidRPr="00FA2913">
        <w:rPr>
          <w:rFonts w:asciiTheme="minorHAnsi" w:hAnsiTheme="minorHAnsi" w:cstheme="minorHAnsi"/>
          <w:sz w:val="24"/>
          <w:szCs w:val="24"/>
          <w:lang w:val="en-US" w:eastAsia="en-GB"/>
        </w:rPr>
        <w:t xml:space="preserve"> in Figure </w:t>
      </w:r>
      <w:r w:rsidR="00F217E7">
        <w:rPr>
          <w:rFonts w:asciiTheme="minorHAnsi" w:hAnsiTheme="minorHAnsi" w:cstheme="minorHAnsi"/>
          <w:sz w:val="24"/>
          <w:szCs w:val="24"/>
          <w:lang w:val="en-US" w:eastAsia="en-GB"/>
        </w:rPr>
        <w:t>2</w:t>
      </w:r>
      <w:r w:rsidR="00F3738D" w:rsidRPr="00FA2913">
        <w:rPr>
          <w:rFonts w:asciiTheme="minorHAnsi" w:hAnsiTheme="minorHAnsi" w:cstheme="minorHAnsi"/>
          <w:sz w:val="24"/>
          <w:szCs w:val="24"/>
          <w:lang w:val="en-US" w:eastAsia="en-GB"/>
        </w:rPr>
        <w:t xml:space="preserve"> </w:t>
      </w:r>
      <w:r w:rsidR="00650872" w:rsidRPr="00FA2913">
        <w:rPr>
          <w:rFonts w:asciiTheme="minorHAnsi" w:hAnsiTheme="minorHAnsi" w:cstheme="minorHAnsi"/>
          <w:sz w:val="24"/>
          <w:szCs w:val="24"/>
          <w:lang w:val="en-US" w:eastAsia="en-GB"/>
        </w:rPr>
        <w:t>comprised</w:t>
      </w:r>
      <w:r w:rsidR="00885809" w:rsidRPr="00FA2913">
        <w:rPr>
          <w:rFonts w:asciiTheme="minorHAnsi" w:hAnsiTheme="minorHAnsi" w:cstheme="minorHAnsi"/>
          <w:sz w:val="24"/>
          <w:szCs w:val="24"/>
          <w:lang w:val="en-US" w:eastAsia="en-GB"/>
        </w:rPr>
        <w:t xml:space="preserve"> </w:t>
      </w:r>
      <w:r w:rsidR="001C1505" w:rsidRPr="00FA2913">
        <w:rPr>
          <w:rFonts w:asciiTheme="minorHAnsi" w:hAnsiTheme="minorHAnsi" w:cstheme="minorHAnsi"/>
          <w:sz w:val="24"/>
          <w:szCs w:val="24"/>
          <w:lang w:val="en-US" w:eastAsia="en-GB"/>
        </w:rPr>
        <w:t>17,721</w:t>
      </w:r>
      <w:r w:rsidR="00885809" w:rsidRPr="00FA2913">
        <w:rPr>
          <w:rFonts w:asciiTheme="minorHAnsi" w:hAnsiTheme="minorHAnsi" w:cstheme="minorHAnsi"/>
          <w:sz w:val="24"/>
          <w:szCs w:val="24"/>
          <w:lang w:val="en-US" w:eastAsia="en-GB"/>
        </w:rPr>
        <w:t xml:space="preserve"> women</w:t>
      </w:r>
      <w:r w:rsidR="004A24F4" w:rsidRPr="00FA2913">
        <w:rPr>
          <w:rFonts w:asciiTheme="minorHAnsi" w:hAnsiTheme="minorHAnsi" w:cstheme="minorHAnsi"/>
          <w:sz w:val="24"/>
          <w:szCs w:val="24"/>
          <w:lang w:val="en-US" w:eastAsia="en-GB"/>
        </w:rPr>
        <w:t xml:space="preserve"> (</w:t>
      </w:r>
      <w:r w:rsidR="001C1505" w:rsidRPr="00FA2913">
        <w:rPr>
          <w:rFonts w:asciiTheme="minorHAnsi" w:hAnsiTheme="minorHAnsi" w:cstheme="minorHAnsi"/>
          <w:sz w:val="24"/>
          <w:szCs w:val="24"/>
          <w:lang w:val="en-US" w:eastAsia="en-GB"/>
        </w:rPr>
        <w:t>60%</w:t>
      </w:r>
      <w:r w:rsidR="004A24F4" w:rsidRPr="00FA2913">
        <w:rPr>
          <w:rFonts w:asciiTheme="minorHAnsi" w:hAnsiTheme="minorHAnsi" w:cstheme="minorHAnsi"/>
          <w:sz w:val="24"/>
          <w:szCs w:val="24"/>
          <w:lang w:val="en-US" w:eastAsia="en-GB"/>
        </w:rPr>
        <w:t>)</w:t>
      </w:r>
      <w:r w:rsidR="0079702E" w:rsidRPr="00FA2913">
        <w:rPr>
          <w:rFonts w:asciiTheme="minorHAnsi" w:hAnsiTheme="minorHAnsi" w:cstheme="minorHAnsi"/>
          <w:sz w:val="24"/>
          <w:szCs w:val="24"/>
          <w:lang w:val="en-US" w:eastAsia="en-GB"/>
        </w:rPr>
        <w:t xml:space="preserve"> in whom FRAX </w:t>
      </w:r>
      <w:r w:rsidR="00BE60DA" w:rsidRPr="00FA2913">
        <w:rPr>
          <w:rFonts w:asciiTheme="minorHAnsi" w:hAnsiTheme="minorHAnsi" w:cstheme="minorHAnsi"/>
          <w:sz w:val="24"/>
          <w:szCs w:val="24"/>
          <w:lang w:val="en-US" w:eastAsia="en-GB"/>
        </w:rPr>
        <w:t>would be recalculated with the inclusion of femoral neck BMD</w:t>
      </w:r>
      <w:r w:rsidR="00C41CDE" w:rsidRPr="00FA2913">
        <w:rPr>
          <w:rFonts w:asciiTheme="minorHAnsi" w:hAnsiTheme="minorHAnsi" w:cstheme="minorHAnsi"/>
          <w:sz w:val="24"/>
          <w:szCs w:val="24"/>
          <w:lang w:val="en-US" w:eastAsia="en-GB"/>
        </w:rPr>
        <w:t xml:space="preserve">. </w:t>
      </w:r>
      <w:r w:rsidR="00C21285">
        <w:rPr>
          <w:rFonts w:asciiTheme="minorHAnsi" w:hAnsiTheme="minorHAnsi" w:cstheme="minorHAnsi"/>
          <w:sz w:val="24"/>
          <w:szCs w:val="24"/>
          <w:lang w:val="en-US" w:eastAsia="en-GB"/>
        </w:rPr>
        <w:t>With the inclu</w:t>
      </w:r>
      <w:r w:rsidR="001E0722">
        <w:rPr>
          <w:rFonts w:asciiTheme="minorHAnsi" w:hAnsiTheme="minorHAnsi" w:cstheme="minorHAnsi"/>
          <w:sz w:val="24"/>
          <w:szCs w:val="24"/>
          <w:lang w:val="en-US" w:eastAsia="en-GB"/>
        </w:rPr>
        <w:t xml:space="preserve">sion </w:t>
      </w:r>
      <w:r w:rsidR="0037048F">
        <w:rPr>
          <w:rFonts w:asciiTheme="minorHAnsi" w:hAnsiTheme="minorHAnsi" w:cstheme="minorHAnsi"/>
          <w:sz w:val="24"/>
          <w:szCs w:val="24"/>
          <w:lang w:val="en-US" w:eastAsia="en-GB"/>
        </w:rPr>
        <w:t>of BMD</w:t>
      </w:r>
      <w:r w:rsidR="008B244A">
        <w:rPr>
          <w:rFonts w:asciiTheme="minorHAnsi" w:hAnsiTheme="minorHAnsi" w:cstheme="minorHAnsi"/>
          <w:sz w:val="24"/>
          <w:szCs w:val="24"/>
          <w:lang w:val="en-US" w:eastAsia="en-GB"/>
        </w:rPr>
        <w:t xml:space="preserve">, 14,971 women were </w:t>
      </w:r>
      <w:r w:rsidR="00BF109E">
        <w:rPr>
          <w:rFonts w:asciiTheme="minorHAnsi" w:hAnsiTheme="minorHAnsi" w:cstheme="minorHAnsi"/>
          <w:sz w:val="24"/>
          <w:szCs w:val="24"/>
          <w:lang w:val="en-US" w:eastAsia="en-GB"/>
        </w:rPr>
        <w:t>categorized</w:t>
      </w:r>
      <w:r w:rsidR="008B244A">
        <w:rPr>
          <w:rFonts w:asciiTheme="minorHAnsi" w:hAnsiTheme="minorHAnsi" w:cstheme="minorHAnsi"/>
          <w:sz w:val="24"/>
          <w:szCs w:val="24"/>
          <w:lang w:val="en-US" w:eastAsia="en-GB"/>
        </w:rPr>
        <w:t xml:space="preserve"> at low </w:t>
      </w:r>
      <w:r w:rsidR="00B52419">
        <w:rPr>
          <w:rFonts w:asciiTheme="minorHAnsi" w:hAnsiTheme="minorHAnsi" w:cstheme="minorHAnsi"/>
          <w:sz w:val="24"/>
          <w:szCs w:val="24"/>
          <w:lang w:val="en-US" w:eastAsia="en-GB"/>
        </w:rPr>
        <w:t>risk</w:t>
      </w:r>
      <w:r w:rsidR="00FD3AF9">
        <w:rPr>
          <w:rFonts w:asciiTheme="minorHAnsi" w:hAnsiTheme="minorHAnsi" w:cstheme="minorHAnsi"/>
          <w:sz w:val="24"/>
          <w:szCs w:val="24"/>
          <w:lang w:val="en-US" w:eastAsia="en-GB"/>
        </w:rPr>
        <w:t xml:space="preserve"> (</w:t>
      </w:r>
      <w:r w:rsidR="00FB4354">
        <w:rPr>
          <w:rFonts w:asciiTheme="minorHAnsi" w:hAnsiTheme="minorHAnsi" w:cstheme="minorHAnsi"/>
          <w:sz w:val="24"/>
          <w:szCs w:val="24"/>
          <w:lang w:val="en-US" w:eastAsia="en-GB"/>
        </w:rPr>
        <w:t>51</w:t>
      </w:r>
      <w:r w:rsidR="00FD3AF9">
        <w:rPr>
          <w:rFonts w:asciiTheme="minorHAnsi" w:hAnsiTheme="minorHAnsi" w:cstheme="minorHAnsi"/>
          <w:sz w:val="24"/>
          <w:szCs w:val="24"/>
          <w:lang w:val="en-US" w:eastAsia="en-GB"/>
        </w:rPr>
        <w:t>% o</w:t>
      </w:r>
      <w:r w:rsidR="00034B89">
        <w:rPr>
          <w:rFonts w:asciiTheme="minorHAnsi" w:hAnsiTheme="minorHAnsi" w:cstheme="minorHAnsi"/>
          <w:sz w:val="24"/>
          <w:szCs w:val="24"/>
          <w:lang w:val="en-US" w:eastAsia="en-GB"/>
        </w:rPr>
        <w:t>f</w:t>
      </w:r>
      <w:r w:rsidR="00FD3AF9">
        <w:rPr>
          <w:rFonts w:asciiTheme="minorHAnsi" w:hAnsiTheme="minorHAnsi" w:cstheme="minorHAnsi"/>
          <w:sz w:val="24"/>
          <w:szCs w:val="24"/>
          <w:lang w:val="en-US" w:eastAsia="en-GB"/>
        </w:rPr>
        <w:t xml:space="preserve"> </w:t>
      </w:r>
      <w:r w:rsidR="00697C5C">
        <w:rPr>
          <w:rFonts w:asciiTheme="minorHAnsi" w:hAnsiTheme="minorHAnsi" w:cstheme="minorHAnsi"/>
          <w:sz w:val="24"/>
          <w:szCs w:val="24"/>
          <w:lang w:val="en-US" w:eastAsia="en-GB"/>
        </w:rPr>
        <w:t>the</w:t>
      </w:r>
      <w:r w:rsidR="00FD3AF9">
        <w:rPr>
          <w:rFonts w:asciiTheme="minorHAnsi" w:hAnsiTheme="minorHAnsi" w:cstheme="minorHAnsi"/>
          <w:sz w:val="24"/>
          <w:szCs w:val="24"/>
          <w:lang w:val="en-US" w:eastAsia="en-GB"/>
        </w:rPr>
        <w:t xml:space="preserve"> total cohort)</w:t>
      </w:r>
      <w:r w:rsidR="00B52419">
        <w:rPr>
          <w:rFonts w:asciiTheme="minorHAnsi" w:hAnsiTheme="minorHAnsi" w:cstheme="minorHAnsi"/>
          <w:sz w:val="24"/>
          <w:szCs w:val="24"/>
          <w:lang w:val="en-US" w:eastAsia="en-GB"/>
        </w:rPr>
        <w:t xml:space="preserve"> </w:t>
      </w:r>
      <w:r w:rsidR="001C1A31">
        <w:rPr>
          <w:rFonts w:asciiTheme="minorHAnsi" w:hAnsiTheme="minorHAnsi" w:cstheme="minorHAnsi"/>
          <w:sz w:val="24"/>
          <w:szCs w:val="24"/>
          <w:lang w:val="en-US" w:eastAsia="en-GB"/>
        </w:rPr>
        <w:t>and 2750</w:t>
      </w:r>
      <w:r w:rsidR="00AC7BFB">
        <w:rPr>
          <w:rFonts w:asciiTheme="minorHAnsi" w:hAnsiTheme="minorHAnsi" w:cstheme="minorHAnsi"/>
          <w:sz w:val="24"/>
          <w:szCs w:val="24"/>
          <w:lang w:val="en-US" w:eastAsia="en-GB"/>
        </w:rPr>
        <w:t xml:space="preserve"> (</w:t>
      </w:r>
      <w:r w:rsidR="003A3A50">
        <w:rPr>
          <w:rFonts w:asciiTheme="minorHAnsi" w:hAnsiTheme="minorHAnsi" w:cstheme="minorHAnsi"/>
          <w:sz w:val="24"/>
          <w:szCs w:val="24"/>
          <w:lang w:val="en-US" w:eastAsia="en-GB"/>
        </w:rPr>
        <w:t xml:space="preserve">9%) </w:t>
      </w:r>
      <w:r w:rsidR="003714B1" w:rsidRPr="00FA2913">
        <w:rPr>
          <w:rFonts w:asciiTheme="minorHAnsi" w:hAnsiTheme="minorHAnsi" w:cstheme="minorHAnsi"/>
          <w:sz w:val="24"/>
          <w:szCs w:val="24"/>
          <w:lang w:val="en-US" w:eastAsia="en-GB"/>
        </w:rPr>
        <w:t xml:space="preserve">categorized at </w:t>
      </w:r>
      <w:r w:rsidR="00F01957">
        <w:rPr>
          <w:rFonts w:asciiTheme="minorHAnsi" w:hAnsiTheme="minorHAnsi" w:cstheme="minorHAnsi"/>
          <w:sz w:val="24"/>
          <w:szCs w:val="24"/>
          <w:lang w:val="en-US" w:eastAsia="en-GB"/>
        </w:rPr>
        <w:t>hi</w:t>
      </w:r>
      <w:r w:rsidR="002F3961">
        <w:rPr>
          <w:rFonts w:asciiTheme="minorHAnsi" w:hAnsiTheme="minorHAnsi" w:cstheme="minorHAnsi"/>
          <w:sz w:val="24"/>
          <w:szCs w:val="24"/>
          <w:lang w:val="en-US" w:eastAsia="en-GB"/>
        </w:rPr>
        <w:t>gh</w:t>
      </w:r>
      <w:r w:rsidR="003714B1" w:rsidRPr="00FA2913">
        <w:rPr>
          <w:rFonts w:asciiTheme="minorHAnsi" w:hAnsiTheme="minorHAnsi" w:cstheme="minorHAnsi"/>
          <w:sz w:val="24"/>
          <w:szCs w:val="24"/>
          <w:lang w:val="en-US" w:eastAsia="en-GB"/>
        </w:rPr>
        <w:t xml:space="preserve"> risk</w:t>
      </w:r>
      <w:r w:rsidR="002976B3" w:rsidRPr="00EC2A71">
        <w:rPr>
          <w:rFonts w:asciiTheme="minorHAnsi" w:hAnsiTheme="minorHAnsi" w:cstheme="minorHAnsi"/>
          <w:sz w:val="24"/>
          <w:szCs w:val="24"/>
          <w:lang w:val="en-US" w:eastAsia="en-GB"/>
        </w:rPr>
        <w:t>.</w:t>
      </w:r>
      <w:r w:rsidR="005A2B08" w:rsidRPr="00EC2A71">
        <w:rPr>
          <w:rFonts w:asciiTheme="minorHAnsi" w:hAnsiTheme="minorHAnsi" w:cstheme="minorHAnsi"/>
          <w:sz w:val="24"/>
          <w:szCs w:val="24"/>
          <w:lang w:val="en-US" w:eastAsia="en-GB"/>
        </w:rPr>
        <w:t xml:space="preserve"> The overall disposition of the cohort</w:t>
      </w:r>
      <w:r w:rsidR="00E569AF" w:rsidRPr="00EC2A71">
        <w:rPr>
          <w:rFonts w:asciiTheme="minorHAnsi" w:hAnsiTheme="minorHAnsi" w:cstheme="minorHAnsi"/>
          <w:sz w:val="24"/>
          <w:szCs w:val="24"/>
          <w:lang w:val="en-US" w:eastAsia="en-GB"/>
        </w:rPr>
        <w:t xml:space="preserve"> is shown in Table </w:t>
      </w:r>
      <w:r w:rsidR="0060052D">
        <w:rPr>
          <w:rFonts w:asciiTheme="minorHAnsi" w:hAnsiTheme="minorHAnsi" w:cstheme="minorHAnsi"/>
          <w:sz w:val="24"/>
          <w:szCs w:val="24"/>
          <w:lang w:val="en-US" w:eastAsia="en-GB"/>
        </w:rPr>
        <w:t>3</w:t>
      </w:r>
      <w:r w:rsidR="0006558C" w:rsidRPr="00EC2A71">
        <w:rPr>
          <w:rFonts w:asciiTheme="minorHAnsi" w:hAnsiTheme="minorHAnsi" w:cstheme="minorHAnsi"/>
          <w:sz w:val="24"/>
          <w:szCs w:val="24"/>
          <w:lang w:val="en-US" w:eastAsia="en-GB"/>
        </w:rPr>
        <w:t>.</w:t>
      </w:r>
      <w:r w:rsidR="0049545D">
        <w:rPr>
          <w:rFonts w:asciiTheme="minorHAnsi" w:hAnsiTheme="minorHAnsi" w:cstheme="minorHAnsi"/>
          <w:sz w:val="24"/>
          <w:szCs w:val="24"/>
          <w:lang w:val="en-US" w:eastAsia="en-GB"/>
        </w:rPr>
        <w:t xml:space="preserve"> </w:t>
      </w:r>
      <w:r w:rsidR="008A08DF">
        <w:rPr>
          <w:rFonts w:asciiTheme="minorHAnsi" w:hAnsiTheme="minorHAnsi" w:cstheme="minorHAnsi"/>
          <w:sz w:val="24"/>
          <w:szCs w:val="24"/>
          <w:lang w:val="en-US" w:eastAsia="en-GB"/>
        </w:rPr>
        <w:t>Those identified as eligible fo</w:t>
      </w:r>
      <w:r w:rsidR="00C01733">
        <w:rPr>
          <w:rFonts w:asciiTheme="minorHAnsi" w:hAnsiTheme="minorHAnsi" w:cstheme="minorHAnsi"/>
          <w:sz w:val="24"/>
          <w:szCs w:val="24"/>
          <w:lang w:val="en-US" w:eastAsia="en-GB"/>
        </w:rPr>
        <w:t>r</w:t>
      </w:r>
      <w:r w:rsidR="008A08DF">
        <w:rPr>
          <w:rFonts w:asciiTheme="minorHAnsi" w:hAnsiTheme="minorHAnsi" w:cstheme="minorHAnsi"/>
          <w:sz w:val="24"/>
          <w:szCs w:val="24"/>
          <w:lang w:val="en-US" w:eastAsia="en-GB"/>
        </w:rPr>
        <w:t xml:space="preserve"> tr</w:t>
      </w:r>
      <w:r w:rsidR="00C01733">
        <w:rPr>
          <w:rFonts w:asciiTheme="minorHAnsi" w:hAnsiTheme="minorHAnsi" w:cstheme="minorHAnsi"/>
          <w:sz w:val="24"/>
          <w:szCs w:val="24"/>
          <w:lang w:val="en-US" w:eastAsia="en-GB"/>
        </w:rPr>
        <w:t>e</w:t>
      </w:r>
      <w:r w:rsidR="008A08DF">
        <w:rPr>
          <w:rFonts w:asciiTheme="minorHAnsi" w:hAnsiTheme="minorHAnsi" w:cstheme="minorHAnsi"/>
          <w:sz w:val="24"/>
          <w:szCs w:val="24"/>
          <w:lang w:val="en-US" w:eastAsia="en-GB"/>
        </w:rPr>
        <w:t>atment</w:t>
      </w:r>
      <w:r w:rsidR="00C01733">
        <w:rPr>
          <w:rFonts w:asciiTheme="minorHAnsi" w:hAnsiTheme="minorHAnsi" w:cstheme="minorHAnsi"/>
          <w:sz w:val="24"/>
          <w:szCs w:val="24"/>
          <w:lang w:val="en-US" w:eastAsia="en-GB"/>
        </w:rPr>
        <w:t xml:space="preserve"> because of a prior fragility fracture o</w:t>
      </w:r>
      <w:r w:rsidR="00730305">
        <w:rPr>
          <w:rFonts w:asciiTheme="minorHAnsi" w:hAnsiTheme="minorHAnsi" w:cstheme="minorHAnsi"/>
          <w:sz w:val="24"/>
          <w:szCs w:val="24"/>
          <w:lang w:val="en-US" w:eastAsia="en-GB"/>
        </w:rPr>
        <w:t xml:space="preserve">r </w:t>
      </w:r>
      <w:r w:rsidR="00C6505F">
        <w:rPr>
          <w:rFonts w:asciiTheme="minorHAnsi" w:hAnsiTheme="minorHAnsi" w:cstheme="minorHAnsi"/>
          <w:sz w:val="24"/>
          <w:szCs w:val="24"/>
          <w:lang w:val="en-US" w:eastAsia="en-GB"/>
        </w:rPr>
        <w:t>for</w:t>
      </w:r>
      <w:r w:rsidR="00730305">
        <w:rPr>
          <w:rFonts w:asciiTheme="minorHAnsi" w:hAnsiTheme="minorHAnsi" w:cstheme="minorHAnsi"/>
          <w:sz w:val="24"/>
          <w:szCs w:val="24"/>
          <w:lang w:val="en-US" w:eastAsia="en-GB"/>
        </w:rPr>
        <w:t xml:space="preserve"> a high FRAX score</w:t>
      </w:r>
      <w:r w:rsidR="002701D3">
        <w:rPr>
          <w:rFonts w:asciiTheme="minorHAnsi" w:hAnsiTheme="minorHAnsi" w:cstheme="minorHAnsi"/>
          <w:sz w:val="24"/>
          <w:szCs w:val="24"/>
          <w:lang w:val="en-US" w:eastAsia="en-GB"/>
        </w:rPr>
        <w:t xml:space="preserve"> had higher fracture probabilities than those not eligible for treatment</w:t>
      </w:r>
      <w:r w:rsidR="002819FB">
        <w:rPr>
          <w:rFonts w:asciiTheme="minorHAnsi" w:hAnsiTheme="minorHAnsi" w:cstheme="minorHAnsi"/>
          <w:sz w:val="24"/>
          <w:szCs w:val="24"/>
          <w:lang w:val="en-US" w:eastAsia="en-GB"/>
        </w:rPr>
        <w:t>.</w:t>
      </w:r>
      <w:r w:rsidR="00C406E5" w:rsidRPr="00C406E5">
        <w:t xml:space="preserve"> </w:t>
      </w:r>
      <w:r w:rsidR="00C406E5" w:rsidRPr="00C406E5">
        <w:rPr>
          <w:rFonts w:asciiTheme="minorHAnsi" w:hAnsiTheme="minorHAnsi" w:cstheme="minorHAnsi"/>
          <w:sz w:val="24"/>
          <w:szCs w:val="24"/>
          <w:lang w:val="en-US" w:eastAsia="en-GB"/>
        </w:rPr>
        <w:t xml:space="preserve">The average 10-year fracture probability (calculated without </w:t>
      </w:r>
      <w:r w:rsidR="00C406E5" w:rsidRPr="00C406E5">
        <w:rPr>
          <w:rFonts w:asciiTheme="minorHAnsi" w:hAnsiTheme="minorHAnsi" w:cstheme="minorHAnsi"/>
          <w:sz w:val="24"/>
          <w:szCs w:val="24"/>
          <w:lang w:val="en-US" w:eastAsia="en-GB"/>
        </w:rPr>
        <w:lastRenderedPageBreak/>
        <w:t>BMD) in all women identified as eligible for treatment was 11.8% and 5.1% for major osteoporotic fracture and hip fracture, respectively</w:t>
      </w:r>
      <w:r w:rsidR="00923E72">
        <w:rPr>
          <w:rFonts w:asciiTheme="minorHAnsi" w:hAnsiTheme="minorHAnsi" w:cstheme="minorHAnsi"/>
          <w:sz w:val="24"/>
          <w:szCs w:val="24"/>
          <w:lang w:val="en-US" w:eastAsia="en-GB"/>
        </w:rPr>
        <w:t>.</w:t>
      </w:r>
    </w:p>
    <w:p w14:paraId="46724C3C" w14:textId="4038ED66" w:rsidR="00E22022" w:rsidRDefault="00E22022" w:rsidP="00827EF0">
      <w:pPr>
        <w:autoSpaceDE w:val="0"/>
        <w:autoSpaceDN w:val="0"/>
        <w:adjustRightInd w:val="0"/>
        <w:spacing w:after="0"/>
        <w:ind w:left="1134"/>
        <w:rPr>
          <w:rFonts w:asciiTheme="minorHAnsi" w:hAnsiTheme="minorHAnsi" w:cstheme="minorHAnsi"/>
          <w:sz w:val="24"/>
          <w:szCs w:val="24"/>
          <w:lang w:val="en-US" w:eastAsia="en-GB"/>
        </w:rPr>
      </w:pPr>
    </w:p>
    <w:p w14:paraId="6679C74F" w14:textId="65BB76BF" w:rsidR="002F3502" w:rsidRPr="00EC2A71" w:rsidRDefault="002F3502" w:rsidP="00C14C6A">
      <w:pPr>
        <w:autoSpaceDE w:val="0"/>
        <w:autoSpaceDN w:val="0"/>
        <w:adjustRightInd w:val="0"/>
        <w:spacing w:after="0"/>
        <w:rPr>
          <w:rFonts w:asciiTheme="minorHAnsi" w:hAnsiTheme="minorHAnsi" w:cstheme="minorHAnsi"/>
          <w:sz w:val="24"/>
          <w:szCs w:val="24"/>
          <w:lang w:val="en-US" w:eastAsia="en-GB"/>
        </w:rPr>
      </w:pPr>
    </w:p>
    <w:p w14:paraId="0E457195" w14:textId="1923168E" w:rsidR="003F24DC" w:rsidRPr="00EC2A71" w:rsidRDefault="003F24DC" w:rsidP="00F3738D">
      <w:pPr>
        <w:autoSpaceDE w:val="0"/>
        <w:autoSpaceDN w:val="0"/>
        <w:adjustRightInd w:val="0"/>
        <w:spacing w:after="0" w:line="240" w:lineRule="auto"/>
        <w:rPr>
          <w:rFonts w:asciiTheme="minorHAnsi" w:hAnsiTheme="minorHAnsi" w:cstheme="minorHAnsi"/>
          <w:sz w:val="24"/>
          <w:szCs w:val="24"/>
          <w:lang w:val="en-US" w:eastAsia="en-GB"/>
        </w:rPr>
      </w:pPr>
    </w:p>
    <w:p w14:paraId="72250C9D" w14:textId="77777777" w:rsidR="003F24DC" w:rsidRPr="00EC2A71" w:rsidRDefault="003F24DC" w:rsidP="00F3738D">
      <w:pPr>
        <w:autoSpaceDE w:val="0"/>
        <w:autoSpaceDN w:val="0"/>
        <w:adjustRightInd w:val="0"/>
        <w:spacing w:after="0" w:line="240" w:lineRule="auto"/>
        <w:rPr>
          <w:rFonts w:asciiTheme="minorHAnsi" w:hAnsiTheme="minorHAnsi" w:cstheme="minorHAnsi"/>
          <w:sz w:val="24"/>
          <w:szCs w:val="24"/>
          <w:lang w:val="en-US" w:eastAsia="en-GB"/>
        </w:rPr>
      </w:pPr>
    </w:p>
    <w:p w14:paraId="1ACE9C0D" w14:textId="77777777" w:rsidR="002F3502" w:rsidRDefault="002F3502" w:rsidP="00B158F3">
      <w:pPr>
        <w:pStyle w:val="Default"/>
        <w:ind w:left="1134" w:right="2291"/>
        <w:rPr>
          <w:rFonts w:asciiTheme="minorHAnsi" w:hAnsiTheme="minorHAnsi" w:cstheme="minorHAnsi"/>
          <w:b/>
          <w:bCs/>
          <w:color w:val="auto"/>
          <w:sz w:val="20"/>
          <w:szCs w:val="20"/>
          <w:lang w:val="en-US"/>
        </w:rPr>
      </w:pPr>
    </w:p>
    <w:p w14:paraId="4C500D04" w14:textId="1F7DB149" w:rsidR="002A5813" w:rsidRDefault="002A5813" w:rsidP="00B158F3">
      <w:pPr>
        <w:pStyle w:val="Default"/>
        <w:ind w:left="1134" w:right="2291"/>
        <w:rPr>
          <w:rFonts w:asciiTheme="minorHAnsi" w:hAnsiTheme="minorHAnsi" w:cstheme="minorHAnsi"/>
          <w:b/>
          <w:bCs/>
          <w:color w:val="auto"/>
          <w:sz w:val="20"/>
          <w:szCs w:val="20"/>
          <w:lang w:val="en-US"/>
        </w:rPr>
      </w:pPr>
      <w:r w:rsidRPr="00E22022">
        <w:rPr>
          <w:rFonts w:asciiTheme="minorHAnsi" w:hAnsiTheme="minorHAnsi" w:cstheme="minorHAnsi"/>
          <w:noProof/>
          <w:lang w:val="en-GB"/>
        </w:rPr>
        <w:drawing>
          <wp:anchor distT="0" distB="0" distL="114300" distR="114300" simplePos="0" relativeHeight="251662848" behindDoc="0" locked="0" layoutInCell="1" allowOverlap="1" wp14:anchorId="01A13D4E" wp14:editId="73C17C66">
            <wp:simplePos x="0" y="0"/>
            <wp:positionH relativeFrom="column">
              <wp:posOffset>695325</wp:posOffset>
            </wp:positionH>
            <wp:positionV relativeFrom="paragraph">
              <wp:posOffset>293370</wp:posOffset>
            </wp:positionV>
            <wp:extent cx="4572000" cy="314325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973" b="2352"/>
                    <a:stretch/>
                  </pic:blipFill>
                  <pic:spPr bwMode="auto">
                    <a:xfrm>
                      <a:off x="0" y="0"/>
                      <a:ext cx="4572000" cy="31432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748B70" w14:textId="168FC227" w:rsidR="002A5813" w:rsidRDefault="002A5813" w:rsidP="00B158F3">
      <w:pPr>
        <w:pStyle w:val="Default"/>
        <w:ind w:left="1134" w:right="2291"/>
        <w:rPr>
          <w:rFonts w:asciiTheme="minorHAnsi" w:hAnsiTheme="minorHAnsi" w:cstheme="minorHAnsi"/>
          <w:b/>
          <w:bCs/>
          <w:color w:val="auto"/>
          <w:sz w:val="20"/>
          <w:szCs w:val="20"/>
          <w:lang w:val="en-US"/>
        </w:rPr>
      </w:pPr>
    </w:p>
    <w:p w14:paraId="7FB87040" w14:textId="77777777" w:rsidR="002A5813" w:rsidRDefault="002A5813" w:rsidP="00B158F3">
      <w:pPr>
        <w:pStyle w:val="Default"/>
        <w:ind w:left="1134" w:right="2291"/>
        <w:rPr>
          <w:rFonts w:asciiTheme="minorHAnsi" w:hAnsiTheme="minorHAnsi" w:cstheme="minorHAnsi"/>
          <w:b/>
          <w:bCs/>
          <w:color w:val="auto"/>
          <w:sz w:val="20"/>
          <w:szCs w:val="20"/>
          <w:lang w:val="en-US"/>
        </w:rPr>
      </w:pPr>
    </w:p>
    <w:p w14:paraId="7212F409" w14:textId="63536882" w:rsidR="005A3E44" w:rsidRPr="00EC2A71" w:rsidRDefault="00F3738D" w:rsidP="002A5813">
      <w:pPr>
        <w:pStyle w:val="Default"/>
        <w:ind w:left="1701" w:right="2291"/>
        <w:rPr>
          <w:rFonts w:asciiTheme="minorHAnsi" w:hAnsiTheme="minorHAnsi" w:cstheme="minorHAnsi"/>
          <w:color w:val="auto"/>
          <w:sz w:val="20"/>
          <w:szCs w:val="20"/>
          <w:lang w:val="en-US"/>
        </w:rPr>
      </w:pPr>
      <w:r w:rsidRPr="00EC2A71">
        <w:rPr>
          <w:rFonts w:asciiTheme="minorHAnsi" w:hAnsiTheme="minorHAnsi" w:cstheme="minorHAnsi"/>
          <w:b/>
          <w:bCs/>
          <w:color w:val="auto"/>
          <w:sz w:val="20"/>
          <w:szCs w:val="20"/>
          <w:lang w:val="en-US"/>
        </w:rPr>
        <w:t xml:space="preserve">Figure </w:t>
      </w:r>
      <w:r w:rsidR="00FF06F0">
        <w:rPr>
          <w:rFonts w:asciiTheme="minorHAnsi" w:hAnsiTheme="minorHAnsi" w:cstheme="minorHAnsi"/>
          <w:b/>
          <w:bCs/>
          <w:color w:val="auto"/>
          <w:sz w:val="20"/>
          <w:szCs w:val="20"/>
          <w:lang w:val="en-US"/>
        </w:rPr>
        <w:t>3</w:t>
      </w:r>
      <w:r w:rsidRPr="00EC2A71">
        <w:rPr>
          <w:rFonts w:asciiTheme="minorHAnsi" w:hAnsiTheme="minorHAnsi" w:cstheme="minorHAnsi"/>
          <w:b/>
          <w:bCs/>
          <w:color w:val="auto"/>
          <w:sz w:val="20"/>
          <w:szCs w:val="20"/>
          <w:lang w:val="en-US"/>
        </w:rPr>
        <w:t xml:space="preserve">. </w:t>
      </w:r>
      <w:r w:rsidRPr="00EC2A71">
        <w:rPr>
          <w:rFonts w:asciiTheme="minorHAnsi" w:hAnsiTheme="minorHAnsi" w:cstheme="minorHAnsi"/>
          <w:color w:val="auto"/>
          <w:sz w:val="20"/>
          <w:szCs w:val="20"/>
          <w:lang w:val="en-US"/>
        </w:rPr>
        <w:t>Management algorithm for the assessment of individuals at risk of fracture</w:t>
      </w:r>
      <w:r w:rsidR="000444AE" w:rsidRPr="00EC2A71">
        <w:rPr>
          <w:rFonts w:asciiTheme="minorHAnsi" w:hAnsiTheme="minorHAnsi" w:cstheme="minorHAnsi"/>
          <w:color w:val="auto"/>
          <w:sz w:val="20"/>
          <w:szCs w:val="20"/>
          <w:lang w:val="en-US"/>
        </w:rPr>
        <w:t>. The numbers in each category of ri</w:t>
      </w:r>
      <w:r w:rsidR="00EF6DD7" w:rsidRPr="00EC2A71">
        <w:rPr>
          <w:rFonts w:asciiTheme="minorHAnsi" w:hAnsiTheme="minorHAnsi" w:cstheme="minorHAnsi"/>
          <w:color w:val="auto"/>
          <w:sz w:val="20"/>
          <w:szCs w:val="20"/>
          <w:lang w:val="en-US"/>
        </w:rPr>
        <w:t xml:space="preserve">sk denote the </w:t>
      </w:r>
      <w:r w:rsidR="0045143F">
        <w:rPr>
          <w:rFonts w:asciiTheme="minorHAnsi" w:hAnsiTheme="minorHAnsi" w:cstheme="minorHAnsi"/>
          <w:color w:val="auto"/>
          <w:sz w:val="20"/>
          <w:szCs w:val="20"/>
          <w:lang w:val="en-US"/>
        </w:rPr>
        <w:t>percentage</w:t>
      </w:r>
      <w:r w:rsidR="00872652" w:rsidRPr="00EC2A71">
        <w:rPr>
          <w:rFonts w:asciiTheme="minorHAnsi" w:hAnsiTheme="minorHAnsi" w:cstheme="minorHAnsi"/>
          <w:color w:val="auto"/>
          <w:sz w:val="20"/>
          <w:szCs w:val="20"/>
          <w:lang w:val="en-US"/>
        </w:rPr>
        <w:t xml:space="preserve"> of women in each category.</w:t>
      </w:r>
      <w:r w:rsidR="00EF6DD7" w:rsidRPr="00EC2A71">
        <w:rPr>
          <w:rFonts w:asciiTheme="minorHAnsi" w:hAnsiTheme="minorHAnsi" w:cstheme="minorHAnsi"/>
          <w:color w:val="auto"/>
          <w:sz w:val="20"/>
          <w:szCs w:val="20"/>
          <w:lang w:val="en-US"/>
        </w:rPr>
        <w:t xml:space="preserve"> </w:t>
      </w:r>
    </w:p>
    <w:p w14:paraId="26934ADA" w14:textId="2196AA11" w:rsidR="00F3738D" w:rsidRPr="00F579DA" w:rsidRDefault="00F3738D" w:rsidP="00F3738D">
      <w:pPr>
        <w:autoSpaceDE w:val="0"/>
        <w:autoSpaceDN w:val="0"/>
        <w:adjustRightInd w:val="0"/>
        <w:spacing w:after="0" w:line="240" w:lineRule="auto"/>
        <w:rPr>
          <w:rFonts w:asciiTheme="minorHAnsi" w:hAnsiTheme="minorHAnsi" w:cstheme="minorHAnsi"/>
          <w:b/>
          <w:bCs/>
          <w:color w:val="FF0000"/>
          <w:sz w:val="24"/>
          <w:szCs w:val="24"/>
          <w:lang w:val="en-US"/>
        </w:rPr>
      </w:pPr>
    </w:p>
    <w:p w14:paraId="4CBD179F" w14:textId="1F846467" w:rsidR="001C0110" w:rsidRPr="00EC2A71" w:rsidRDefault="001C0110" w:rsidP="006709E3">
      <w:pPr>
        <w:autoSpaceDE w:val="0"/>
        <w:autoSpaceDN w:val="0"/>
        <w:adjustRightInd w:val="0"/>
        <w:spacing w:after="0" w:line="240" w:lineRule="auto"/>
        <w:ind w:left="1560"/>
        <w:jc w:val="both"/>
        <w:rPr>
          <w:rFonts w:asciiTheme="minorHAnsi" w:hAnsiTheme="minorHAnsi" w:cstheme="minorHAnsi"/>
          <w:sz w:val="20"/>
          <w:szCs w:val="20"/>
          <w:lang w:val="en-US" w:eastAsia="en-GB"/>
        </w:rPr>
      </w:pPr>
      <w:r w:rsidRPr="00EC2A71">
        <w:rPr>
          <w:rFonts w:asciiTheme="minorHAnsi" w:hAnsiTheme="minorHAnsi" w:cstheme="minorHAnsi"/>
          <w:b/>
          <w:bCs/>
          <w:sz w:val="20"/>
          <w:szCs w:val="20"/>
          <w:lang w:val="en-US" w:eastAsia="en-GB"/>
        </w:rPr>
        <w:t xml:space="preserve">Table </w:t>
      </w:r>
      <w:r w:rsidR="0060052D">
        <w:rPr>
          <w:rFonts w:asciiTheme="minorHAnsi" w:hAnsiTheme="minorHAnsi" w:cstheme="minorHAnsi"/>
          <w:b/>
          <w:bCs/>
          <w:sz w:val="20"/>
          <w:szCs w:val="20"/>
          <w:lang w:val="en-US" w:eastAsia="en-GB"/>
        </w:rPr>
        <w:t>3</w:t>
      </w:r>
      <w:r w:rsidRPr="00EC2A71">
        <w:rPr>
          <w:rFonts w:asciiTheme="minorHAnsi" w:hAnsiTheme="minorHAnsi" w:cstheme="minorHAnsi"/>
          <w:b/>
          <w:bCs/>
          <w:sz w:val="20"/>
          <w:szCs w:val="20"/>
          <w:lang w:val="en-US" w:eastAsia="en-GB"/>
        </w:rPr>
        <w:t>.</w:t>
      </w:r>
      <w:r w:rsidRPr="00EC2A71">
        <w:rPr>
          <w:rFonts w:asciiTheme="minorHAnsi" w:hAnsiTheme="minorHAnsi" w:cstheme="minorHAnsi"/>
          <w:sz w:val="20"/>
          <w:szCs w:val="20"/>
          <w:lang w:val="en-US" w:eastAsia="en-GB"/>
        </w:rPr>
        <w:t xml:space="preserve">  Disposition of the </w:t>
      </w:r>
      <w:r w:rsidR="00D01A35" w:rsidRPr="00EC2A71">
        <w:rPr>
          <w:rFonts w:asciiTheme="minorHAnsi" w:hAnsiTheme="minorHAnsi" w:cstheme="minorHAnsi"/>
          <w:sz w:val="20"/>
          <w:szCs w:val="20"/>
          <w:lang w:val="en-US" w:eastAsia="en-GB"/>
        </w:rPr>
        <w:t>Singaporean</w:t>
      </w:r>
      <w:r w:rsidRPr="00EC2A71">
        <w:rPr>
          <w:rFonts w:asciiTheme="minorHAnsi" w:hAnsiTheme="minorHAnsi" w:cstheme="minorHAnsi"/>
          <w:sz w:val="20"/>
          <w:szCs w:val="20"/>
          <w:lang w:val="en-US" w:eastAsia="en-GB"/>
        </w:rPr>
        <w:t xml:space="preserve"> cohort according to NOGG guidance.</w:t>
      </w: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032"/>
        <w:gridCol w:w="806"/>
        <w:gridCol w:w="992"/>
        <w:gridCol w:w="728"/>
        <w:gridCol w:w="701"/>
        <w:gridCol w:w="706"/>
        <w:gridCol w:w="718"/>
      </w:tblGrid>
      <w:tr w:rsidR="00ED317A" w:rsidRPr="001921C3" w14:paraId="786DA688" w14:textId="7C622844" w:rsidTr="001921C3">
        <w:trPr>
          <w:jc w:val="center"/>
        </w:trPr>
        <w:tc>
          <w:tcPr>
            <w:tcW w:w="3118" w:type="dxa"/>
            <w:tcBorders>
              <w:bottom w:val="nil"/>
            </w:tcBorders>
          </w:tcPr>
          <w:p w14:paraId="0D401A4A" w14:textId="6B458AD5" w:rsidR="0056102D" w:rsidRPr="001921C3" w:rsidRDefault="0056102D" w:rsidP="00EC2A71">
            <w:pPr>
              <w:autoSpaceDE w:val="0"/>
              <w:autoSpaceDN w:val="0"/>
              <w:adjustRightInd w:val="0"/>
              <w:spacing w:after="0"/>
              <w:rPr>
                <w:rFonts w:cs="Calibri"/>
                <w:lang w:val="en-US" w:eastAsia="en-GB"/>
              </w:rPr>
            </w:pPr>
            <w:r w:rsidRPr="001921C3">
              <w:rPr>
                <w:rFonts w:cs="Calibri"/>
                <w:lang w:val="en-US" w:eastAsia="en-GB"/>
              </w:rPr>
              <w:t>Category</w:t>
            </w:r>
          </w:p>
        </w:tc>
        <w:tc>
          <w:tcPr>
            <w:tcW w:w="1032" w:type="dxa"/>
            <w:tcBorders>
              <w:bottom w:val="nil"/>
            </w:tcBorders>
          </w:tcPr>
          <w:p w14:paraId="58D308DC" w14:textId="28F667F0" w:rsidR="0056102D" w:rsidRPr="001921C3" w:rsidRDefault="0056102D" w:rsidP="006709E3">
            <w:pPr>
              <w:autoSpaceDE w:val="0"/>
              <w:autoSpaceDN w:val="0"/>
              <w:adjustRightInd w:val="0"/>
              <w:spacing w:after="0"/>
              <w:jc w:val="center"/>
              <w:rPr>
                <w:rFonts w:cs="Calibri"/>
                <w:lang w:val="en-US" w:eastAsia="en-GB"/>
              </w:rPr>
            </w:pPr>
            <w:r w:rsidRPr="001921C3">
              <w:rPr>
                <w:rFonts w:cs="Calibri"/>
                <w:lang w:val="en-US" w:eastAsia="en-GB"/>
              </w:rPr>
              <w:t>Number</w:t>
            </w:r>
          </w:p>
        </w:tc>
        <w:tc>
          <w:tcPr>
            <w:tcW w:w="806" w:type="dxa"/>
            <w:tcBorders>
              <w:bottom w:val="nil"/>
            </w:tcBorders>
          </w:tcPr>
          <w:p w14:paraId="3307D137" w14:textId="0FFE2C72" w:rsidR="0056102D" w:rsidRPr="001921C3" w:rsidRDefault="0056102D" w:rsidP="006709E3">
            <w:pPr>
              <w:autoSpaceDE w:val="0"/>
              <w:autoSpaceDN w:val="0"/>
              <w:adjustRightInd w:val="0"/>
              <w:spacing w:after="0"/>
              <w:jc w:val="center"/>
              <w:rPr>
                <w:rFonts w:cs="Calibri"/>
                <w:lang w:val="en-US" w:eastAsia="en-GB"/>
              </w:rPr>
            </w:pPr>
            <w:r w:rsidRPr="001921C3">
              <w:rPr>
                <w:rFonts w:cs="Calibri"/>
                <w:lang w:val="en-US" w:eastAsia="en-GB"/>
              </w:rPr>
              <w:t>%</w:t>
            </w:r>
          </w:p>
        </w:tc>
        <w:tc>
          <w:tcPr>
            <w:tcW w:w="992" w:type="dxa"/>
            <w:tcBorders>
              <w:bottom w:val="nil"/>
            </w:tcBorders>
          </w:tcPr>
          <w:p w14:paraId="63BAF265" w14:textId="4301BCAB" w:rsidR="0056102D" w:rsidRPr="001921C3" w:rsidRDefault="0056102D" w:rsidP="006709E3">
            <w:pPr>
              <w:autoSpaceDE w:val="0"/>
              <w:autoSpaceDN w:val="0"/>
              <w:adjustRightInd w:val="0"/>
              <w:spacing w:after="0"/>
              <w:jc w:val="center"/>
              <w:rPr>
                <w:rFonts w:cs="Calibri"/>
                <w:lang w:val="en-US" w:eastAsia="en-GB"/>
              </w:rPr>
            </w:pPr>
            <w:r w:rsidRPr="001921C3">
              <w:rPr>
                <w:rFonts w:cs="Calibri"/>
                <w:lang w:val="en-US" w:eastAsia="en-GB"/>
              </w:rPr>
              <w:t>Mean BMD T-score</w:t>
            </w:r>
          </w:p>
        </w:tc>
        <w:tc>
          <w:tcPr>
            <w:tcW w:w="1429" w:type="dxa"/>
            <w:gridSpan w:val="2"/>
            <w:tcBorders>
              <w:bottom w:val="nil"/>
            </w:tcBorders>
          </w:tcPr>
          <w:p w14:paraId="06216B9F" w14:textId="2F7B27D4" w:rsidR="0056102D" w:rsidRPr="001921C3" w:rsidRDefault="0056102D" w:rsidP="006709E3">
            <w:pPr>
              <w:autoSpaceDE w:val="0"/>
              <w:autoSpaceDN w:val="0"/>
              <w:adjustRightInd w:val="0"/>
              <w:spacing w:after="0"/>
              <w:jc w:val="center"/>
              <w:rPr>
                <w:rFonts w:cs="Calibri"/>
                <w:lang w:val="en-US" w:eastAsia="en-GB"/>
              </w:rPr>
            </w:pPr>
            <w:r w:rsidRPr="001921C3">
              <w:rPr>
                <w:rFonts w:cs="Calibri"/>
                <w:lang w:val="en-US" w:eastAsia="en-GB"/>
              </w:rPr>
              <w:t>Mean 10-year probability without BMD</w:t>
            </w:r>
          </w:p>
          <w:p w14:paraId="59D46ACB" w14:textId="0EC32E89" w:rsidR="0056102D" w:rsidRPr="001921C3" w:rsidRDefault="0056102D" w:rsidP="006709E3">
            <w:pPr>
              <w:autoSpaceDE w:val="0"/>
              <w:autoSpaceDN w:val="0"/>
              <w:adjustRightInd w:val="0"/>
              <w:spacing w:after="0"/>
              <w:jc w:val="center"/>
              <w:rPr>
                <w:rFonts w:cs="Calibri"/>
                <w:lang w:val="en-US" w:eastAsia="en-GB"/>
              </w:rPr>
            </w:pPr>
            <w:r w:rsidRPr="001921C3">
              <w:rPr>
                <w:rFonts w:cs="Calibri"/>
                <w:lang w:val="en-US" w:eastAsia="en-GB"/>
              </w:rPr>
              <w:t>(FRAX) (%)</w:t>
            </w:r>
          </w:p>
        </w:tc>
        <w:tc>
          <w:tcPr>
            <w:tcW w:w="1424" w:type="dxa"/>
            <w:gridSpan w:val="2"/>
            <w:tcBorders>
              <w:bottom w:val="nil"/>
            </w:tcBorders>
          </w:tcPr>
          <w:p w14:paraId="791C371E" w14:textId="427E8529"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Mean 10-year probability with BMD</w:t>
            </w:r>
          </w:p>
          <w:p w14:paraId="4511C56A" w14:textId="4A7B706F" w:rsidR="0056102D" w:rsidRPr="001921C3" w:rsidRDefault="0056102D" w:rsidP="006709E3">
            <w:pPr>
              <w:autoSpaceDE w:val="0"/>
              <w:autoSpaceDN w:val="0"/>
              <w:adjustRightInd w:val="0"/>
              <w:spacing w:after="0"/>
              <w:jc w:val="center"/>
              <w:rPr>
                <w:rFonts w:cs="Calibri"/>
                <w:lang w:val="en-US" w:eastAsia="en-GB"/>
              </w:rPr>
            </w:pPr>
            <w:r w:rsidRPr="001921C3">
              <w:rPr>
                <w:rFonts w:cs="Calibri"/>
                <w:lang w:val="en-US" w:eastAsia="en-GB"/>
              </w:rPr>
              <w:t>(FRAX) (%)</w:t>
            </w:r>
          </w:p>
        </w:tc>
      </w:tr>
      <w:tr w:rsidR="00ED317A" w:rsidRPr="001921C3" w14:paraId="70461F1D" w14:textId="77777777" w:rsidTr="001921C3">
        <w:trPr>
          <w:jc w:val="center"/>
        </w:trPr>
        <w:tc>
          <w:tcPr>
            <w:tcW w:w="3118" w:type="dxa"/>
            <w:tcBorders>
              <w:top w:val="nil"/>
              <w:bottom w:val="single" w:sz="4" w:space="0" w:color="auto"/>
            </w:tcBorders>
          </w:tcPr>
          <w:p w14:paraId="2A1E69FE" w14:textId="77777777" w:rsidR="0056102D" w:rsidRPr="001921C3" w:rsidRDefault="0056102D" w:rsidP="0056102D">
            <w:pPr>
              <w:autoSpaceDE w:val="0"/>
              <w:autoSpaceDN w:val="0"/>
              <w:adjustRightInd w:val="0"/>
              <w:spacing w:after="0"/>
              <w:rPr>
                <w:rFonts w:cs="Calibri"/>
                <w:lang w:val="en-US" w:eastAsia="en-GB"/>
              </w:rPr>
            </w:pPr>
          </w:p>
        </w:tc>
        <w:tc>
          <w:tcPr>
            <w:tcW w:w="1032" w:type="dxa"/>
            <w:tcBorders>
              <w:top w:val="nil"/>
              <w:bottom w:val="single" w:sz="4" w:space="0" w:color="auto"/>
            </w:tcBorders>
          </w:tcPr>
          <w:p w14:paraId="6BD4FC61" w14:textId="77777777" w:rsidR="0056102D" w:rsidRPr="001921C3" w:rsidRDefault="0056102D" w:rsidP="0056102D">
            <w:pPr>
              <w:autoSpaceDE w:val="0"/>
              <w:autoSpaceDN w:val="0"/>
              <w:adjustRightInd w:val="0"/>
              <w:spacing w:after="0"/>
              <w:jc w:val="center"/>
              <w:rPr>
                <w:rFonts w:cs="Calibri"/>
                <w:lang w:val="en-US" w:eastAsia="en-GB"/>
              </w:rPr>
            </w:pPr>
          </w:p>
        </w:tc>
        <w:tc>
          <w:tcPr>
            <w:tcW w:w="806" w:type="dxa"/>
            <w:tcBorders>
              <w:top w:val="nil"/>
              <w:bottom w:val="single" w:sz="4" w:space="0" w:color="auto"/>
            </w:tcBorders>
          </w:tcPr>
          <w:p w14:paraId="64E2FD89" w14:textId="77777777" w:rsidR="0056102D" w:rsidRPr="001921C3" w:rsidRDefault="0056102D" w:rsidP="0056102D">
            <w:pPr>
              <w:autoSpaceDE w:val="0"/>
              <w:autoSpaceDN w:val="0"/>
              <w:adjustRightInd w:val="0"/>
              <w:spacing w:after="0"/>
              <w:jc w:val="center"/>
              <w:rPr>
                <w:rFonts w:cs="Calibri"/>
                <w:lang w:val="en-US" w:eastAsia="en-GB"/>
              </w:rPr>
            </w:pPr>
          </w:p>
        </w:tc>
        <w:tc>
          <w:tcPr>
            <w:tcW w:w="992" w:type="dxa"/>
            <w:tcBorders>
              <w:top w:val="nil"/>
              <w:bottom w:val="single" w:sz="4" w:space="0" w:color="auto"/>
            </w:tcBorders>
          </w:tcPr>
          <w:p w14:paraId="73256AFA" w14:textId="77777777" w:rsidR="0056102D" w:rsidRPr="001921C3" w:rsidRDefault="0056102D" w:rsidP="0056102D">
            <w:pPr>
              <w:autoSpaceDE w:val="0"/>
              <w:autoSpaceDN w:val="0"/>
              <w:adjustRightInd w:val="0"/>
              <w:spacing w:after="0"/>
              <w:jc w:val="center"/>
              <w:rPr>
                <w:rFonts w:cs="Calibri"/>
                <w:lang w:val="en-US" w:eastAsia="en-GB"/>
              </w:rPr>
            </w:pPr>
          </w:p>
        </w:tc>
        <w:tc>
          <w:tcPr>
            <w:tcW w:w="728" w:type="dxa"/>
            <w:tcBorders>
              <w:top w:val="nil"/>
              <w:bottom w:val="single" w:sz="4" w:space="0" w:color="auto"/>
            </w:tcBorders>
          </w:tcPr>
          <w:p w14:paraId="7D85DC79" w14:textId="5F1BEA7A"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MOF</w:t>
            </w:r>
          </w:p>
        </w:tc>
        <w:tc>
          <w:tcPr>
            <w:tcW w:w="701" w:type="dxa"/>
            <w:tcBorders>
              <w:top w:val="nil"/>
              <w:bottom w:val="single" w:sz="4" w:space="0" w:color="auto"/>
            </w:tcBorders>
          </w:tcPr>
          <w:p w14:paraId="1367FE47" w14:textId="26086808"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Hip</w:t>
            </w:r>
          </w:p>
        </w:tc>
        <w:tc>
          <w:tcPr>
            <w:tcW w:w="706" w:type="dxa"/>
            <w:tcBorders>
              <w:top w:val="nil"/>
              <w:bottom w:val="single" w:sz="4" w:space="0" w:color="auto"/>
            </w:tcBorders>
          </w:tcPr>
          <w:p w14:paraId="5FCD473B" w14:textId="26CF7142"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MOF</w:t>
            </w:r>
          </w:p>
        </w:tc>
        <w:tc>
          <w:tcPr>
            <w:tcW w:w="718" w:type="dxa"/>
            <w:tcBorders>
              <w:top w:val="nil"/>
              <w:bottom w:val="single" w:sz="4" w:space="0" w:color="auto"/>
            </w:tcBorders>
          </w:tcPr>
          <w:p w14:paraId="1792A810" w14:textId="7F38BC20"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Hip</w:t>
            </w:r>
          </w:p>
        </w:tc>
      </w:tr>
      <w:tr w:rsidR="00ED317A" w:rsidRPr="001921C3" w14:paraId="62ECA942" w14:textId="55CF3AEA" w:rsidTr="001921C3">
        <w:trPr>
          <w:jc w:val="center"/>
        </w:trPr>
        <w:tc>
          <w:tcPr>
            <w:tcW w:w="3118" w:type="dxa"/>
            <w:tcBorders>
              <w:top w:val="single" w:sz="4" w:space="0" w:color="auto"/>
            </w:tcBorders>
          </w:tcPr>
          <w:p w14:paraId="219AB561" w14:textId="79CDA81A" w:rsidR="0056102D" w:rsidRPr="001921C3" w:rsidRDefault="0056102D" w:rsidP="0056102D">
            <w:pPr>
              <w:autoSpaceDE w:val="0"/>
              <w:autoSpaceDN w:val="0"/>
              <w:adjustRightInd w:val="0"/>
              <w:spacing w:after="0"/>
              <w:rPr>
                <w:rFonts w:cs="Calibri"/>
                <w:lang w:val="en-US" w:eastAsia="en-GB"/>
              </w:rPr>
            </w:pPr>
            <w:r w:rsidRPr="001921C3">
              <w:rPr>
                <w:rFonts w:cs="Calibri"/>
                <w:lang w:val="en-US" w:eastAsia="en-GB"/>
              </w:rPr>
              <w:t>Entire cohort</w:t>
            </w:r>
          </w:p>
        </w:tc>
        <w:tc>
          <w:tcPr>
            <w:tcW w:w="1032" w:type="dxa"/>
            <w:tcBorders>
              <w:top w:val="single" w:sz="4" w:space="0" w:color="auto"/>
            </w:tcBorders>
          </w:tcPr>
          <w:p w14:paraId="569ED5C1" w14:textId="69CCF8FC"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29323</w:t>
            </w:r>
          </w:p>
        </w:tc>
        <w:tc>
          <w:tcPr>
            <w:tcW w:w="806" w:type="dxa"/>
            <w:tcBorders>
              <w:top w:val="single" w:sz="4" w:space="0" w:color="auto"/>
            </w:tcBorders>
          </w:tcPr>
          <w:p w14:paraId="267B43E0" w14:textId="57162DF7"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100</w:t>
            </w:r>
          </w:p>
        </w:tc>
        <w:tc>
          <w:tcPr>
            <w:tcW w:w="992" w:type="dxa"/>
            <w:tcBorders>
              <w:top w:val="single" w:sz="4" w:space="0" w:color="auto"/>
            </w:tcBorders>
          </w:tcPr>
          <w:p w14:paraId="7D8D10E9" w14:textId="762FE570"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-1.89</w:t>
            </w:r>
          </w:p>
        </w:tc>
        <w:tc>
          <w:tcPr>
            <w:tcW w:w="728" w:type="dxa"/>
            <w:tcBorders>
              <w:top w:val="single" w:sz="4" w:space="0" w:color="auto"/>
            </w:tcBorders>
          </w:tcPr>
          <w:p w14:paraId="0A1400D2" w14:textId="06F6B982"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7.5</w:t>
            </w:r>
          </w:p>
        </w:tc>
        <w:tc>
          <w:tcPr>
            <w:tcW w:w="701" w:type="dxa"/>
            <w:tcBorders>
              <w:top w:val="single" w:sz="4" w:space="0" w:color="auto"/>
            </w:tcBorders>
          </w:tcPr>
          <w:p w14:paraId="3C703BA6" w14:textId="5ECCA40C"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2.8</w:t>
            </w:r>
          </w:p>
        </w:tc>
        <w:tc>
          <w:tcPr>
            <w:tcW w:w="706" w:type="dxa"/>
            <w:tcBorders>
              <w:top w:val="single" w:sz="4" w:space="0" w:color="auto"/>
            </w:tcBorders>
          </w:tcPr>
          <w:p w14:paraId="6BE12A0C" w14:textId="21656F68" w:rsidR="0056102D" w:rsidRPr="001921C3" w:rsidRDefault="00C354F7" w:rsidP="0056102D">
            <w:pPr>
              <w:autoSpaceDE w:val="0"/>
              <w:autoSpaceDN w:val="0"/>
              <w:adjustRightInd w:val="0"/>
              <w:spacing w:after="0"/>
              <w:jc w:val="center"/>
              <w:rPr>
                <w:rFonts w:cs="Calibri"/>
                <w:lang w:val="en-US" w:eastAsia="en-GB"/>
              </w:rPr>
            </w:pPr>
            <w:r w:rsidRPr="001921C3">
              <w:rPr>
                <w:rFonts w:cs="Calibri"/>
                <w:lang w:val="en-US" w:eastAsia="en-GB"/>
              </w:rPr>
              <w:t>8.0</w:t>
            </w:r>
          </w:p>
        </w:tc>
        <w:tc>
          <w:tcPr>
            <w:tcW w:w="718" w:type="dxa"/>
            <w:tcBorders>
              <w:top w:val="single" w:sz="4" w:space="0" w:color="auto"/>
            </w:tcBorders>
          </w:tcPr>
          <w:p w14:paraId="38AD3475" w14:textId="1E9FF8FC" w:rsidR="0056102D" w:rsidRPr="001921C3" w:rsidRDefault="00C354F7" w:rsidP="0056102D">
            <w:pPr>
              <w:autoSpaceDE w:val="0"/>
              <w:autoSpaceDN w:val="0"/>
              <w:adjustRightInd w:val="0"/>
              <w:spacing w:after="0"/>
              <w:jc w:val="center"/>
              <w:rPr>
                <w:rFonts w:cs="Calibri"/>
                <w:lang w:val="en-US" w:eastAsia="en-GB"/>
              </w:rPr>
            </w:pPr>
            <w:r w:rsidRPr="001921C3">
              <w:rPr>
                <w:rFonts w:cs="Calibri"/>
                <w:lang w:val="en-US" w:eastAsia="en-GB"/>
              </w:rPr>
              <w:t>3.0</w:t>
            </w:r>
          </w:p>
        </w:tc>
      </w:tr>
      <w:tr w:rsidR="00ED317A" w:rsidRPr="001921C3" w14:paraId="3588BC48" w14:textId="67C24E95" w:rsidTr="001921C3">
        <w:trPr>
          <w:jc w:val="center"/>
        </w:trPr>
        <w:tc>
          <w:tcPr>
            <w:tcW w:w="3118" w:type="dxa"/>
          </w:tcPr>
          <w:p w14:paraId="2C263879" w14:textId="63B9CC5E" w:rsidR="0056102D" w:rsidRPr="001921C3" w:rsidRDefault="0056102D" w:rsidP="0056102D">
            <w:pPr>
              <w:autoSpaceDE w:val="0"/>
              <w:autoSpaceDN w:val="0"/>
              <w:adjustRightInd w:val="0"/>
              <w:spacing w:after="0"/>
              <w:rPr>
                <w:rFonts w:cs="Calibri"/>
                <w:lang w:val="en-US" w:eastAsia="en-GB"/>
              </w:rPr>
            </w:pPr>
            <w:bookmarkStart w:id="12" w:name="_Hlk28244906"/>
            <w:r w:rsidRPr="001921C3">
              <w:rPr>
                <w:rFonts w:cs="Calibri"/>
                <w:lang w:val="en-US" w:eastAsia="en-GB"/>
              </w:rPr>
              <w:t xml:space="preserve">Treated (Prior </w:t>
            </w:r>
            <w:r w:rsidR="00117B40" w:rsidRPr="00117B40">
              <w:rPr>
                <w:rFonts w:cs="Calibri"/>
                <w:lang w:val="en-US" w:eastAsia="en-GB"/>
              </w:rPr>
              <w:t xml:space="preserve">fragility </w:t>
            </w:r>
            <w:r w:rsidRPr="001921C3">
              <w:rPr>
                <w:rFonts w:cs="Calibri"/>
                <w:lang w:val="en-US" w:eastAsia="en-GB"/>
              </w:rPr>
              <w:t>fracture)</w:t>
            </w:r>
          </w:p>
        </w:tc>
        <w:tc>
          <w:tcPr>
            <w:tcW w:w="1032" w:type="dxa"/>
          </w:tcPr>
          <w:p w14:paraId="127FF040" w14:textId="177196B7"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1927</w:t>
            </w:r>
          </w:p>
        </w:tc>
        <w:tc>
          <w:tcPr>
            <w:tcW w:w="806" w:type="dxa"/>
          </w:tcPr>
          <w:p w14:paraId="51308CA2" w14:textId="135D06DB"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6.6</w:t>
            </w:r>
          </w:p>
        </w:tc>
        <w:tc>
          <w:tcPr>
            <w:tcW w:w="992" w:type="dxa"/>
          </w:tcPr>
          <w:p w14:paraId="3E5C25C1" w14:textId="429B3426"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-2.18</w:t>
            </w:r>
          </w:p>
        </w:tc>
        <w:tc>
          <w:tcPr>
            <w:tcW w:w="728" w:type="dxa"/>
          </w:tcPr>
          <w:p w14:paraId="244DA16B" w14:textId="05C71BEB"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15.2</w:t>
            </w:r>
          </w:p>
        </w:tc>
        <w:tc>
          <w:tcPr>
            <w:tcW w:w="701" w:type="dxa"/>
          </w:tcPr>
          <w:p w14:paraId="51363FF1" w14:textId="6982F3EF"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6.5</w:t>
            </w:r>
          </w:p>
        </w:tc>
        <w:tc>
          <w:tcPr>
            <w:tcW w:w="706" w:type="dxa"/>
          </w:tcPr>
          <w:p w14:paraId="63D94733" w14:textId="6DF4AF27" w:rsidR="0056102D" w:rsidRPr="001921C3" w:rsidRDefault="00C354F7" w:rsidP="0056102D">
            <w:pPr>
              <w:autoSpaceDE w:val="0"/>
              <w:autoSpaceDN w:val="0"/>
              <w:adjustRightInd w:val="0"/>
              <w:spacing w:after="0"/>
              <w:jc w:val="center"/>
              <w:rPr>
                <w:rFonts w:cs="Calibri"/>
                <w:lang w:val="en-US" w:eastAsia="en-GB"/>
              </w:rPr>
            </w:pPr>
            <w:r w:rsidRPr="001921C3">
              <w:rPr>
                <w:rFonts w:cs="Calibri"/>
                <w:lang w:val="en-US" w:eastAsia="en-GB"/>
              </w:rPr>
              <w:t>15.1</w:t>
            </w:r>
          </w:p>
        </w:tc>
        <w:tc>
          <w:tcPr>
            <w:tcW w:w="718" w:type="dxa"/>
          </w:tcPr>
          <w:p w14:paraId="293FD1A0" w14:textId="02E5BFE7" w:rsidR="0056102D" w:rsidRPr="001921C3" w:rsidRDefault="00C354F7" w:rsidP="0056102D">
            <w:pPr>
              <w:autoSpaceDE w:val="0"/>
              <w:autoSpaceDN w:val="0"/>
              <w:adjustRightInd w:val="0"/>
              <w:spacing w:after="0"/>
              <w:jc w:val="center"/>
              <w:rPr>
                <w:rFonts w:cs="Calibri"/>
                <w:lang w:val="en-US" w:eastAsia="en-GB"/>
              </w:rPr>
            </w:pPr>
            <w:r w:rsidRPr="001921C3">
              <w:rPr>
                <w:rFonts w:cs="Calibri"/>
                <w:lang w:val="en-US" w:eastAsia="en-GB"/>
              </w:rPr>
              <w:t>6.3</w:t>
            </w:r>
          </w:p>
        </w:tc>
      </w:tr>
      <w:bookmarkEnd w:id="12"/>
      <w:tr w:rsidR="00ED317A" w:rsidRPr="001921C3" w14:paraId="5C01BE53" w14:textId="1059AF22" w:rsidTr="001921C3">
        <w:trPr>
          <w:jc w:val="center"/>
        </w:trPr>
        <w:tc>
          <w:tcPr>
            <w:tcW w:w="3118" w:type="dxa"/>
          </w:tcPr>
          <w:p w14:paraId="59ABF3F7" w14:textId="43167CBC" w:rsidR="0056102D" w:rsidRPr="001921C3" w:rsidRDefault="0056102D" w:rsidP="0056102D">
            <w:pPr>
              <w:autoSpaceDE w:val="0"/>
              <w:autoSpaceDN w:val="0"/>
              <w:adjustRightInd w:val="0"/>
              <w:spacing w:after="0"/>
              <w:rPr>
                <w:rFonts w:cs="Calibri"/>
                <w:lang w:val="en-US" w:eastAsia="en-GB"/>
              </w:rPr>
            </w:pPr>
            <w:r w:rsidRPr="001921C3">
              <w:rPr>
                <w:rFonts w:cs="Calibri"/>
                <w:lang w:val="en-US" w:eastAsia="en-GB"/>
              </w:rPr>
              <w:t>Otherwise eligible for treatment*</w:t>
            </w:r>
          </w:p>
        </w:tc>
        <w:tc>
          <w:tcPr>
            <w:tcW w:w="1032" w:type="dxa"/>
          </w:tcPr>
          <w:p w14:paraId="060316C9" w14:textId="2CB46A00"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3019</w:t>
            </w:r>
          </w:p>
        </w:tc>
        <w:tc>
          <w:tcPr>
            <w:tcW w:w="806" w:type="dxa"/>
          </w:tcPr>
          <w:p w14:paraId="3F8DD1B2" w14:textId="378BCE13"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10.3</w:t>
            </w:r>
          </w:p>
        </w:tc>
        <w:tc>
          <w:tcPr>
            <w:tcW w:w="992" w:type="dxa"/>
          </w:tcPr>
          <w:p w14:paraId="4285BFFF" w14:textId="4AE4A9CC"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-2.94</w:t>
            </w:r>
          </w:p>
        </w:tc>
        <w:tc>
          <w:tcPr>
            <w:tcW w:w="728" w:type="dxa"/>
          </w:tcPr>
          <w:p w14:paraId="5BA0742E" w14:textId="4152E4CE"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9.8</w:t>
            </w:r>
          </w:p>
        </w:tc>
        <w:tc>
          <w:tcPr>
            <w:tcW w:w="701" w:type="dxa"/>
          </w:tcPr>
          <w:p w14:paraId="3595F7D5" w14:textId="242089AE"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4.3</w:t>
            </w:r>
          </w:p>
        </w:tc>
        <w:tc>
          <w:tcPr>
            <w:tcW w:w="706" w:type="dxa"/>
          </w:tcPr>
          <w:p w14:paraId="44F984AC" w14:textId="270E9350" w:rsidR="0056102D" w:rsidRPr="001921C3" w:rsidRDefault="00C354F7" w:rsidP="0056102D">
            <w:pPr>
              <w:autoSpaceDE w:val="0"/>
              <w:autoSpaceDN w:val="0"/>
              <w:adjustRightInd w:val="0"/>
              <w:spacing w:after="0"/>
              <w:jc w:val="center"/>
              <w:rPr>
                <w:rFonts w:cs="Calibri"/>
                <w:lang w:val="en-US" w:eastAsia="en-GB"/>
              </w:rPr>
            </w:pPr>
            <w:r w:rsidRPr="001921C3">
              <w:rPr>
                <w:rFonts w:cs="Calibri"/>
                <w:lang w:val="en-US" w:eastAsia="en-GB"/>
              </w:rPr>
              <w:t>15.3</w:t>
            </w:r>
          </w:p>
        </w:tc>
        <w:tc>
          <w:tcPr>
            <w:tcW w:w="718" w:type="dxa"/>
          </w:tcPr>
          <w:p w14:paraId="5551682A" w14:textId="5713CF7B" w:rsidR="0056102D" w:rsidRPr="001921C3" w:rsidRDefault="00C354F7" w:rsidP="0056102D">
            <w:pPr>
              <w:autoSpaceDE w:val="0"/>
              <w:autoSpaceDN w:val="0"/>
              <w:adjustRightInd w:val="0"/>
              <w:spacing w:after="0"/>
              <w:jc w:val="center"/>
              <w:rPr>
                <w:rFonts w:cs="Calibri"/>
                <w:lang w:val="en-US" w:eastAsia="en-GB"/>
              </w:rPr>
            </w:pPr>
            <w:r w:rsidRPr="001921C3">
              <w:rPr>
                <w:rFonts w:cs="Calibri"/>
                <w:lang w:val="en-US" w:eastAsia="en-GB"/>
              </w:rPr>
              <w:t>8.5</w:t>
            </w:r>
          </w:p>
        </w:tc>
      </w:tr>
      <w:tr w:rsidR="00ED317A" w:rsidRPr="001921C3" w14:paraId="24D95B40" w14:textId="2F15FF88" w:rsidTr="001921C3">
        <w:trPr>
          <w:jc w:val="center"/>
        </w:trPr>
        <w:tc>
          <w:tcPr>
            <w:tcW w:w="3118" w:type="dxa"/>
          </w:tcPr>
          <w:p w14:paraId="49EF6D70" w14:textId="4F44154A" w:rsidR="0056102D" w:rsidRPr="001921C3" w:rsidRDefault="0056102D" w:rsidP="0056102D">
            <w:pPr>
              <w:autoSpaceDE w:val="0"/>
              <w:autoSpaceDN w:val="0"/>
              <w:adjustRightInd w:val="0"/>
              <w:spacing w:after="0"/>
              <w:rPr>
                <w:rFonts w:cs="Calibri"/>
                <w:lang w:val="en-US" w:eastAsia="en-GB"/>
              </w:rPr>
            </w:pPr>
            <w:r w:rsidRPr="001921C3">
              <w:rPr>
                <w:rFonts w:cs="Calibri"/>
                <w:lang w:val="en-US" w:eastAsia="en-GB"/>
              </w:rPr>
              <w:t>BMD tests</w:t>
            </w:r>
          </w:p>
        </w:tc>
        <w:tc>
          <w:tcPr>
            <w:tcW w:w="1032" w:type="dxa"/>
          </w:tcPr>
          <w:p w14:paraId="5D42A1D6" w14:textId="1DAC138E"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17721</w:t>
            </w:r>
          </w:p>
        </w:tc>
        <w:tc>
          <w:tcPr>
            <w:tcW w:w="806" w:type="dxa"/>
          </w:tcPr>
          <w:p w14:paraId="60478953" w14:textId="32DE407F"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60.4</w:t>
            </w:r>
          </w:p>
        </w:tc>
        <w:tc>
          <w:tcPr>
            <w:tcW w:w="992" w:type="dxa"/>
          </w:tcPr>
          <w:p w14:paraId="0CD80C90" w14:textId="445102E6"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-1.98</w:t>
            </w:r>
          </w:p>
        </w:tc>
        <w:tc>
          <w:tcPr>
            <w:tcW w:w="728" w:type="dxa"/>
          </w:tcPr>
          <w:p w14:paraId="79F8C9F0" w14:textId="136DF1E6"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7.7</w:t>
            </w:r>
          </w:p>
        </w:tc>
        <w:tc>
          <w:tcPr>
            <w:tcW w:w="701" w:type="dxa"/>
          </w:tcPr>
          <w:p w14:paraId="5867EB9B" w14:textId="4AF2A8C1"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2.9</w:t>
            </w:r>
          </w:p>
        </w:tc>
        <w:tc>
          <w:tcPr>
            <w:tcW w:w="706" w:type="dxa"/>
          </w:tcPr>
          <w:p w14:paraId="0F82D737" w14:textId="1652E8DA" w:rsidR="0056102D" w:rsidRPr="001921C3" w:rsidRDefault="008A48E6" w:rsidP="0056102D">
            <w:pPr>
              <w:autoSpaceDE w:val="0"/>
              <w:autoSpaceDN w:val="0"/>
              <w:adjustRightInd w:val="0"/>
              <w:spacing w:after="0"/>
              <w:jc w:val="center"/>
              <w:rPr>
                <w:rFonts w:cs="Calibri"/>
                <w:lang w:val="en-US" w:eastAsia="en-GB"/>
              </w:rPr>
            </w:pPr>
            <w:r w:rsidRPr="001921C3">
              <w:rPr>
                <w:rFonts w:cs="Calibri"/>
                <w:lang w:val="en-US" w:eastAsia="en-GB"/>
              </w:rPr>
              <w:t>8.2</w:t>
            </w:r>
          </w:p>
        </w:tc>
        <w:tc>
          <w:tcPr>
            <w:tcW w:w="718" w:type="dxa"/>
          </w:tcPr>
          <w:p w14:paraId="25C6770C" w14:textId="1C5F2F39" w:rsidR="0056102D" w:rsidRPr="001921C3" w:rsidRDefault="008A48E6" w:rsidP="0056102D">
            <w:pPr>
              <w:autoSpaceDE w:val="0"/>
              <w:autoSpaceDN w:val="0"/>
              <w:adjustRightInd w:val="0"/>
              <w:spacing w:after="0"/>
              <w:jc w:val="center"/>
              <w:rPr>
                <w:rFonts w:cs="Calibri"/>
                <w:lang w:val="en-US" w:eastAsia="en-GB"/>
              </w:rPr>
            </w:pPr>
            <w:r w:rsidRPr="001921C3">
              <w:rPr>
                <w:rFonts w:cs="Calibri"/>
                <w:lang w:val="en-US" w:eastAsia="en-GB"/>
              </w:rPr>
              <w:t>3.2</w:t>
            </w:r>
          </w:p>
        </w:tc>
      </w:tr>
      <w:tr w:rsidR="00ED317A" w:rsidRPr="001921C3" w14:paraId="3E9DE239" w14:textId="49D1C3C0" w:rsidTr="001921C3">
        <w:trPr>
          <w:jc w:val="center"/>
        </w:trPr>
        <w:tc>
          <w:tcPr>
            <w:tcW w:w="3118" w:type="dxa"/>
            <w:tcBorders>
              <w:bottom w:val="single" w:sz="4" w:space="0" w:color="auto"/>
            </w:tcBorders>
          </w:tcPr>
          <w:p w14:paraId="5E2B7BBB" w14:textId="4B960D68" w:rsidR="0056102D" w:rsidRPr="001921C3" w:rsidRDefault="0056102D" w:rsidP="0056102D">
            <w:pPr>
              <w:autoSpaceDE w:val="0"/>
              <w:autoSpaceDN w:val="0"/>
              <w:adjustRightInd w:val="0"/>
              <w:spacing w:after="0"/>
              <w:rPr>
                <w:rFonts w:cs="Calibri"/>
                <w:lang w:val="en-US" w:eastAsia="en-GB"/>
              </w:rPr>
            </w:pPr>
            <w:r w:rsidRPr="001921C3">
              <w:rPr>
                <w:rFonts w:cs="Calibri"/>
                <w:lang w:val="en-US" w:eastAsia="en-GB"/>
              </w:rPr>
              <w:t>No treatment</w:t>
            </w:r>
          </w:p>
        </w:tc>
        <w:tc>
          <w:tcPr>
            <w:tcW w:w="1032" w:type="dxa"/>
            <w:tcBorders>
              <w:bottom w:val="single" w:sz="4" w:space="0" w:color="auto"/>
            </w:tcBorders>
          </w:tcPr>
          <w:p w14:paraId="4536A626" w14:textId="0F1D0975"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24377</w:t>
            </w:r>
          </w:p>
        </w:tc>
        <w:tc>
          <w:tcPr>
            <w:tcW w:w="806" w:type="dxa"/>
            <w:tcBorders>
              <w:bottom w:val="single" w:sz="4" w:space="0" w:color="auto"/>
            </w:tcBorders>
          </w:tcPr>
          <w:p w14:paraId="5C90EB40" w14:textId="197B0836"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83.1</w:t>
            </w:r>
          </w:p>
        </w:tc>
        <w:tc>
          <w:tcPr>
            <w:tcW w:w="992" w:type="dxa"/>
            <w:tcBorders>
              <w:bottom w:val="single" w:sz="4" w:space="0" w:color="auto"/>
            </w:tcBorders>
          </w:tcPr>
          <w:p w14:paraId="17BD4D06" w14:textId="6DB7F99A"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-1.74</w:t>
            </w:r>
          </w:p>
        </w:tc>
        <w:tc>
          <w:tcPr>
            <w:tcW w:w="728" w:type="dxa"/>
            <w:tcBorders>
              <w:bottom w:val="single" w:sz="4" w:space="0" w:color="auto"/>
            </w:tcBorders>
          </w:tcPr>
          <w:p w14:paraId="0F4F8607" w14:textId="45EF852D"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6.6</w:t>
            </w:r>
          </w:p>
        </w:tc>
        <w:tc>
          <w:tcPr>
            <w:tcW w:w="701" w:type="dxa"/>
            <w:tcBorders>
              <w:bottom w:val="single" w:sz="4" w:space="0" w:color="auto"/>
            </w:tcBorders>
          </w:tcPr>
          <w:p w14:paraId="78D575E2" w14:textId="10D4FADF" w:rsidR="0056102D" w:rsidRPr="001921C3" w:rsidRDefault="0056102D" w:rsidP="0056102D">
            <w:pPr>
              <w:autoSpaceDE w:val="0"/>
              <w:autoSpaceDN w:val="0"/>
              <w:adjustRightInd w:val="0"/>
              <w:spacing w:after="0"/>
              <w:jc w:val="center"/>
              <w:rPr>
                <w:rFonts w:cs="Calibri"/>
                <w:lang w:val="en-US" w:eastAsia="en-GB"/>
              </w:rPr>
            </w:pPr>
            <w:r w:rsidRPr="001921C3">
              <w:rPr>
                <w:rFonts w:cs="Calibri"/>
                <w:lang w:val="en-US" w:eastAsia="en-GB"/>
              </w:rPr>
              <w:t>2.3</w:t>
            </w:r>
          </w:p>
        </w:tc>
        <w:tc>
          <w:tcPr>
            <w:tcW w:w="706" w:type="dxa"/>
            <w:tcBorders>
              <w:bottom w:val="single" w:sz="4" w:space="0" w:color="auto"/>
            </w:tcBorders>
          </w:tcPr>
          <w:p w14:paraId="3C186022" w14:textId="2FA6017D" w:rsidR="0056102D" w:rsidRPr="001921C3" w:rsidRDefault="00C354F7" w:rsidP="0056102D">
            <w:pPr>
              <w:autoSpaceDE w:val="0"/>
              <w:autoSpaceDN w:val="0"/>
              <w:adjustRightInd w:val="0"/>
              <w:spacing w:after="0"/>
              <w:jc w:val="center"/>
              <w:rPr>
                <w:rFonts w:cs="Calibri"/>
                <w:lang w:val="en-US" w:eastAsia="en-GB"/>
              </w:rPr>
            </w:pPr>
            <w:r w:rsidRPr="001921C3">
              <w:rPr>
                <w:rFonts w:cs="Calibri"/>
                <w:lang w:val="en-US" w:eastAsia="en-GB"/>
              </w:rPr>
              <w:t>6.5</w:t>
            </w:r>
          </w:p>
        </w:tc>
        <w:tc>
          <w:tcPr>
            <w:tcW w:w="718" w:type="dxa"/>
            <w:tcBorders>
              <w:bottom w:val="single" w:sz="4" w:space="0" w:color="auto"/>
            </w:tcBorders>
          </w:tcPr>
          <w:p w14:paraId="301859E9" w14:textId="3F200385" w:rsidR="0056102D" w:rsidRPr="001921C3" w:rsidRDefault="00C354F7" w:rsidP="0056102D">
            <w:pPr>
              <w:autoSpaceDE w:val="0"/>
              <w:autoSpaceDN w:val="0"/>
              <w:adjustRightInd w:val="0"/>
              <w:spacing w:after="0"/>
              <w:jc w:val="center"/>
              <w:rPr>
                <w:rFonts w:cs="Calibri"/>
                <w:lang w:val="en-US" w:eastAsia="en-GB"/>
              </w:rPr>
            </w:pPr>
            <w:r w:rsidRPr="001921C3">
              <w:rPr>
                <w:rFonts w:cs="Calibri"/>
                <w:lang w:val="en-US" w:eastAsia="en-GB"/>
              </w:rPr>
              <w:t>2.0</w:t>
            </w:r>
          </w:p>
        </w:tc>
      </w:tr>
      <w:tr w:rsidR="00ED317A" w:rsidRPr="001921C3" w14:paraId="1946A388" w14:textId="313E0E65" w:rsidTr="001921C3">
        <w:trPr>
          <w:jc w:val="center"/>
        </w:trPr>
        <w:tc>
          <w:tcPr>
            <w:tcW w:w="6676" w:type="dxa"/>
            <w:gridSpan w:val="5"/>
            <w:tcBorders>
              <w:top w:val="single" w:sz="4" w:space="0" w:color="auto"/>
            </w:tcBorders>
          </w:tcPr>
          <w:p w14:paraId="34BB0EDC" w14:textId="1506D812" w:rsidR="0056102D" w:rsidRPr="001921C3" w:rsidRDefault="0056102D" w:rsidP="0056102D">
            <w:pPr>
              <w:autoSpaceDE w:val="0"/>
              <w:autoSpaceDN w:val="0"/>
              <w:adjustRightInd w:val="0"/>
              <w:spacing w:after="0"/>
              <w:rPr>
                <w:rFonts w:cs="Calibri"/>
                <w:lang w:val="en-US" w:eastAsia="en-GB"/>
              </w:rPr>
            </w:pPr>
            <w:r w:rsidRPr="001921C3">
              <w:rPr>
                <w:rFonts w:cs="Calibri"/>
                <w:lang w:val="en-US" w:eastAsia="en-GB"/>
              </w:rPr>
              <w:t xml:space="preserve">* No prior </w:t>
            </w:r>
            <w:r w:rsidR="00117B40" w:rsidRPr="00117B40">
              <w:rPr>
                <w:rFonts w:cs="Calibri"/>
                <w:lang w:val="en-US" w:eastAsia="en-GB"/>
              </w:rPr>
              <w:t xml:space="preserve">fragility </w:t>
            </w:r>
            <w:r w:rsidRPr="001921C3">
              <w:rPr>
                <w:rFonts w:cs="Calibri"/>
                <w:lang w:val="en-US" w:eastAsia="en-GB"/>
              </w:rPr>
              <w:t>fracture but high FRAX score</w:t>
            </w:r>
          </w:p>
        </w:tc>
        <w:tc>
          <w:tcPr>
            <w:tcW w:w="701" w:type="dxa"/>
            <w:tcBorders>
              <w:top w:val="single" w:sz="4" w:space="0" w:color="auto"/>
            </w:tcBorders>
          </w:tcPr>
          <w:p w14:paraId="0735E36B" w14:textId="77777777" w:rsidR="0056102D" w:rsidRPr="001921C3" w:rsidRDefault="0056102D" w:rsidP="0056102D">
            <w:pPr>
              <w:autoSpaceDE w:val="0"/>
              <w:autoSpaceDN w:val="0"/>
              <w:adjustRightInd w:val="0"/>
              <w:spacing w:after="0"/>
              <w:rPr>
                <w:rFonts w:cs="Calibri"/>
                <w:lang w:val="en-US" w:eastAsia="en-GB"/>
              </w:rPr>
            </w:pPr>
          </w:p>
        </w:tc>
        <w:tc>
          <w:tcPr>
            <w:tcW w:w="706" w:type="dxa"/>
            <w:tcBorders>
              <w:top w:val="single" w:sz="4" w:space="0" w:color="auto"/>
            </w:tcBorders>
          </w:tcPr>
          <w:p w14:paraId="6A06C245" w14:textId="77777777" w:rsidR="0056102D" w:rsidRPr="001921C3" w:rsidRDefault="0056102D" w:rsidP="0056102D">
            <w:pPr>
              <w:autoSpaceDE w:val="0"/>
              <w:autoSpaceDN w:val="0"/>
              <w:adjustRightInd w:val="0"/>
              <w:spacing w:after="0"/>
              <w:rPr>
                <w:rFonts w:cs="Calibri"/>
                <w:lang w:val="en-US" w:eastAsia="en-GB"/>
              </w:rPr>
            </w:pPr>
          </w:p>
        </w:tc>
        <w:tc>
          <w:tcPr>
            <w:tcW w:w="718" w:type="dxa"/>
            <w:tcBorders>
              <w:top w:val="single" w:sz="4" w:space="0" w:color="auto"/>
            </w:tcBorders>
          </w:tcPr>
          <w:p w14:paraId="39623D03" w14:textId="0E2CDC29" w:rsidR="0056102D" w:rsidRPr="001921C3" w:rsidRDefault="0056102D" w:rsidP="0056102D">
            <w:pPr>
              <w:autoSpaceDE w:val="0"/>
              <w:autoSpaceDN w:val="0"/>
              <w:adjustRightInd w:val="0"/>
              <w:spacing w:after="0"/>
              <w:rPr>
                <w:rFonts w:cs="Calibri"/>
                <w:lang w:val="en-US" w:eastAsia="en-GB"/>
              </w:rPr>
            </w:pPr>
          </w:p>
        </w:tc>
      </w:tr>
    </w:tbl>
    <w:p w14:paraId="418E7AB2" w14:textId="77777777" w:rsidR="001C0110" w:rsidRPr="00602456" w:rsidRDefault="001C0110" w:rsidP="001C0110">
      <w:pPr>
        <w:autoSpaceDE w:val="0"/>
        <w:autoSpaceDN w:val="0"/>
        <w:adjustRightInd w:val="0"/>
        <w:spacing w:after="0" w:line="240" w:lineRule="auto"/>
        <w:rPr>
          <w:rFonts w:asciiTheme="minorHAnsi" w:hAnsiTheme="minorHAnsi" w:cstheme="minorHAnsi"/>
          <w:sz w:val="24"/>
          <w:szCs w:val="24"/>
          <w:lang w:val="en-GB" w:eastAsia="en-GB"/>
        </w:rPr>
      </w:pPr>
    </w:p>
    <w:p w14:paraId="1205CD58" w14:textId="77777777" w:rsidR="001C0110" w:rsidRPr="00CB7055" w:rsidRDefault="001C0110" w:rsidP="001C0110">
      <w:pPr>
        <w:autoSpaceDE w:val="0"/>
        <w:autoSpaceDN w:val="0"/>
        <w:adjustRightInd w:val="0"/>
        <w:spacing w:after="0" w:line="240" w:lineRule="auto"/>
        <w:rPr>
          <w:rFonts w:asciiTheme="minorHAnsi" w:hAnsiTheme="minorHAnsi" w:cstheme="minorHAnsi"/>
          <w:sz w:val="24"/>
          <w:szCs w:val="24"/>
          <w:lang w:val="en-US" w:eastAsia="en-GB"/>
        </w:rPr>
      </w:pPr>
    </w:p>
    <w:p w14:paraId="03DA832C" w14:textId="77777777" w:rsidR="0078467D" w:rsidRDefault="0078467D" w:rsidP="00827EF0">
      <w:pPr>
        <w:pStyle w:val="BodyText"/>
        <w:tabs>
          <w:tab w:val="left" w:pos="3060"/>
        </w:tabs>
        <w:spacing w:line="276" w:lineRule="auto"/>
        <w:ind w:left="1134"/>
        <w:rPr>
          <w:rFonts w:ascii="Calibri" w:eastAsia="Calibri" w:hAnsi="Calibri"/>
          <w:bCs/>
          <w:lang w:val="en-US" w:eastAsia="en-US"/>
        </w:rPr>
      </w:pPr>
    </w:p>
    <w:p w14:paraId="65C3EC71" w14:textId="019953C0" w:rsidR="0078467D" w:rsidRPr="00A36D9B" w:rsidRDefault="0078467D" w:rsidP="00827EF0">
      <w:pPr>
        <w:pStyle w:val="BodyText"/>
        <w:tabs>
          <w:tab w:val="left" w:pos="3060"/>
        </w:tabs>
        <w:spacing w:line="276" w:lineRule="auto"/>
        <w:ind w:left="1134"/>
        <w:rPr>
          <w:rFonts w:ascii="Calibri" w:eastAsia="Calibri" w:hAnsi="Calibri"/>
          <w:b/>
          <w:lang w:val="en-US" w:eastAsia="en-US"/>
        </w:rPr>
      </w:pPr>
      <w:r w:rsidRPr="00A36D9B">
        <w:rPr>
          <w:rFonts w:ascii="Calibri" w:eastAsia="Calibri" w:hAnsi="Calibri"/>
          <w:b/>
          <w:lang w:val="en-US" w:eastAsia="en-US"/>
        </w:rPr>
        <w:t>Discuss</w:t>
      </w:r>
      <w:r w:rsidR="00A36D9B" w:rsidRPr="00A36D9B">
        <w:rPr>
          <w:rFonts w:ascii="Calibri" w:eastAsia="Calibri" w:hAnsi="Calibri"/>
          <w:b/>
          <w:lang w:val="en-US" w:eastAsia="en-US"/>
        </w:rPr>
        <w:t>ion</w:t>
      </w:r>
    </w:p>
    <w:p w14:paraId="01F3735C" w14:textId="7D1D4ACB" w:rsidR="00DA76CC" w:rsidRPr="00F579DA" w:rsidRDefault="00CE1B8F" w:rsidP="0020414A">
      <w:pPr>
        <w:pStyle w:val="PlainText"/>
        <w:spacing w:after="240" w:line="276" w:lineRule="auto"/>
        <w:ind w:left="1134"/>
        <w:rPr>
          <w:rFonts w:ascii="Calibri" w:hAnsi="Calibri"/>
          <w:bCs/>
          <w:color w:val="FF0000"/>
          <w:sz w:val="24"/>
          <w:szCs w:val="24"/>
          <w:lang w:val="en-US"/>
        </w:rPr>
      </w:pPr>
      <w:r w:rsidRPr="002B635C">
        <w:rPr>
          <w:rFonts w:ascii="Calibri" w:hAnsi="Calibri"/>
          <w:bCs/>
          <w:color w:val="000000" w:themeColor="text1"/>
          <w:sz w:val="24"/>
          <w:szCs w:val="24"/>
          <w:lang w:val="en-US"/>
        </w:rPr>
        <w:lastRenderedPageBreak/>
        <w:t xml:space="preserve">In this report, we present </w:t>
      </w:r>
      <w:r w:rsidR="0008134A" w:rsidRPr="002B635C">
        <w:rPr>
          <w:rFonts w:ascii="Calibri" w:hAnsi="Calibri"/>
          <w:bCs/>
          <w:color w:val="000000" w:themeColor="text1"/>
          <w:sz w:val="24"/>
          <w:szCs w:val="24"/>
          <w:lang w:val="en-US"/>
        </w:rPr>
        <w:t>intervention threshol</w:t>
      </w:r>
      <w:r w:rsidR="00F66435" w:rsidRPr="002B635C">
        <w:rPr>
          <w:rFonts w:ascii="Calibri" w:hAnsi="Calibri"/>
          <w:bCs/>
          <w:color w:val="000000" w:themeColor="text1"/>
          <w:sz w:val="24"/>
          <w:szCs w:val="24"/>
          <w:lang w:val="en-US"/>
        </w:rPr>
        <w:t>ds and BMD assessment t</w:t>
      </w:r>
      <w:r w:rsidR="008779F0" w:rsidRPr="002B635C">
        <w:rPr>
          <w:rFonts w:ascii="Calibri" w:hAnsi="Calibri"/>
          <w:bCs/>
          <w:color w:val="000000" w:themeColor="text1"/>
          <w:sz w:val="24"/>
          <w:szCs w:val="24"/>
          <w:lang w:val="en-US"/>
        </w:rPr>
        <w:t>h</w:t>
      </w:r>
      <w:r w:rsidR="00F66435" w:rsidRPr="002B635C">
        <w:rPr>
          <w:rFonts w:ascii="Calibri" w:hAnsi="Calibri"/>
          <w:bCs/>
          <w:color w:val="000000" w:themeColor="text1"/>
          <w:sz w:val="24"/>
          <w:szCs w:val="24"/>
          <w:lang w:val="en-US"/>
        </w:rPr>
        <w:t>resholds</w:t>
      </w:r>
      <w:r w:rsidRPr="002B635C">
        <w:rPr>
          <w:rFonts w:ascii="Calibri" w:hAnsi="Calibri"/>
          <w:bCs/>
          <w:color w:val="000000" w:themeColor="text1"/>
          <w:sz w:val="24"/>
          <w:szCs w:val="24"/>
          <w:lang w:val="en-US"/>
        </w:rPr>
        <w:t xml:space="preserve"> based on fracture probability</w:t>
      </w:r>
      <w:r w:rsidR="008779F0" w:rsidRPr="002B635C">
        <w:rPr>
          <w:rFonts w:ascii="Calibri" w:hAnsi="Calibri"/>
          <w:bCs/>
          <w:color w:val="000000" w:themeColor="text1"/>
          <w:sz w:val="24"/>
          <w:szCs w:val="24"/>
          <w:lang w:val="en-US"/>
        </w:rPr>
        <w:t xml:space="preserve"> using FRAX</w:t>
      </w:r>
      <w:r w:rsidRPr="002B635C">
        <w:rPr>
          <w:rFonts w:ascii="Calibri" w:hAnsi="Calibri"/>
          <w:bCs/>
          <w:color w:val="000000" w:themeColor="text1"/>
          <w:sz w:val="24"/>
          <w:szCs w:val="24"/>
          <w:lang w:val="en-US"/>
        </w:rPr>
        <w:t xml:space="preserve">. </w:t>
      </w:r>
      <w:r w:rsidR="00C70074">
        <w:rPr>
          <w:rFonts w:ascii="Calibri" w:hAnsi="Calibri"/>
          <w:bCs/>
          <w:color w:val="000000" w:themeColor="text1"/>
          <w:sz w:val="24"/>
          <w:szCs w:val="24"/>
          <w:lang w:val="en-US"/>
        </w:rPr>
        <w:t xml:space="preserve"> </w:t>
      </w:r>
      <w:r w:rsidRPr="002B635C">
        <w:rPr>
          <w:rFonts w:ascii="Calibri" w:hAnsi="Calibri"/>
          <w:bCs/>
          <w:color w:val="000000" w:themeColor="text1"/>
          <w:sz w:val="24"/>
          <w:szCs w:val="24"/>
          <w:lang w:val="en-US"/>
        </w:rPr>
        <w:t xml:space="preserve">The approach used was </w:t>
      </w:r>
      <w:proofErr w:type="gramStart"/>
      <w:r w:rsidRPr="002B635C">
        <w:rPr>
          <w:rFonts w:ascii="Calibri" w:hAnsi="Calibri"/>
          <w:bCs/>
          <w:color w:val="000000" w:themeColor="text1"/>
          <w:sz w:val="24"/>
          <w:szCs w:val="24"/>
          <w:lang w:val="en-US"/>
        </w:rPr>
        <w:t>similar to</w:t>
      </w:r>
      <w:proofErr w:type="gramEnd"/>
      <w:r w:rsidRPr="002B635C">
        <w:rPr>
          <w:rFonts w:ascii="Calibri" w:hAnsi="Calibri"/>
          <w:bCs/>
          <w:color w:val="000000" w:themeColor="text1"/>
          <w:sz w:val="24"/>
          <w:szCs w:val="24"/>
          <w:lang w:val="en-US"/>
        </w:rPr>
        <w:t xml:space="preserve"> that adopted by the National Osteoporosis Guideline Group (</w:t>
      </w:r>
      <w:r w:rsidRPr="00357DA2">
        <w:rPr>
          <w:rFonts w:ascii="Calibri" w:hAnsi="Calibri"/>
          <w:bCs/>
          <w:color w:val="000000" w:themeColor="text1"/>
          <w:sz w:val="24"/>
          <w:szCs w:val="24"/>
          <w:lang w:val="en-US"/>
        </w:rPr>
        <w:t>NOGG) in the UK and more recently in European guidelines [</w:t>
      </w:r>
      <w:r w:rsidR="0007302B">
        <w:rPr>
          <w:rFonts w:ascii="Calibri" w:hAnsi="Calibri"/>
          <w:bCs/>
          <w:color w:val="000000" w:themeColor="text1"/>
          <w:sz w:val="24"/>
          <w:szCs w:val="24"/>
          <w:lang w:val="en-US"/>
        </w:rPr>
        <w:t>4</w:t>
      </w:r>
      <w:r w:rsidR="00DF6F2B" w:rsidRPr="00357DA2">
        <w:rPr>
          <w:rFonts w:ascii="Calibri" w:hAnsi="Calibri"/>
          <w:bCs/>
          <w:color w:val="000000" w:themeColor="text1"/>
          <w:sz w:val="24"/>
          <w:szCs w:val="24"/>
          <w:lang w:val="en-US"/>
        </w:rPr>
        <w:t xml:space="preserve">, </w:t>
      </w:r>
      <w:r w:rsidR="0007302B">
        <w:rPr>
          <w:rFonts w:ascii="Calibri" w:hAnsi="Calibri"/>
          <w:bCs/>
          <w:color w:val="000000" w:themeColor="text1"/>
          <w:sz w:val="24"/>
          <w:szCs w:val="24"/>
          <w:lang w:val="en-US"/>
        </w:rPr>
        <w:t>6</w:t>
      </w:r>
      <w:r w:rsidRPr="00357DA2">
        <w:rPr>
          <w:rFonts w:ascii="Calibri" w:hAnsi="Calibri"/>
          <w:bCs/>
          <w:color w:val="000000" w:themeColor="text1"/>
          <w:sz w:val="24"/>
          <w:szCs w:val="24"/>
          <w:lang w:val="en-US"/>
        </w:rPr>
        <w:t xml:space="preserve">, </w:t>
      </w:r>
      <w:r w:rsidR="00DF6F2B" w:rsidRPr="00357DA2">
        <w:rPr>
          <w:rFonts w:ascii="Calibri" w:hAnsi="Calibri"/>
          <w:bCs/>
          <w:color w:val="000000" w:themeColor="text1"/>
          <w:sz w:val="24"/>
          <w:szCs w:val="24"/>
          <w:lang w:val="en-US"/>
        </w:rPr>
        <w:t>1</w:t>
      </w:r>
      <w:r w:rsidR="0007302B">
        <w:rPr>
          <w:rFonts w:ascii="Calibri" w:hAnsi="Calibri"/>
          <w:bCs/>
          <w:color w:val="000000" w:themeColor="text1"/>
          <w:sz w:val="24"/>
          <w:szCs w:val="24"/>
          <w:lang w:val="en-US"/>
        </w:rPr>
        <w:t>8</w:t>
      </w:r>
      <w:r w:rsidR="00C47F2C" w:rsidRPr="00357DA2">
        <w:rPr>
          <w:rFonts w:ascii="Calibri" w:hAnsi="Calibri"/>
          <w:bCs/>
          <w:color w:val="000000" w:themeColor="text1"/>
          <w:sz w:val="24"/>
          <w:szCs w:val="24"/>
          <w:lang w:val="en-US"/>
        </w:rPr>
        <w:t>]</w:t>
      </w:r>
      <w:r w:rsidRPr="00357DA2">
        <w:rPr>
          <w:rFonts w:ascii="Calibri" w:hAnsi="Calibri"/>
          <w:bCs/>
          <w:color w:val="000000" w:themeColor="text1"/>
          <w:sz w:val="24"/>
          <w:szCs w:val="24"/>
          <w:lang w:val="en-US"/>
        </w:rPr>
        <w:t xml:space="preserve"> but applied to the FRAX model</w:t>
      </w:r>
      <w:r w:rsidR="00DC6994" w:rsidRPr="00357DA2">
        <w:rPr>
          <w:rFonts w:ascii="Calibri" w:hAnsi="Calibri"/>
          <w:bCs/>
          <w:color w:val="000000" w:themeColor="text1"/>
          <w:sz w:val="24"/>
          <w:szCs w:val="24"/>
          <w:lang w:val="en-US"/>
        </w:rPr>
        <w:t xml:space="preserve"> for </w:t>
      </w:r>
      <w:r w:rsidR="00F579DA" w:rsidRPr="00357DA2">
        <w:rPr>
          <w:rFonts w:ascii="Calibri" w:hAnsi="Calibri"/>
          <w:bCs/>
          <w:color w:val="000000" w:themeColor="text1"/>
          <w:sz w:val="24"/>
          <w:szCs w:val="24"/>
          <w:lang w:val="en-US"/>
        </w:rPr>
        <w:t>Singapore</w:t>
      </w:r>
      <w:r w:rsidRPr="00357DA2">
        <w:rPr>
          <w:rFonts w:ascii="Calibri" w:hAnsi="Calibri"/>
          <w:bCs/>
          <w:color w:val="000000" w:themeColor="text1"/>
          <w:sz w:val="24"/>
          <w:szCs w:val="24"/>
          <w:lang w:val="en-US"/>
        </w:rPr>
        <w:t xml:space="preserve">. </w:t>
      </w:r>
      <w:r w:rsidR="00710D49" w:rsidRPr="00357DA2">
        <w:rPr>
          <w:rFonts w:ascii="Calibri" w:hAnsi="Calibri"/>
          <w:bCs/>
          <w:color w:val="000000" w:themeColor="text1"/>
          <w:sz w:val="24"/>
          <w:szCs w:val="24"/>
          <w:lang w:val="en-US"/>
        </w:rPr>
        <w:t xml:space="preserve"> </w:t>
      </w:r>
      <w:r w:rsidR="008B79DB" w:rsidRPr="00357DA2">
        <w:rPr>
          <w:rFonts w:ascii="Calibri" w:hAnsi="Calibri"/>
          <w:bCs/>
          <w:color w:val="000000" w:themeColor="text1"/>
          <w:sz w:val="24"/>
          <w:szCs w:val="24"/>
          <w:lang w:val="en-US"/>
        </w:rPr>
        <w:t>Thus,</w:t>
      </w:r>
      <w:r w:rsidR="00EA72D8" w:rsidRPr="00357DA2">
        <w:rPr>
          <w:rFonts w:ascii="Calibri" w:hAnsi="Calibri"/>
          <w:bCs/>
          <w:color w:val="000000" w:themeColor="text1"/>
          <w:sz w:val="24"/>
          <w:szCs w:val="24"/>
          <w:lang w:val="en-US"/>
        </w:rPr>
        <w:t xml:space="preserve"> the</w:t>
      </w:r>
      <w:r w:rsidR="00EA72D8" w:rsidRPr="008B79DB">
        <w:rPr>
          <w:rFonts w:ascii="Calibri" w:hAnsi="Calibri"/>
          <w:bCs/>
          <w:color w:val="000000" w:themeColor="text1"/>
          <w:sz w:val="24"/>
          <w:szCs w:val="24"/>
          <w:lang w:val="en-US"/>
        </w:rPr>
        <w:t xml:space="preserve"> intervention threshold was set a</w:t>
      </w:r>
      <w:r w:rsidR="00CD580B" w:rsidRPr="008B79DB">
        <w:rPr>
          <w:rFonts w:ascii="Calibri" w:hAnsi="Calibri"/>
          <w:bCs/>
          <w:color w:val="000000" w:themeColor="text1"/>
          <w:sz w:val="24"/>
          <w:szCs w:val="24"/>
          <w:lang w:val="en-US"/>
        </w:rPr>
        <w:t>t</w:t>
      </w:r>
      <w:r w:rsidR="00EA72D8" w:rsidRPr="008B79DB">
        <w:rPr>
          <w:rFonts w:ascii="Calibri" w:hAnsi="Calibri"/>
          <w:bCs/>
          <w:color w:val="000000" w:themeColor="text1"/>
          <w:sz w:val="24"/>
          <w:szCs w:val="24"/>
          <w:lang w:val="en-US"/>
        </w:rPr>
        <w:t xml:space="preserve"> the fracture probability equivalent to </w:t>
      </w:r>
      <w:r w:rsidR="00A148FC" w:rsidRPr="008B79DB">
        <w:rPr>
          <w:rFonts w:ascii="Calibri" w:hAnsi="Calibri"/>
          <w:bCs/>
          <w:color w:val="000000" w:themeColor="text1"/>
          <w:sz w:val="24"/>
          <w:szCs w:val="24"/>
          <w:lang w:val="en-US"/>
        </w:rPr>
        <w:t xml:space="preserve">a woman </w:t>
      </w:r>
      <w:r w:rsidR="00000B2C">
        <w:rPr>
          <w:rFonts w:ascii="Calibri" w:hAnsi="Calibri"/>
          <w:bCs/>
          <w:color w:val="000000" w:themeColor="text1"/>
          <w:sz w:val="24"/>
          <w:szCs w:val="24"/>
          <w:lang w:val="en-US"/>
        </w:rPr>
        <w:t xml:space="preserve">from Singapore </w:t>
      </w:r>
      <w:r w:rsidR="00A148FC" w:rsidRPr="008B79DB">
        <w:rPr>
          <w:rFonts w:ascii="Calibri" w:hAnsi="Calibri"/>
          <w:bCs/>
          <w:color w:val="000000" w:themeColor="text1"/>
          <w:sz w:val="24"/>
          <w:szCs w:val="24"/>
          <w:lang w:val="en-US"/>
        </w:rPr>
        <w:t>with</w:t>
      </w:r>
      <w:r w:rsidR="00CD580B" w:rsidRPr="008B79DB">
        <w:rPr>
          <w:rFonts w:ascii="Calibri" w:hAnsi="Calibri"/>
          <w:bCs/>
          <w:color w:val="000000" w:themeColor="text1"/>
          <w:sz w:val="24"/>
          <w:szCs w:val="24"/>
          <w:lang w:val="en-US"/>
        </w:rPr>
        <w:t xml:space="preserve"> a prior </w:t>
      </w:r>
      <w:r w:rsidR="00A33913" w:rsidRPr="008B79DB">
        <w:rPr>
          <w:rFonts w:ascii="Calibri" w:hAnsi="Calibri"/>
          <w:bCs/>
          <w:color w:val="000000" w:themeColor="text1"/>
          <w:sz w:val="24"/>
          <w:szCs w:val="24"/>
          <w:lang w:val="en-US"/>
        </w:rPr>
        <w:t xml:space="preserve">fragility </w:t>
      </w:r>
      <w:r w:rsidR="00A33913" w:rsidRPr="00F219B3">
        <w:rPr>
          <w:rFonts w:ascii="Calibri" w:hAnsi="Calibri"/>
          <w:bCs/>
          <w:color w:val="000000" w:themeColor="text1"/>
          <w:sz w:val="24"/>
          <w:szCs w:val="24"/>
          <w:lang w:val="en-US"/>
        </w:rPr>
        <w:t>fracture.</w:t>
      </w:r>
      <w:r w:rsidR="00A148FC" w:rsidRPr="00F219B3">
        <w:rPr>
          <w:rFonts w:ascii="Calibri" w:hAnsi="Calibri"/>
          <w:bCs/>
          <w:color w:val="000000" w:themeColor="text1"/>
          <w:sz w:val="24"/>
          <w:szCs w:val="24"/>
          <w:lang w:val="en-US"/>
        </w:rPr>
        <w:t xml:space="preserve"> </w:t>
      </w:r>
      <w:r w:rsidR="00710D49" w:rsidRPr="00F219B3">
        <w:rPr>
          <w:rFonts w:ascii="Calibri" w:hAnsi="Calibri"/>
          <w:bCs/>
          <w:color w:val="000000" w:themeColor="text1"/>
          <w:sz w:val="24"/>
          <w:szCs w:val="24"/>
          <w:lang w:val="en-US"/>
        </w:rPr>
        <w:t xml:space="preserve"> </w:t>
      </w:r>
      <w:r w:rsidRPr="00F219B3">
        <w:rPr>
          <w:rFonts w:ascii="Calibri" w:hAnsi="Calibri"/>
          <w:bCs/>
          <w:color w:val="000000" w:themeColor="text1"/>
          <w:sz w:val="24"/>
          <w:szCs w:val="24"/>
          <w:lang w:val="en-US"/>
        </w:rPr>
        <w:t xml:space="preserve">The rationale </w:t>
      </w:r>
      <w:r w:rsidRPr="00000B2C">
        <w:rPr>
          <w:rFonts w:ascii="Calibri" w:hAnsi="Calibri"/>
          <w:bCs/>
          <w:color w:val="000000" w:themeColor="text1"/>
          <w:sz w:val="24"/>
          <w:szCs w:val="24"/>
          <w:lang w:val="en-US"/>
        </w:rPr>
        <w:t>is that if women with a prior fragility fracture are considered eligible for treatment, as commonly considered</w:t>
      </w:r>
      <w:r w:rsidR="00BF6652">
        <w:rPr>
          <w:rFonts w:ascii="Calibri" w:hAnsi="Calibri"/>
          <w:bCs/>
          <w:color w:val="000000" w:themeColor="text1"/>
          <w:sz w:val="24"/>
          <w:szCs w:val="24"/>
          <w:lang w:val="en-US"/>
        </w:rPr>
        <w:t xml:space="preserve"> and</w:t>
      </w:r>
      <w:r w:rsidR="00B83CC3">
        <w:rPr>
          <w:rFonts w:ascii="Calibri" w:hAnsi="Calibri"/>
          <w:bCs/>
          <w:color w:val="000000" w:themeColor="text1"/>
          <w:sz w:val="24"/>
          <w:szCs w:val="24"/>
          <w:lang w:val="en-US"/>
        </w:rPr>
        <w:t>, indeed,</w:t>
      </w:r>
      <w:r w:rsidR="00BF6652">
        <w:rPr>
          <w:rFonts w:ascii="Calibri" w:hAnsi="Calibri"/>
          <w:bCs/>
          <w:color w:val="000000" w:themeColor="text1"/>
          <w:sz w:val="24"/>
          <w:szCs w:val="24"/>
          <w:lang w:val="en-US"/>
        </w:rPr>
        <w:t xml:space="preserve"> recommended in the </w:t>
      </w:r>
      <w:r w:rsidR="00B71E9D">
        <w:rPr>
          <w:rFonts w:ascii="Calibri" w:hAnsi="Calibri"/>
          <w:bCs/>
          <w:color w:val="000000" w:themeColor="text1"/>
          <w:sz w:val="24"/>
          <w:szCs w:val="24"/>
          <w:lang w:val="en-US"/>
        </w:rPr>
        <w:t xml:space="preserve">present </w:t>
      </w:r>
      <w:r w:rsidR="00BF6652">
        <w:rPr>
          <w:rFonts w:ascii="Calibri" w:hAnsi="Calibri"/>
          <w:bCs/>
          <w:color w:val="000000" w:themeColor="text1"/>
          <w:sz w:val="24"/>
          <w:szCs w:val="24"/>
          <w:lang w:val="en-US"/>
        </w:rPr>
        <w:t>Si</w:t>
      </w:r>
      <w:r w:rsidR="00B71E9D">
        <w:rPr>
          <w:rFonts w:ascii="Calibri" w:hAnsi="Calibri"/>
          <w:bCs/>
          <w:color w:val="000000" w:themeColor="text1"/>
          <w:sz w:val="24"/>
          <w:szCs w:val="24"/>
          <w:lang w:val="en-US"/>
        </w:rPr>
        <w:t>n</w:t>
      </w:r>
      <w:r w:rsidR="00BF6652">
        <w:rPr>
          <w:rFonts w:ascii="Calibri" w:hAnsi="Calibri"/>
          <w:bCs/>
          <w:color w:val="000000" w:themeColor="text1"/>
          <w:sz w:val="24"/>
          <w:szCs w:val="24"/>
          <w:lang w:val="en-US"/>
        </w:rPr>
        <w:t xml:space="preserve">gapore </w:t>
      </w:r>
      <w:r w:rsidR="00BF6652" w:rsidRPr="00357DA2">
        <w:rPr>
          <w:rFonts w:ascii="Calibri" w:hAnsi="Calibri"/>
          <w:bCs/>
          <w:color w:val="000000" w:themeColor="text1"/>
          <w:sz w:val="24"/>
          <w:szCs w:val="24"/>
          <w:lang w:val="en-US"/>
        </w:rPr>
        <w:t>guidance</w:t>
      </w:r>
      <w:r w:rsidR="00B71E9D" w:rsidRPr="00357DA2">
        <w:rPr>
          <w:rFonts w:ascii="Calibri" w:hAnsi="Calibri"/>
          <w:bCs/>
          <w:color w:val="000000" w:themeColor="text1"/>
          <w:sz w:val="24"/>
          <w:szCs w:val="24"/>
          <w:lang w:val="en-US"/>
        </w:rPr>
        <w:t xml:space="preserve"> </w:t>
      </w:r>
      <w:r w:rsidR="0000092D" w:rsidRPr="00357DA2">
        <w:rPr>
          <w:rFonts w:ascii="Calibri" w:hAnsi="Calibri"/>
          <w:bCs/>
          <w:color w:val="000000" w:themeColor="text1"/>
          <w:sz w:val="24"/>
          <w:szCs w:val="24"/>
          <w:lang w:val="en-US"/>
        </w:rPr>
        <w:t>[</w:t>
      </w:r>
      <w:r w:rsidR="0007302B">
        <w:rPr>
          <w:rFonts w:ascii="Calibri" w:hAnsi="Calibri"/>
          <w:bCs/>
          <w:color w:val="000000" w:themeColor="text1"/>
          <w:sz w:val="24"/>
          <w:szCs w:val="24"/>
          <w:lang w:val="en-US"/>
        </w:rPr>
        <w:t>9</w:t>
      </w:r>
      <w:r w:rsidR="005A0D51" w:rsidRPr="00357DA2">
        <w:rPr>
          <w:rFonts w:ascii="Calibri" w:hAnsi="Calibri"/>
          <w:bCs/>
          <w:color w:val="000000" w:themeColor="text1"/>
          <w:sz w:val="24"/>
          <w:szCs w:val="24"/>
          <w:lang w:val="en-US"/>
        </w:rPr>
        <w:t>]</w:t>
      </w:r>
      <w:r w:rsidRPr="00357DA2">
        <w:rPr>
          <w:rFonts w:ascii="Calibri" w:hAnsi="Calibri"/>
          <w:bCs/>
          <w:color w:val="000000" w:themeColor="text1"/>
          <w:sz w:val="24"/>
          <w:szCs w:val="24"/>
          <w:lang w:val="en-US"/>
        </w:rPr>
        <w:t>, then</w:t>
      </w:r>
      <w:r w:rsidRPr="00000B2C">
        <w:rPr>
          <w:rFonts w:ascii="Calibri" w:hAnsi="Calibri"/>
          <w:bCs/>
          <w:color w:val="000000" w:themeColor="text1"/>
          <w:sz w:val="24"/>
          <w:szCs w:val="24"/>
          <w:lang w:val="en-US"/>
        </w:rPr>
        <w:t xml:space="preserve"> women without fracture but with equivalent probabilities </w:t>
      </w:r>
      <w:r w:rsidR="00902330">
        <w:rPr>
          <w:rFonts w:ascii="Calibri" w:hAnsi="Calibri"/>
          <w:bCs/>
          <w:color w:val="000000" w:themeColor="text1"/>
          <w:sz w:val="24"/>
          <w:szCs w:val="24"/>
          <w:lang w:val="en-US"/>
        </w:rPr>
        <w:t>should</w:t>
      </w:r>
      <w:r w:rsidRPr="00000B2C">
        <w:rPr>
          <w:rFonts w:ascii="Calibri" w:hAnsi="Calibri"/>
          <w:bCs/>
          <w:color w:val="000000" w:themeColor="text1"/>
          <w:sz w:val="24"/>
          <w:szCs w:val="24"/>
          <w:lang w:val="en-US"/>
        </w:rPr>
        <w:t xml:space="preserve"> also </w:t>
      </w:r>
      <w:r w:rsidR="00902330">
        <w:rPr>
          <w:rFonts w:ascii="Calibri" w:hAnsi="Calibri"/>
          <w:bCs/>
          <w:color w:val="000000" w:themeColor="text1"/>
          <w:sz w:val="24"/>
          <w:szCs w:val="24"/>
          <w:lang w:val="en-US"/>
        </w:rPr>
        <w:t xml:space="preserve">be </w:t>
      </w:r>
      <w:r w:rsidRPr="00000B2C">
        <w:rPr>
          <w:rFonts w:ascii="Calibri" w:hAnsi="Calibri"/>
          <w:bCs/>
          <w:color w:val="000000" w:themeColor="text1"/>
          <w:sz w:val="24"/>
          <w:szCs w:val="24"/>
          <w:lang w:val="en-US"/>
        </w:rPr>
        <w:t xml:space="preserve">eligible for treatment. </w:t>
      </w:r>
      <w:r w:rsidR="0053392D">
        <w:rPr>
          <w:rFonts w:ascii="Calibri" w:hAnsi="Calibri"/>
          <w:bCs/>
          <w:color w:val="000000" w:themeColor="text1"/>
          <w:sz w:val="24"/>
          <w:szCs w:val="24"/>
          <w:lang w:val="en-US"/>
        </w:rPr>
        <w:t xml:space="preserve">The use of a single </w:t>
      </w:r>
      <w:r w:rsidR="00566DC0">
        <w:rPr>
          <w:rFonts w:ascii="Calibri" w:hAnsi="Calibri"/>
          <w:bCs/>
          <w:color w:val="000000" w:themeColor="text1"/>
          <w:sz w:val="24"/>
          <w:szCs w:val="24"/>
          <w:lang w:val="en-US"/>
        </w:rPr>
        <w:t>intervention threshold</w:t>
      </w:r>
      <w:r w:rsidR="005F7C40">
        <w:rPr>
          <w:rFonts w:ascii="Calibri" w:hAnsi="Calibri"/>
          <w:bCs/>
          <w:color w:val="000000" w:themeColor="text1"/>
          <w:sz w:val="24"/>
          <w:szCs w:val="24"/>
          <w:lang w:val="en-US"/>
        </w:rPr>
        <w:t>, despite ethni</w:t>
      </w:r>
      <w:r w:rsidR="003E7D78">
        <w:rPr>
          <w:rFonts w:ascii="Calibri" w:hAnsi="Calibri"/>
          <w:bCs/>
          <w:color w:val="000000" w:themeColor="text1"/>
          <w:sz w:val="24"/>
          <w:szCs w:val="24"/>
          <w:lang w:val="en-US"/>
        </w:rPr>
        <w:t>c</w:t>
      </w:r>
      <w:r w:rsidR="005F7C40">
        <w:rPr>
          <w:rFonts w:ascii="Calibri" w:hAnsi="Calibri"/>
          <w:bCs/>
          <w:color w:val="000000" w:themeColor="text1"/>
          <w:sz w:val="24"/>
          <w:szCs w:val="24"/>
          <w:lang w:val="en-US"/>
        </w:rPr>
        <w:t xml:space="preserve"> specific FRAX models</w:t>
      </w:r>
      <w:r w:rsidR="003E7D78">
        <w:rPr>
          <w:rFonts w:ascii="Calibri" w:hAnsi="Calibri"/>
          <w:bCs/>
          <w:color w:val="000000" w:themeColor="text1"/>
          <w:sz w:val="24"/>
          <w:szCs w:val="24"/>
          <w:lang w:val="en-US"/>
        </w:rPr>
        <w:t xml:space="preserve">, is appropriate in the sense </w:t>
      </w:r>
      <w:r w:rsidR="001657AA">
        <w:rPr>
          <w:rFonts w:ascii="Calibri" w:hAnsi="Calibri"/>
          <w:bCs/>
          <w:color w:val="000000" w:themeColor="text1"/>
          <w:sz w:val="24"/>
          <w:szCs w:val="24"/>
          <w:lang w:val="en-US"/>
        </w:rPr>
        <w:t>that intervention is recommended at an identical fr</w:t>
      </w:r>
      <w:r w:rsidR="00BB046B">
        <w:rPr>
          <w:rFonts w:ascii="Calibri" w:hAnsi="Calibri"/>
          <w:bCs/>
          <w:color w:val="000000" w:themeColor="text1"/>
          <w:sz w:val="24"/>
          <w:szCs w:val="24"/>
          <w:lang w:val="en-US"/>
        </w:rPr>
        <w:t>a</w:t>
      </w:r>
      <w:r w:rsidR="001657AA">
        <w:rPr>
          <w:rFonts w:ascii="Calibri" w:hAnsi="Calibri"/>
          <w:bCs/>
          <w:color w:val="000000" w:themeColor="text1"/>
          <w:sz w:val="24"/>
          <w:szCs w:val="24"/>
          <w:lang w:val="en-US"/>
        </w:rPr>
        <w:t>cture probability</w:t>
      </w:r>
      <w:r w:rsidR="00BB046B">
        <w:rPr>
          <w:rFonts w:ascii="Calibri" w:hAnsi="Calibri"/>
          <w:bCs/>
          <w:color w:val="000000" w:themeColor="text1"/>
          <w:sz w:val="24"/>
          <w:szCs w:val="24"/>
          <w:lang w:val="en-US"/>
        </w:rPr>
        <w:t xml:space="preserve"> irrespective of ethnicity.</w:t>
      </w:r>
    </w:p>
    <w:p w14:paraId="2C04711A" w14:textId="00F8C4A6" w:rsidR="005F2D24" w:rsidRPr="00E83227" w:rsidRDefault="00CE1B8F" w:rsidP="0020414A">
      <w:pPr>
        <w:pStyle w:val="PlainText"/>
        <w:spacing w:after="240" w:line="276" w:lineRule="auto"/>
        <w:ind w:left="1134"/>
        <w:rPr>
          <w:rFonts w:ascii="Calibri" w:hAnsi="Calibri" w:cs="Calibri"/>
          <w:bCs/>
          <w:color w:val="FF0000"/>
          <w:sz w:val="24"/>
          <w:szCs w:val="24"/>
          <w:lang w:val="en-US"/>
        </w:rPr>
      </w:pPr>
      <w:r w:rsidRPr="00CA4F3D">
        <w:rPr>
          <w:rFonts w:ascii="Calibri" w:hAnsi="Calibri"/>
          <w:bCs/>
          <w:color w:val="000000" w:themeColor="text1"/>
          <w:sz w:val="24"/>
          <w:szCs w:val="24"/>
          <w:lang w:val="en-US"/>
        </w:rPr>
        <w:t xml:space="preserve">The starting point in the assessment of women is the presence of a clinical risk factor that alerts the physician to consider osteoporosis. </w:t>
      </w:r>
      <w:r w:rsidR="00A73899">
        <w:rPr>
          <w:rFonts w:ascii="Calibri" w:hAnsi="Calibri"/>
          <w:bCs/>
          <w:color w:val="000000" w:themeColor="text1"/>
          <w:sz w:val="24"/>
          <w:szCs w:val="24"/>
          <w:lang w:val="en-US"/>
        </w:rPr>
        <w:t xml:space="preserve"> </w:t>
      </w:r>
      <w:r w:rsidRPr="00CA4F3D">
        <w:rPr>
          <w:rFonts w:ascii="Calibri" w:hAnsi="Calibri"/>
          <w:bCs/>
          <w:color w:val="000000" w:themeColor="text1"/>
          <w:sz w:val="24"/>
          <w:szCs w:val="24"/>
          <w:lang w:val="en-US"/>
        </w:rPr>
        <w:t xml:space="preserve">The opportunistic case finding strategy arises because screening the general population is not widely recommended in </w:t>
      </w:r>
      <w:r w:rsidR="006D40B0" w:rsidRPr="00CA4F3D">
        <w:rPr>
          <w:rFonts w:ascii="Calibri" w:hAnsi="Calibri"/>
          <w:bCs/>
          <w:color w:val="000000" w:themeColor="text1"/>
          <w:sz w:val="24"/>
          <w:szCs w:val="24"/>
          <w:lang w:val="en-US"/>
        </w:rPr>
        <w:t>A</w:t>
      </w:r>
      <w:r w:rsidR="00E05796" w:rsidRPr="00CA4F3D">
        <w:rPr>
          <w:rFonts w:ascii="Calibri" w:hAnsi="Calibri"/>
          <w:bCs/>
          <w:color w:val="000000" w:themeColor="text1"/>
          <w:sz w:val="24"/>
          <w:szCs w:val="24"/>
          <w:lang w:val="en-US"/>
        </w:rPr>
        <w:t>sia</w:t>
      </w:r>
      <w:r w:rsidR="006D40B0" w:rsidRPr="00CA4F3D">
        <w:rPr>
          <w:rFonts w:ascii="Calibri" w:hAnsi="Calibri"/>
          <w:bCs/>
          <w:color w:val="000000" w:themeColor="text1"/>
          <w:sz w:val="24"/>
          <w:szCs w:val="24"/>
          <w:lang w:val="en-US"/>
        </w:rPr>
        <w:t xml:space="preserve"> o</w:t>
      </w:r>
      <w:r w:rsidR="00832FA1" w:rsidRPr="00CA4F3D">
        <w:rPr>
          <w:rFonts w:ascii="Calibri" w:hAnsi="Calibri"/>
          <w:bCs/>
          <w:color w:val="000000" w:themeColor="text1"/>
          <w:sz w:val="24"/>
          <w:szCs w:val="24"/>
          <w:lang w:val="en-US"/>
        </w:rPr>
        <w:t xml:space="preserve">r </w:t>
      </w:r>
      <w:r w:rsidRPr="00CA4F3D">
        <w:rPr>
          <w:rFonts w:ascii="Calibri" w:hAnsi="Calibri"/>
          <w:bCs/>
          <w:color w:val="000000" w:themeColor="text1"/>
          <w:sz w:val="24"/>
          <w:szCs w:val="24"/>
          <w:lang w:val="en-US"/>
        </w:rPr>
        <w:t xml:space="preserve">Europe, though advocated in </w:t>
      </w:r>
      <w:r w:rsidRPr="00357DA2">
        <w:rPr>
          <w:rFonts w:ascii="Calibri" w:hAnsi="Calibri"/>
          <w:bCs/>
          <w:color w:val="000000" w:themeColor="text1"/>
          <w:sz w:val="24"/>
          <w:szCs w:val="24"/>
          <w:lang w:val="en-US"/>
        </w:rPr>
        <w:t>North America [</w:t>
      </w:r>
      <w:r w:rsidR="0087780A">
        <w:rPr>
          <w:rFonts w:ascii="Calibri" w:hAnsi="Calibri"/>
          <w:bCs/>
          <w:color w:val="000000" w:themeColor="text1"/>
          <w:sz w:val="24"/>
          <w:szCs w:val="24"/>
          <w:lang w:val="en-US"/>
        </w:rPr>
        <w:t xml:space="preserve">12, </w:t>
      </w:r>
      <w:r w:rsidR="003C7C3E" w:rsidRPr="00357DA2">
        <w:rPr>
          <w:rFonts w:ascii="Calibri" w:hAnsi="Calibri"/>
          <w:bCs/>
          <w:color w:val="000000" w:themeColor="text1"/>
          <w:sz w:val="24"/>
          <w:szCs w:val="24"/>
          <w:lang w:val="en-US"/>
        </w:rPr>
        <w:t>2</w:t>
      </w:r>
      <w:r w:rsidR="00F47434">
        <w:rPr>
          <w:rFonts w:ascii="Calibri" w:hAnsi="Calibri"/>
          <w:bCs/>
          <w:color w:val="000000" w:themeColor="text1"/>
          <w:sz w:val="24"/>
          <w:szCs w:val="24"/>
          <w:lang w:val="en-US"/>
        </w:rPr>
        <w:t>1</w:t>
      </w:r>
      <w:r w:rsidRPr="00357DA2">
        <w:rPr>
          <w:rFonts w:ascii="Calibri" w:hAnsi="Calibri"/>
          <w:bCs/>
          <w:color w:val="000000" w:themeColor="text1"/>
          <w:sz w:val="24"/>
          <w:szCs w:val="24"/>
          <w:lang w:val="en-US"/>
        </w:rPr>
        <w:t xml:space="preserve">]. </w:t>
      </w:r>
      <w:r w:rsidR="00A73899">
        <w:rPr>
          <w:rFonts w:ascii="Calibri" w:hAnsi="Calibri"/>
          <w:bCs/>
          <w:color w:val="000000" w:themeColor="text1"/>
          <w:sz w:val="24"/>
          <w:szCs w:val="24"/>
          <w:lang w:val="en-US"/>
        </w:rPr>
        <w:t xml:space="preserve"> </w:t>
      </w:r>
      <w:r w:rsidRPr="00357DA2">
        <w:rPr>
          <w:rFonts w:ascii="Calibri" w:hAnsi="Calibri"/>
          <w:bCs/>
          <w:color w:val="000000" w:themeColor="text1"/>
          <w:sz w:val="24"/>
          <w:szCs w:val="24"/>
          <w:lang w:val="en-US"/>
        </w:rPr>
        <w:t>In those eligible for a</w:t>
      </w:r>
      <w:r w:rsidRPr="00CA4F3D">
        <w:rPr>
          <w:rFonts w:ascii="Calibri" w:hAnsi="Calibri"/>
          <w:bCs/>
          <w:color w:val="000000" w:themeColor="text1"/>
          <w:sz w:val="24"/>
          <w:szCs w:val="24"/>
          <w:lang w:val="en-US"/>
        </w:rPr>
        <w:t xml:space="preserve">ssessment and in common with the NOGG guidelines, we limited the use of BMD testing. </w:t>
      </w:r>
      <w:r w:rsidR="00A73899">
        <w:rPr>
          <w:rFonts w:ascii="Calibri" w:hAnsi="Calibri"/>
          <w:bCs/>
          <w:color w:val="000000" w:themeColor="text1"/>
          <w:sz w:val="24"/>
          <w:szCs w:val="24"/>
          <w:lang w:val="en-US"/>
        </w:rPr>
        <w:t xml:space="preserve"> </w:t>
      </w:r>
      <w:r w:rsidR="009E5908">
        <w:rPr>
          <w:rFonts w:ascii="Calibri" w:hAnsi="Calibri"/>
          <w:bCs/>
          <w:color w:val="000000" w:themeColor="text1"/>
          <w:sz w:val="24"/>
          <w:szCs w:val="24"/>
          <w:lang w:val="en-US"/>
        </w:rPr>
        <w:t>I</w:t>
      </w:r>
      <w:r w:rsidR="009E5908" w:rsidRPr="00CA4F3D">
        <w:rPr>
          <w:rFonts w:ascii="Calibri" w:hAnsi="Calibri"/>
          <w:bCs/>
          <w:color w:val="000000" w:themeColor="text1"/>
          <w:sz w:val="24"/>
          <w:szCs w:val="24"/>
          <w:lang w:val="en-US"/>
        </w:rPr>
        <w:t>ndividuals with fracture probabilities equivalent</w:t>
      </w:r>
      <w:r w:rsidR="009E5908">
        <w:rPr>
          <w:rFonts w:ascii="Calibri" w:hAnsi="Calibri"/>
          <w:bCs/>
          <w:color w:val="000000" w:themeColor="text1"/>
          <w:sz w:val="24"/>
          <w:szCs w:val="24"/>
          <w:lang w:val="en-US"/>
        </w:rPr>
        <w:t xml:space="preserve"> to, </w:t>
      </w:r>
      <w:r w:rsidR="009E5908" w:rsidRPr="00CA4F3D">
        <w:rPr>
          <w:rFonts w:ascii="Calibri" w:hAnsi="Calibri"/>
          <w:bCs/>
          <w:color w:val="000000" w:themeColor="text1"/>
          <w:sz w:val="24"/>
          <w:szCs w:val="24"/>
          <w:lang w:val="en-US"/>
        </w:rPr>
        <w:t>or lower than</w:t>
      </w:r>
      <w:r w:rsidR="009E5908">
        <w:rPr>
          <w:rFonts w:ascii="Calibri" w:hAnsi="Calibri"/>
          <w:bCs/>
          <w:color w:val="000000" w:themeColor="text1"/>
          <w:sz w:val="24"/>
          <w:szCs w:val="24"/>
          <w:lang w:val="en-US"/>
        </w:rPr>
        <w:t>,</w:t>
      </w:r>
      <w:r w:rsidR="009E5908" w:rsidRPr="00CA4F3D">
        <w:rPr>
          <w:rFonts w:ascii="Calibri" w:hAnsi="Calibri"/>
          <w:bCs/>
          <w:color w:val="000000" w:themeColor="text1"/>
          <w:sz w:val="24"/>
          <w:szCs w:val="24"/>
          <w:lang w:val="en-US"/>
        </w:rPr>
        <w:t xml:space="preserve"> </w:t>
      </w:r>
      <w:r w:rsidR="009E5908">
        <w:rPr>
          <w:rFonts w:ascii="Calibri" w:hAnsi="Calibri"/>
          <w:bCs/>
          <w:color w:val="000000" w:themeColor="text1"/>
          <w:sz w:val="24"/>
          <w:szCs w:val="24"/>
          <w:lang w:val="en-US"/>
        </w:rPr>
        <w:t xml:space="preserve">those of </w:t>
      </w:r>
      <w:r w:rsidRPr="00CA4F3D">
        <w:rPr>
          <w:rFonts w:ascii="Calibri" w:hAnsi="Calibri"/>
          <w:bCs/>
          <w:color w:val="000000" w:themeColor="text1"/>
          <w:sz w:val="24"/>
          <w:szCs w:val="24"/>
          <w:lang w:val="en-US"/>
        </w:rPr>
        <w:t xml:space="preserve">women with no clinical risk factors (as used in FRAX) would not be assessed by BMD. </w:t>
      </w:r>
      <w:r w:rsidR="00A73899">
        <w:rPr>
          <w:rFonts w:ascii="Calibri" w:hAnsi="Calibri"/>
          <w:bCs/>
          <w:color w:val="000000" w:themeColor="text1"/>
          <w:sz w:val="24"/>
          <w:szCs w:val="24"/>
          <w:lang w:val="en-US"/>
        </w:rPr>
        <w:t xml:space="preserve"> </w:t>
      </w:r>
      <w:r w:rsidRPr="00CA4F3D">
        <w:rPr>
          <w:rFonts w:ascii="Calibri" w:hAnsi="Calibri"/>
          <w:bCs/>
          <w:color w:val="000000" w:themeColor="text1"/>
          <w:sz w:val="24"/>
          <w:szCs w:val="24"/>
          <w:lang w:val="en-US"/>
        </w:rPr>
        <w:t>At the other extreme, BMD testing was not universally recommended in individuals at high risk.</w:t>
      </w:r>
      <w:r w:rsidR="00A73899">
        <w:rPr>
          <w:rFonts w:ascii="Calibri" w:hAnsi="Calibri"/>
          <w:bCs/>
          <w:color w:val="000000" w:themeColor="text1"/>
          <w:sz w:val="24"/>
          <w:szCs w:val="24"/>
          <w:lang w:val="en-US"/>
        </w:rPr>
        <w:t xml:space="preserve"> </w:t>
      </w:r>
      <w:r w:rsidRPr="00CA4F3D">
        <w:rPr>
          <w:rFonts w:ascii="Calibri" w:hAnsi="Calibri"/>
          <w:bCs/>
          <w:color w:val="000000" w:themeColor="text1"/>
          <w:sz w:val="24"/>
          <w:szCs w:val="24"/>
          <w:lang w:val="en-US"/>
        </w:rPr>
        <w:t xml:space="preserve"> The rationale is that reclassification of risk with the addition of a BMD test (from high risk to low risk and vice versa) is</w:t>
      </w:r>
      <w:r w:rsidR="00B55F28" w:rsidRPr="00CA4F3D">
        <w:rPr>
          <w:rFonts w:ascii="Calibri" w:hAnsi="Calibri"/>
          <w:bCs/>
          <w:color w:val="000000" w:themeColor="text1"/>
          <w:sz w:val="24"/>
          <w:szCs w:val="24"/>
          <w:lang w:val="en-US"/>
        </w:rPr>
        <w:t xml:space="preserve"> </w:t>
      </w:r>
      <w:r w:rsidR="00406447" w:rsidRPr="00CA4F3D">
        <w:rPr>
          <w:rFonts w:ascii="Calibri" w:hAnsi="Calibri"/>
          <w:bCs/>
          <w:color w:val="000000" w:themeColor="text1"/>
          <w:sz w:val="24"/>
          <w:szCs w:val="24"/>
          <w:lang w:val="en-US"/>
        </w:rPr>
        <w:t>h</w:t>
      </w:r>
      <w:r w:rsidR="00B55F28" w:rsidRPr="00CA4F3D">
        <w:rPr>
          <w:rFonts w:ascii="Calibri" w:hAnsi="Calibri"/>
          <w:bCs/>
          <w:color w:val="000000" w:themeColor="text1"/>
          <w:sz w:val="24"/>
          <w:szCs w:val="24"/>
          <w:lang w:val="en-US"/>
        </w:rPr>
        <w:t>igh</w:t>
      </w:r>
      <w:r w:rsidR="00406447" w:rsidRPr="00CA4F3D">
        <w:rPr>
          <w:rFonts w:ascii="Calibri" w:hAnsi="Calibri"/>
          <w:bCs/>
          <w:color w:val="000000" w:themeColor="text1"/>
          <w:sz w:val="24"/>
          <w:szCs w:val="24"/>
          <w:lang w:val="en-US"/>
        </w:rPr>
        <w:t xml:space="preserve"> when fracture probabilities estimated without BMD are close to the intervention threshold but the likelihood of reclassification decreases the further away the probability estimate is from the intervention </w:t>
      </w:r>
      <w:r w:rsidR="00406447" w:rsidRPr="0017675E">
        <w:rPr>
          <w:rFonts w:ascii="Calibri" w:hAnsi="Calibri"/>
          <w:bCs/>
          <w:color w:val="000000" w:themeColor="text1"/>
          <w:sz w:val="24"/>
          <w:szCs w:val="24"/>
          <w:lang w:val="en-US"/>
        </w:rPr>
        <w:t>threshold [</w:t>
      </w:r>
      <w:r w:rsidR="0068276C" w:rsidRPr="0017675E">
        <w:rPr>
          <w:rFonts w:ascii="Calibri" w:hAnsi="Calibri"/>
          <w:bCs/>
          <w:color w:val="000000" w:themeColor="text1"/>
          <w:sz w:val="24"/>
          <w:szCs w:val="24"/>
          <w:lang w:val="en-US"/>
        </w:rPr>
        <w:t>2</w:t>
      </w:r>
      <w:r w:rsidR="00F47434">
        <w:rPr>
          <w:rFonts w:ascii="Calibri" w:hAnsi="Calibri"/>
          <w:bCs/>
          <w:color w:val="000000" w:themeColor="text1"/>
          <w:sz w:val="24"/>
          <w:szCs w:val="24"/>
          <w:lang w:val="en-US"/>
        </w:rPr>
        <w:t>6]</w:t>
      </w:r>
      <w:r w:rsidR="00406447" w:rsidRPr="0017675E">
        <w:rPr>
          <w:rFonts w:ascii="Calibri" w:hAnsi="Calibri"/>
          <w:bCs/>
          <w:color w:val="000000" w:themeColor="text1"/>
          <w:sz w:val="24"/>
          <w:szCs w:val="24"/>
          <w:lang w:val="en-US"/>
        </w:rPr>
        <w:t>.</w:t>
      </w:r>
      <w:r w:rsidR="00406447" w:rsidRPr="00CA4F3D">
        <w:rPr>
          <w:rFonts w:ascii="Calibri" w:hAnsi="Calibri"/>
          <w:bCs/>
          <w:color w:val="000000" w:themeColor="text1"/>
          <w:sz w:val="24"/>
          <w:szCs w:val="24"/>
          <w:lang w:val="en-US"/>
        </w:rPr>
        <w:t xml:space="preserve"> The approach used has been well validated in the UK and </w:t>
      </w:r>
      <w:r w:rsidR="00406447" w:rsidRPr="00E83227">
        <w:rPr>
          <w:rFonts w:ascii="Calibri" w:hAnsi="Calibri" w:cs="Calibri"/>
          <w:bCs/>
          <w:color w:val="000000" w:themeColor="text1"/>
          <w:sz w:val="24"/>
          <w:szCs w:val="24"/>
          <w:lang w:val="en-US"/>
        </w:rPr>
        <w:t xml:space="preserve">Canada </w:t>
      </w:r>
      <w:r w:rsidR="00406447" w:rsidRPr="00AB3488">
        <w:rPr>
          <w:rFonts w:ascii="Calibri" w:hAnsi="Calibri" w:cs="Calibri"/>
          <w:bCs/>
          <w:color w:val="000000" w:themeColor="text1"/>
          <w:sz w:val="24"/>
          <w:szCs w:val="24"/>
          <w:lang w:val="en-US"/>
        </w:rPr>
        <w:t>[</w:t>
      </w:r>
      <w:r w:rsidR="00674216">
        <w:rPr>
          <w:rFonts w:ascii="Calibri" w:hAnsi="Calibri" w:cs="Calibri"/>
          <w:bCs/>
          <w:color w:val="000000" w:themeColor="text1"/>
          <w:sz w:val="24"/>
          <w:szCs w:val="24"/>
          <w:lang w:val="en-US"/>
        </w:rPr>
        <w:t xml:space="preserve">14, </w:t>
      </w:r>
      <w:r w:rsidR="0017675E" w:rsidRPr="00AB3488">
        <w:rPr>
          <w:rFonts w:ascii="Calibri" w:hAnsi="Calibri" w:cs="Calibri"/>
          <w:bCs/>
          <w:color w:val="000000" w:themeColor="text1"/>
          <w:sz w:val="24"/>
          <w:szCs w:val="24"/>
          <w:lang w:val="en-US"/>
        </w:rPr>
        <w:t>2</w:t>
      </w:r>
      <w:r w:rsidR="00B43AAB">
        <w:rPr>
          <w:rFonts w:ascii="Calibri" w:hAnsi="Calibri" w:cs="Calibri"/>
          <w:bCs/>
          <w:color w:val="000000" w:themeColor="text1"/>
          <w:sz w:val="24"/>
          <w:szCs w:val="24"/>
          <w:lang w:val="en-US"/>
        </w:rPr>
        <w:t>6</w:t>
      </w:r>
      <w:r w:rsidR="005C3EDB" w:rsidRPr="00AB3488">
        <w:rPr>
          <w:rFonts w:ascii="Calibri" w:hAnsi="Calibri" w:cs="Calibri"/>
          <w:bCs/>
          <w:color w:val="000000" w:themeColor="text1"/>
          <w:sz w:val="24"/>
          <w:szCs w:val="24"/>
          <w:lang w:val="en-US"/>
        </w:rPr>
        <w:t>, 2</w:t>
      </w:r>
      <w:r w:rsidR="00B43AAB">
        <w:rPr>
          <w:rFonts w:ascii="Calibri" w:hAnsi="Calibri" w:cs="Calibri"/>
          <w:bCs/>
          <w:color w:val="000000" w:themeColor="text1"/>
          <w:sz w:val="24"/>
          <w:szCs w:val="24"/>
          <w:lang w:val="en-US"/>
        </w:rPr>
        <w:t>7</w:t>
      </w:r>
      <w:r w:rsidR="00AA4361" w:rsidRPr="00AB3488">
        <w:rPr>
          <w:rFonts w:ascii="Calibri" w:hAnsi="Calibri" w:cs="Calibri"/>
          <w:bCs/>
          <w:color w:val="000000" w:themeColor="text1"/>
          <w:sz w:val="24"/>
          <w:szCs w:val="24"/>
          <w:lang w:val="en-US"/>
        </w:rPr>
        <w:t xml:space="preserve">, </w:t>
      </w:r>
      <w:r w:rsidR="00C95707" w:rsidRPr="00C95707">
        <w:rPr>
          <w:rFonts w:ascii="Calibri" w:hAnsi="Calibri" w:cs="Calibri"/>
          <w:sz w:val="24"/>
          <w:szCs w:val="24"/>
        </w:rPr>
        <w:t>2</w:t>
      </w:r>
      <w:r w:rsidR="00B43AAB">
        <w:rPr>
          <w:rFonts w:ascii="Calibri" w:hAnsi="Calibri" w:cs="Calibri"/>
          <w:sz w:val="24"/>
          <w:szCs w:val="24"/>
        </w:rPr>
        <w:t>8</w:t>
      </w:r>
      <w:r w:rsidR="000102AD" w:rsidRPr="00953BB8">
        <w:rPr>
          <w:rFonts w:ascii="Calibri" w:hAnsi="Calibri" w:cs="Calibri"/>
          <w:sz w:val="24"/>
          <w:szCs w:val="24"/>
        </w:rPr>
        <w:t xml:space="preserve">, </w:t>
      </w:r>
      <w:r w:rsidR="008A2A7E" w:rsidRPr="00953BB8">
        <w:rPr>
          <w:rFonts w:ascii="Calibri" w:hAnsi="Calibri" w:cs="Calibri"/>
          <w:sz w:val="24"/>
          <w:szCs w:val="24"/>
        </w:rPr>
        <w:t>2</w:t>
      </w:r>
      <w:r w:rsidR="00B43AAB">
        <w:rPr>
          <w:rFonts w:ascii="Calibri" w:hAnsi="Calibri" w:cs="Calibri"/>
          <w:sz w:val="24"/>
          <w:szCs w:val="24"/>
        </w:rPr>
        <w:t>9</w:t>
      </w:r>
      <w:r w:rsidR="002B4F74" w:rsidRPr="00953BB8">
        <w:rPr>
          <w:rFonts w:ascii="Calibri" w:hAnsi="Calibri" w:cs="Calibri"/>
          <w:sz w:val="24"/>
          <w:szCs w:val="24"/>
        </w:rPr>
        <w:t>]</w:t>
      </w:r>
      <w:r w:rsidR="00674216">
        <w:rPr>
          <w:rFonts w:ascii="Calibri" w:hAnsi="Calibri" w:cs="Calibri"/>
          <w:sz w:val="24"/>
          <w:szCs w:val="24"/>
        </w:rPr>
        <w:t>.</w:t>
      </w:r>
    </w:p>
    <w:p w14:paraId="6B14CB1B" w14:textId="2F251DB1" w:rsidR="00374038" w:rsidRDefault="00406447" w:rsidP="0020414A">
      <w:pPr>
        <w:pStyle w:val="PlainText"/>
        <w:spacing w:after="240" w:line="276" w:lineRule="auto"/>
        <w:ind w:left="1134"/>
        <w:rPr>
          <w:rFonts w:ascii="Calibri" w:hAnsi="Calibri"/>
          <w:bCs/>
          <w:color w:val="000000" w:themeColor="text1"/>
          <w:sz w:val="24"/>
          <w:szCs w:val="24"/>
          <w:lang w:val="en-US"/>
        </w:rPr>
      </w:pPr>
      <w:r w:rsidRPr="009F7142">
        <w:rPr>
          <w:rFonts w:ascii="Calibri" w:hAnsi="Calibri"/>
          <w:bCs/>
          <w:color w:val="000000" w:themeColor="text1"/>
          <w:sz w:val="24"/>
          <w:szCs w:val="24"/>
          <w:lang w:val="en-US"/>
        </w:rPr>
        <w:t xml:space="preserve">The attraction of this approach is that this makes efficient use of BMD resources. The strategy implies, however, that patients at high risk, but identified without BMD, would respond to pharmacological intervention. </w:t>
      </w:r>
      <w:r w:rsidR="00361625">
        <w:rPr>
          <w:rFonts w:ascii="Calibri" w:hAnsi="Calibri"/>
          <w:bCs/>
          <w:color w:val="000000" w:themeColor="text1"/>
          <w:sz w:val="24"/>
          <w:szCs w:val="24"/>
          <w:lang w:val="en-US"/>
        </w:rPr>
        <w:t>T</w:t>
      </w:r>
      <w:r w:rsidRPr="00861D59">
        <w:rPr>
          <w:rFonts w:ascii="Calibri" w:hAnsi="Calibri"/>
          <w:bCs/>
          <w:color w:val="000000" w:themeColor="text1"/>
          <w:sz w:val="24"/>
          <w:szCs w:val="24"/>
          <w:lang w:val="en-US"/>
        </w:rPr>
        <w:t>he evidence that such patients respond</w:t>
      </w:r>
      <w:r w:rsidR="005F032F" w:rsidRPr="00861D59">
        <w:rPr>
          <w:rFonts w:ascii="Calibri" w:hAnsi="Calibri"/>
          <w:bCs/>
          <w:color w:val="000000" w:themeColor="text1"/>
          <w:sz w:val="24"/>
          <w:szCs w:val="24"/>
          <w:lang w:val="en-US"/>
        </w:rPr>
        <w:t xml:space="preserve"> </w:t>
      </w:r>
      <w:r w:rsidRPr="00861D59">
        <w:rPr>
          <w:rFonts w:ascii="Calibri" w:hAnsi="Calibri"/>
          <w:bCs/>
          <w:color w:val="000000" w:themeColor="text1"/>
          <w:sz w:val="24"/>
          <w:szCs w:val="24"/>
          <w:lang w:val="en-US"/>
        </w:rPr>
        <w:t xml:space="preserve">to </w:t>
      </w:r>
      <w:r w:rsidRPr="007606BB">
        <w:rPr>
          <w:rFonts w:ascii="Calibri" w:hAnsi="Calibri"/>
          <w:bCs/>
          <w:color w:val="000000" w:themeColor="text1"/>
          <w:sz w:val="24"/>
          <w:szCs w:val="24"/>
          <w:lang w:val="en-US"/>
        </w:rPr>
        <w:t>treatment is strong</w:t>
      </w:r>
      <w:r w:rsidR="00AA0970" w:rsidRPr="007606BB">
        <w:rPr>
          <w:rFonts w:ascii="Calibri" w:hAnsi="Calibri"/>
          <w:bCs/>
          <w:color w:val="000000" w:themeColor="text1"/>
          <w:sz w:val="24"/>
          <w:szCs w:val="24"/>
          <w:lang w:val="en-US"/>
        </w:rPr>
        <w:t xml:space="preserve"> [2</w:t>
      </w:r>
      <w:r w:rsidR="00B43AAB">
        <w:rPr>
          <w:rFonts w:ascii="Calibri" w:hAnsi="Calibri"/>
          <w:bCs/>
          <w:color w:val="000000" w:themeColor="text1"/>
          <w:sz w:val="24"/>
          <w:szCs w:val="24"/>
          <w:lang w:val="en-US"/>
        </w:rPr>
        <w:t>9</w:t>
      </w:r>
      <w:r w:rsidR="00D77223" w:rsidRPr="007606BB">
        <w:rPr>
          <w:rFonts w:ascii="Calibri" w:hAnsi="Calibri"/>
          <w:bCs/>
          <w:color w:val="000000" w:themeColor="text1"/>
          <w:sz w:val="24"/>
          <w:szCs w:val="24"/>
          <w:lang w:val="en-US"/>
        </w:rPr>
        <w:t xml:space="preserve">, </w:t>
      </w:r>
      <w:r w:rsidR="00F35C79">
        <w:rPr>
          <w:rFonts w:ascii="Calibri" w:hAnsi="Calibri"/>
          <w:bCs/>
          <w:color w:val="000000" w:themeColor="text1"/>
          <w:sz w:val="24"/>
          <w:szCs w:val="24"/>
          <w:lang w:val="en-US"/>
        </w:rPr>
        <w:t>30</w:t>
      </w:r>
      <w:r w:rsidR="006B148A" w:rsidRPr="007606BB">
        <w:rPr>
          <w:rFonts w:ascii="Calibri" w:hAnsi="Calibri"/>
          <w:bCs/>
          <w:color w:val="000000" w:themeColor="text1"/>
          <w:sz w:val="24"/>
          <w:szCs w:val="24"/>
          <w:lang w:val="en-US"/>
        </w:rPr>
        <w:t xml:space="preserve">, </w:t>
      </w:r>
      <w:r w:rsidR="00F35C79">
        <w:rPr>
          <w:rFonts w:ascii="Calibri" w:hAnsi="Calibri"/>
          <w:bCs/>
          <w:color w:val="000000" w:themeColor="text1"/>
          <w:sz w:val="24"/>
          <w:szCs w:val="24"/>
          <w:lang w:val="en-US"/>
        </w:rPr>
        <w:t>31</w:t>
      </w:r>
      <w:r w:rsidR="006B148A" w:rsidRPr="007606BB">
        <w:rPr>
          <w:rFonts w:ascii="Calibri" w:hAnsi="Calibri"/>
          <w:bCs/>
          <w:color w:val="000000" w:themeColor="text1"/>
          <w:sz w:val="24"/>
          <w:szCs w:val="24"/>
          <w:lang w:val="en-US"/>
        </w:rPr>
        <w:t xml:space="preserve">, </w:t>
      </w:r>
      <w:r w:rsidR="0036785A" w:rsidRPr="007606BB">
        <w:rPr>
          <w:rFonts w:ascii="Calibri" w:hAnsi="Calibri"/>
          <w:bCs/>
          <w:color w:val="000000" w:themeColor="text1"/>
          <w:sz w:val="24"/>
          <w:szCs w:val="24"/>
          <w:lang w:val="en-US"/>
        </w:rPr>
        <w:t>3</w:t>
      </w:r>
      <w:r w:rsidR="00F35C79">
        <w:rPr>
          <w:rFonts w:ascii="Calibri" w:hAnsi="Calibri"/>
          <w:bCs/>
          <w:color w:val="000000" w:themeColor="text1"/>
          <w:sz w:val="24"/>
          <w:szCs w:val="24"/>
          <w:lang w:val="en-US"/>
        </w:rPr>
        <w:t>2</w:t>
      </w:r>
      <w:r w:rsidR="004B314A" w:rsidRPr="007606BB">
        <w:rPr>
          <w:rFonts w:ascii="Calibri" w:hAnsi="Calibri"/>
          <w:bCs/>
          <w:color w:val="000000" w:themeColor="text1"/>
          <w:sz w:val="24"/>
          <w:szCs w:val="24"/>
          <w:lang w:val="en-US"/>
        </w:rPr>
        <w:t xml:space="preserve">, </w:t>
      </w:r>
      <w:r w:rsidR="0036785A" w:rsidRPr="007606BB">
        <w:rPr>
          <w:rFonts w:ascii="Calibri" w:hAnsi="Calibri"/>
          <w:bCs/>
          <w:color w:val="000000" w:themeColor="text1"/>
          <w:sz w:val="24"/>
          <w:szCs w:val="24"/>
          <w:lang w:val="en-US"/>
        </w:rPr>
        <w:t>3</w:t>
      </w:r>
      <w:r w:rsidR="00F35C79">
        <w:rPr>
          <w:rFonts w:ascii="Calibri" w:hAnsi="Calibri"/>
          <w:bCs/>
          <w:color w:val="000000" w:themeColor="text1"/>
          <w:sz w:val="24"/>
          <w:szCs w:val="24"/>
          <w:lang w:val="en-US"/>
        </w:rPr>
        <w:t>3</w:t>
      </w:r>
      <w:r w:rsidR="00CE4621">
        <w:rPr>
          <w:rFonts w:ascii="Calibri" w:hAnsi="Calibri"/>
          <w:bCs/>
          <w:color w:val="000000" w:themeColor="text1"/>
          <w:sz w:val="24"/>
          <w:szCs w:val="24"/>
          <w:lang w:val="en-US"/>
        </w:rPr>
        <w:t>, 34, 35</w:t>
      </w:r>
      <w:r w:rsidRPr="007606BB">
        <w:rPr>
          <w:rFonts w:ascii="Calibri" w:hAnsi="Calibri"/>
          <w:bCs/>
          <w:color w:val="000000" w:themeColor="text1"/>
          <w:sz w:val="24"/>
          <w:szCs w:val="24"/>
          <w:lang w:val="en-US"/>
        </w:rPr>
        <w:t>]</w:t>
      </w:r>
      <w:r w:rsidR="006036B4" w:rsidRPr="007606BB">
        <w:rPr>
          <w:rFonts w:ascii="Calibri" w:hAnsi="Calibri"/>
          <w:bCs/>
          <w:color w:val="000000" w:themeColor="text1"/>
          <w:sz w:val="24"/>
          <w:szCs w:val="24"/>
          <w:lang w:val="en-US"/>
        </w:rPr>
        <w:t xml:space="preserve">.  </w:t>
      </w:r>
      <w:r w:rsidR="00002E67" w:rsidRPr="007606BB">
        <w:rPr>
          <w:rFonts w:ascii="Calibri" w:hAnsi="Calibri"/>
          <w:bCs/>
          <w:color w:val="000000" w:themeColor="text1"/>
          <w:sz w:val="24"/>
          <w:szCs w:val="24"/>
          <w:lang w:val="en-US"/>
        </w:rPr>
        <w:t>A</w:t>
      </w:r>
      <w:r w:rsidRPr="00861D59">
        <w:rPr>
          <w:rFonts w:ascii="Calibri" w:hAnsi="Calibri"/>
          <w:bCs/>
          <w:color w:val="000000" w:themeColor="text1"/>
          <w:sz w:val="24"/>
          <w:szCs w:val="24"/>
          <w:lang w:val="en-US"/>
        </w:rPr>
        <w:t xml:space="preserve"> principal reason is that BMD values are low in patients identified with FRAX but without a BMD </w:t>
      </w:r>
      <w:r w:rsidRPr="00D05AB2">
        <w:rPr>
          <w:rFonts w:ascii="Calibri" w:hAnsi="Calibri"/>
          <w:bCs/>
          <w:color w:val="000000" w:themeColor="text1"/>
          <w:sz w:val="24"/>
          <w:szCs w:val="24"/>
          <w:lang w:val="en-US"/>
        </w:rPr>
        <w:t>test</w:t>
      </w:r>
      <w:r w:rsidR="0057677B" w:rsidRPr="00D05AB2">
        <w:rPr>
          <w:rFonts w:ascii="Calibri" w:hAnsi="Calibri"/>
          <w:bCs/>
          <w:color w:val="000000" w:themeColor="text1"/>
          <w:sz w:val="24"/>
          <w:szCs w:val="24"/>
          <w:lang w:val="en-US"/>
        </w:rPr>
        <w:t xml:space="preserve"> </w:t>
      </w:r>
      <w:r w:rsidR="00620FD4" w:rsidRPr="00D05AB2">
        <w:rPr>
          <w:rFonts w:ascii="Calibri" w:hAnsi="Calibri"/>
          <w:bCs/>
          <w:color w:val="000000" w:themeColor="text1"/>
          <w:sz w:val="24"/>
          <w:szCs w:val="24"/>
          <w:lang w:val="en-US"/>
        </w:rPr>
        <w:t>[2</w:t>
      </w:r>
      <w:r w:rsidR="00354613">
        <w:rPr>
          <w:rFonts w:ascii="Calibri" w:hAnsi="Calibri"/>
          <w:bCs/>
          <w:color w:val="000000" w:themeColor="text1"/>
          <w:sz w:val="24"/>
          <w:szCs w:val="24"/>
          <w:lang w:val="en-US"/>
        </w:rPr>
        <w:t>9</w:t>
      </w:r>
      <w:r w:rsidR="00620FD4" w:rsidRPr="00D05AB2">
        <w:rPr>
          <w:rFonts w:ascii="Calibri" w:hAnsi="Calibri"/>
          <w:bCs/>
          <w:color w:val="000000" w:themeColor="text1"/>
          <w:sz w:val="24"/>
          <w:szCs w:val="24"/>
          <w:lang w:val="en-US"/>
        </w:rPr>
        <w:t>]</w:t>
      </w:r>
      <w:r w:rsidRPr="00D05AB2">
        <w:rPr>
          <w:rFonts w:ascii="Calibri" w:hAnsi="Calibri"/>
          <w:bCs/>
          <w:color w:val="000000" w:themeColor="text1"/>
          <w:sz w:val="24"/>
          <w:szCs w:val="24"/>
          <w:lang w:val="en-US"/>
        </w:rPr>
        <w:t xml:space="preserve">. </w:t>
      </w:r>
      <w:r w:rsidR="0068764A">
        <w:rPr>
          <w:rFonts w:ascii="Calibri" w:hAnsi="Calibri"/>
          <w:bCs/>
          <w:color w:val="000000" w:themeColor="text1"/>
          <w:sz w:val="24"/>
          <w:szCs w:val="24"/>
          <w:lang w:val="en-US"/>
        </w:rPr>
        <w:t xml:space="preserve"> </w:t>
      </w:r>
      <w:r w:rsidR="00386BEE" w:rsidRPr="00D05AB2">
        <w:rPr>
          <w:rFonts w:ascii="Calibri" w:hAnsi="Calibri"/>
          <w:bCs/>
          <w:color w:val="000000" w:themeColor="text1"/>
          <w:sz w:val="24"/>
          <w:szCs w:val="24"/>
          <w:lang w:val="en-US"/>
        </w:rPr>
        <w:t>Overall, the mean</w:t>
      </w:r>
      <w:r w:rsidR="00386BEE">
        <w:rPr>
          <w:rFonts w:ascii="Calibri" w:hAnsi="Calibri"/>
          <w:bCs/>
          <w:color w:val="000000" w:themeColor="text1"/>
          <w:sz w:val="24"/>
          <w:szCs w:val="24"/>
          <w:lang w:val="en-US"/>
        </w:rPr>
        <w:t xml:space="preserve"> T-score in </w:t>
      </w:r>
      <w:r w:rsidR="00317524">
        <w:rPr>
          <w:rFonts w:ascii="Calibri" w:hAnsi="Calibri"/>
          <w:bCs/>
          <w:color w:val="000000" w:themeColor="text1"/>
          <w:sz w:val="24"/>
          <w:szCs w:val="24"/>
          <w:lang w:val="en-US"/>
        </w:rPr>
        <w:t>women eligible for treatment</w:t>
      </w:r>
      <w:r w:rsidR="0047755A">
        <w:rPr>
          <w:rFonts w:ascii="Calibri" w:hAnsi="Calibri"/>
          <w:bCs/>
          <w:color w:val="000000" w:themeColor="text1"/>
          <w:sz w:val="24"/>
          <w:szCs w:val="24"/>
          <w:lang w:val="en-US"/>
        </w:rPr>
        <w:t xml:space="preserve"> </w:t>
      </w:r>
      <w:r w:rsidR="009D7A34">
        <w:rPr>
          <w:rFonts w:ascii="Calibri" w:hAnsi="Calibri"/>
          <w:bCs/>
          <w:color w:val="000000" w:themeColor="text1"/>
          <w:sz w:val="24"/>
          <w:szCs w:val="24"/>
          <w:lang w:val="en-US"/>
        </w:rPr>
        <w:t>and selected with FRAX</w:t>
      </w:r>
      <w:r w:rsidR="00013916">
        <w:rPr>
          <w:rFonts w:ascii="Calibri" w:hAnsi="Calibri"/>
          <w:bCs/>
          <w:color w:val="000000" w:themeColor="text1"/>
          <w:sz w:val="24"/>
          <w:szCs w:val="24"/>
          <w:lang w:val="en-US"/>
        </w:rPr>
        <w:t xml:space="preserve"> </w:t>
      </w:r>
      <w:r w:rsidR="0047755A">
        <w:rPr>
          <w:rFonts w:ascii="Calibri" w:hAnsi="Calibri"/>
          <w:bCs/>
          <w:color w:val="000000" w:themeColor="text1"/>
          <w:sz w:val="24"/>
          <w:szCs w:val="24"/>
          <w:lang w:val="en-US"/>
        </w:rPr>
        <w:t>was</w:t>
      </w:r>
      <w:r w:rsidR="001306DA">
        <w:rPr>
          <w:rFonts w:ascii="Calibri" w:hAnsi="Calibri"/>
          <w:bCs/>
          <w:color w:val="000000" w:themeColor="text1"/>
          <w:sz w:val="24"/>
          <w:szCs w:val="24"/>
          <w:lang w:val="en-US"/>
        </w:rPr>
        <w:t xml:space="preserve"> </w:t>
      </w:r>
      <w:r w:rsidR="001F1B87">
        <w:rPr>
          <w:rFonts w:ascii="Calibri" w:hAnsi="Calibri"/>
          <w:bCs/>
          <w:color w:val="000000" w:themeColor="text1"/>
          <w:sz w:val="24"/>
          <w:szCs w:val="24"/>
          <w:lang w:val="en-US"/>
        </w:rPr>
        <w:t>-2.94</w:t>
      </w:r>
      <w:r w:rsidR="00013916">
        <w:rPr>
          <w:rFonts w:ascii="Calibri" w:hAnsi="Calibri"/>
          <w:bCs/>
          <w:color w:val="000000" w:themeColor="text1"/>
          <w:sz w:val="24"/>
          <w:szCs w:val="24"/>
          <w:lang w:val="en-US"/>
        </w:rPr>
        <w:t xml:space="preserve"> (see Table </w:t>
      </w:r>
      <w:r w:rsidR="00F355D0">
        <w:rPr>
          <w:rFonts w:ascii="Calibri" w:hAnsi="Calibri"/>
          <w:bCs/>
          <w:color w:val="000000" w:themeColor="text1"/>
          <w:sz w:val="24"/>
          <w:szCs w:val="24"/>
          <w:lang w:val="en-US"/>
        </w:rPr>
        <w:t>3</w:t>
      </w:r>
      <w:r w:rsidR="00013916">
        <w:rPr>
          <w:rFonts w:ascii="Calibri" w:hAnsi="Calibri"/>
          <w:bCs/>
          <w:color w:val="000000" w:themeColor="text1"/>
          <w:sz w:val="24"/>
          <w:szCs w:val="24"/>
          <w:lang w:val="en-US"/>
        </w:rPr>
        <w:t>)</w:t>
      </w:r>
      <w:r w:rsidR="008B1BF8">
        <w:rPr>
          <w:rFonts w:ascii="Calibri" w:hAnsi="Calibri"/>
          <w:bCs/>
          <w:color w:val="000000" w:themeColor="text1"/>
          <w:sz w:val="24"/>
          <w:szCs w:val="24"/>
          <w:lang w:val="en-US"/>
        </w:rPr>
        <w:t>.</w:t>
      </w:r>
    </w:p>
    <w:p w14:paraId="38E0FE57" w14:textId="73D46D95" w:rsidR="00F40E49" w:rsidRPr="00861D59" w:rsidRDefault="00482B63" w:rsidP="0020414A">
      <w:pPr>
        <w:pStyle w:val="PlainText"/>
        <w:spacing w:after="240" w:line="276" w:lineRule="auto"/>
        <w:ind w:left="1134"/>
        <w:rPr>
          <w:rFonts w:ascii="Calibri" w:hAnsi="Calibri"/>
          <w:bCs/>
          <w:color w:val="000000" w:themeColor="text1"/>
          <w:sz w:val="24"/>
          <w:szCs w:val="24"/>
          <w:lang w:val="en-US"/>
        </w:rPr>
      </w:pPr>
      <w:r>
        <w:rPr>
          <w:rFonts w:ascii="Calibri" w:hAnsi="Calibri"/>
          <w:bCs/>
          <w:color w:val="000000" w:themeColor="text1"/>
          <w:sz w:val="24"/>
          <w:szCs w:val="24"/>
          <w:lang w:val="en-US"/>
        </w:rPr>
        <w:t>In the present study we</w:t>
      </w:r>
      <w:r w:rsidR="00797CC1">
        <w:rPr>
          <w:rFonts w:ascii="Calibri" w:hAnsi="Calibri"/>
          <w:bCs/>
          <w:color w:val="000000" w:themeColor="text1"/>
          <w:sz w:val="24"/>
          <w:szCs w:val="24"/>
          <w:lang w:val="en-US"/>
        </w:rPr>
        <w:t xml:space="preserve"> have focused </w:t>
      </w:r>
      <w:r w:rsidR="0089508E">
        <w:rPr>
          <w:rFonts w:ascii="Calibri" w:hAnsi="Calibri"/>
          <w:bCs/>
          <w:color w:val="000000" w:themeColor="text1"/>
          <w:sz w:val="24"/>
          <w:szCs w:val="24"/>
          <w:lang w:val="en-US"/>
        </w:rPr>
        <w:t xml:space="preserve">on </w:t>
      </w:r>
      <w:r w:rsidR="00E70EA8">
        <w:rPr>
          <w:rFonts w:ascii="Calibri" w:hAnsi="Calibri"/>
          <w:bCs/>
          <w:color w:val="000000" w:themeColor="text1"/>
          <w:sz w:val="24"/>
          <w:szCs w:val="24"/>
          <w:lang w:val="en-US"/>
        </w:rPr>
        <w:t>intervention</w:t>
      </w:r>
      <w:r w:rsidR="00797CC1">
        <w:rPr>
          <w:rFonts w:ascii="Calibri" w:hAnsi="Calibri"/>
          <w:bCs/>
          <w:color w:val="000000" w:themeColor="text1"/>
          <w:sz w:val="24"/>
          <w:szCs w:val="24"/>
          <w:lang w:val="en-US"/>
        </w:rPr>
        <w:t xml:space="preserve"> </w:t>
      </w:r>
      <w:r w:rsidR="00E70EA8">
        <w:rPr>
          <w:rFonts w:ascii="Calibri" w:hAnsi="Calibri"/>
          <w:bCs/>
          <w:color w:val="000000" w:themeColor="text1"/>
          <w:sz w:val="24"/>
          <w:szCs w:val="24"/>
          <w:lang w:val="en-US"/>
        </w:rPr>
        <w:t>thresholds</w:t>
      </w:r>
      <w:r w:rsidR="00797CC1">
        <w:rPr>
          <w:rFonts w:ascii="Calibri" w:hAnsi="Calibri"/>
          <w:bCs/>
          <w:color w:val="000000" w:themeColor="text1"/>
          <w:sz w:val="24"/>
          <w:szCs w:val="24"/>
          <w:lang w:val="en-US"/>
        </w:rPr>
        <w:t xml:space="preserve"> </w:t>
      </w:r>
      <w:r w:rsidR="00C413D3">
        <w:rPr>
          <w:rFonts w:ascii="Calibri" w:hAnsi="Calibri"/>
          <w:bCs/>
          <w:color w:val="000000" w:themeColor="text1"/>
          <w:sz w:val="24"/>
          <w:szCs w:val="24"/>
          <w:lang w:val="en-US"/>
        </w:rPr>
        <w:t xml:space="preserve">based on 10-year probabilities of a major </w:t>
      </w:r>
      <w:r w:rsidR="00E70EA8">
        <w:rPr>
          <w:rFonts w:ascii="Calibri" w:hAnsi="Calibri"/>
          <w:bCs/>
          <w:color w:val="000000" w:themeColor="text1"/>
          <w:sz w:val="24"/>
          <w:szCs w:val="24"/>
          <w:lang w:val="en-US"/>
        </w:rPr>
        <w:t>osteoporotic</w:t>
      </w:r>
      <w:r w:rsidR="00C413D3">
        <w:rPr>
          <w:rFonts w:ascii="Calibri" w:hAnsi="Calibri"/>
          <w:bCs/>
          <w:color w:val="000000" w:themeColor="text1"/>
          <w:sz w:val="24"/>
          <w:szCs w:val="24"/>
          <w:lang w:val="en-US"/>
        </w:rPr>
        <w:t xml:space="preserve"> fracture.  Ther</w:t>
      </w:r>
      <w:r w:rsidR="003829F2">
        <w:rPr>
          <w:rFonts w:ascii="Calibri" w:hAnsi="Calibri"/>
          <w:bCs/>
          <w:color w:val="000000" w:themeColor="text1"/>
          <w:sz w:val="24"/>
          <w:szCs w:val="24"/>
          <w:lang w:val="en-US"/>
        </w:rPr>
        <w:t xml:space="preserve">e is, in </w:t>
      </w:r>
      <w:r w:rsidR="00E70EA8">
        <w:rPr>
          <w:rFonts w:ascii="Calibri" w:hAnsi="Calibri"/>
          <w:bCs/>
          <w:color w:val="000000" w:themeColor="text1"/>
          <w:sz w:val="24"/>
          <w:szCs w:val="24"/>
          <w:lang w:val="en-US"/>
        </w:rPr>
        <w:t>principle</w:t>
      </w:r>
      <w:r w:rsidR="003829F2">
        <w:rPr>
          <w:rFonts w:ascii="Calibri" w:hAnsi="Calibri"/>
          <w:bCs/>
          <w:color w:val="000000" w:themeColor="text1"/>
          <w:sz w:val="24"/>
          <w:szCs w:val="24"/>
          <w:lang w:val="en-US"/>
        </w:rPr>
        <w:t xml:space="preserve">, no reason why a strategy should not be based on </w:t>
      </w:r>
      <w:r w:rsidR="00F33B2C">
        <w:rPr>
          <w:rFonts w:ascii="Calibri" w:hAnsi="Calibri"/>
          <w:bCs/>
          <w:color w:val="000000" w:themeColor="text1"/>
          <w:sz w:val="24"/>
          <w:szCs w:val="24"/>
          <w:lang w:val="en-US"/>
        </w:rPr>
        <w:t>the probability of hip fracture</w:t>
      </w:r>
      <w:r w:rsidR="00CB639E">
        <w:rPr>
          <w:rFonts w:ascii="Calibri" w:hAnsi="Calibri"/>
          <w:bCs/>
          <w:color w:val="000000" w:themeColor="text1"/>
          <w:sz w:val="24"/>
          <w:szCs w:val="24"/>
          <w:lang w:val="en-US"/>
        </w:rPr>
        <w:t>.  Indeed</w:t>
      </w:r>
      <w:r w:rsidR="00091A4D">
        <w:rPr>
          <w:rFonts w:ascii="Calibri" w:hAnsi="Calibri"/>
          <w:bCs/>
          <w:color w:val="000000" w:themeColor="text1"/>
          <w:sz w:val="24"/>
          <w:szCs w:val="24"/>
          <w:lang w:val="en-US"/>
        </w:rPr>
        <w:t>, screening on this basis has recently been shown to decrease the in</w:t>
      </w:r>
      <w:r w:rsidR="004B04AB">
        <w:rPr>
          <w:rFonts w:ascii="Calibri" w:hAnsi="Calibri"/>
          <w:bCs/>
          <w:color w:val="000000" w:themeColor="text1"/>
          <w:sz w:val="24"/>
          <w:szCs w:val="24"/>
          <w:lang w:val="en-US"/>
        </w:rPr>
        <w:t xml:space="preserve">cidence of hip fracture in the </w:t>
      </w:r>
      <w:r w:rsidR="004B04AB" w:rsidRPr="00B17AE1">
        <w:rPr>
          <w:rFonts w:ascii="Calibri" w:hAnsi="Calibri"/>
          <w:bCs/>
          <w:color w:val="000000" w:themeColor="text1"/>
          <w:sz w:val="24"/>
          <w:szCs w:val="24"/>
          <w:lang w:val="en-US"/>
        </w:rPr>
        <w:t>UK [</w:t>
      </w:r>
      <w:r w:rsidR="00D05AB2" w:rsidRPr="00B17AE1">
        <w:rPr>
          <w:rFonts w:ascii="Calibri" w:hAnsi="Calibri"/>
          <w:bCs/>
          <w:color w:val="000000" w:themeColor="text1"/>
          <w:sz w:val="24"/>
          <w:szCs w:val="24"/>
          <w:lang w:val="en-US"/>
        </w:rPr>
        <w:t>3</w:t>
      </w:r>
      <w:r w:rsidR="00B17AE1" w:rsidRPr="00B17AE1">
        <w:rPr>
          <w:rFonts w:ascii="Calibri" w:hAnsi="Calibri"/>
          <w:bCs/>
          <w:color w:val="000000" w:themeColor="text1"/>
          <w:sz w:val="24"/>
          <w:szCs w:val="24"/>
          <w:lang w:val="en-US"/>
        </w:rPr>
        <w:t>6</w:t>
      </w:r>
      <w:r w:rsidR="00354613" w:rsidRPr="00B17AE1">
        <w:rPr>
          <w:rFonts w:ascii="Calibri" w:hAnsi="Calibri"/>
          <w:bCs/>
          <w:color w:val="000000" w:themeColor="text1"/>
          <w:sz w:val="24"/>
          <w:szCs w:val="24"/>
          <w:lang w:val="en-US"/>
        </w:rPr>
        <w:t>]</w:t>
      </w:r>
      <w:r w:rsidR="0086192A" w:rsidRPr="00B17AE1">
        <w:rPr>
          <w:rFonts w:ascii="Calibri" w:hAnsi="Calibri"/>
          <w:bCs/>
          <w:color w:val="000000" w:themeColor="text1"/>
          <w:sz w:val="24"/>
          <w:szCs w:val="24"/>
          <w:lang w:val="en-US"/>
        </w:rPr>
        <w:t>.</w:t>
      </w:r>
      <w:r w:rsidR="0086192A" w:rsidRPr="00645D2B">
        <w:rPr>
          <w:rFonts w:ascii="Calibri" w:hAnsi="Calibri"/>
          <w:bCs/>
          <w:color w:val="000000" w:themeColor="text1"/>
          <w:sz w:val="24"/>
          <w:szCs w:val="24"/>
          <w:lang w:val="en-US"/>
        </w:rPr>
        <w:t xml:space="preserve">  </w:t>
      </w:r>
      <w:r w:rsidR="00AC1D0F" w:rsidRPr="00645D2B">
        <w:rPr>
          <w:rFonts w:ascii="Calibri" w:hAnsi="Calibri"/>
          <w:bCs/>
          <w:color w:val="000000" w:themeColor="text1"/>
          <w:sz w:val="24"/>
          <w:szCs w:val="24"/>
          <w:lang w:val="en-US"/>
        </w:rPr>
        <w:t>We</w:t>
      </w:r>
      <w:r w:rsidR="00AC1D0F">
        <w:rPr>
          <w:rFonts w:ascii="Calibri" w:hAnsi="Calibri"/>
          <w:bCs/>
          <w:color w:val="000000" w:themeColor="text1"/>
          <w:sz w:val="24"/>
          <w:szCs w:val="24"/>
          <w:lang w:val="en-US"/>
        </w:rPr>
        <w:t xml:space="preserve"> have also assumed that </w:t>
      </w:r>
      <w:r w:rsidR="009219D3">
        <w:rPr>
          <w:rFonts w:ascii="Calibri" w:hAnsi="Calibri"/>
          <w:bCs/>
          <w:color w:val="000000" w:themeColor="text1"/>
          <w:sz w:val="24"/>
          <w:szCs w:val="24"/>
          <w:lang w:val="en-US"/>
        </w:rPr>
        <w:t>measurements of BMD</w:t>
      </w:r>
      <w:r w:rsidR="000C228C">
        <w:rPr>
          <w:rFonts w:ascii="Calibri" w:hAnsi="Calibri"/>
          <w:bCs/>
          <w:color w:val="000000" w:themeColor="text1"/>
          <w:sz w:val="24"/>
          <w:szCs w:val="24"/>
          <w:lang w:val="en-US"/>
        </w:rPr>
        <w:t xml:space="preserve"> are </w:t>
      </w:r>
      <w:r w:rsidR="000C228C">
        <w:rPr>
          <w:rFonts w:ascii="Calibri" w:hAnsi="Calibri"/>
          <w:bCs/>
          <w:color w:val="000000" w:themeColor="text1"/>
          <w:sz w:val="24"/>
          <w:szCs w:val="24"/>
          <w:lang w:val="en-US"/>
        </w:rPr>
        <w:lastRenderedPageBreak/>
        <w:t>included in the strategy</w:t>
      </w:r>
      <w:r w:rsidR="00ED564E">
        <w:rPr>
          <w:rFonts w:ascii="Calibri" w:hAnsi="Calibri"/>
          <w:bCs/>
          <w:color w:val="000000" w:themeColor="text1"/>
          <w:sz w:val="24"/>
          <w:szCs w:val="24"/>
          <w:lang w:val="en-US"/>
        </w:rPr>
        <w:t>.  Where facilities for BMD testing are wanting</w:t>
      </w:r>
      <w:r w:rsidR="00B5562E">
        <w:rPr>
          <w:rFonts w:ascii="Calibri" w:hAnsi="Calibri"/>
          <w:bCs/>
          <w:color w:val="000000" w:themeColor="text1"/>
          <w:sz w:val="24"/>
          <w:szCs w:val="24"/>
          <w:lang w:val="en-US"/>
        </w:rPr>
        <w:t xml:space="preserve">, </w:t>
      </w:r>
      <w:r w:rsidR="00FE1A87">
        <w:rPr>
          <w:rFonts w:ascii="Calibri" w:hAnsi="Calibri"/>
          <w:bCs/>
          <w:color w:val="000000" w:themeColor="text1"/>
          <w:sz w:val="24"/>
          <w:szCs w:val="24"/>
          <w:lang w:val="en-US"/>
        </w:rPr>
        <w:t>FR</w:t>
      </w:r>
      <w:r w:rsidR="00B5562E">
        <w:rPr>
          <w:rFonts w:ascii="Calibri" w:hAnsi="Calibri"/>
          <w:bCs/>
          <w:color w:val="000000" w:themeColor="text1"/>
          <w:sz w:val="24"/>
          <w:szCs w:val="24"/>
          <w:lang w:val="en-US"/>
        </w:rPr>
        <w:t>AX without BMD pro</w:t>
      </w:r>
      <w:r w:rsidR="00C95D42">
        <w:rPr>
          <w:rFonts w:ascii="Calibri" w:hAnsi="Calibri"/>
          <w:bCs/>
          <w:color w:val="000000" w:themeColor="text1"/>
          <w:sz w:val="24"/>
          <w:szCs w:val="24"/>
          <w:lang w:val="en-US"/>
        </w:rPr>
        <w:t>v</w:t>
      </w:r>
      <w:r w:rsidR="00B267F5">
        <w:rPr>
          <w:rFonts w:ascii="Calibri" w:hAnsi="Calibri"/>
          <w:bCs/>
          <w:color w:val="000000" w:themeColor="text1"/>
          <w:sz w:val="24"/>
          <w:szCs w:val="24"/>
          <w:lang w:val="en-US"/>
        </w:rPr>
        <w:t>id</w:t>
      </w:r>
      <w:r w:rsidR="00C95D42">
        <w:rPr>
          <w:rFonts w:ascii="Calibri" w:hAnsi="Calibri"/>
          <w:bCs/>
          <w:color w:val="000000" w:themeColor="text1"/>
          <w:sz w:val="24"/>
          <w:szCs w:val="24"/>
          <w:lang w:val="en-US"/>
        </w:rPr>
        <w:t xml:space="preserve">es similar </w:t>
      </w:r>
      <w:r w:rsidR="000C2913">
        <w:rPr>
          <w:rFonts w:ascii="Calibri" w:hAnsi="Calibri"/>
          <w:bCs/>
          <w:color w:val="000000" w:themeColor="text1"/>
          <w:sz w:val="24"/>
          <w:szCs w:val="24"/>
          <w:lang w:val="en-US"/>
        </w:rPr>
        <w:t>predictive</w:t>
      </w:r>
      <w:r w:rsidR="0083272B">
        <w:rPr>
          <w:rFonts w:ascii="Calibri" w:hAnsi="Calibri"/>
          <w:bCs/>
          <w:color w:val="000000" w:themeColor="text1"/>
          <w:sz w:val="24"/>
          <w:szCs w:val="24"/>
          <w:lang w:val="en-US"/>
        </w:rPr>
        <w:t xml:space="preserve"> val</w:t>
      </w:r>
      <w:r w:rsidR="000C2913">
        <w:rPr>
          <w:rFonts w:ascii="Calibri" w:hAnsi="Calibri"/>
          <w:bCs/>
          <w:color w:val="000000" w:themeColor="text1"/>
          <w:sz w:val="24"/>
          <w:szCs w:val="24"/>
          <w:lang w:val="en-US"/>
        </w:rPr>
        <w:t>u</w:t>
      </w:r>
      <w:r w:rsidR="0083272B">
        <w:rPr>
          <w:rFonts w:ascii="Calibri" w:hAnsi="Calibri"/>
          <w:bCs/>
          <w:color w:val="000000" w:themeColor="text1"/>
          <w:sz w:val="24"/>
          <w:szCs w:val="24"/>
          <w:lang w:val="en-US"/>
        </w:rPr>
        <w:t xml:space="preserve">e as BMD </w:t>
      </w:r>
      <w:r w:rsidR="000C2913">
        <w:rPr>
          <w:rFonts w:ascii="Calibri" w:hAnsi="Calibri"/>
          <w:bCs/>
          <w:color w:val="000000" w:themeColor="text1"/>
          <w:sz w:val="24"/>
          <w:szCs w:val="24"/>
          <w:lang w:val="en-US"/>
        </w:rPr>
        <w:t xml:space="preserve">without </w:t>
      </w:r>
      <w:r w:rsidR="000C2913" w:rsidRPr="00AE3D4E">
        <w:rPr>
          <w:rFonts w:ascii="Calibri" w:hAnsi="Calibri"/>
          <w:bCs/>
          <w:color w:val="000000" w:themeColor="text1"/>
          <w:sz w:val="24"/>
          <w:szCs w:val="24"/>
          <w:lang w:val="en-US"/>
        </w:rPr>
        <w:t xml:space="preserve">FRAX </w:t>
      </w:r>
      <w:r w:rsidR="008F3A23" w:rsidRPr="00AE3D4E">
        <w:rPr>
          <w:rFonts w:ascii="Calibri" w:hAnsi="Calibri"/>
          <w:bCs/>
          <w:color w:val="000000" w:themeColor="text1"/>
          <w:sz w:val="24"/>
          <w:szCs w:val="24"/>
          <w:lang w:val="en-US"/>
        </w:rPr>
        <w:t>[</w:t>
      </w:r>
      <w:r w:rsidR="00224459" w:rsidRPr="00AE3D4E">
        <w:rPr>
          <w:rFonts w:ascii="Calibri" w:hAnsi="Calibri"/>
          <w:bCs/>
          <w:color w:val="000000" w:themeColor="text1"/>
          <w:sz w:val="24"/>
          <w:szCs w:val="24"/>
          <w:lang w:val="en-US"/>
        </w:rPr>
        <w:t>3</w:t>
      </w:r>
      <w:r w:rsidR="00AE3D4E" w:rsidRPr="00AE3D4E">
        <w:rPr>
          <w:rFonts w:ascii="Calibri" w:hAnsi="Calibri"/>
          <w:bCs/>
          <w:color w:val="000000" w:themeColor="text1"/>
          <w:sz w:val="24"/>
          <w:szCs w:val="24"/>
          <w:lang w:val="en-US"/>
        </w:rPr>
        <w:t>7</w:t>
      </w:r>
      <w:r w:rsidR="00C15493" w:rsidRPr="00AE3D4E">
        <w:rPr>
          <w:rFonts w:ascii="Calibri" w:hAnsi="Calibri"/>
          <w:bCs/>
          <w:color w:val="000000" w:themeColor="text1"/>
          <w:sz w:val="24"/>
          <w:szCs w:val="24"/>
          <w:lang w:val="en-US"/>
        </w:rPr>
        <w:t>]</w:t>
      </w:r>
      <w:r w:rsidR="008F3A23" w:rsidRPr="00AE3D4E">
        <w:rPr>
          <w:rFonts w:ascii="Calibri" w:hAnsi="Calibri"/>
          <w:bCs/>
          <w:color w:val="000000" w:themeColor="text1"/>
          <w:sz w:val="24"/>
          <w:szCs w:val="24"/>
          <w:lang w:val="en-US"/>
        </w:rPr>
        <w:t>.</w:t>
      </w:r>
      <w:r w:rsidR="008F3A23" w:rsidRPr="00224459">
        <w:rPr>
          <w:rFonts w:ascii="Calibri" w:hAnsi="Calibri"/>
          <w:bCs/>
          <w:color w:val="000000" w:themeColor="text1"/>
          <w:sz w:val="24"/>
          <w:szCs w:val="24"/>
          <w:lang w:val="en-US"/>
        </w:rPr>
        <w:t xml:space="preserve"> </w:t>
      </w:r>
      <w:r w:rsidR="00365EC8">
        <w:rPr>
          <w:rFonts w:ascii="Calibri" w:hAnsi="Calibri"/>
          <w:bCs/>
          <w:color w:val="000000" w:themeColor="text1"/>
          <w:sz w:val="24"/>
          <w:szCs w:val="24"/>
          <w:lang w:val="en-US"/>
        </w:rPr>
        <w:t xml:space="preserve"> </w:t>
      </w:r>
      <w:r w:rsidR="00FE1A87" w:rsidRPr="00224459">
        <w:rPr>
          <w:rFonts w:ascii="Calibri" w:hAnsi="Calibri"/>
          <w:bCs/>
          <w:color w:val="000000" w:themeColor="text1"/>
          <w:sz w:val="24"/>
          <w:szCs w:val="24"/>
          <w:lang w:val="en-US"/>
        </w:rPr>
        <w:t>N</w:t>
      </w:r>
      <w:r w:rsidR="00C424B1" w:rsidRPr="00224459">
        <w:rPr>
          <w:rFonts w:ascii="Calibri" w:hAnsi="Calibri"/>
          <w:bCs/>
          <w:color w:val="000000" w:themeColor="text1"/>
          <w:sz w:val="24"/>
          <w:szCs w:val="24"/>
          <w:lang w:val="en-US"/>
        </w:rPr>
        <w:t>evertheless</w:t>
      </w:r>
      <w:r w:rsidR="00C424B1" w:rsidRPr="00C424B1">
        <w:rPr>
          <w:rFonts w:ascii="Calibri" w:hAnsi="Calibri"/>
          <w:bCs/>
          <w:color w:val="000000" w:themeColor="text1"/>
          <w:sz w:val="24"/>
          <w:szCs w:val="24"/>
          <w:lang w:val="en-US"/>
        </w:rPr>
        <w:t>, the combination of FRAX with BMD</w:t>
      </w:r>
      <w:r w:rsidR="00F3149C">
        <w:rPr>
          <w:rFonts w:ascii="Calibri" w:hAnsi="Calibri"/>
          <w:bCs/>
          <w:color w:val="000000" w:themeColor="text1"/>
          <w:sz w:val="24"/>
          <w:szCs w:val="24"/>
          <w:lang w:val="en-US"/>
        </w:rPr>
        <w:t xml:space="preserve"> where appropriate</w:t>
      </w:r>
      <w:r w:rsidR="000C6370">
        <w:rPr>
          <w:rFonts w:ascii="Calibri" w:hAnsi="Calibri"/>
          <w:bCs/>
          <w:color w:val="000000" w:themeColor="text1"/>
          <w:sz w:val="24"/>
          <w:szCs w:val="24"/>
          <w:lang w:val="en-US"/>
        </w:rPr>
        <w:t xml:space="preserve"> provides the optimal strategy</w:t>
      </w:r>
      <w:r w:rsidR="008D0B69">
        <w:rPr>
          <w:rFonts w:ascii="Calibri" w:hAnsi="Calibri"/>
          <w:bCs/>
          <w:color w:val="000000" w:themeColor="text1"/>
          <w:sz w:val="24"/>
          <w:szCs w:val="24"/>
          <w:lang w:val="en-US"/>
        </w:rPr>
        <w:t>.</w:t>
      </w:r>
    </w:p>
    <w:p w14:paraId="2FF528B1" w14:textId="39CECBBE" w:rsidR="00023951" w:rsidRPr="00C55E99" w:rsidRDefault="00406447" w:rsidP="0020414A">
      <w:pPr>
        <w:pStyle w:val="PlainText"/>
        <w:spacing w:after="240" w:line="276" w:lineRule="auto"/>
        <w:ind w:left="1134"/>
        <w:rPr>
          <w:rFonts w:ascii="Calibri" w:hAnsi="Calibri"/>
          <w:bCs/>
          <w:color w:val="000000" w:themeColor="text1"/>
          <w:sz w:val="24"/>
          <w:szCs w:val="24"/>
          <w:lang w:val="en-US"/>
        </w:rPr>
      </w:pPr>
      <w:r w:rsidRPr="00C55E99">
        <w:rPr>
          <w:rFonts w:ascii="Calibri" w:hAnsi="Calibri"/>
          <w:bCs/>
          <w:color w:val="000000" w:themeColor="text1"/>
          <w:sz w:val="24"/>
          <w:szCs w:val="24"/>
          <w:lang w:val="en-US"/>
        </w:rPr>
        <w:t xml:space="preserve">The implementation of </w:t>
      </w:r>
      <w:r w:rsidR="00C63588">
        <w:rPr>
          <w:rFonts w:ascii="Calibri" w:hAnsi="Calibri"/>
          <w:bCs/>
          <w:color w:val="000000" w:themeColor="text1"/>
          <w:sz w:val="24"/>
          <w:szCs w:val="24"/>
          <w:lang w:val="en-US"/>
        </w:rPr>
        <w:t>this strategy</w:t>
      </w:r>
      <w:r w:rsidRPr="00C55E99">
        <w:rPr>
          <w:rFonts w:ascii="Calibri" w:hAnsi="Calibri"/>
          <w:bCs/>
          <w:color w:val="000000" w:themeColor="text1"/>
          <w:sz w:val="24"/>
          <w:szCs w:val="24"/>
          <w:lang w:val="en-US"/>
        </w:rPr>
        <w:t xml:space="preserve"> is expected to </w:t>
      </w:r>
      <w:r w:rsidR="00C64181">
        <w:rPr>
          <w:rFonts w:ascii="Calibri" w:hAnsi="Calibri"/>
          <w:bCs/>
          <w:color w:val="000000" w:themeColor="text1"/>
          <w:sz w:val="24"/>
          <w:szCs w:val="24"/>
          <w:lang w:val="en-US"/>
        </w:rPr>
        <w:t>lessen</w:t>
      </w:r>
      <w:r w:rsidR="00C64181" w:rsidRPr="00C55E99">
        <w:rPr>
          <w:rFonts w:ascii="Calibri" w:hAnsi="Calibri"/>
          <w:bCs/>
          <w:color w:val="000000" w:themeColor="text1"/>
          <w:sz w:val="24"/>
          <w:szCs w:val="24"/>
          <w:lang w:val="en-US"/>
        </w:rPr>
        <w:t xml:space="preserve"> </w:t>
      </w:r>
      <w:r w:rsidRPr="00C55E99">
        <w:rPr>
          <w:rFonts w:ascii="Calibri" w:hAnsi="Calibri"/>
          <w:bCs/>
          <w:color w:val="000000" w:themeColor="text1"/>
          <w:sz w:val="24"/>
          <w:szCs w:val="24"/>
          <w:lang w:val="en-US"/>
        </w:rPr>
        <w:t xml:space="preserve">unnecessary treatment of individuals at low fracture risk and </w:t>
      </w:r>
      <w:r w:rsidR="00F26634">
        <w:rPr>
          <w:rFonts w:ascii="Calibri" w:hAnsi="Calibri"/>
          <w:bCs/>
          <w:color w:val="000000" w:themeColor="text1"/>
          <w:sz w:val="24"/>
          <w:szCs w:val="24"/>
          <w:lang w:val="en-US"/>
        </w:rPr>
        <w:t xml:space="preserve">better </w:t>
      </w:r>
      <w:r w:rsidRPr="00C55E99">
        <w:rPr>
          <w:rFonts w:ascii="Calibri" w:hAnsi="Calibri"/>
          <w:bCs/>
          <w:color w:val="000000" w:themeColor="text1"/>
          <w:sz w:val="24"/>
          <w:szCs w:val="24"/>
          <w:lang w:val="en-US"/>
        </w:rPr>
        <w:t>direct treatments to those at high risk</w:t>
      </w:r>
      <w:r w:rsidR="006A3709">
        <w:rPr>
          <w:rFonts w:ascii="Calibri" w:hAnsi="Calibri"/>
          <w:bCs/>
          <w:color w:val="000000" w:themeColor="text1"/>
          <w:sz w:val="24"/>
          <w:szCs w:val="24"/>
          <w:lang w:val="en-US"/>
        </w:rPr>
        <w:t xml:space="preserve"> than treatment decisions based </w:t>
      </w:r>
      <w:r w:rsidR="00EF53FB">
        <w:rPr>
          <w:rFonts w:ascii="Calibri" w:hAnsi="Calibri"/>
          <w:bCs/>
          <w:color w:val="000000" w:themeColor="text1"/>
          <w:sz w:val="24"/>
          <w:szCs w:val="24"/>
          <w:lang w:val="en-US"/>
        </w:rPr>
        <w:t>only on</w:t>
      </w:r>
      <w:r w:rsidR="0077698C">
        <w:rPr>
          <w:rFonts w:ascii="Calibri" w:hAnsi="Calibri"/>
          <w:bCs/>
          <w:color w:val="000000" w:themeColor="text1"/>
          <w:sz w:val="24"/>
          <w:szCs w:val="24"/>
          <w:lang w:val="en-US"/>
        </w:rPr>
        <w:t xml:space="preserve"> the measurement of </w:t>
      </w:r>
      <w:r w:rsidR="006A3709">
        <w:rPr>
          <w:rFonts w:ascii="Calibri" w:hAnsi="Calibri"/>
          <w:bCs/>
          <w:color w:val="000000" w:themeColor="text1"/>
          <w:sz w:val="24"/>
          <w:szCs w:val="24"/>
          <w:lang w:val="en-US"/>
        </w:rPr>
        <w:t>BMD</w:t>
      </w:r>
      <w:r w:rsidR="00C42117">
        <w:rPr>
          <w:rFonts w:ascii="Calibri" w:hAnsi="Calibri"/>
          <w:bCs/>
          <w:color w:val="000000" w:themeColor="text1"/>
          <w:sz w:val="24"/>
          <w:szCs w:val="24"/>
          <w:lang w:val="en-US"/>
        </w:rPr>
        <w:t xml:space="preserve"> </w:t>
      </w:r>
      <w:r w:rsidR="00C42117" w:rsidRPr="00DC5701">
        <w:rPr>
          <w:rFonts w:ascii="Calibri" w:hAnsi="Calibri"/>
          <w:bCs/>
          <w:color w:val="000000" w:themeColor="text1"/>
          <w:sz w:val="24"/>
          <w:szCs w:val="24"/>
          <w:lang w:val="en-US"/>
        </w:rPr>
        <w:t>[</w:t>
      </w:r>
      <w:r w:rsidR="00AE3D4E" w:rsidRPr="00DC5701">
        <w:rPr>
          <w:rFonts w:ascii="Calibri" w:hAnsi="Calibri"/>
          <w:bCs/>
          <w:color w:val="000000" w:themeColor="text1"/>
          <w:sz w:val="24"/>
          <w:szCs w:val="24"/>
          <w:lang w:val="en-US"/>
        </w:rPr>
        <w:t>37</w:t>
      </w:r>
      <w:r w:rsidR="00C42117" w:rsidRPr="00DC5701">
        <w:rPr>
          <w:rFonts w:ascii="Calibri" w:hAnsi="Calibri"/>
          <w:bCs/>
          <w:color w:val="000000" w:themeColor="text1"/>
          <w:sz w:val="24"/>
          <w:szCs w:val="24"/>
          <w:lang w:val="en-US"/>
        </w:rPr>
        <w:t>]</w:t>
      </w:r>
      <w:r w:rsidRPr="00DC5701">
        <w:rPr>
          <w:rFonts w:ascii="Calibri" w:hAnsi="Calibri"/>
          <w:bCs/>
          <w:color w:val="000000" w:themeColor="text1"/>
          <w:sz w:val="24"/>
          <w:szCs w:val="24"/>
          <w:lang w:val="en-US"/>
        </w:rPr>
        <w:t>. Implementation</w:t>
      </w:r>
      <w:r w:rsidRPr="00C55E99">
        <w:rPr>
          <w:rFonts w:ascii="Calibri" w:hAnsi="Calibri"/>
          <w:bCs/>
          <w:color w:val="000000" w:themeColor="text1"/>
          <w:sz w:val="24"/>
          <w:szCs w:val="24"/>
          <w:lang w:val="en-US"/>
        </w:rPr>
        <w:t xml:space="preserve"> will</w:t>
      </w:r>
      <w:r w:rsidR="003D3197" w:rsidRPr="00C55E99">
        <w:rPr>
          <w:rFonts w:ascii="Calibri" w:hAnsi="Calibri"/>
          <w:bCs/>
          <w:color w:val="000000" w:themeColor="text1"/>
          <w:sz w:val="24"/>
          <w:szCs w:val="24"/>
          <w:lang w:val="en-US"/>
        </w:rPr>
        <w:t>,</w:t>
      </w:r>
      <w:r w:rsidRPr="00C55E99">
        <w:rPr>
          <w:rFonts w:ascii="Calibri" w:hAnsi="Calibri"/>
          <w:bCs/>
          <w:color w:val="000000" w:themeColor="text1"/>
          <w:sz w:val="24"/>
          <w:szCs w:val="24"/>
          <w:lang w:val="en-US"/>
        </w:rPr>
        <w:t xml:space="preserve"> however</w:t>
      </w:r>
      <w:r w:rsidR="003D3197" w:rsidRPr="00C55E99">
        <w:rPr>
          <w:rFonts w:ascii="Calibri" w:hAnsi="Calibri"/>
          <w:bCs/>
          <w:color w:val="000000" w:themeColor="text1"/>
          <w:sz w:val="24"/>
          <w:szCs w:val="24"/>
          <w:lang w:val="en-US"/>
        </w:rPr>
        <w:t>,</w:t>
      </w:r>
      <w:r w:rsidRPr="00C55E99">
        <w:rPr>
          <w:rFonts w:ascii="Calibri" w:hAnsi="Calibri"/>
          <w:bCs/>
          <w:color w:val="000000" w:themeColor="text1"/>
          <w:sz w:val="24"/>
          <w:szCs w:val="24"/>
          <w:lang w:val="en-US"/>
        </w:rPr>
        <w:t xml:space="preserve"> raise immediate problems in that </w:t>
      </w:r>
      <w:r w:rsidR="00F625CB">
        <w:rPr>
          <w:rFonts w:ascii="Calibri" w:hAnsi="Calibri"/>
          <w:bCs/>
          <w:color w:val="000000" w:themeColor="text1"/>
          <w:sz w:val="24"/>
          <w:szCs w:val="24"/>
          <w:lang w:val="en-US"/>
        </w:rPr>
        <w:t>current guidance</w:t>
      </w:r>
      <w:r w:rsidRPr="00C55E99">
        <w:rPr>
          <w:rFonts w:ascii="Calibri" w:hAnsi="Calibri"/>
          <w:bCs/>
          <w:color w:val="000000" w:themeColor="text1"/>
          <w:sz w:val="24"/>
          <w:szCs w:val="24"/>
          <w:lang w:val="en-US"/>
        </w:rPr>
        <w:t xml:space="preserve"> for treatment in </w:t>
      </w:r>
      <w:r w:rsidR="00F579DA" w:rsidRPr="00C55E99">
        <w:rPr>
          <w:rFonts w:ascii="Calibri" w:hAnsi="Calibri"/>
          <w:bCs/>
          <w:color w:val="000000" w:themeColor="text1"/>
          <w:sz w:val="24"/>
          <w:szCs w:val="24"/>
          <w:lang w:val="en-US"/>
        </w:rPr>
        <w:t>Singapore</w:t>
      </w:r>
      <w:r w:rsidRPr="00C55E99">
        <w:rPr>
          <w:rFonts w:ascii="Calibri" w:hAnsi="Calibri"/>
          <w:bCs/>
          <w:color w:val="000000" w:themeColor="text1"/>
          <w:sz w:val="24"/>
          <w:szCs w:val="24"/>
          <w:lang w:val="en-US"/>
        </w:rPr>
        <w:t xml:space="preserve">, and many other countries, is led by measurement of BMD. </w:t>
      </w:r>
      <w:r w:rsidR="000140E3">
        <w:rPr>
          <w:rFonts w:ascii="Calibri" w:hAnsi="Calibri"/>
          <w:bCs/>
          <w:color w:val="000000" w:themeColor="text1"/>
          <w:sz w:val="24"/>
          <w:szCs w:val="24"/>
          <w:lang w:val="en-US"/>
        </w:rPr>
        <w:t xml:space="preserve"> </w:t>
      </w:r>
      <w:r w:rsidRPr="00C55E99">
        <w:rPr>
          <w:rFonts w:ascii="Calibri" w:hAnsi="Calibri"/>
          <w:bCs/>
          <w:color w:val="000000" w:themeColor="text1"/>
          <w:sz w:val="24"/>
          <w:szCs w:val="24"/>
          <w:lang w:val="en-US"/>
        </w:rPr>
        <w:t xml:space="preserve">For example, patients are eligible for </w:t>
      </w:r>
      <w:r w:rsidR="00365EC8">
        <w:rPr>
          <w:rFonts w:ascii="Calibri" w:hAnsi="Calibri"/>
          <w:bCs/>
          <w:color w:val="000000" w:themeColor="text1"/>
          <w:sz w:val="24"/>
          <w:szCs w:val="24"/>
          <w:lang w:val="en-US"/>
        </w:rPr>
        <w:t>treatment</w:t>
      </w:r>
      <w:r w:rsidRPr="00C55E99">
        <w:rPr>
          <w:rFonts w:ascii="Calibri" w:hAnsi="Calibri"/>
          <w:bCs/>
          <w:color w:val="000000" w:themeColor="text1"/>
          <w:sz w:val="24"/>
          <w:szCs w:val="24"/>
          <w:lang w:val="en-US"/>
        </w:rPr>
        <w:t xml:space="preserve"> with a T score of −</w:t>
      </w:r>
      <w:r w:rsidR="00E55256" w:rsidRPr="00C55E99">
        <w:rPr>
          <w:rFonts w:ascii="Calibri" w:hAnsi="Calibri"/>
          <w:bCs/>
          <w:color w:val="000000" w:themeColor="text1"/>
          <w:sz w:val="24"/>
          <w:szCs w:val="24"/>
          <w:lang w:val="en-US"/>
        </w:rPr>
        <w:t>2.5</w:t>
      </w:r>
      <w:r w:rsidRPr="00C55E99">
        <w:rPr>
          <w:rFonts w:ascii="Calibri" w:hAnsi="Calibri"/>
          <w:bCs/>
          <w:color w:val="000000" w:themeColor="text1"/>
          <w:sz w:val="24"/>
          <w:szCs w:val="24"/>
          <w:lang w:val="en-US"/>
        </w:rPr>
        <w:t xml:space="preserve"> SD or lower. </w:t>
      </w:r>
      <w:r w:rsidR="000140E3">
        <w:rPr>
          <w:rFonts w:ascii="Calibri" w:hAnsi="Calibri"/>
          <w:bCs/>
          <w:color w:val="000000" w:themeColor="text1"/>
          <w:sz w:val="24"/>
          <w:szCs w:val="24"/>
          <w:lang w:val="en-US"/>
        </w:rPr>
        <w:t xml:space="preserve"> </w:t>
      </w:r>
      <w:r w:rsidR="00023951" w:rsidRPr="00C55E99">
        <w:rPr>
          <w:rFonts w:ascii="Calibri" w:hAnsi="Calibri"/>
          <w:bCs/>
          <w:color w:val="000000" w:themeColor="text1"/>
          <w:sz w:val="24"/>
          <w:szCs w:val="24"/>
          <w:lang w:val="en-US"/>
        </w:rPr>
        <w:t>Thus</w:t>
      </w:r>
      <w:r w:rsidR="00935F9A" w:rsidRPr="00C55E99">
        <w:rPr>
          <w:rFonts w:ascii="Calibri" w:hAnsi="Calibri"/>
          <w:bCs/>
          <w:color w:val="000000" w:themeColor="text1"/>
          <w:sz w:val="24"/>
          <w:szCs w:val="24"/>
          <w:lang w:val="en-US"/>
        </w:rPr>
        <w:t xml:space="preserve">, it will be important that </w:t>
      </w:r>
      <w:r w:rsidR="00DD0E83">
        <w:rPr>
          <w:rFonts w:ascii="Calibri" w:hAnsi="Calibri"/>
          <w:bCs/>
          <w:color w:val="000000" w:themeColor="text1"/>
          <w:sz w:val="24"/>
          <w:szCs w:val="24"/>
          <w:lang w:val="en-US"/>
        </w:rPr>
        <w:t>health care</w:t>
      </w:r>
      <w:r w:rsidR="00935F9A" w:rsidRPr="00C55E99">
        <w:rPr>
          <w:rFonts w:ascii="Calibri" w:hAnsi="Calibri"/>
          <w:bCs/>
          <w:color w:val="000000" w:themeColor="text1"/>
          <w:sz w:val="24"/>
          <w:szCs w:val="24"/>
          <w:lang w:val="en-US"/>
        </w:rPr>
        <w:t xml:space="preserve"> agencies are involved in any implementation process. </w:t>
      </w:r>
    </w:p>
    <w:p w14:paraId="2A8123D0" w14:textId="06707FE9" w:rsidR="0099590A" w:rsidRDefault="00935F9A" w:rsidP="0020414A">
      <w:pPr>
        <w:pStyle w:val="PlainText"/>
        <w:spacing w:after="240" w:line="276" w:lineRule="auto"/>
        <w:ind w:left="1134"/>
        <w:rPr>
          <w:rFonts w:ascii="Calibri" w:hAnsi="Calibri"/>
          <w:bCs/>
          <w:color w:val="FF0000"/>
          <w:sz w:val="24"/>
          <w:szCs w:val="24"/>
          <w:lang w:val="en-US"/>
        </w:rPr>
      </w:pPr>
      <w:r w:rsidRPr="00AD7BDA">
        <w:rPr>
          <w:rFonts w:ascii="Calibri" w:hAnsi="Calibri"/>
          <w:bCs/>
          <w:color w:val="000000" w:themeColor="text1"/>
          <w:sz w:val="24"/>
          <w:szCs w:val="24"/>
          <w:lang w:val="en-US"/>
        </w:rPr>
        <w:t xml:space="preserve">There are </w:t>
      </w:r>
      <w:proofErr w:type="gramStart"/>
      <w:r w:rsidRPr="00AD7BDA">
        <w:rPr>
          <w:rFonts w:ascii="Calibri" w:hAnsi="Calibri"/>
          <w:bCs/>
          <w:color w:val="000000" w:themeColor="text1"/>
          <w:sz w:val="24"/>
          <w:szCs w:val="24"/>
          <w:lang w:val="en-US"/>
        </w:rPr>
        <w:t>a number of</w:t>
      </w:r>
      <w:proofErr w:type="gramEnd"/>
      <w:r w:rsidRPr="00AD7BDA">
        <w:rPr>
          <w:rFonts w:ascii="Calibri" w:hAnsi="Calibri"/>
          <w:bCs/>
          <w:color w:val="000000" w:themeColor="text1"/>
          <w:sz w:val="24"/>
          <w:szCs w:val="24"/>
          <w:lang w:val="en-US"/>
        </w:rPr>
        <w:t xml:space="preserve"> </w:t>
      </w:r>
      <w:r w:rsidR="00223365">
        <w:rPr>
          <w:rFonts w:ascii="Calibri" w:hAnsi="Calibri"/>
          <w:bCs/>
          <w:color w:val="000000" w:themeColor="text1"/>
          <w:sz w:val="24"/>
          <w:szCs w:val="24"/>
          <w:lang w:val="en-US"/>
        </w:rPr>
        <w:t xml:space="preserve">potential </w:t>
      </w:r>
      <w:r w:rsidRPr="00AD7BDA">
        <w:rPr>
          <w:rFonts w:ascii="Calibri" w:hAnsi="Calibri"/>
          <w:bCs/>
          <w:color w:val="000000" w:themeColor="text1"/>
          <w:sz w:val="24"/>
          <w:szCs w:val="24"/>
          <w:lang w:val="en-US"/>
        </w:rPr>
        <w:t xml:space="preserve">limitations of the present study to consider. First, although the </w:t>
      </w:r>
      <w:r w:rsidR="00023951" w:rsidRPr="00AD7BDA">
        <w:rPr>
          <w:rFonts w:ascii="Calibri" w:hAnsi="Calibri"/>
          <w:bCs/>
          <w:color w:val="000000" w:themeColor="text1"/>
          <w:sz w:val="24"/>
          <w:szCs w:val="24"/>
          <w:lang w:val="en-US"/>
        </w:rPr>
        <w:t xml:space="preserve">cohort </w:t>
      </w:r>
      <w:r w:rsidRPr="00AD7BDA">
        <w:rPr>
          <w:rFonts w:ascii="Calibri" w:hAnsi="Calibri"/>
          <w:bCs/>
          <w:color w:val="000000" w:themeColor="text1"/>
          <w:sz w:val="24"/>
          <w:szCs w:val="24"/>
          <w:lang w:val="en-US"/>
        </w:rPr>
        <w:t xml:space="preserve">was </w:t>
      </w:r>
      <w:r w:rsidR="0096708D" w:rsidRPr="00AD7BDA">
        <w:rPr>
          <w:rFonts w:ascii="Calibri" w:hAnsi="Calibri"/>
          <w:bCs/>
          <w:color w:val="000000" w:themeColor="text1"/>
          <w:sz w:val="24"/>
          <w:szCs w:val="24"/>
          <w:lang w:val="en-US"/>
        </w:rPr>
        <w:t>large,</w:t>
      </w:r>
      <w:r w:rsidRPr="00AD7BDA">
        <w:rPr>
          <w:rFonts w:ascii="Calibri" w:hAnsi="Calibri"/>
          <w:bCs/>
          <w:color w:val="000000" w:themeColor="text1"/>
          <w:sz w:val="24"/>
          <w:szCs w:val="24"/>
          <w:lang w:val="en-US"/>
        </w:rPr>
        <w:t xml:space="preserve"> </w:t>
      </w:r>
      <w:r w:rsidR="00023951" w:rsidRPr="00AD7BDA">
        <w:rPr>
          <w:rFonts w:ascii="Calibri" w:hAnsi="Calibri"/>
          <w:bCs/>
          <w:color w:val="000000" w:themeColor="text1"/>
          <w:sz w:val="24"/>
          <w:szCs w:val="24"/>
          <w:lang w:val="en-US"/>
        </w:rPr>
        <w:t xml:space="preserve">it </w:t>
      </w:r>
      <w:r w:rsidR="00B30726" w:rsidRPr="00AD7BDA">
        <w:rPr>
          <w:rFonts w:ascii="Calibri" w:hAnsi="Calibri"/>
          <w:bCs/>
          <w:color w:val="000000" w:themeColor="text1"/>
          <w:sz w:val="24"/>
          <w:szCs w:val="24"/>
          <w:lang w:val="en-US"/>
        </w:rPr>
        <w:t>m</w:t>
      </w:r>
      <w:r w:rsidR="0054016F" w:rsidRPr="00AD7BDA">
        <w:rPr>
          <w:rFonts w:ascii="Calibri" w:hAnsi="Calibri"/>
          <w:bCs/>
          <w:color w:val="000000" w:themeColor="text1"/>
          <w:sz w:val="24"/>
          <w:szCs w:val="24"/>
          <w:lang w:val="en-US"/>
        </w:rPr>
        <w:t>ay</w:t>
      </w:r>
      <w:r w:rsidR="00023951" w:rsidRPr="00AD7BDA">
        <w:rPr>
          <w:rFonts w:ascii="Calibri" w:hAnsi="Calibri"/>
          <w:bCs/>
          <w:color w:val="000000" w:themeColor="text1"/>
          <w:sz w:val="24"/>
          <w:szCs w:val="24"/>
          <w:lang w:val="en-US"/>
        </w:rPr>
        <w:t xml:space="preserve"> </w:t>
      </w:r>
      <w:r w:rsidR="006A5EC2" w:rsidRPr="00AD7BDA">
        <w:rPr>
          <w:rFonts w:ascii="Calibri" w:hAnsi="Calibri"/>
          <w:bCs/>
          <w:color w:val="000000" w:themeColor="text1"/>
          <w:sz w:val="24"/>
          <w:szCs w:val="24"/>
          <w:lang w:val="en-US"/>
        </w:rPr>
        <w:t xml:space="preserve">not </w:t>
      </w:r>
      <w:r w:rsidR="0054016F" w:rsidRPr="00AD7BDA">
        <w:rPr>
          <w:rFonts w:ascii="Calibri" w:hAnsi="Calibri"/>
          <w:bCs/>
          <w:color w:val="000000" w:themeColor="text1"/>
          <w:sz w:val="24"/>
          <w:szCs w:val="24"/>
          <w:lang w:val="en-US"/>
        </w:rPr>
        <w:t xml:space="preserve">be </w:t>
      </w:r>
      <w:r w:rsidRPr="00AD7BDA">
        <w:rPr>
          <w:rFonts w:ascii="Calibri" w:hAnsi="Calibri"/>
          <w:bCs/>
          <w:color w:val="000000" w:themeColor="text1"/>
          <w:sz w:val="24"/>
          <w:szCs w:val="24"/>
          <w:lang w:val="en-US"/>
        </w:rPr>
        <w:t xml:space="preserve">representative of the </w:t>
      </w:r>
      <w:r w:rsidR="00AD7BDA" w:rsidRPr="00AD7BDA">
        <w:rPr>
          <w:rFonts w:ascii="Calibri" w:hAnsi="Calibri"/>
          <w:bCs/>
          <w:color w:val="000000" w:themeColor="text1"/>
          <w:sz w:val="24"/>
          <w:szCs w:val="24"/>
          <w:lang w:val="en-US"/>
        </w:rPr>
        <w:t>Singaporean</w:t>
      </w:r>
      <w:r w:rsidRPr="00AD7BDA">
        <w:rPr>
          <w:rFonts w:ascii="Calibri" w:hAnsi="Calibri"/>
          <w:bCs/>
          <w:color w:val="000000" w:themeColor="text1"/>
          <w:sz w:val="24"/>
          <w:szCs w:val="24"/>
          <w:lang w:val="en-US"/>
        </w:rPr>
        <w:t xml:space="preserve"> population</w:t>
      </w:r>
      <w:r w:rsidR="000C2921">
        <w:rPr>
          <w:rFonts w:ascii="Calibri" w:hAnsi="Calibri"/>
          <w:bCs/>
          <w:color w:val="000000" w:themeColor="text1"/>
          <w:sz w:val="24"/>
          <w:szCs w:val="24"/>
          <w:lang w:val="en-US"/>
        </w:rPr>
        <w:t xml:space="preserve">.  </w:t>
      </w:r>
      <w:r w:rsidR="00362F66">
        <w:rPr>
          <w:rFonts w:ascii="Calibri" w:hAnsi="Calibri"/>
          <w:bCs/>
          <w:color w:val="000000" w:themeColor="text1"/>
          <w:sz w:val="24"/>
          <w:szCs w:val="24"/>
          <w:lang w:val="en-US"/>
        </w:rPr>
        <w:t xml:space="preserve">  </w:t>
      </w:r>
      <w:r w:rsidR="00940763">
        <w:rPr>
          <w:rFonts w:ascii="Calibri" w:hAnsi="Calibri"/>
          <w:bCs/>
          <w:color w:val="000000" w:themeColor="text1"/>
          <w:sz w:val="24"/>
          <w:szCs w:val="24"/>
          <w:lang w:val="en-US"/>
        </w:rPr>
        <w:t xml:space="preserve">A </w:t>
      </w:r>
      <w:r w:rsidR="00B020A1">
        <w:rPr>
          <w:rFonts w:ascii="Calibri" w:hAnsi="Calibri"/>
          <w:bCs/>
          <w:color w:val="000000" w:themeColor="text1"/>
          <w:sz w:val="24"/>
          <w:szCs w:val="24"/>
          <w:lang w:val="en-US"/>
        </w:rPr>
        <w:t>recruitment</w:t>
      </w:r>
      <w:r w:rsidR="00940763">
        <w:rPr>
          <w:rFonts w:ascii="Calibri" w:hAnsi="Calibri"/>
          <w:bCs/>
          <w:color w:val="000000" w:themeColor="text1"/>
          <w:sz w:val="24"/>
          <w:szCs w:val="24"/>
          <w:lang w:val="en-US"/>
        </w:rPr>
        <w:t xml:space="preserve"> </w:t>
      </w:r>
      <w:r w:rsidR="00D27334">
        <w:rPr>
          <w:rFonts w:ascii="Calibri" w:hAnsi="Calibri"/>
          <w:bCs/>
          <w:color w:val="000000" w:themeColor="text1"/>
          <w:sz w:val="24"/>
          <w:szCs w:val="24"/>
          <w:lang w:val="en-US"/>
        </w:rPr>
        <w:t>bias towards</w:t>
      </w:r>
      <w:r w:rsidR="005615B0">
        <w:rPr>
          <w:rFonts w:ascii="Calibri" w:hAnsi="Calibri"/>
          <w:bCs/>
          <w:color w:val="000000" w:themeColor="text1"/>
          <w:sz w:val="24"/>
          <w:szCs w:val="24"/>
          <w:lang w:val="en-US"/>
        </w:rPr>
        <w:t xml:space="preserve"> healthier indi</w:t>
      </w:r>
      <w:r w:rsidR="00542520">
        <w:rPr>
          <w:rFonts w:ascii="Calibri" w:hAnsi="Calibri"/>
          <w:bCs/>
          <w:color w:val="000000" w:themeColor="text1"/>
          <w:sz w:val="24"/>
          <w:szCs w:val="24"/>
          <w:lang w:val="en-US"/>
        </w:rPr>
        <w:t>viduals</w:t>
      </w:r>
      <w:r w:rsidR="003E57F9">
        <w:rPr>
          <w:rFonts w:ascii="Calibri" w:hAnsi="Calibri"/>
          <w:bCs/>
          <w:color w:val="000000" w:themeColor="text1"/>
          <w:sz w:val="24"/>
          <w:szCs w:val="24"/>
          <w:lang w:val="en-US"/>
        </w:rPr>
        <w:t xml:space="preserve"> is expected to preferentially lower</w:t>
      </w:r>
      <w:r w:rsidR="00BA2C21">
        <w:rPr>
          <w:rFonts w:ascii="Calibri" w:hAnsi="Calibri"/>
          <w:bCs/>
          <w:color w:val="000000" w:themeColor="text1"/>
          <w:sz w:val="24"/>
          <w:szCs w:val="24"/>
          <w:lang w:val="en-US"/>
        </w:rPr>
        <w:t xml:space="preserve"> fracture probabilities</w:t>
      </w:r>
      <w:r w:rsidR="00BA02A6">
        <w:rPr>
          <w:rFonts w:ascii="Calibri" w:hAnsi="Calibri"/>
          <w:bCs/>
          <w:color w:val="000000" w:themeColor="text1"/>
          <w:sz w:val="24"/>
          <w:szCs w:val="24"/>
          <w:lang w:val="en-US"/>
        </w:rPr>
        <w:t xml:space="preserve"> when BMD is inclu</w:t>
      </w:r>
      <w:r w:rsidR="00D139ED">
        <w:rPr>
          <w:rFonts w:ascii="Calibri" w:hAnsi="Calibri"/>
          <w:bCs/>
          <w:color w:val="000000" w:themeColor="text1"/>
          <w:sz w:val="24"/>
          <w:szCs w:val="24"/>
          <w:lang w:val="en-US"/>
        </w:rPr>
        <w:t xml:space="preserve">ded in the FRAX </w:t>
      </w:r>
      <w:r w:rsidR="00D5527B">
        <w:rPr>
          <w:rFonts w:ascii="Calibri" w:hAnsi="Calibri"/>
          <w:bCs/>
          <w:color w:val="000000" w:themeColor="text1"/>
          <w:sz w:val="24"/>
          <w:szCs w:val="24"/>
          <w:lang w:val="en-US"/>
        </w:rPr>
        <w:t>calculation.</w:t>
      </w:r>
      <w:r w:rsidR="003E57F9">
        <w:rPr>
          <w:rFonts w:ascii="Calibri" w:hAnsi="Calibri"/>
          <w:bCs/>
          <w:color w:val="000000" w:themeColor="text1"/>
          <w:sz w:val="24"/>
          <w:szCs w:val="24"/>
          <w:lang w:val="en-US"/>
        </w:rPr>
        <w:t xml:space="preserve"> </w:t>
      </w:r>
      <w:r w:rsidR="00D5527B">
        <w:rPr>
          <w:rFonts w:ascii="Calibri" w:hAnsi="Calibri"/>
          <w:bCs/>
          <w:color w:val="000000" w:themeColor="text1"/>
          <w:sz w:val="24"/>
          <w:szCs w:val="24"/>
          <w:lang w:val="en-US"/>
        </w:rPr>
        <w:t xml:space="preserve"> </w:t>
      </w:r>
      <w:r w:rsidR="00D5527B" w:rsidRPr="00D5527B">
        <w:rPr>
          <w:rFonts w:ascii="Calibri" w:hAnsi="Calibri"/>
          <w:bCs/>
          <w:color w:val="000000" w:themeColor="text1"/>
          <w:sz w:val="24"/>
          <w:szCs w:val="24"/>
          <w:lang w:val="en-US"/>
        </w:rPr>
        <w:t>It is of interest that fracture probabilities were very similar when calculated with or without BMD</w:t>
      </w:r>
      <w:r w:rsidR="00F50B49">
        <w:rPr>
          <w:rFonts w:ascii="Calibri" w:hAnsi="Calibri"/>
          <w:bCs/>
          <w:color w:val="000000" w:themeColor="text1"/>
          <w:sz w:val="24"/>
          <w:szCs w:val="24"/>
          <w:lang w:val="en-US"/>
        </w:rPr>
        <w:t xml:space="preserve">, </w:t>
      </w:r>
      <w:r w:rsidR="008B62CB">
        <w:rPr>
          <w:rFonts w:ascii="Calibri" w:hAnsi="Calibri"/>
          <w:bCs/>
          <w:color w:val="000000" w:themeColor="text1"/>
          <w:sz w:val="24"/>
          <w:szCs w:val="24"/>
          <w:lang w:val="en-US"/>
        </w:rPr>
        <w:t>s</w:t>
      </w:r>
      <w:r w:rsidR="00FE0FA7">
        <w:rPr>
          <w:rFonts w:ascii="Calibri" w:hAnsi="Calibri"/>
          <w:bCs/>
          <w:color w:val="000000" w:themeColor="text1"/>
          <w:sz w:val="24"/>
          <w:szCs w:val="24"/>
          <w:lang w:val="en-US"/>
        </w:rPr>
        <w:t>upporting a view</w:t>
      </w:r>
      <w:r w:rsidR="00F50B49">
        <w:rPr>
          <w:rFonts w:ascii="Calibri" w:hAnsi="Calibri"/>
          <w:bCs/>
          <w:color w:val="000000" w:themeColor="text1"/>
          <w:sz w:val="24"/>
          <w:szCs w:val="24"/>
          <w:lang w:val="en-US"/>
        </w:rPr>
        <w:t xml:space="preserve"> that </w:t>
      </w:r>
      <w:r w:rsidR="00886F49">
        <w:rPr>
          <w:rFonts w:ascii="Calibri" w:hAnsi="Calibri"/>
          <w:bCs/>
          <w:color w:val="000000" w:themeColor="text1"/>
          <w:sz w:val="24"/>
          <w:szCs w:val="24"/>
          <w:lang w:val="en-US"/>
        </w:rPr>
        <w:t xml:space="preserve">such bias is likely to be </w:t>
      </w:r>
      <w:r w:rsidR="00886F49" w:rsidRPr="0026771F">
        <w:rPr>
          <w:rFonts w:ascii="Calibri" w:hAnsi="Calibri"/>
          <w:bCs/>
          <w:sz w:val="24"/>
          <w:szCs w:val="24"/>
          <w:lang w:val="en-US"/>
        </w:rPr>
        <w:t>small</w:t>
      </w:r>
      <w:r w:rsidR="001E0B26" w:rsidRPr="0026771F">
        <w:rPr>
          <w:rFonts w:ascii="Calibri" w:hAnsi="Calibri"/>
          <w:bCs/>
          <w:sz w:val="24"/>
          <w:szCs w:val="24"/>
          <w:lang w:val="en-US"/>
        </w:rPr>
        <w:t>.</w:t>
      </w:r>
      <w:r w:rsidR="00023951" w:rsidRPr="0026771F">
        <w:rPr>
          <w:rFonts w:ascii="Calibri" w:hAnsi="Calibri"/>
          <w:bCs/>
          <w:sz w:val="24"/>
          <w:szCs w:val="24"/>
          <w:lang w:val="en-US"/>
        </w:rPr>
        <w:t xml:space="preserve"> </w:t>
      </w:r>
      <w:r w:rsidR="003C0DCE" w:rsidRPr="0026771F">
        <w:rPr>
          <w:rFonts w:ascii="Calibri" w:hAnsi="Calibri"/>
          <w:bCs/>
          <w:sz w:val="24"/>
          <w:szCs w:val="24"/>
          <w:lang w:val="en-US"/>
        </w:rPr>
        <w:t xml:space="preserve">A more robust </w:t>
      </w:r>
      <w:r w:rsidR="00F26169" w:rsidRPr="0026771F">
        <w:rPr>
          <w:rFonts w:ascii="Calibri" w:hAnsi="Calibri"/>
          <w:bCs/>
          <w:sz w:val="24"/>
          <w:szCs w:val="24"/>
          <w:lang w:val="en-US"/>
        </w:rPr>
        <w:t>argument</w:t>
      </w:r>
      <w:r w:rsidR="00BA19DA" w:rsidRPr="0026771F">
        <w:rPr>
          <w:rFonts w:ascii="Calibri" w:hAnsi="Calibri"/>
          <w:bCs/>
          <w:sz w:val="24"/>
          <w:szCs w:val="24"/>
          <w:lang w:val="en-US"/>
        </w:rPr>
        <w:t xml:space="preserve"> that biases were small was the </w:t>
      </w:r>
      <w:r w:rsidR="00732418" w:rsidRPr="0026771F">
        <w:rPr>
          <w:rFonts w:ascii="Calibri" w:hAnsi="Calibri"/>
          <w:bCs/>
          <w:sz w:val="24"/>
          <w:szCs w:val="24"/>
          <w:lang w:val="en-US"/>
        </w:rPr>
        <w:t xml:space="preserve">close agreement between hip fracture incidence in the </w:t>
      </w:r>
      <w:r w:rsidR="006B29A6" w:rsidRPr="0026771F">
        <w:rPr>
          <w:rFonts w:ascii="Calibri" w:hAnsi="Calibri"/>
          <w:bCs/>
          <w:sz w:val="24"/>
          <w:szCs w:val="24"/>
          <w:lang w:val="en-US"/>
        </w:rPr>
        <w:t xml:space="preserve">SCHS cohort </w:t>
      </w:r>
      <w:r w:rsidR="004329E8" w:rsidRPr="0026771F">
        <w:rPr>
          <w:rFonts w:ascii="Calibri" w:hAnsi="Calibri"/>
          <w:bCs/>
          <w:sz w:val="24"/>
          <w:szCs w:val="24"/>
          <w:lang w:val="en-US"/>
        </w:rPr>
        <w:t>and that predicted from the Singaporean FRAX mo</w:t>
      </w:r>
      <w:r w:rsidR="0026771F" w:rsidRPr="0026771F">
        <w:rPr>
          <w:rFonts w:ascii="Calibri" w:hAnsi="Calibri"/>
          <w:bCs/>
          <w:sz w:val="24"/>
          <w:szCs w:val="24"/>
          <w:lang w:val="en-US"/>
        </w:rPr>
        <w:t>d</w:t>
      </w:r>
      <w:r w:rsidR="004329E8" w:rsidRPr="0026771F">
        <w:rPr>
          <w:rFonts w:ascii="Calibri" w:hAnsi="Calibri"/>
          <w:bCs/>
          <w:sz w:val="24"/>
          <w:szCs w:val="24"/>
          <w:lang w:val="en-US"/>
        </w:rPr>
        <w:t>el.</w:t>
      </w:r>
      <w:r w:rsidR="0026771F" w:rsidRPr="0026771F">
        <w:rPr>
          <w:rFonts w:ascii="Calibri" w:hAnsi="Calibri"/>
          <w:bCs/>
          <w:sz w:val="24"/>
          <w:szCs w:val="24"/>
          <w:lang w:val="en-US"/>
        </w:rPr>
        <w:t xml:space="preserve"> </w:t>
      </w:r>
      <w:r w:rsidR="00364066">
        <w:rPr>
          <w:rFonts w:ascii="Calibri" w:hAnsi="Calibri"/>
          <w:bCs/>
          <w:sz w:val="24"/>
          <w:szCs w:val="24"/>
          <w:lang w:val="en-US"/>
        </w:rPr>
        <w:t xml:space="preserve"> </w:t>
      </w:r>
      <w:r w:rsidR="00635184">
        <w:rPr>
          <w:rFonts w:ascii="Calibri" w:hAnsi="Calibri"/>
          <w:bCs/>
          <w:sz w:val="24"/>
          <w:szCs w:val="24"/>
          <w:lang w:val="en-US"/>
        </w:rPr>
        <w:t>Unfortunately</w:t>
      </w:r>
      <w:r w:rsidR="007773CB">
        <w:rPr>
          <w:rFonts w:ascii="Calibri" w:hAnsi="Calibri"/>
          <w:bCs/>
          <w:sz w:val="24"/>
          <w:szCs w:val="24"/>
          <w:lang w:val="en-US"/>
        </w:rPr>
        <w:t xml:space="preserve">, </w:t>
      </w:r>
      <w:r w:rsidR="00884B6E">
        <w:rPr>
          <w:rFonts w:ascii="Calibri" w:hAnsi="Calibri"/>
          <w:bCs/>
          <w:sz w:val="24"/>
          <w:szCs w:val="24"/>
          <w:lang w:val="en-US"/>
        </w:rPr>
        <w:t>other</w:t>
      </w:r>
      <w:r w:rsidR="00635184">
        <w:rPr>
          <w:rFonts w:ascii="Calibri" w:hAnsi="Calibri"/>
          <w:bCs/>
          <w:sz w:val="24"/>
          <w:szCs w:val="24"/>
          <w:lang w:val="en-US"/>
        </w:rPr>
        <w:t xml:space="preserve"> out</w:t>
      </w:r>
      <w:r w:rsidR="00EA46E3">
        <w:rPr>
          <w:rFonts w:ascii="Calibri" w:hAnsi="Calibri"/>
          <w:bCs/>
          <w:sz w:val="24"/>
          <w:szCs w:val="24"/>
          <w:lang w:val="en-US"/>
        </w:rPr>
        <w:t xml:space="preserve">come </w:t>
      </w:r>
      <w:r w:rsidR="007773CB">
        <w:rPr>
          <w:rFonts w:ascii="Calibri" w:hAnsi="Calibri"/>
          <w:bCs/>
          <w:sz w:val="24"/>
          <w:szCs w:val="24"/>
          <w:lang w:val="en-US"/>
        </w:rPr>
        <w:t>fracture</w:t>
      </w:r>
      <w:r w:rsidR="00884B6E">
        <w:rPr>
          <w:rFonts w:ascii="Calibri" w:hAnsi="Calibri"/>
          <w:bCs/>
          <w:sz w:val="24"/>
          <w:szCs w:val="24"/>
          <w:lang w:val="en-US"/>
        </w:rPr>
        <w:t>s</w:t>
      </w:r>
      <w:r w:rsidR="007773CB">
        <w:rPr>
          <w:rFonts w:ascii="Calibri" w:hAnsi="Calibri"/>
          <w:bCs/>
          <w:sz w:val="24"/>
          <w:szCs w:val="24"/>
          <w:lang w:val="en-US"/>
        </w:rPr>
        <w:t xml:space="preserve"> w</w:t>
      </w:r>
      <w:r w:rsidR="00884B6E">
        <w:rPr>
          <w:rFonts w:ascii="Calibri" w:hAnsi="Calibri"/>
          <w:bCs/>
          <w:sz w:val="24"/>
          <w:szCs w:val="24"/>
          <w:lang w:val="en-US"/>
        </w:rPr>
        <w:t>ere</w:t>
      </w:r>
      <w:r w:rsidR="007773CB">
        <w:rPr>
          <w:rFonts w:ascii="Calibri" w:hAnsi="Calibri"/>
          <w:bCs/>
          <w:sz w:val="24"/>
          <w:szCs w:val="24"/>
          <w:lang w:val="en-US"/>
        </w:rPr>
        <w:t xml:space="preserve"> </w:t>
      </w:r>
      <w:r w:rsidR="00635184">
        <w:rPr>
          <w:rFonts w:ascii="Calibri" w:hAnsi="Calibri"/>
          <w:bCs/>
          <w:sz w:val="24"/>
          <w:szCs w:val="24"/>
          <w:lang w:val="en-US"/>
        </w:rPr>
        <w:t>not available</w:t>
      </w:r>
      <w:r w:rsidR="00EA46E3">
        <w:rPr>
          <w:rFonts w:ascii="Calibri" w:hAnsi="Calibri"/>
          <w:bCs/>
          <w:sz w:val="24"/>
          <w:szCs w:val="24"/>
          <w:lang w:val="en-US"/>
        </w:rPr>
        <w:t xml:space="preserve"> from the SCHS</w:t>
      </w:r>
      <w:r w:rsidR="00892085">
        <w:rPr>
          <w:rFonts w:ascii="Calibri" w:hAnsi="Calibri"/>
          <w:bCs/>
          <w:sz w:val="24"/>
          <w:szCs w:val="24"/>
          <w:lang w:val="en-US"/>
        </w:rPr>
        <w:t xml:space="preserve"> </w:t>
      </w:r>
      <w:r w:rsidR="00EA46E3">
        <w:rPr>
          <w:rFonts w:ascii="Calibri" w:hAnsi="Calibri"/>
          <w:bCs/>
          <w:sz w:val="24"/>
          <w:szCs w:val="24"/>
          <w:lang w:val="en-US"/>
        </w:rPr>
        <w:t>co</w:t>
      </w:r>
      <w:r w:rsidR="00892085">
        <w:rPr>
          <w:rFonts w:ascii="Calibri" w:hAnsi="Calibri"/>
          <w:bCs/>
          <w:sz w:val="24"/>
          <w:szCs w:val="24"/>
          <w:lang w:val="en-US"/>
        </w:rPr>
        <w:t>hort</w:t>
      </w:r>
      <w:r w:rsidR="00672F9C">
        <w:rPr>
          <w:rFonts w:ascii="Calibri" w:hAnsi="Calibri"/>
          <w:bCs/>
          <w:sz w:val="24"/>
          <w:szCs w:val="24"/>
          <w:lang w:val="en-US"/>
        </w:rPr>
        <w:t xml:space="preserve"> to check the predictive val</w:t>
      </w:r>
      <w:r w:rsidR="00982856">
        <w:rPr>
          <w:rFonts w:ascii="Calibri" w:hAnsi="Calibri"/>
          <w:bCs/>
          <w:sz w:val="24"/>
          <w:szCs w:val="24"/>
          <w:lang w:val="en-US"/>
        </w:rPr>
        <w:t>u</w:t>
      </w:r>
      <w:r w:rsidR="00672F9C">
        <w:rPr>
          <w:rFonts w:ascii="Calibri" w:hAnsi="Calibri"/>
          <w:bCs/>
          <w:sz w:val="24"/>
          <w:szCs w:val="24"/>
          <w:lang w:val="en-US"/>
        </w:rPr>
        <w:t xml:space="preserve">e </w:t>
      </w:r>
      <w:r w:rsidR="005675A1">
        <w:rPr>
          <w:rFonts w:ascii="Calibri" w:hAnsi="Calibri"/>
          <w:bCs/>
          <w:sz w:val="24"/>
          <w:szCs w:val="24"/>
          <w:lang w:val="en-US"/>
        </w:rPr>
        <w:t>of probability</w:t>
      </w:r>
      <w:r w:rsidR="00884B6E">
        <w:rPr>
          <w:rFonts w:ascii="Calibri" w:hAnsi="Calibri"/>
          <w:bCs/>
          <w:sz w:val="24"/>
          <w:szCs w:val="24"/>
          <w:lang w:val="en-US"/>
        </w:rPr>
        <w:t xml:space="preserve"> estimates of a major osteoporotic fracture.  </w:t>
      </w:r>
      <w:r w:rsidR="00EC58F2" w:rsidRPr="0026771F">
        <w:rPr>
          <w:rFonts w:ascii="Calibri" w:hAnsi="Calibri"/>
          <w:bCs/>
          <w:sz w:val="24"/>
          <w:szCs w:val="24"/>
          <w:lang w:val="en-US"/>
        </w:rPr>
        <w:t>An</w:t>
      </w:r>
      <w:r w:rsidR="00EF1EBA">
        <w:rPr>
          <w:rFonts w:ascii="Calibri" w:hAnsi="Calibri"/>
          <w:bCs/>
          <w:sz w:val="24"/>
          <w:szCs w:val="24"/>
          <w:lang w:val="en-US"/>
        </w:rPr>
        <w:t>other</w:t>
      </w:r>
      <w:r w:rsidR="00EC58F2" w:rsidRPr="0026771F">
        <w:rPr>
          <w:rFonts w:ascii="Calibri" w:hAnsi="Calibri"/>
          <w:bCs/>
          <w:sz w:val="24"/>
          <w:szCs w:val="24"/>
          <w:lang w:val="en-US"/>
        </w:rPr>
        <w:t xml:space="preserve"> </w:t>
      </w:r>
      <w:r w:rsidR="00EC58F2" w:rsidRPr="002E6592">
        <w:rPr>
          <w:rFonts w:ascii="Calibri" w:hAnsi="Calibri"/>
          <w:bCs/>
          <w:color w:val="000000" w:themeColor="text1"/>
          <w:sz w:val="24"/>
          <w:szCs w:val="24"/>
          <w:lang w:val="en-US"/>
        </w:rPr>
        <w:t xml:space="preserve">important limitation </w:t>
      </w:r>
      <w:r w:rsidR="004D3398" w:rsidRPr="002E6592">
        <w:rPr>
          <w:rFonts w:ascii="Calibri" w:hAnsi="Calibri"/>
          <w:bCs/>
          <w:color w:val="000000" w:themeColor="text1"/>
          <w:sz w:val="24"/>
          <w:szCs w:val="24"/>
          <w:lang w:val="en-US"/>
        </w:rPr>
        <w:t>w</w:t>
      </w:r>
      <w:r w:rsidR="00EC58F2" w:rsidRPr="002E6592">
        <w:rPr>
          <w:rFonts w:ascii="Calibri" w:hAnsi="Calibri"/>
          <w:bCs/>
          <w:color w:val="000000" w:themeColor="text1"/>
          <w:sz w:val="24"/>
          <w:szCs w:val="24"/>
          <w:lang w:val="en-US"/>
        </w:rPr>
        <w:t>as that not all FRAX</w:t>
      </w:r>
      <w:r w:rsidR="00875B52">
        <w:rPr>
          <w:rFonts w:ascii="Calibri" w:hAnsi="Calibri"/>
          <w:bCs/>
          <w:color w:val="000000" w:themeColor="text1"/>
          <w:sz w:val="24"/>
          <w:szCs w:val="24"/>
          <w:lang w:val="en-US"/>
        </w:rPr>
        <w:t xml:space="preserve"> variables</w:t>
      </w:r>
      <w:r w:rsidR="00D14332">
        <w:rPr>
          <w:rFonts w:ascii="Calibri" w:hAnsi="Calibri"/>
          <w:bCs/>
          <w:color w:val="000000" w:themeColor="text1"/>
          <w:sz w:val="24"/>
          <w:szCs w:val="24"/>
          <w:lang w:val="en-US"/>
        </w:rPr>
        <w:t xml:space="preserve"> were documented in </w:t>
      </w:r>
      <w:r w:rsidR="00B623E0" w:rsidRPr="00B623E0">
        <w:rPr>
          <w:rFonts w:ascii="Calibri" w:hAnsi="Calibri"/>
          <w:bCs/>
          <w:color w:val="000000" w:themeColor="text1"/>
          <w:sz w:val="24"/>
          <w:szCs w:val="24"/>
          <w:lang w:val="en-US"/>
        </w:rPr>
        <w:t>the SCHS cohort</w:t>
      </w:r>
      <w:r w:rsidR="008051BE">
        <w:rPr>
          <w:rFonts w:ascii="Calibri" w:hAnsi="Calibri"/>
          <w:bCs/>
          <w:color w:val="000000" w:themeColor="text1"/>
          <w:sz w:val="24"/>
          <w:szCs w:val="24"/>
          <w:lang w:val="en-US"/>
        </w:rPr>
        <w:t xml:space="preserve"> and the </w:t>
      </w:r>
      <w:r w:rsidR="00D672D4">
        <w:rPr>
          <w:rFonts w:ascii="Calibri" w:hAnsi="Calibri"/>
          <w:bCs/>
          <w:color w:val="000000" w:themeColor="text1"/>
          <w:sz w:val="24"/>
          <w:szCs w:val="24"/>
          <w:lang w:val="en-US"/>
        </w:rPr>
        <w:t>missing values were simulated</w:t>
      </w:r>
      <w:r w:rsidR="001676EE">
        <w:rPr>
          <w:rFonts w:ascii="Calibri" w:hAnsi="Calibri"/>
          <w:bCs/>
          <w:color w:val="000000" w:themeColor="text1"/>
          <w:sz w:val="24"/>
          <w:szCs w:val="24"/>
          <w:lang w:val="en-US"/>
        </w:rPr>
        <w:t xml:space="preserve"> using </w:t>
      </w:r>
      <w:r w:rsidR="00CB6A3A">
        <w:rPr>
          <w:rFonts w:ascii="Calibri" w:hAnsi="Calibri"/>
          <w:bCs/>
          <w:color w:val="000000" w:themeColor="text1"/>
          <w:sz w:val="24"/>
          <w:szCs w:val="24"/>
          <w:lang w:val="en-US"/>
        </w:rPr>
        <w:t>regression</w:t>
      </w:r>
      <w:r w:rsidR="00603466">
        <w:rPr>
          <w:rFonts w:ascii="Calibri" w:hAnsi="Calibri"/>
          <w:bCs/>
          <w:color w:val="000000" w:themeColor="text1"/>
          <w:sz w:val="24"/>
          <w:szCs w:val="24"/>
          <w:lang w:val="en-US"/>
        </w:rPr>
        <w:t xml:space="preserve"> </w:t>
      </w:r>
      <w:r w:rsidR="00CB6A3A">
        <w:rPr>
          <w:rFonts w:ascii="Calibri" w:hAnsi="Calibri"/>
          <w:bCs/>
          <w:color w:val="000000" w:themeColor="text1"/>
          <w:sz w:val="24"/>
          <w:szCs w:val="24"/>
          <w:lang w:val="en-US"/>
        </w:rPr>
        <w:t>equations</w:t>
      </w:r>
      <w:r w:rsidR="00603466">
        <w:rPr>
          <w:rFonts w:ascii="Calibri" w:hAnsi="Calibri"/>
          <w:bCs/>
          <w:color w:val="000000" w:themeColor="text1"/>
          <w:sz w:val="24"/>
          <w:szCs w:val="24"/>
          <w:lang w:val="en-US"/>
        </w:rPr>
        <w:t xml:space="preserve"> derived from </w:t>
      </w:r>
      <w:r w:rsidR="00E26294">
        <w:rPr>
          <w:rFonts w:ascii="Calibri" w:hAnsi="Calibri"/>
          <w:bCs/>
          <w:color w:val="000000" w:themeColor="text1"/>
          <w:sz w:val="24"/>
          <w:szCs w:val="24"/>
          <w:lang w:val="en-US"/>
        </w:rPr>
        <w:t>a Chinese coho</w:t>
      </w:r>
      <w:r w:rsidR="006C451A">
        <w:rPr>
          <w:rFonts w:ascii="Calibri" w:hAnsi="Calibri"/>
          <w:bCs/>
          <w:color w:val="000000" w:themeColor="text1"/>
          <w:sz w:val="24"/>
          <w:szCs w:val="24"/>
          <w:lang w:val="en-US"/>
        </w:rPr>
        <w:t>r</w:t>
      </w:r>
      <w:r w:rsidR="00E26294">
        <w:rPr>
          <w:rFonts w:ascii="Calibri" w:hAnsi="Calibri"/>
          <w:bCs/>
          <w:color w:val="000000" w:themeColor="text1"/>
          <w:sz w:val="24"/>
          <w:szCs w:val="24"/>
          <w:lang w:val="en-US"/>
        </w:rPr>
        <w:t>t in Hong Kong</w:t>
      </w:r>
      <w:r w:rsidR="001676EE">
        <w:rPr>
          <w:rFonts w:ascii="Calibri" w:hAnsi="Calibri"/>
          <w:bCs/>
          <w:color w:val="000000" w:themeColor="text1"/>
          <w:sz w:val="24"/>
          <w:szCs w:val="24"/>
          <w:lang w:val="en-US"/>
        </w:rPr>
        <w:t>.  The ad</w:t>
      </w:r>
      <w:r w:rsidR="00766D84">
        <w:rPr>
          <w:rFonts w:ascii="Calibri" w:hAnsi="Calibri"/>
          <w:bCs/>
          <w:color w:val="000000" w:themeColor="text1"/>
          <w:sz w:val="24"/>
          <w:szCs w:val="24"/>
          <w:lang w:val="en-US"/>
        </w:rPr>
        <w:t xml:space="preserve">equacy of the simulations is </w:t>
      </w:r>
      <w:r w:rsidR="00BB2C3A">
        <w:rPr>
          <w:rFonts w:ascii="Calibri" w:hAnsi="Calibri"/>
          <w:bCs/>
          <w:color w:val="000000" w:themeColor="text1"/>
          <w:sz w:val="24"/>
          <w:szCs w:val="24"/>
          <w:lang w:val="en-US"/>
        </w:rPr>
        <w:t>supported by the similar prevalence</w:t>
      </w:r>
      <w:r w:rsidR="007803FF">
        <w:rPr>
          <w:rFonts w:ascii="Calibri" w:hAnsi="Calibri"/>
          <w:bCs/>
          <w:color w:val="000000" w:themeColor="text1"/>
          <w:sz w:val="24"/>
          <w:szCs w:val="24"/>
          <w:lang w:val="en-US"/>
        </w:rPr>
        <w:t xml:space="preserve"> of </w:t>
      </w:r>
      <w:r w:rsidR="00AA5C5A">
        <w:rPr>
          <w:rFonts w:ascii="Calibri" w:hAnsi="Calibri"/>
          <w:bCs/>
          <w:color w:val="000000" w:themeColor="text1"/>
          <w:sz w:val="24"/>
          <w:szCs w:val="24"/>
          <w:lang w:val="en-US"/>
        </w:rPr>
        <w:t>clinical</w:t>
      </w:r>
      <w:r w:rsidR="007803FF">
        <w:rPr>
          <w:rFonts w:ascii="Calibri" w:hAnsi="Calibri"/>
          <w:bCs/>
          <w:color w:val="000000" w:themeColor="text1"/>
          <w:sz w:val="24"/>
          <w:szCs w:val="24"/>
          <w:lang w:val="en-US"/>
        </w:rPr>
        <w:t xml:space="preserve"> </w:t>
      </w:r>
      <w:r w:rsidR="00AA5C5A">
        <w:rPr>
          <w:rFonts w:ascii="Calibri" w:hAnsi="Calibri"/>
          <w:bCs/>
          <w:color w:val="000000" w:themeColor="text1"/>
          <w:sz w:val="24"/>
          <w:szCs w:val="24"/>
          <w:lang w:val="en-US"/>
        </w:rPr>
        <w:t>r</w:t>
      </w:r>
      <w:r w:rsidR="007803FF">
        <w:rPr>
          <w:rFonts w:ascii="Calibri" w:hAnsi="Calibri"/>
          <w:bCs/>
          <w:color w:val="000000" w:themeColor="text1"/>
          <w:sz w:val="24"/>
          <w:szCs w:val="24"/>
          <w:lang w:val="en-US"/>
        </w:rPr>
        <w:t xml:space="preserve">isk </w:t>
      </w:r>
      <w:r w:rsidR="00AA5C5A">
        <w:rPr>
          <w:rFonts w:ascii="Calibri" w:hAnsi="Calibri"/>
          <w:bCs/>
          <w:color w:val="000000" w:themeColor="text1"/>
          <w:sz w:val="24"/>
          <w:szCs w:val="24"/>
          <w:lang w:val="en-US"/>
        </w:rPr>
        <w:t xml:space="preserve">factors in the </w:t>
      </w:r>
      <w:r w:rsidR="00F20B4C">
        <w:rPr>
          <w:rFonts w:ascii="Calibri" w:hAnsi="Calibri"/>
          <w:bCs/>
          <w:color w:val="000000" w:themeColor="text1"/>
          <w:sz w:val="24"/>
          <w:szCs w:val="24"/>
          <w:lang w:val="en-US"/>
        </w:rPr>
        <w:t xml:space="preserve">Hong Kong and </w:t>
      </w:r>
      <w:r w:rsidR="0034055D">
        <w:rPr>
          <w:rFonts w:ascii="Calibri" w:hAnsi="Calibri"/>
          <w:bCs/>
          <w:color w:val="000000" w:themeColor="text1"/>
          <w:sz w:val="24"/>
          <w:szCs w:val="24"/>
          <w:lang w:val="en-US"/>
        </w:rPr>
        <w:t>SCHS co</w:t>
      </w:r>
      <w:r w:rsidR="002A25D2">
        <w:rPr>
          <w:rFonts w:ascii="Calibri" w:hAnsi="Calibri"/>
          <w:bCs/>
          <w:color w:val="000000" w:themeColor="text1"/>
          <w:sz w:val="24"/>
          <w:szCs w:val="24"/>
          <w:lang w:val="en-US"/>
        </w:rPr>
        <w:t>horts.</w:t>
      </w:r>
      <w:r w:rsidR="00AA5C5A">
        <w:rPr>
          <w:rFonts w:ascii="Calibri" w:hAnsi="Calibri"/>
          <w:bCs/>
          <w:color w:val="000000" w:themeColor="text1"/>
          <w:sz w:val="24"/>
          <w:szCs w:val="24"/>
          <w:lang w:val="en-US"/>
        </w:rPr>
        <w:t xml:space="preserve"> </w:t>
      </w:r>
      <w:r w:rsidR="00023951" w:rsidRPr="00B623E0">
        <w:rPr>
          <w:rFonts w:ascii="Calibri" w:hAnsi="Calibri"/>
          <w:bCs/>
          <w:color w:val="000000" w:themeColor="text1"/>
          <w:sz w:val="24"/>
          <w:szCs w:val="24"/>
          <w:lang w:val="en-US"/>
        </w:rPr>
        <w:t xml:space="preserve"> </w:t>
      </w:r>
      <w:r w:rsidR="009A0A0F">
        <w:rPr>
          <w:rFonts w:ascii="Calibri" w:hAnsi="Calibri"/>
          <w:bCs/>
          <w:color w:val="000000" w:themeColor="text1"/>
          <w:sz w:val="24"/>
          <w:szCs w:val="24"/>
          <w:lang w:val="en-US"/>
        </w:rPr>
        <w:t>Moreover</w:t>
      </w:r>
      <w:r w:rsidR="00B913B8">
        <w:rPr>
          <w:rFonts w:ascii="Calibri" w:hAnsi="Calibri"/>
          <w:bCs/>
          <w:color w:val="000000" w:themeColor="text1"/>
          <w:sz w:val="24"/>
          <w:szCs w:val="24"/>
          <w:lang w:val="en-US"/>
        </w:rPr>
        <w:t xml:space="preserve">, </w:t>
      </w:r>
      <w:r w:rsidR="00D078B8" w:rsidRPr="00C67C1A">
        <w:rPr>
          <w:rFonts w:ascii="Calibri" w:hAnsi="Calibri"/>
          <w:bCs/>
          <w:color w:val="000000" w:themeColor="text1"/>
          <w:sz w:val="24"/>
          <w:szCs w:val="24"/>
          <w:lang w:val="en-US"/>
        </w:rPr>
        <w:t xml:space="preserve">we tested the validity of the simulation </w:t>
      </w:r>
      <w:r w:rsidR="003656D9" w:rsidRPr="00C67C1A">
        <w:rPr>
          <w:rFonts w:ascii="Calibri" w:hAnsi="Calibri"/>
          <w:bCs/>
          <w:color w:val="000000" w:themeColor="text1"/>
          <w:sz w:val="24"/>
          <w:szCs w:val="24"/>
          <w:lang w:val="en-US"/>
        </w:rPr>
        <w:t xml:space="preserve">of BMD </w:t>
      </w:r>
      <w:r w:rsidR="00D078B8" w:rsidRPr="00C67C1A">
        <w:rPr>
          <w:rFonts w:ascii="Calibri" w:hAnsi="Calibri"/>
          <w:bCs/>
          <w:color w:val="000000" w:themeColor="text1"/>
          <w:sz w:val="24"/>
          <w:szCs w:val="24"/>
          <w:lang w:val="en-US"/>
        </w:rPr>
        <w:t xml:space="preserve">by computing the sensitivity and </w:t>
      </w:r>
      <w:r w:rsidR="00D078B8" w:rsidRPr="002E0CC6">
        <w:rPr>
          <w:rFonts w:ascii="Calibri" w:hAnsi="Calibri"/>
          <w:bCs/>
          <w:color w:val="000000" w:themeColor="text1"/>
          <w:sz w:val="24"/>
          <w:szCs w:val="24"/>
          <w:lang w:val="en-US"/>
        </w:rPr>
        <w:t xml:space="preserve">specificity of OSTA.  </w:t>
      </w:r>
      <w:r w:rsidR="00DF452C" w:rsidRPr="002E0CC6">
        <w:rPr>
          <w:rFonts w:ascii="Calibri" w:hAnsi="Calibri"/>
          <w:bCs/>
          <w:color w:val="000000" w:themeColor="text1"/>
          <w:sz w:val="24"/>
          <w:szCs w:val="24"/>
          <w:lang w:val="en-US"/>
        </w:rPr>
        <w:t>The s</w:t>
      </w:r>
      <w:r w:rsidR="00D078B8" w:rsidRPr="002E0CC6">
        <w:rPr>
          <w:rFonts w:ascii="Calibri" w:hAnsi="Calibri"/>
          <w:bCs/>
          <w:color w:val="000000" w:themeColor="text1"/>
          <w:sz w:val="24"/>
          <w:szCs w:val="24"/>
          <w:lang w:val="en-US"/>
        </w:rPr>
        <w:t xml:space="preserve">ensitivity </w:t>
      </w:r>
      <w:r w:rsidR="00DF452C" w:rsidRPr="002E0CC6">
        <w:rPr>
          <w:rFonts w:ascii="Calibri" w:hAnsi="Calibri"/>
          <w:bCs/>
          <w:color w:val="000000" w:themeColor="text1"/>
          <w:sz w:val="24"/>
          <w:szCs w:val="24"/>
          <w:lang w:val="en-US"/>
        </w:rPr>
        <w:t>of</w:t>
      </w:r>
      <w:r w:rsidR="00D078B8" w:rsidRPr="002E0CC6">
        <w:rPr>
          <w:rFonts w:ascii="Calibri" w:hAnsi="Calibri"/>
          <w:bCs/>
          <w:color w:val="000000" w:themeColor="text1"/>
          <w:sz w:val="24"/>
          <w:szCs w:val="24"/>
          <w:lang w:val="en-US"/>
        </w:rPr>
        <w:t xml:space="preserve"> 85% and specificity </w:t>
      </w:r>
      <w:r w:rsidR="00DF452C" w:rsidRPr="002E0CC6">
        <w:rPr>
          <w:rFonts w:ascii="Calibri" w:hAnsi="Calibri"/>
          <w:bCs/>
          <w:color w:val="000000" w:themeColor="text1"/>
          <w:sz w:val="24"/>
          <w:szCs w:val="24"/>
          <w:lang w:val="en-US"/>
        </w:rPr>
        <w:t>of</w:t>
      </w:r>
      <w:r w:rsidR="00D078B8" w:rsidRPr="002E0CC6">
        <w:rPr>
          <w:rFonts w:ascii="Calibri" w:hAnsi="Calibri"/>
          <w:bCs/>
          <w:color w:val="000000" w:themeColor="text1"/>
          <w:sz w:val="24"/>
          <w:szCs w:val="24"/>
          <w:lang w:val="en-US"/>
        </w:rPr>
        <w:t xml:space="preserve"> 50%</w:t>
      </w:r>
      <w:r w:rsidR="00DF452C" w:rsidRPr="002E0CC6">
        <w:rPr>
          <w:rFonts w:ascii="Calibri" w:hAnsi="Calibri"/>
          <w:bCs/>
          <w:color w:val="000000" w:themeColor="text1"/>
          <w:sz w:val="24"/>
          <w:szCs w:val="24"/>
          <w:lang w:val="en-US"/>
        </w:rPr>
        <w:t xml:space="preserve"> w</w:t>
      </w:r>
      <w:r w:rsidR="0088656F" w:rsidRPr="002E0CC6">
        <w:rPr>
          <w:rFonts w:ascii="Calibri" w:hAnsi="Calibri"/>
          <w:bCs/>
          <w:color w:val="000000" w:themeColor="text1"/>
          <w:sz w:val="24"/>
          <w:szCs w:val="24"/>
          <w:lang w:val="en-US"/>
        </w:rPr>
        <w:t>a</w:t>
      </w:r>
      <w:r w:rsidR="00DF452C" w:rsidRPr="002E0CC6">
        <w:rPr>
          <w:rFonts w:ascii="Calibri" w:hAnsi="Calibri"/>
          <w:bCs/>
          <w:color w:val="000000" w:themeColor="text1"/>
          <w:sz w:val="24"/>
          <w:szCs w:val="24"/>
          <w:lang w:val="en-US"/>
        </w:rPr>
        <w:t>s</w:t>
      </w:r>
      <w:r w:rsidR="0088656F" w:rsidRPr="002E0CC6">
        <w:rPr>
          <w:rFonts w:ascii="Calibri" w:hAnsi="Calibri"/>
          <w:bCs/>
          <w:color w:val="000000" w:themeColor="text1"/>
          <w:sz w:val="24"/>
          <w:szCs w:val="24"/>
          <w:lang w:val="en-US"/>
        </w:rPr>
        <w:t xml:space="preserve"> </w:t>
      </w:r>
      <w:r w:rsidR="00D078B8" w:rsidRPr="002E0CC6">
        <w:rPr>
          <w:rFonts w:ascii="Calibri" w:hAnsi="Calibri"/>
          <w:bCs/>
          <w:color w:val="000000" w:themeColor="text1"/>
          <w:sz w:val="24"/>
          <w:szCs w:val="24"/>
          <w:lang w:val="en-US"/>
        </w:rPr>
        <w:t xml:space="preserve">very comparable to published estimates of 91% and 45%, </w:t>
      </w:r>
      <w:r w:rsidR="00D078B8" w:rsidRPr="00B1623B">
        <w:rPr>
          <w:rFonts w:ascii="Calibri" w:hAnsi="Calibri"/>
          <w:bCs/>
          <w:color w:val="000000" w:themeColor="text1"/>
          <w:sz w:val="24"/>
          <w:szCs w:val="24"/>
          <w:lang w:val="en-US"/>
        </w:rPr>
        <w:t>respectively [</w:t>
      </w:r>
      <w:r w:rsidR="00FE095C" w:rsidRPr="00B1623B">
        <w:rPr>
          <w:rFonts w:ascii="Calibri" w:hAnsi="Calibri"/>
          <w:bCs/>
          <w:color w:val="000000" w:themeColor="text1"/>
          <w:sz w:val="24"/>
          <w:szCs w:val="24"/>
          <w:lang w:val="en-US"/>
        </w:rPr>
        <w:t>1</w:t>
      </w:r>
      <w:r w:rsidR="00C15493">
        <w:rPr>
          <w:rFonts w:ascii="Calibri" w:hAnsi="Calibri"/>
          <w:bCs/>
          <w:color w:val="000000" w:themeColor="text1"/>
          <w:sz w:val="24"/>
          <w:szCs w:val="24"/>
          <w:lang w:val="en-US"/>
        </w:rPr>
        <w:t>6</w:t>
      </w:r>
      <w:r w:rsidR="00D078B8" w:rsidRPr="00B1623B">
        <w:rPr>
          <w:rFonts w:ascii="Calibri" w:hAnsi="Calibri"/>
          <w:bCs/>
          <w:color w:val="000000" w:themeColor="text1"/>
          <w:sz w:val="24"/>
          <w:szCs w:val="24"/>
          <w:lang w:val="en-US"/>
        </w:rPr>
        <w:t>].</w:t>
      </w:r>
      <w:r w:rsidR="00D078B8" w:rsidRPr="002E0CC6">
        <w:rPr>
          <w:rFonts w:ascii="Calibri" w:hAnsi="Calibri"/>
          <w:bCs/>
          <w:color w:val="000000" w:themeColor="text1"/>
          <w:sz w:val="24"/>
          <w:szCs w:val="24"/>
          <w:lang w:val="en-US"/>
        </w:rPr>
        <w:t xml:space="preserve">  Meta-analyses of studies evaluating OSTA in Caucasian populations using </w:t>
      </w:r>
      <w:r w:rsidR="001C2952" w:rsidRPr="002E0CC6">
        <w:rPr>
          <w:rFonts w:ascii="Calibri" w:hAnsi="Calibri"/>
          <w:bCs/>
          <w:color w:val="000000" w:themeColor="text1"/>
          <w:sz w:val="24"/>
          <w:szCs w:val="24"/>
          <w:lang w:val="en-US"/>
        </w:rPr>
        <w:t>the same</w:t>
      </w:r>
      <w:r w:rsidR="00D078B8" w:rsidRPr="002E0CC6">
        <w:rPr>
          <w:rFonts w:ascii="Calibri" w:hAnsi="Calibri"/>
          <w:bCs/>
          <w:color w:val="000000" w:themeColor="text1"/>
          <w:sz w:val="24"/>
          <w:szCs w:val="24"/>
          <w:lang w:val="en-US"/>
        </w:rPr>
        <w:t xml:space="preserve"> cut off threshold of &lt;1 to identify postmenopausal women with osteoporosis at the femoral neck provided summary sensitivity and specificity estimates of 89 % (95%CI 82–96 %) and 41 % (95%CI 23–59 %), </w:t>
      </w:r>
      <w:r w:rsidR="00D078B8" w:rsidRPr="00DC5701">
        <w:rPr>
          <w:rFonts w:ascii="Calibri" w:hAnsi="Calibri"/>
          <w:bCs/>
          <w:color w:val="000000" w:themeColor="text1"/>
          <w:sz w:val="24"/>
          <w:szCs w:val="24"/>
          <w:lang w:val="en-US"/>
        </w:rPr>
        <w:t>respectively [</w:t>
      </w:r>
      <w:r w:rsidR="00B1623B" w:rsidRPr="00DC5701">
        <w:rPr>
          <w:rFonts w:ascii="Calibri" w:hAnsi="Calibri"/>
          <w:bCs/>
          <w:color w:val="000000" w:themeColor="text1"/>
          <w:sz w:val="24"/>
          <w:szCs w:val="24"/>
          <w:lang w:val="en-US"/>
        </w:rPr>
        <w:t>3</w:t>
      </w:r>
      <w:r w:rsidR="00DC5701" w:rsidRPr="00DC5701">
        <w:rPr>
          <w:rFonts w:ascii="Calibri" w:hAnsi="Calibri"/>
          <w:bCs/>
          <w:color w:val="000000" w:themeColor="text1"/>
          <w:sz w:val="24"/>
          <w:szCs w:val="24"/>
          <w:lang w:val="en-US"/>
        </w:rPr>
        <w:t>8</w:t>
      </w:r>
      <w:r w:rsidR="00D078B8" w:rsidRPr="00DC5701">
        <w:rPr>
          <w:rFonts w:ascii="Calibri" w:hAnsi="Calibri"/>
          <w:bCs/>
          <w:color w:val="000000" w:themeColor="text1"/>
          <w:sz w:val="24"/>
          <w:szCs w:val="24"/>
          <w:lang w:val="en-US"/>
        </w:rPr>
        <w:t>].</w:t>
      </w:r>
      <w:r w:rsidR="00A241E3" w:rsidRPr="00DC5701">
        <w:rPr>
          <w:rFonts w:ascii="Calibri" w:hAnsi="Calibri"/>
          <w:bCs/>
          <w:color w:val="000000" w:themeColor="text1"/>
          <w:sz w:val="24"/>
          <w:szCs w:val="24"/>
          <w:lang w:val="en-US"/>
        </w:rPr>
        <w:t xml:space="preserve">  </w:t>
      </w:r>
      <w:r w:rsidR="00211089" w:rsidRPr="00DC5701">
        <w:rPr>
          <w:rFonts w:ascii="Calibri" w:hAnsi="Calibri"/>
          <w:bCs/>
          <w:color w:val="000000" w:themeColor="text1"/>
          <w:sz w:val="24"/>
          <w:szCs w:val="24"/>
          <w:lang w:val="en-US"/>
        </w:rPr>
        <w:t>These</w:t>
      </w:r>
      <w:r w:rsidR="00211089" w:rsidRPr="002E0CC6">
        <w:rPr>
          <w:rFonts w:ascii="Calibri" w:hAnsi="Calibri"/>
          <w:bCs/>
          <w:color w:val="000000" w:themeColor="text1"/>
          <w:sz w:val="24"/>
          <w:szCs w:val="24"/>
          <w:lang w:val="en-US"/>
        </w:rPr>
        <w:t xml:space="preserve"> considerations </w:t>
      </w:r>
      <w:r w:rsidR="0085091D" w:rsidRPr="002E0CC6">
        <w:rPr>
          <w:rFonts w:ascii="Calibri" w:hAnsi="Calibri"/>
          <w:bCs/>
          <w:color w:val="000000" w:themeColor="text1"/>
          <w:sz w:val="24"/>
          <w:szCs w:val="24"/>
          <w:lang w:val="en-US"/>
        </w:rPr>
        <w:t>suggest that</w:t>
      </w:r>
      <w:r w:rsidR="00211089" w:rsidRPr="002E0CC6">
        <w:rPr>
          <w:rFonts w:ascii="Calibri" w:hAnsi="Calibri"/>
          <w:bCs/>
          <w:color w:val="000000" w:themeColor="text1"/>
          <w:sz w:val="24"/>
          <w:szCs w:val="24"/>
          <w:lang w:val="en-US"/>
        </w:rPr>
        <w:t xml:space="preserve"> </w:t>
      </w:r>
      <w:r w:rsidR="00421D2F" w:rsidRPr="002E0CC6">
        <w:rPr>
          <w:rFonts w:ascii="Calibri" w:hAnsi="Calibri"/>
          <w:bCs/>
          <w:color w:val="000000" w:themeColor="text1"/>
          <w:sz w:val="24"/>
          <w:szCs w:val="24"/>
          <w:lang w:val="en-US"/>
        </w:rPr>
        <w:t>the SC</w:t>
      </w:r>
      <w:r w:rsidR="002079E8" w:rsidRPr="002E0CC6">
        <w:rPr>
          <w:rFonts w:ascii="Calibri" w:hAnsi="Calibri"/>
          <w:bCs/>
          <w:color w:val="000000" w:themeColor="text1"/>
          <w:sz w:val="24"/>
          <w:szCs w:val="24"/>
          <w:lang w:val="en-US"/>
        </w:rPr>
        <w:t xml:space="preserve">HS cohort </w:t>
      </w:r>
      <w:r w:rsidR="00550BBC" w:rsidRPr="002E0CC6">
        <w:rPr>
          <w:rFonts w:ascii="Calibri" w:hAnsi="Calibri"/>
          <w:bCs/>
          <w:color w:val="000000" w:themeColor="text1"/>
          <w:sz w:val="24"/>
          <w:szCs w:val="24"/>
          <w:lang w:val="en-US"/>
        </w:rPr>
        <w:t xml:space="preserve">was </w:t>
      </w:r>
      <w:r w:rsidR="000E0CA1" w:rsidRPr="002E0CC6">
        <w:rPr>
          <w:rFonts w:ascii="Calibri" w:hAnsi="Calibri"/>
          <w:bCs/>
          <w:color w:val="000000" w:themeColor="text1"/>
          <w:sz w:val="24"/>
          <w:szCs w:val="24"/>
          <w:lang w:val="en-US"/>
        </w:rPr>
        <w:t>representative</w:t>
      </w:r>
      <w:r w:rsidR="00550BBC" w:rsidRPr="002E0CC6">
        <w:rPr>
          <w:rFonts w:ascii="Calibri" w:hAnsi="Calibri"/>
          <w:bCs/>
          <w:color w:val="000000" w:themeColor="text1"/>
          <w:sz w:val="24"/>
          <w:szCs w:val="24"/>
          <w:lang w:val="en-US"/>
        </w:rPr>
        <w:t xml:space="preserve"> of the Singaporean </w:t>
      </w:r>
      <w:r w:rsidR="00433F74" w:rsidRPr="002E0CC6">
        <w:rPr>
          <w:rFonts w:ascii="Calibri" w:hAnsi="Calibri"/>
          <w:bCs/>
          <w:color w:val="000000" w:themeColor="text1"/>
          <w:sz w:val="24"/>
          <w:szCs w:val="24"/>
          <w:lang w:val="en-US"/>
        </w:rPr>
        <w:t xml:space="preserve">population </w:t>
      </w:r>
      <w:r w:rsidR="002E0CC6" w:rsidRPr="002E0CC6">
        <w:rPr>
          <w:rFonts w:ascii="Calibri" w:hAnsi="Calibri"/>
          <w:bCs/>
          <w:color w:val="000000" w:themeColor="text1"/>
          <w:sz w:val="24"/>
          <w:szCs w:val="24"/>
          <w:lang w:val="en-US"/>
        </w:rPr>
        <w:t>and that</w:t>
      </w:r>
      <w:r w:rsidR="00023951" w:rsidRPr="002E0CC6">
        <w:rPr>
          <w:rFonts w:ascii="Calibri" w:hAnsi="Calibri"/>
          <w:bCs/>
          <w:color w:val="000000" w:themeColor="text1"/>
          <w:sz w:val="24"/>
          <w:szCs w:val="24"/>
          <w:lang w:val="en-US"/>
        </w:rPr>
        <w:t xml:space="preserve"> the treatment pat</w:t>
      </w:r>
      <w:r w:rsidR="00CF0A73" w:rsidRPr="002E0CC6">
        <w:rPr>
          <w:rFonts w:ascii="Calibri" w:hAnsi="Calibri"/>
          <w:bCs/>
          <w:color w:val="000000" w:themeColor="text1"/>
          <w:sz w:val="24"/>
          <w:szCs w:val="24"/>
          <w:lang w:val="en-US"/>
        </w:rPr>
        <w:t>h</w:t>
      </w:r>
      <w:r w:rsidR="00023951" w:rsidRPr="002E0CC6">
        <w:rPr>
          <w:rFonts w:ascii="Calibri" w:hAnsi="Calibri"/>
          <w:bCs/>
          <w:color w:val="000000" w:themeColor="text1"/>
          <w:sz w:val="24"/>
          <w:szCs w:val="24"/>
          <w:lang w:val="en-US"/>
        </w:rPr>
        <w:t>ways</w:t>
      </w:r>
      <w:r w:rsidR="00CF0A73" w:rsidRPr="002E0CC6">
        <w:rPr>
          <w:rFonts w:ascii="Calibri" w:hAnsi="Calibri"/>
          <w:bCs/>
          <w:color w:val="000000" w:themeColor="text1"/>
          <w:sz w:val="24"/>
          <w:szCs w:val="24"/>
          <w:lang w:val="en-US"/>
        </w:rPr>
        <w:t xml:space="preserve"> </w:t>
      </w:r>
      <w:r w:rsidR="002E0CC6" w:rsidRPr="002E0CC6">
        <w:rPr>
          <w:rFonts w:ascii="Calibri" w:hAnsi="Calibri"/>
          <w:bCs/>
          <w:color w:val="000000" w:themeColor="text1"/>
          <w:sz w:val="24"/>
          <w:szCs w:val="24"/>
          <w:lang w:val="en-US"/>
        </w:rPr>
        <w:t>are</w:t>
      </w:r>
      <w:r w:rsidR="00CF0A73" w:rsidRPr="002E0CC6">
        <w:rPr>
          <w:rFonts w:ascii="Calibri" w:hAnsi="Calibri"/>
          <w:bCs/>
          <w:color w:val="000000" w:themeColor="text1"/>
          <w:sz w:val="24"/>
          <w:szCs w:val="24"/>
          <w:lang w:val="en-US"/>
        </w:rPr>
        <w:t xml:space="preserve"> applicable to the general population</w:t>
      </w:r>
      <w:r w:rsidRPr="002E0CC6">
        <w:rPr>
          <w:rFonts w:ascii="Calibri" w:hAnsi="Calibri"/>
          <w:bCs/>
          <w:color w:val="000000" w:themeColor="text1"/>
          <w:sz w:val="24"/>
          <w:szCs w:val="24"/>
          <w:lang w:val="en-US"/>
        </w:rPr>
        <w:t xml:space="preserve">. </w:t>
      </w:r>
    </w:p>
    <w:p w14:paraId="65AA2BC8" w14:textId="6A8C6C8F" w:rsidR="0067280B" w:rsidRPr="00DF1B7B" w:rsidRDefault="00935F9A" w:rsidP="0020414A">
      <w:pPr>
        <w:pStyle w:val="PlainText"/>
        <w:spacing w:after="240" w:line="276" w:lineRule="auto"/>
        <w:ind w:left="1134"/>
        <w:rPr>
          <w:rFonts w:ascii="Calibri" w:hAnsi="Calibri"/>
          <w:bCs/>
          <w:color w:val="000000" w:themeColor="text1"/>
          <w:sz w:val="24"/>
          <w:szCs w:val="24"/>
          <w:lang w:val="en-US"/>
        </w:rPr>
      </w:pPr>
      <w:r w:rsidRPr="00DF1B7B">
        <w:rPr>
          <w:rFonts w:ascii="Calibri" w:hAnsi="Calibri"/>
          <w:bCs/>
          <w:color w:val="000000" w:themeColor="text1"/>
          <w:sz w:val="24"/>
          <w:szCs w:val="24"/>
          <w:lang w:val="en-US"/>
        </w:rPr>
        <w:t xml:space="preserve">The present study has shown that it is possible to apply FRAX-based assessment guidelines using the same principles that have been applied to guidelines elsewhere but tailored to the epidemiology of </w:t>
      </w:r>
      <w:r w:rsidR="00F579DA" w:rsidRPr="00DF1B7B">
        <w:rPr>
          <w:rFonts w:ascii="Calibri" w:hAnsi="Calibri"/>
          <w:bCs/>
          <w:color w:val="000000" w:themeColor="text1"/>
          <w:sz w:val="24"/>
          <w:szCs w:val="24"/>
          <w:lang w:val="en-US"/>
        </w:rPr>
        <w:t>Singapore</w:t>
      </w:r>
      <w:r w:rsidRPr="00DF1B7B">
        <w:rPr>
          <w:rFonts w:ascii="Calibri" w:hAnsi="Calibri"/>
          <w:bCs/>
          <w:color w:val="000000" w:themeColor="text1"/>
          <w:sz w:val="24"/>
          <w:szCs w:val="24"/>
          <w:lang w:val="en-US"/>
        </w:rPr>
        <w:t xml:space="preserve">. </w:t>
      </w:r>
      <w:r w:rsidR="00CC2C9C">
        <w:rPr>
          <w:rFonts w:ascii="Calibri" w:hAnsi="Calibri"/>
          <w:bCs/>
          <w:color w:val="000000" w:themeColor="text1"/>
          <w:sz w:val="24"/>
          <w:szCs w:val="24"/>
          <w:lang w:val="en-US"/>
        </w:rPr>
        <w:t xml:space="preserve"> </w:t>
      </w:r>
      <w:r w:rsidRPr="00DF1B7B">
        <w:rPr>
          <w:rFonts w:ascii="Calibri" w:hAnsi="Calibri"/>
          <w:bCs/>
          <w:color w:val="000000" w:themeColor="text1"/>
          <w:sz w:val="24"/>
          <w:szCs w:val="24"/>
          <w:lang w:val="en-US"/>
        </w:rPr>
        <w:t xml:space="preserve">The approach to </w:t>
      </w:r>
      <w:r w:rsidRPr="00DF1B7B">
        <w:rPr>
          <w:rFonts w:ascii="Calibri" w:hAnsi="Calibri"/>
          <w:bCs/>
          <w:color w:val="000000" w:themeColor="text1"/>
          <w:sz w:val="24"/>
          <w:szCs w:val="24"/>
          <w:lang w:val="en-US"/>
        </w:rPr>
        <w:lastRenderedPageBreak/>
        <w:t xml:space="preserve">intervention thresholds </w:t>
      </w:r>
      <w:r w:rsidR="00EC56C5" w:rsidRPr="00DF1B7B">
        <w:rPr>
          <w:rFonts w:ascii="Calibri" w:hAnsi="Calibri"/>
          <w:bCs/>
          <w:color w:val="000000" w:themeColor="text1"/>
          <w:sz w:val="24"/>
          <w:szCs w:val="24"/>
          <w:lang w:val="en-US"/>
        </w:rPr>
        <w:t>is</w:t>
      </w:r>
      <w:r w:rsidRPr="00DF1B7B">
        <w:rPr>
          <w:rFonts w:ascii="Calibri" w:hAnsi="Calibri"/>
          <w:bCs/>
          <w:color w:val="000000" w:themeColor="text1"/>
          <w:sz w:val="24"/>
          <w:szCs w:val="24"/>
          <w:lang w:val="en-US"/>
        </w:rPr>
        <w:t xml:space="preserve"> based on the principles of case finding and do not consider a health economic perspective. </w:t>
      </w:r>
      <w:r w:rsidR="000140E3">
        <w:rPr>
          <w:rFonts w:ascii="Calibri" w:hAnsi="Calibri"/>
          <w:bCs/>
          <w:color w:val="000000" w:themeColor="text1"/>
          <w:sz w:val="24"/>
          <w:szCs w:val="24"/>
          <w:lang w:val="en-US"/>
        </w:rPr>
        <w:t xml:space="preserve"> </w:t>
      </w:r>
      <w:r w:rsidRPr="00DF1B7B">
        <w:rPr>
          <w:rFonts w:ascii="Calibri" w:hAnsi="Calibri"/>
          <w:bCs/>
          <w:color w:val="000000" w:themeColor="text1"/>
          <w:sz w:val="24"/>
          <w:szCs w:val="24"/>
          <w:lang w:val="en-US"/>
        </w:rPr>
        <w:t xml:space="preserve">Although the approach has been shown to be cost-effective in a UK </w:t>
      </w:r>
      <w:r w:rsidRPr="00DC5701">
        <w:rPr>
          <w:rFonts w:ascii="Calibri" w:hAnsi="Calibri"/>
          <w:bCs/>
          <w:color w:val="000000" w:themeColor="text1"/>
          <w:sz w:val="24"/>
          <w:szCs w:val="24"/>
          <w:lang w:val="en-US"/>
        </w:rPr>
        <w:t>setting [</w:t>
      </w:r>
      <w:r w:rsidR="00B1623B" w:rsidRPr="00DC5701">
        <w:rPr>
          <w:rFonts w:ascii="Calibri" w:hAnsi="Calibri"/>
          <w:bCs/>
          <w:color w:val="000000" w:themeColor="text1"/>
          <w:sz w:val="24"/>
          <w:szCs w:val="24"/>
          <w:lang w:val="en-US"/>
        </w:rPr>
        <w:t>3</w:t>
      </w:r>
      <w:r w:rsidR="00DC5701" w:rsidRPr="00DC5701">
        <w:rPr>
          <w:rFonts w:ascii="Calibri" w:hAnsi="Calibri"/>
          <w:bCs/>
          <w:color w:val="000000" w:themeColor="text1"/>
          <w:sz w:val="24"/>
          <w:szCs w:val="24"/>
          <w:lang w:val="en-US"/>
        </w:rPr>
        <w:t>9</w:t>
      </w:r>
      <w:r w:rsidRPr="00DC5701">
        <w:rPr>
          <w:rFonts w:ascii="Calibri" w:hAnsi="Calibri"/>
          <w:bCs/>
          <w:color w:val="000000" w:themeColor="text1"/>
          <w:sz w:val="24"/>
          <w:szCs w:val="24"/>
          <w:lang w:val="en-US"/>
        </w:rPr>
        <w:t>], cost</w:t>
      </w:r>
      <w:r w:rsidRPr="00B1623B">
        <w:rPr>
          <w:rFonts w:ascii="Calibri" w:hAnsi="Calibri"/>
          <w:bCs/>
          <w:color w:val="000000" w:themeColor="text1"/>
          <w:sz w:val="24"/>
          <w:szCs w:val="24"/>
          <w:lang w:val="en-US"/>
        </w:rPr>
        <w:t>-effectiveness</w:t>
      </w:r>
      <w:r w:rsidR="003671BF" w:rsidRPr="00DF1B7B">
        <w:rPr>
          <w:rFonts w:ascii="Calibri" w:hAnsi="Calibri"/>
          <w:bCs/>
          <w:color w:val="000000" w:themeColor="text1"/>
          <w:sz w:val="24"/>
          <w:szCs w:val="24"/>
          <w:lang w:val="en-US"/>
        </w:rPr>
        <w:t xml:space="preserve"> will necessarily differ in </w:t>
      </w:r>
      <w:r w:rsidR="00EC56C5" w:rsidRPr="00DF1B7B">
        <w:rPr>
          <w:rFonts w:ascii="Calibri" w:hAnsi="Calibri"/>
          <w:bCs/>
          <w:color w:val="000000" w:themeColor="text1"/>
          <w:sz w:val="24"/>
          <w:szCs w:val="24"/>
          <w:lang w:val="en-US"/>
        </w:rPr>
        <w:t xml:space="preserve">the </w:t>
      </w:r>
      <w:r w:rsidR="005B42A3">
        <w:rPr>
          <w:rFonts w:ascii="Calibri" w:hAnsi="Calibri"/>
          <w:bCs/>
          <w:color w:val="000000" w:themeColor="text1"/>
          <w:sz w:val="24"/>
          <w:szCs w:val="24"/>
          <w:lang w:val="en-US"/>
        </w:rPr>
        <w:t>context of</w:t>
      </w:r>
      <w:r w:rsidR="008303A8">
        <w:rPr>
          <w:rFonts w:ascii="Calibri" w:hAnsi="Calibri"/>
          <w:bCs/>
          <w:color w:val="000000" w:themeColor="text1"/>
          <w:sz w:val="24"/>
          <w:szCs w:val="24"/>
          <w:lang w:val="en-US"/>
        </w:rPr>
        <w:t xml:space="preserve"> </w:t>
      </w:r>
      <w:r w:rsidR="00F579DA" w:rsidRPr="00DF1B7B">
        <w:rPr>
          <w:rFonts w:ascii="Calibri" w:hAnsi="Calibri"/>
          <w:bCs/>
          <w:color w:val="000000" w:themeColor="text1"/>
          <w:sz w:val="24"/>
          <w:szCs w:val="24"/>
          <w:lang w:val="en-US"/>
        </w:rPr>
        <w:t>Singapore</w:t>
      </w:r>
      <w:r w:rsidR="003671BF" w:rsidRPr="00DF1B7B">
        <w:rPr>
          <w:rFonts w:ascii="Calibri" w:hAnsi="Calibri"/>
          <w:bCs/>
          <w:color w:val="000000" w:themeColor="text1"/>
          <w:sz w:val="24"/>
          <w:szCs w:val="24"/>
          <w:lang w:val="en-US"/>
        </w:rPr>
        <w:t xml:space="preserve"> because of different fracture risks and cost. </w:t>
      </w:r>
      <w:r w:rsidR="000140E3">
        <w:rPr>
          <w:rFonts w:ascii="Calibri" w:hAnsi="Calibri"/>
          <w:bCs/>
          <w:color w:val="000000" w:themeColor="text1"/>
          <w:sz w:val="24"/>
          <w:szCs w:val="24"/>
          <w:lang w:val="en-US"/>
        </w:rPr>
        <w:t xml:space="preserve"> </w:t>
      </w:r>
      <w:r w:rsidR="003671BF" w:rsidRPr="00DF1B7B">
        <w:rPr>
          <w:rFonts w:ascii="Calibri" w:hAnsi="Calibri"/>
          <w:bCs/>
          <w:color w:val="000000" w:themeColor="text1"/>
          <w:sz w:val="24"/>
          <w:szCs w:val="24"/>
          <w:lang w:val="en-US"/>
        </w:rPr>
        <w:t xml:space="preserve">It will be important therefore to underpin these guidelines with an economic assessment. </w:t>
      </w:r>
      <w:r w:rsidR="00EE099F">
        <w:rPr>
          <w:rFonts w:ascii="Calibri" w:hAnsi="Calibri"/>
          <w:bCs/>
          <w:color w:val="000000" w:themeColor="text1"/>
          <w:sz w:val="24"/>
          <w:szCs w:val="24"/>
          <w:lang w:val="en-US"/>
        </w:rPr>
        <w:t xml:space="preserve"> </w:t>
      </w:r>
      <w:r w:rsidR="003671BF" w:rsidRPr="00DF1B7B">
        <w:rPr>
          <w:rFonts w:ascii="Calibri" w:hAnsi="Calibri"/>
          <w:bCs/>
          <w:color w:val="000000" w:themeColor="text1"/>
          <w:sz w:val="24"/>
          <w:szCs w:val="24"/>
          <w:lang w:val="en-US"/>
        </w:rPr>
        <w:t>Overcoming these hurdles will, however, improve the delivery of health care to those most at need.</w:t>
      </w:r>
    </w:p>
    <w:p w14:paraId="5F3485F3" w14:textId="267517F0" w:rsidR="008677D8" w:rsidRDefault="0071402A" w:rsidP="0020414A">
      <w:pPr>
        <w:pStyle w:val="PlainText"/>
        <w:spacing w:after="240" w:line="276" w:lineRule="auto"/>
        <w:ind w:left="1134"/>
        <w:rPr>
          <w:rFonts w:ascii="Calibri" w:hAnsi="Calibri"/>
          <w:b/>
          <w:color w:val="000000" w:themeColor="text1"/>
          <w:sz w:val="24"/>
          <w:szCs w:val="24"/>
          <w:lang w:val="en-US"/>
        </w:rPr>
      </w:pPr>
      <w:r w:rsidRPr="00EA357B">
        <w:rPr>
          <w:rFonts w:ascii="Calibri" w:hAnsi="Calibri"/>
          <w:b/>
          <w:color w:val="000000" w:themeColor="text1"/>
          <w:sz w:val="24"/>
          <w:szCs w:val="24"/>
          <w:lang w:val="en-US"/>
        </w:rPr>
        <w:t>Acknowledgements</w:t>
      </w:r>
    </w:p>
    <w:p w14:paraId="717D0E7B" w14:textId="37EBFA6B" w:rsidR="00CC30DC" w:rsidRDefault="00CC30DC" w:rsidP="0020414A">
      <w:pPr>
        <w:pStyle w:val="PlainText"/>
        <w:spacing w:after="240" w:line="276" w:lineRule="auto"/>
        <w:ind w:left="1134"/>
        <w:rPr>
          <w:rFonts w:ascii="Calibri" w:hAnsi="Calibri"/>
          <w:color w:val="000000" w:themeColor="text1"/>
          <w:sz w:val="24"/>
          <w:szCs w:val="24"/>
          <w:lang w:val="en-US"/>
        </w:rPr>
      </w:pPr>
      <w:r w:rsidRPr="005D1965">
        <w:rPr>
          <w:rFonts w:ascii="Calibri" w:hAnsi="Calibri"/>
          <w:color w:val="000000" w:themeColor="text1"/>
          <w:sz w:val="24"/>
          <w:szCs w:val="24"/>
          <w:lang w:val="en-US"/>
        </w:rPr>
        <w:t xml:space="preserve">We thank Siew-Hong Low of the National University of Singapore for supervising the field work of the Singapore Chinese Health Study. </w:t>
      </w:r>
      <w:r w:rsidR="00EE099F">
        <w:rPr>
          <w:rFonts w:ascii="Calibri" w:hAnsi="Calibri"/>
          <w:color w:val="000000" w:themeColor="text1"/>
          <w:sz w:val="24"/>
          <w:szCs w:val="24"/>
          <w:lang w:val="en-US"/>
        </w:rPr>
        <w:t xml:space="preserve"> </w:t>
      </w:r>
      <w:r w:rsidRPr="005D1965">
        <w:rPr>
          <w:rFonts w:ascii="Calibri" w:hAnsi="Calibri"/>
          <w:color w:val="000000" w:themeColor="text1"/>
          <w:sz w:val="24"/>
          <w:szCs w:val="24"/>
          <w:lang w:val="en-US"/>
        </w:rPr>
        <w:t>We also thank the Ministry of Health in Singapore for assistance with the identification of hip fracture cases and mortality via database linkages.</w:t>
      </w:r>
      <w:r>
        <w:rPr>
          <w:rFonts w:ascii="Calibri" w:hAnsi="Calibri"/>
          <w:color w:val="000000" w:themeColor="text1"/>
          <w:sz w:val="24"/>
          <w:szCs w:val="24"/>
          <w:lang w:val="en-US"/>
        </w:rPr>
        <w:t xml:space="preserve"> </w:t>
      </w:r>
    </w:p>
    <w:p w14:paraId="2C155510" w14:textId="77777777" w:rsidR="00A05CC3" w:rsidRDefault="00F12A87" w:rsidP="0020414A">
      <w:pPr>
        <w:pStyle w:val="PlainText"/>
        <w:spacing w:after="240"/>
        <w:ind w:left="1134"/>
        <w:rPr>
          <w:rFonts w:ascii="Calibri" w:hAnsi="Calibri"/>
          <w:b/>
          <w:sz w:val="24"/>
          <w:szCs w:val="24"/>
          <w:lang w:val="en-US"/>
        </w:rPr>
      </w:pPr>
      <w:r w:rsidRPr="00C532CE">
        <w:rPr>
          <w:rFonts w:ascii="Calibri" w:hAnsi="Calibri"/>
          <w:b/>
          <w:sz w:val="24"/>
          <w:szCs w:val="24"/>
          <w:lang w:val="en-US"/>
        </w:rPr>
        <w:t xml:space="preserve">Conflicts of interest. </w:t>
      </w:r>
    </w:p>
    <w:p w14:paraId="5A61052D" w14:textId="64B7A153" w:rsidR="004211AA" w:rsidRPr="00C532CE" w:rsidRDefault="00650D09" w:rsidP="004211AA">
      <w:pPr>
        <w:pStyle w:val="PlainText"/>
        <w:spacing w:after="240"/>
        <w:ind w:left="1134"/>
        <w:rPr>
          <w:rFonts w:ascii="Calibri" w:hAnsi="Calibri"/>
          <w:b/>
          <w:sz w:val="24"/>
          <w:szCs w:val="24"/>
          <w:lang w:val="en-US"/>
        </w:rPr>
      </w:pPr>
      <w:r w:rsidRPr="00650D09">
        <w:rPr>
          <w:rFonts w:ascii="Calibri" w:hAnsi="Calibri"/>
          <w:bCs/>
          <w:sz w:val="24"/>
          <w:szCs w:val="24"/>
          <w:lang w:val="en-US"/>
        </w:rPr>
        <w:t xml:space="preserve">John A </w:t>
      </w:r>
      <w:proofErr w:type="spellStart"/>
      <w:r w:rsidRPr="00650D09">
        <w:rPr>
          <w:rFonts w:ascii="Calibri" w:hAnsi="Calibri"/>
          <w:bCs/>
          <w:sz w:val="24"/>
          <w:szCs w:val="24"/>
          <w:lang w:val="en-US"/>
        </w:rPr>
        <w:t>Kanis</w:t>
      </w:r>
      <w:proofErr w:type="spellEnd"/>
      <w:r w:rsidRPr="00650D09">
        <w:rPr>
          <w:rFonts w:ascii="Calibri" w:hAnsi="Calibri"/>
          <w:bCs/>
          <w:sz w:val="24"/>
          <w:szCs w:val="24"/>
          <w:lang w:val="en-US"/>
        </w:rPr>
        <w:t xml:space="preserve">, Manju Chandran, </w:t>
      </w:r>
      <w:proofErr w:type="spellStart"/>
      <w:r w:rsidRPr="00650D09">
        <w:rPr>
          <w:rFonts w:ascii="Calibri" w:hAnsi="Calibri"/>
          <w:bCs/>
          <w:sz w:val="24"/>
          <w:szCs w:val="24"/>
          <w:lang w:val="en-US"/>
        </w:rPr>
        <w:t>Siok</w:t>
      </w:r>
      <w:proofErr w:type="spellEnd"/>
      <w:r w:rsidRPr="00650D09">
        <w:rPr>
          <w:rFonts w:ascii="Calibri" w:hAnsi="Calibri"/>
          <w:bCs/>
          <w:sz w:val="24"/>
          <w:szCs w:val="24"/>
          <w:lang w:val="en-US"/>
        </w:rPr>
        <w:t xml:space="preserve"> Bee </w:t>
      </w:r>
      <w:proofErr w:type="spellStart"/>
      <w:r w:rsidRPr="00650D09">
        <w:rPr>
          <w:rFonts w:ascii="Calibri" w:hAnsi="Calibri"/>
          <w:bCs/>
          <w:sz w:val="24"/>
          <w:szCs w:val="24"/>
          <w:lang w:val="en-US"/>
        </w:rPr>
        <w:t>Chionh</w:t>
      </w:r>
      <w:proofErr w:type="spellEnd"/>
      <w:r w:rsidRPr="00650D09">
        <w:rPr>
          <w:rFonts w:ascii="Calibri" w:hAnsi="Calibri"/>
          <w:bCs/>
          <w:sz w:val="24"/>
          <w:szCs w:val="24"/>
          <w:lang w:val="en-US"/>
        </w:rPr>
        <w:t xml:space="preserve">, Ganga </w:t>
      </w:r>
      <w:proofErr w:type="spellStart"/>
      <w:r w:rsidRPr="00650D09">
        <w:rPr>
          <w:rFonts w:ascii="Calibri" w:hAnsi="Calibri"/>
          <w:bCs/>
          <w:sz w:val="24"/>
          <w:szCs w:val="24"/>
          <w:lang w:val="en-US"/>
        </w:rPr>
        <w:t>Ganeson</w:t>
      </w:r>
      <w:proofErr w:type="spellEnd"/>
      <w:r w:rsidRPr="00650D09">
        <w:rPr>
          <w:rFonts w:ascii="Calibri" w:hAnsi="Calibri"/>
          <w:bCs/>
          <w:sz w:val="24"/>
          <w:szCs w:val="24"/>
          <w:lang w:val="en-US"/>
        </w:rPr>
        <w:t xml:space="preserve">, Nicholas C Harvey, </w:t>
      </w:r>
      <w:proofErr w:type="spellStart"/>
      <w:r w:rsidRPr="00650D09">
        <w:rPr>
          <w:rFonts w:ascii="Calibri" w:hAnsi="Calibri"/>
          <w:bCs/>
          <w:sz w:val="24"/>
          <w:szCs w:val="24"/>
          <w:lang w:val="en-US"/>
        </w:rPr>
        <w:t>Woon-Puay</w:t>
      </w:r>
      <w:proofErr w:type="spellEnd"/>
      <w:r w:rsidRPr="00650D09">
        <w:rPr>
          <w:rFonts w:ascii="Calibri" w:hAnsi="Calibri"/>
          <w:bCs/>
          <w:sz w:val="24"/>
          <w:szCs w:val="24"/>
          <w:lang w:val="en-US"/>
        </w:rPr>
        <w:t xml:space="preserve"> Koh, Timothy Kwok, Tang Ching Lau, Enwu Liu, Mattias Lorentzon, Eugene V McCloskey, Kelvin Bryan Tan, Liesbeth Vandenput, Helena Johansson</w:t>
      </w:r>
      <w:r w:rsidR="00FE3406" w:rsidRPr="00FE3406">
        <w:t xml:space="preserve"> </w:t>
      </w:r>
      <w:r w:rsidR="00FE3406" w:rsidRPr="00FE3406">
        <w:rPr>
          <w:rFonts w:ascii="Calibri" w:hAnsi="Calibri"/>
          <w:bCs/>
          <w:sz w:val="24"/>
          <w:szCs w:val="24"/>
          <w:lang w:val="en-US"/>
        </w:rPr>
        <w:t>declare no conflicts of interest</w:t>
      </w:r>
      <w:r w:rsidR="00FE3406">
        <w:rPr>
          <w:rFonts w:ascii="Calibri" w:hAnsi="Calibri"/>
          <w:bCs/>
          <w:sz w:val="24"/>
          <w:szCs w:val="24"/>
          <w:lang w:val="en-US"/>
        </w:rPr>
        <w:t xml:space="preserve"> in </w:t>
      </w:r>
      <w:r w:rsidR="00454164">
        <w:rPr>
          <w:rFonts w:ascii="Calibri" w:hAnsi="Calibri"/>
          <w:bCs/>
          <w:sz w:val="24"/>
          <w:szCs w:val="24"/>
          <w:lang w:val="en-US"/>
        </w:rPr>
        <w:t>relation</w:t>
      </w:r>
      <w:r w:rsidR="00FE3406">
        <w:rPr>
          <w:rFonts w:ascii="Calibri" w:hAnsi="Calibri"/>
          <w:bCs/>
          <w:sz w:val="24"/>
          <w:szCs w:val="24"/>
          <w:lang w:val="en-US"/>
        </w:rPr>
        <w:t xml:space="preserve"> to this paper</w:t>
      </w:r>
      <w:r w:rsidR="00454164">
        <w:rPr>
          <w:rFonts w:ascii="Calibri" w:hAnsi="Calibri"/>
          <w:bCs/>
          <w:sz w:val="24"/>
          <w:szCs w:val="24"/>
          <w:lang w:val="en-US"/>
        </w:rPr>
        <w:t>.</w:t>
      </w:r>
      <w:r w:rsidR="00F12A87" w:rsidRPr="00C532CE">
        <w:rPr>
          <w:rFonts w:ascii="Calibri" w:hAnsi="Calibri"/>
          <w:b/>
          <w:sz w:val="24"/>
          <w:szCs w:val="24"/>
          <w:lang w:val="en-US"/>
        </w:rPr>
        <w:t xml:space="preserve"> </w:t>
      </w:r>
      <w:r w:rsidR="0035542E" w:rsidRPr="0035542E">
        <w:rPr>
          <w:rFonts w:ascii="Calibri" w:hAnsi="Calibri"/>
          <w:bCs/>
          <w:sz w:val="24"/>
          <w:szCs w:val="24"/>
          <w:lang w:val="en-US"/>
        </w:rPr>
        <w:t>JAK, NH, ML, EVM, HJ, ML, LV and EL are responsible for the creation and/or maintenance of FRAX but have no financial interest.</w:t>
      </w:r>
    </w:p>
    <w:p w14:paraId="214F09E1" w14:textId="571078C5" w:rsidR="00F12A87" w:rsidRPr="00C532CE" w:rsidRDefault="00F12A87" w:rsidP="0020414A">
      <w:pPr>
        <w:pStyle w:val="PlainText"/>
        <w:spacing w:after="240"/>
        <w:ind w:left="1134"/>
        <w:rPr>
          <w:rFonts w:ascii="Calibri" w:hAnsi="Calibri"/>
          <w:b/>
          <w:sz w:val="24"/>
          <w:szCs w:val="24"/>
          <w:lang w:val="en-US"/>
        </w:rPr>
      </w:pPr>
    </w:p>
    <w:p w14:paraId="703AB5C2" w14:textId="4F4C9C8F" w:rsidR="00F12A87" w:rsidRPr="00C532CE" w:rsidRDefault="00F12A87" w:rsidP="0020414A">
      <w:pPr>
        <w:pStyle w:val="PlainText"/>
        <w:spacing w:after="240"/>
        <w:ind w:left="1134"/>
        <w:rPr>
          <w:rFonts w:ascii="Calibri" w:hAnsi="Calibri"/>
          <w:b/>
          <w:sz w:val="24"/>
          <w:szCs w:val="24"/>
          <w:lang w:val="en-US"/>
        </w:rPr>
      </w:pPr>
      <w:r w:rsidRPr="00C532CE">
        <w:rPr>
          <w:rFonts w:ascii="Calibri" w:hAnsi="Calibri"/>
          <w:b/>
          <w:sz w:val="24"/>
          <w:szCs w:val="24"/>
          <w:lang w:val="en-US"/>
        </w:rPr>
        <w:t xml:space="preserve">Funding statement. </w:t>
      </w:r>
      <w:r w:rsidR="008A7B4F" w:rsidRPr="008A7B4F">
        <w:rPr>
          <w:rFonts w:ascii="Calibri" w:hAnsi="Calibri"/>
          <w:bCs/>
          <w:sz w:val="24"/>
          <w:szCs w:val="24"/>
          <w:lang w:val="en-US"/>
        </w:rPr>
        <w:t>The Singapore Chinese Health Study was supported by the National Institutes of Health, USA (NCI RO1 CA55069, R35 CA53890, R01 CA80205, and R01 CA144034).</w:t>
      </w:r>
      <w:r w:rsidR="008A7B4F">
        <w:rPr>
          <w:rFonts w:ascii="Calibri" w:hAnsi="Calibri"/>
          <w:b/>
          <w:sz w:val="24"/>
          <w:szCs w:val="24"/>
          <w:lang w:val="en-US"/>
        </w:rPr>
        <w:t xml:space="preserve"> </w:t>
      </w:r>
      <w:r w:rsidR="008A7B4F">
        <w:rPr>
          <w:rFonts w:ascii="Calibri" w:hAnsi="Calibri"/>
          <w:bCs/>
          <w:sz w:val="24"/>
          <w:szCs w:val="24"/>
          <w:lang w:val="en-US"/>
        </w:rPr>
        <w:t>The</w:t>
      </w:r>
      <w:r w:rsidR="008A7B4F" w:rsidRPr="00C532CE">
        <w:rPr>
          <w:rFonts w:ascii="Calibri" w:hAnsi="Calibri"/>
          <w:bCs/>
          <w:sz w:val="24"/>
          <w:szCs w:val="24"/>
          <w:lang w:val="en-US"/>
        </w:rPr>
        <w:t xml:space="preserve"> sponsors </w:t>
      </w:r>
      <w:r w:rsidR="00CC4905">
        <w:rPr>
          <w:rFonts w:ascii="Calibri" w:hAnsi="Calibri"/>
          <w:bCs/>
          <w:sz w:val="24"/>
          <w:szCs w:val="24"/>
          <w:lang w:val="en-US"/>
        </w:rPr>
        <w:t>were not involved</w:t>
      </w:r>
      <w:r w:rsidR="008A7B4F" w:rsidRPr="00C532CE">
        <w:rPr>
          <w:rFonts w:ascii="Calibri" w:hAnsi="Calibri"/>
          <w:bCs/>
          <w:sz w:val="24"/>
          <w:szCs w:val="24"/>
          <w:lang w:val="en-US"/>
        </w:rPr>
        <w:t xml:space="preserve"> in the development, review or submission of this article.</w:t>
      </w:r>
    </w:p>
    <w:p w14:paraId="2D600597" w14:textId="3F6CB36D" w:rsidR="006F20FE" w:rsidRDefault="00F12A87" w:rsidP="0020414A">
      <w:pPr>
        <w:pStyle w:val="PlainText"/>
        <w:spacing w:after="240" w:line="276" w:lineRule="auto"/>
        <w:ind w:left="1134"/>
        <w:rPr>
          <w:rFonts w:ascii="Calibri" w:hAnsi="Calibri"/>
          <w:bCs/>
          <w:sz w:val="24"/>
          <w:szCs w:val="24"/>
          <w:lang w:val="en-US"/>
        </w:rPr>
      </w:pPr>
      <w:r w:rsidRPr="00C532CE">
        <w:rPr>
          <w:rFonts w:ascii="Calibri" w:hAnsi="Calibri"/>
          <w:b/>
          <w:sz w:val="24"/>
          <w:szCs w:val="24"/>
          <w:lang w:val="en-US"/>
        </w:rPr>
        <w:t xml:space="preserve">Data availability. </w:t>
      </w:r>
      <w:r w:rsidR="001A2857">
        <w:rPr>
          <w:rFonts w:ascii="Calibri" w:hAnsi="Calibri"/>
          <w:b/>
          <w:sz w:val="24"/>
          <w:szCs w:val="24"/>
          <w:lang w:val="en-US"/>
        </w:rPr>
        <w:t xml:space="preserve"> </w:t>
      </w:r>
      <w:r w:rsidRPr="00C532CE">
        <w:rPr>
          <w:rFonts w:ascii="Calibri" w:hAnsi="Calibri"/>
          <w:bCs/>
          <w:sz w:val="24"/>
          <w:szCs w:val="24"/>
          <w:lang w:val="en-US"/>
        </w:rPr>
        <w:t>All data used to support the results of this study are stored at and available from the corresponding author upon request.</w:t>
      </w:r>
    </w:p>
    <w:p w14:paraId="6DBF55AC" w14:textId="5775C56D" w:rsidR="008B7F3C" w:rsidRDefault="008B7F3C" w:rsidP="0020414A">
      <w:pPr>
        <w:pStyle w:val="PlainText"/>
        <w:spacing w:after="240" w:line="276" w:lineRule="auto"/>
        <w:ind w:left="1134"/>
        <w:rPr>
          <w:rFonts w:ascii="Calibri" w:hAnsi="Calibri"/>
          <w:bCs/>
          <w:sz w:val="24"/>
          <w:szCs w:val="24"/>
          <w:lang w:val="en-US"/>
        </w:rPr>
      </w:pPr>
      <w:r w:rsidRPr="008B7F3C">
        <w:rPr>
          <w:rFonts w:ascii="Calibri" w:hAnsi="Calibri"/>
          <w:bCs/>
          <w:sz w:val="24"/>
          <w:szCs w:val="24"/>
          <w:lang w:val="en-US"/>
        </w:rPr>
        <w:t xml:space="preserve">Written, informed consent was </w:t>
      </w:r>
      <w:r w:rsidR="000B450E">
        <w:rPr>
          <w:rFonts w:ascii="Calibri" w:hAnsi="Calibri"/>
          <w:bCs/>
          <w:sz w:val="24"/>
          <w:szCs w:val="24"/>
          <w:lang w:val="en-US"/>
        </w:rPr>
        <w:t>not required</w:t>
      </w:r>
      <w:r w:rsidR="0030258F">
        <w:rPr>
          <w:rFonts w:ascii="Calibri" w:hAnsi="Calibri"/>
          <w:bCs/>
          <w:sz w:val="24"/>
          <w:szCs w:val="24"/>
          <w:lang w:val="en-US"/>
        </w:rPr>
        <w:t xml:space="preserve"> for this study</w:t>
      </w:r>
      <w:r w:rsidRPr="008B7F3C">
        <w:rPr>
          <w:rFonts w:ascii="Calibri" w:hAnsi="Calibri"/>
          <w:bCs/>
          <w:sz w:val="24"/>
          <w:szCs w:val="24"/>
          <w:lang w:val="en-US"/>
        </w:rPr>
        <w:t>.</w:t>
      </w:r>
    </w:p>
    <w:p w14:paraId="48F3320A" w14:textId="09C4F57D" w:rsidR="009C4D2C" w:rsidRDefault="009C4D2C" w:rsidP="0020414A">
      <w:pPr>
        <w:pStyle w:val="PlainText"/>
        <w:spacing w:after="240" w:line="276" w:lineRule="auto"/>
        <w:ind w:left="1134"/>
        <w:rPr>
          <w:rFonts w:ascii="Calibri" w:hAnsi="Calibri"/>
          <w:b/>
          <w:sz w:val="24"/>
          <w:szCs w:val="24"/>
          <w:lang w:val="en-US"/>
        </w:rPr>
      </w:pPr>
      <w:r w:rsidRPr="009C4D2C">
        <w:rPr>
          <w:rFonts w:ascii="Calibri" w:hAnsi="Calibri"/>
          <w:b/>
          <w:sz w:val="24"/>
          <w:szCs w:val="24"/>
          <w:lang w:val="en-US"/>
        </w:rPr>
        <w:t>References</w:t>
      </w:r>
    </w:p>
    <w:tbl>
      <w:tblPr>
        <w:tblStyle w:val="TableGrid4"/>
        <w:tblpPr w:leftFromText="180" w:rightFromText="180" w:vertAnchor="text" w:horzAnchor="page" w:tblpX="2035" w:tblpY="1"/>
        <w:tblW w:w="8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792"/>
      </w:tblGrid>
      <w:tr w:rsidR="00EB07ED" w:rsidRPr="006E2DA6" w14:paraId="51BB3146" w14:textId="77777777" w:rsidTr="00EB07ED">
        <w:trPr>
          <w:trHeight w:val="20"/>
        </w:trPr>
        <w:tc>
          <w:tcPr>
            <w:tcW w:w="709" w:type="dxa"/>
          </w:tcPr>
          <w:p w14:paraId="1E0C8981" w14:textId="3C984007" w:rsidR="00EB07ED" w:rsidRDefault="00EB07ED" w:rsidP="007328AD">
            <w:pPr>
              <w:jc w:val="right"/>
              <w:rPr>
                <w:rFonts w:cs="Calibri"/>
                <w:bCs/>
                <w:lang w:val="en-GB"/>
              </w:rPr>
            </w:pPr>
            <w:r>
              <w:rPr>
                <w:rFonts w:cs="Calibri"/>
                <w:bCs/>
                <w:lang w:val="en-GB"/>
              </w:rPr>
              <w:t>1.</w:t>
            </w:r>
          </w:p>
        </w:tc>
        <w:tc>
          <w:tcPr>
            <w:tcW w:w="7792" w:type="dxa"/>
          </w:tcPr>
          <w:p w14:paraId="0CCA8E21" w14:textId="1E60FE71" w:rsidR="00EB07ED" w:rsidRPr="006E2DA6" w:rsidRDefault="00EB07ED" w:rsidP="007328AD">
            <w:pPr>
              <w:rPr>
                <w:rFonts w:cs="Calibri"/>
                <w:bCs/>
                <w:lang w:val="en-GB"/>
              </w:rPr>
            </w:pPr>
            <w:r w:rsidRPr="00F3699E">
              <w:rPr>
                <w:rFonts w:cs="Calibri"/>
                <w:bCs/>
                <w:lang w:val="en-GB"/>
              </w:rPr>
              <w:t>Chandran M, Lau TC, Gagnon-</w:t>
            </w:r>
            <w:proofErr w:type="spellStart"/>
            <w:r w:rsidRPr="00F3699E">
              <w:rPr>
                <w:rFonts w:cs="Calibri"/>
                <w:bCs/>
                <w:lang w:val="en-GB"/>
              </w:rPr>
              <w:t>Arpin</w:t>
            </w:r>
            <w:proofErr w:type="spellEnd"/>
            <w:r w:rsidRPr="00F3699E">
              <w:rPr>
                <w:rFonts w:cs="Calibri"/>
                <w:bCs/>
                <w:lang w:val="en-GB"/>
              </w:rPr>
              <w:t xml:space="preserve"> I, </w:t>
            </w:r>
            <w:proofErr w:type="spellStart"/>
            <w:r w:rsidRPr="00F3699E">
              <w:rPr>
                <w:rFonts w:cs="Calibri"/>
                <w:bCs/>
                <w:lang w:val="en-GB"/>
              </w:rPr>
              <w:t>Dobrescu</w:t>
            </w:r>
            <w:proofErr w:type="spellEnd"/>
            <w:r w:rsidRPr="00F3699E">
              <w:rPr>
                <w:rFonts w:cs="Calibri"/>
                <w:bCs/>
                <w:lang w:val="en-GB"/>
              </w:rPr>
              <w:t xml:space="preserve"> A, Li W, Leung MYM, Patil N, Zhao Z</w:t>
            </w:r>
            <w:r>
              <w:rPr>
                <w:rFonts w:cs="Calibri"/>
                <w:bCs/>
                <w:lang w:val="en-GB"/>
              </w:rPr>
              <w:t xml:space="preserve"> (2019)</w:t>
            </w:r>
            <w:r>
              <w:t xml:space="preserve"> </w:t>
            </w:r>
            <w:r w:rsidRPr="001B5CD0">
              <w:rPr>
                <w:rFonts w:cs="Calibri"/>
                <w:bCs/>
                <w:lang w:val="en-GB"/>
              </w:rPr>
              <w:t>The health and economic burden of osteoporotic fractures in Singapore and the potential impact of increasing treatment rates through more pharmacological options.</w:t>
            </w:r>
            <w:r>
              <w:rPr>
                <w:rFonts w:cs="Calibri"/>
                <w:bCs/>
                <w:lang w:val="en-GB"/>
              </w:rPr>
              <w:t xml:space="preserve"> </w:t>
            </w:r>
            <w:r w:rsidRPr="00F3699E">
              <w:rPr>
                <w:rFonts w:cs="Calibri"/>
                <w:bCs/>
                <w:lang w:val="en-GB"/>
              </w:rPr>
              <w:t>Arch Osteoporos</w:t>
            </w:r>
            <w:r>
              <w:rPr>
                <w:rFonts w:cs="Calibri"/>
                <w:bCs/>
                <w:lang w:val="en-GB"/>
              </w:rPr>
              <w:t xml:space="preserve"> </w:t>
            </w:r>
            <w:r w:rsidRPr="00F3699E">
              <w:rPr>
                <w:rFonts w:cs="Calibri"/>
                <w:bCs/>
                <w:lang w:val="en-GB"/>
              </w:rPr>
              <w:t>14:</w:t>
            </w:r>
            <w:r>
              <w:rPr>
                <w:rFonts w:cs="Calibri"/>
                <w:bCs/>
                <w:lang w:val="en-GB"/>
              </w:rPr>
              <w:t xml:space="preserve"> </w:t>
            </w:r>
            <w:r w:rsidRPr="00F3699E">
              <w:rPr>
                <w:rFonts w:cs="Calibri"/>
                <w:bCs/>
                <w:lang w:val="en-GB"/>
              </w:rPr>
              <w:t>114. doi: 10.1007/s11657-019-0664-4.</w:t>
            </w:r>
          </w:p>
        </w:tc>
      </w:tr>
      <w:tr w:rsidR="00EB07ED" w:rsidRPr="006E2DA6" w14:paraId="439038CD" w14:textId="77777777" w:rsidTr="00EB07ED">
        <w:trPr>
          <w:trHeight w:val="20"/>
        </w:trPr>
        <w:tc>
          <w:tcPr>
            <w:tcW w:w="709" w:type="dxa"/>
          </w:tcPr>
          <w:p w14:paraId="50ED9123" w14:textId="37DD19DF" w:rsidR="00EB07ED" w:rsidRDefault="00EB07ED" w:rsidP="007328AD">
            <w:pPr>
              <w:jc w:val="right"/>
              <w:rPr>
                <w:rFonts w:cs="Calibri"/>
                <w:bCs/>
                <w:lang w:val="en-GB"/>
              </w:rPr>
            </w:pPr>
            <w:r>
              <w:rPr>
                <w:rFonts w:cs="Calibri"/>
                <w:bCs/>
                <w:lang w:val="en-GB"/>
              </w:rPr>
              <w:t>2.</w:t>
            </w:r>
          </w:p>
        </w:tc>
        <w:tc>
          <w:tcPr>
            <w:tcW w:w="7792" w:type="dxa"/>
          </w:tcPr>
          <w:p w14:paraId="05EBD67D" w14:textId="17258783" w:rsidR="00EB07ED" w:rsidRPr="00F3699E" w:rsidRDefault="00EB07ED" w:rsidP="007328AD">
            <w:pPr>
              <w:rPr>
                <w:rFonts w:cs="Calibri"/>
                <w:bCs/>
                <w:lang w:val="en-GB"/>
              </w:rPr>
            </w:pPr>
            <w:r w:rsidRPr="006E2DA6">
              <w:rPr>
                <w:rFonts w:ascii="Calibri" w:hAnsi="Calibri" w:cs="Calibri"/>
                <w:bCs/>
                <w:lang w:val="en-GB"/>
              </w:rPr>
              <w:t xml:space="preserve">Hernlund E, </w:t>
            </w:r>
            <w:proofErr w:type="spellStart"/>
            <w:r w:rsidRPr="006E2DA6">
              <w:rPr>
                <w:rFonts w:ascii="Calibri" w:hAnsi="Calibri" w:cs="Calibri"/>
                <w:bCs/>
                <w:lang w:val="en-GB"/>
              </w:rPr>
              <w:t>Svedbom</w:t>
            </w:r>
            <w:proofErr w:type="spellEnd"/>
            <w:r w:rsidRPr="006E2DA6">
              <w:rPr>
                <w:rFonts w:ascii="Calibri" w:hAnsi="Calibri" w:cs="Calibri"/>
                <w:bCs/>
                <w:lang w:val="en-GB"/>
              </w:rPr>
              <w:t xml:space="preserve"> A, </w:t>
            </w:r>
            <w:proofErr w:type="spellStart"/>
            <w:r w:rsidRPr="006E2DA6">
              <w:rPr>
                <w:rFonts w:ascii="Calibri" w:hAnsi="Calibri" w:cs="Calibri"/>
                <w:bCs/>
                <w:lang w:val="en-GB"/>
              </w:rPr>
              <w:t>Ivergård</w:t>
            </w:r>
            <w:proofErr w:type="spellEnd"/>
            <w:r w:rsidRPr="006E2DA6">
              <w:rPr>
                <w:rFonts w:ascii="Calibri" w:hAnsi="Calibri" w:cs="Calibri"/>
                <w:bCs/>
                <w:lang w:val="en-GB"/>
              </w:rPr>
              <w:t xml:space="preserve"> M </w:t>
            </w:r>
            <w:proofErr w:type="spellStart"/>
            <w:r w:rsidRPr="006E2DA6">
              <w:rPr>
                <w:rFonts w:ascii="Calibri" w:hAnsi="Calibri" w:cs="Calibri"/>
                <w:bCs/>
                <w:lang w:val="en-GB"/>
              </w:rPr>
              <w:t>Compston</w:t>
            </w:r>
            <w:proofErr w:type="spellEnd"/>
            <w:r w:rsidRPr="006E2DA6">
              <w:rPr>
                <w:rFonts w:ascii="Calibri" w:hAnsi="Calibri" w:cs="Calibri"/>
                <w:bCs/>
                <w:lang w:val="en-GB"/>
              </w:rPr>
              <w:t xml:space="preserve"> J, Cooper C, Stenmark J, McCloskey EV, Jönsson B, Kanis JA (2013) Osteoporosis in the European Union: Medical Management, Epidemiology and Economic Burden. A report prepared in collaboration with the International Osteoporosis Foundation (IOF) and the </w:t>
            </w:r>
            <w:r w:rsidRPr="006E2DA6">
              <w:rPr>
                <w:rFonts w:ascii="Calibri" w:hAnsi="Calibri" w:cs="Calibri"/>
                <w:bCs/>
                <w:lang w:val="en-GB"/>
              </w:rPr>
              <w:lastRenderedPageBreak/>
              <w:t>European Federation of Pharmaceutical Industry Associations (EFPIA).</w:t>
            </w:r>
            <w:r>
              <w:rPr>
                <w:rFonts w:ascii="Calibri" w:hAnsi="Calibri" w:cs="Calibri"/>
                <w:bCs/>
                <w:lang w:val="en-GB"/>
              </w:rPr>
              <w:t xml:space="preserve"> </w:t>
            </w:r>
            <w:r w:rsidRPr="006E2DA6">
              <w:rPr>
                <w:rFonts w:ascii="Calibri" w:hAnsi="Calibri" w:cs="Calibri"/>
                <w:bCs/>
                <w:lang w:val="en-GB"/>
              </w:rPr>
              <w:t xml:space="preserve"> Arch Osteoporos 8:136.</w:t>
            </w:r>
            <w:r>
              <w:rPr>
                <w:rFonts w:ascii="Calibri" w:hAnsi="Calibri" w:cs="Calibri"/>
                <w:bCs/>
                <w:lang w:val="en-GB"/>
              </w:rPr>
              <w:t xml:space="preserve">  </w:t>
            </w:r>
          </w:p>
        </w:tc>
      </w:tr>
      <w:tr w:rsidR="00EB07ED" w:rsidRPr="006E2DA6" w14:paraId="245406E6" w14:textId="77777777" w:rsidTr="00EB07ED">
        <w:trPr>
          <w:trHeight w:val="20"/>
        </w:trPr>
        <w:tc>
          <w:tcPr>
            <w:tcW w:w="709" w:type="dxa"/>
          </w:tcPr>
          <w:p w14:paraId="068C7C19" w14:textId="383644DF" w:rsidR="00EB07ED" w:rsidRDefault="00EB07ED" w:rsidP="007328AD">
            <w:pPr>
              <w:jc w:val="right"/>
              <w:rPr>
                <w:rFonts w:cs="Calibri"/>
              </w:rPr>
            </w:pPr>
            <w:r>
              <w:rPr>
                <w:rFonts w:cs="Calibri"/>
              </w:rPr>
              <w:lastRenderedPageBreak/>
              <w:t>3.</w:t>
            </w:r>
          </w:p>
        </w:tc>
        <w:tc>
          <w:tcPr>
            <w:tcW w:w="7792" w:type="dxa"/>
          </w:tcPr>
          <w:p w14:paraId="7D183271" w14:textId="15CC7101" w:rsidR="00EB07ED" w:rsidRPr="006E2DA6" w:rsidRDefault="00EB07ED" w:rsidP="007328AD">
            <w:pPr>
              <w:rPr>
                <w:rFonts w:ascii="Calibri" w:hAnsi="Calibri" w:cs="Calibri"/>
                <w:bCs/>
                <w:lang w:val="en-GB"/>
              </w:rPr>
            </w:pPr>
            <w:r w:rsidRPr="006E2DA6">
              <w:rPr>
                <w:rFonts w:ascii="Calibri" w:hAnsi="Calibri" w:cs="Calibri"/>
                <w:lang w:val="en-GB"/>
              </w:rPr>
              <w:t xml:space="preserve">Johnell O and Kanis JA (2006) An estimate of the worldwide prevalence and disability associated with osteoporotic fractures. </w:t>
            </w:r>
            <w:r>
              <w:rPr>
                <w:rFonts w:ascii="Calibri" w:hAnsi="Calibri" w:cs="Calibri"/>
                <w:lang w:val="en-GB"/>
              </w:rPr>
              <w:t xml:space="preserve"> </w:t>
            </w:r>
            <w:r w:rsidRPr="006E2DA6">
              <w:rPr>
                <w:rFonts w:ascii="Calibri" w:hAnsi="Calibri" w:cs="Calibri"/>
              </w:rPr>
              <w:t>Osteoporos Int 17:1726-33.</w:t>
            </w:r>
          </w:p>
        </w:tc>
      </w:tr>
      <w:tr w:rsidR="00EB07ED" w:rsidRPr="006E2DA6" w14:paraId="2E7096C4" w14:textId="77777777" w:rsidTr="00EB07ED">
        <w:trPr>
          <w:trHeight w:val="20"/>
        </w:trPr>
        <w:tc>
          <w:tcPr>
            <w:tcW w:w="709" w:type="dxa"/>
          </w:tcPr>
          <w:p w14:paraId="29ABD410" w14:textId="14FCF615" w:rsidR="00EB07ED" w:rsidRDefault="00EB07ED" w:rsidP="007328AD">
            <w:pPr>
              <w:jc w:val="right"/>
              <w:rPr>
                <w:rFonts w:cs="Calibri"/>
              </w:rPr>
            </w:pPr>
            <w:r>
              <w:rPr>
                <w:rFonts w:cs="Calibri"/>
              </w:rPr>
              <w:t>4.</w:t>
            </w:r>
          </w:p>
        </w:tc>
        <w:tc>
          <w:tcPr>
            <w:tcW w:w="7792" w:type="dxa"/>
          </w:tcPr>
          <w:p w14:paraId="50A393F9" w14:textId="77777777" w:rsidR="00EB07ED" w:rsidRPr="006E2DA6" w:rsidRDefault="00EB07ED" w:rsidP="007328AD">
            <w:pPr>
              <w:rPr>
                <w:rFonts w:ascii="Calibri" w:hAnsi="Calibri" w:cs="Calibri"/>
                <w:bCs/>
                <w:lang w:val="en-GB"/>
              </w:rPr>
            </w:pPr>
            <w:r w:rsidRPr="006E2DA6">
              <w:rPr>
                <w:rFonts w:ascii="Calibri" w:hAnsi="Calibri" w:cs="Calibri"/>
                <w:lang w:val="en-GB"/>
              </w:rPr>
              <w:t xml:space="preserve">Kanis JA, Cooper C, Rizzoli R, Reginster J-Y; Scientific Advisory Board of the European Society for Clinical and Economic Aspects of Osteoporosis (ESCEO) and the Committees of Scientific Advisors and National Societies of the International Osteoporosis Foundation (IOF) (2019) European guidance for the diagnosis and management of osteoporosis in postmenopausal women.  </w:t>
            </w:r>
            <w:r w:rsidRPr="006E2DA6">
              <w:rPr>
                <w:rFonts w:ascii="Calibri" w:hAnsi="Calibri" w:cs="Calibri"/>
              </w:rPr>
              <w:t xml:space="preserve">Osteoporos Int 30: 3-44.   </w:t>
            </w:r>
          </w:p>
        </w:tc>
      </w:tr>
      <w:tr w:rsidR="00EB07ED" w:rsidRPr="006E2DA6" w14:paraId="280DEBAF" w14:textId="77777777" w:rsidTr="00EB07ED">
        <w:trPr>
          <w:trHeight w:val="20"/>
        </w:trPr>
        <w:tc>
          <w:tcPr>
            <w:tcW w:w="709" w:type="dxa"/>
          </w:tcPr>
          <w:p w14:paraId="67C4A170" w14:textId="477939A7" w:rsidR="00EB07ED" w:rsidRDefault="00EB07ED" w:rsidP="007328AD">
            <w:pPr>
              <w:jc w:val="right"/>
              <w:rPr>
                <w:rFonts w:cs="Calibri"/>
              </w:rPr>
            </w:pPr>
            <w:r>
              <w:rPr>
                <w:rFonts w:cs="Calibri"/>
              </w:rPr>
              <w:t>5.</w:t>
            </w:r>
          </w:p>
        </w:tc>
        <w:tc>
          <w:tcPr>
            <w:tcW w:w="7792" w:type="dxa"/>
          </w:tcPr>
          <w:p w14:paraId="724A50E2" w14:textId="31FF30E5" w:rsidR="00EB07ED" w:rsidRPr="006E2DA6" w:rsidRDefault="00EB07ED" w:rsidP="007328AD">
            <w:pPr>
              <w:rPr>
                <w:rFonts w:ascii="Calibri" w:hAnsi="Calibri" w:cs="Calibri"/>
                <w:bCs/>
                <w:lang w:val="en-GB"/>
              </w:rPr>
            </w:pPr>
            <w:r w:rsidRPr="006E2DA6">
              <w:rPr>
                <w:rFonts w:ascii="Calibri" w:hAnsi="Calibri" w:cs="Calibri"/>
                <w:lang w:val="en-GB"/>
              </w:rPr>
              <w:t xml:space="preserve">Kanis JA on behalf of the World Health Organization Scientific Group (2008) Assessment of osteoporosis at the primary healthcare level. Technical Report. WHO Collaborating Centre, University of Sheffield, UK. Available </w:t>
            </w:r>
            <w:proofErr w:type="gramStart"/>
            <w:r w:rsidRPr="006E2DA6">
              <w:rPr>
                <w:rFonts w:ascii="Calibri" w:hAnsi="Calibri" w:cs="Calibri"/>
                <w:lang w:val="en-GB"/>
              </w:rPr>
              <w:t>at .</w:t>
            </w:r>
            <w:proofErr w:type="gramEnd"/>
            <w:r w:rsidRPr="006E2DA6">
              <w:rPr>
                <w:rFonts w:ascii="Calibri" w:hAnsi="Calibri" w:cs="Calibri"/>
                <w:lang w:val="en-GB"/>
              </w:rPr>
              <w:t xml:space="preserve"> </w:t>
            </w:r>
            <w:hyperlink r:id="rId12" w:history="1">
              <w:r w:rsidRPr="006E2DA6">
                <w:rPr>
                  <w:rFonts w:ascii="Calibri" w:hAnsi="Calibri" w:cs="Calibri"/>
                  <w:u w:val="single"/>
                </w:rPr>
                <w:t>http://www.shef.ac.uk/FRAX/pdfs/WHO_Technical_Report.pdf</w:t>
              </w:r>
            </w:hyperlink>
            <w:r w:rsidRPr="006E2DA6">
              <w:rPr>
                <w:rFonts w:ascii="Calibri" w:hAnsi="Calibri" w:cs="Calibri"/>
              </w:rPr>
              <w:t>. Accessed 26 Feb 2019</w:t>
            </w:r>
          </w:p>
        </w:tc>
      </w:tr>
      <w:tr w:rsidR="00EB07ED" w:rsidRPr="006E2DA6" w14:paraId="4757CC76" w14:textId="77777777" w:rsidTr="00EB07ED">
        <w:trPr>
          <w:trHeight w:val="20"/>
        </w:trPr>
        <w:tc>
          <w:tcPr>
            <w:tcW w:w="709" w:type="dxa"/>
          </w:tcPr>
          <w:p w14:paraId="7CE3642F" w14:textId="10A59416" w:rsidR="00EB07ED" w:rsidRDefault="00EB07ED" w:rsidP="007328AD">
            <w:pPr>
              <w:jc w:val="right"/>
              <w:rPr>
                <w:rFonts w:cs="Calibri"/>
              </w:rPr>
            </w:pPr>
            <w:r>
              <w:rPr>
                <w:rFonts w:cs="Calibri"/>
              </w:rPr>
              <w:t>6.</w:t>
            </w:r>
          </w:p>
        </w:tc>
        <w:tc>
          <w:tcPr>
            <w:tcW w:w="7792" w:type="dxa"/>
          </w:tcPr>
          <w:p w14:paraId="1F7ADC07" w14:textId="4BE8833A" w:rsidR="00EB07ED" w:rsidRPr="006E2DA6" w:rsidRDefault="00EB07ED" w:rsidP="007328AD">
            <w:pPr>
              <w:rPr>
                <w:rFonts w:ascii="Calibri" w:hAnsi="Calibri" w:cs="Calibri"/>
                <w:bCs/>
                <w:lang w:val="en-GB"/>
              </w:rPr>
            </w:pPr>
            <w:r w:rsidRPr="006E2DA6">
              <w:rPr>
                <w:rFonts w:ascii="Calibri" w:hAnsi="Calibri" w:cs="Calibri"/>
                <w:lang w:val="en-GB"/>
              </w:rPr>
              <w:t xml:space="preserve">Kanis JA, Johnell O, Oden A, Johansson H, McCloskey E (2008) FRAX™ and the assessment of fracture probability in men and women from the UK. </w:t>
            </w:r>
            <w:r>
              <w:rPr>
                <w:rFonts w:ascii="Calibri" w:hAnsi="Calibri" w:cs="Calibri"/>
                <w:lang w:val="en-GB"/>
              </w:rPr>
              <w:t xml:space="preserve"> </w:t>
            </w:r>
            <w:r w:rsidRPr="006E2DA6">
              <w:rPr>
                <w:rFonts w:ascii="Calibri" w:hAnsi="Calibri" w:cs="Calibri"/>
              </w:rPr>
              <w:t>Osteoporos Int 19: 385-397</w:t>
            </w:r>
          </w:p>
        </w:tc>
      </w:tr>
      <w:tr w:rsidR="00EB07ED" w:rsidRPr="006E2DA6" w14:paraId="564A088E" w14:textId="77777777" w:rsidTr="00EB07ED">
        <w:trPr>
          <w:trHeight w:val="20"/>
        </w:trPr>
        <w:tc>
          <w:tcPr>
            <w:tcW w:w="709" w:type="dxa"/>
          </w:tcPr>
          <w:p w14:paraId="2ECBF4FA" w14:textId="3B2ED05B" w:rsidR="00EB07ED" w:rsidRDefault="00EB07ED" w:rsidP="007328AD">
            <w:pPr>
              <w:jc w:val="right"/>
              <w:rPr>
                <w:rFonts w:cs="Calibri"/>
              </w:rPr>
            </w:pPr>
            <w:r>
              <w:rPr>
                <w:rFonts w:cs="Calibri"/>
              </w:rPr>
              <w:t>7.</w:t>
            </w:r>
          </w:p>
        </w:tc>
        <w:tc>
          <w:tcPr>
            <w:tcW w:w="7792" w:type="dxa"/>
          </w:tcPr>
          <w:p w14:paraId="517A277F" w14:textId="0ABEA683" w:rsidR="00EB07ED" w:rsidRPr="006E2DA6" w:rsidRDefault="00EB07ED" w:rsidP="007328AD">
            <w:pPr>
              <w:rPr>
                <w:rFonts w:ascii="Calibri" w:hAnsi="Calibri" w:cs="Calibri"/>
                <w:bCs/>
                <w:lang w:val="en-GB"/>
              </w:rPr>
            </w:pPr>
            <w:r w:rsidRPr="006E2DA6">
              <w:rPr>
                <w:rFonts w:ascii="Calibri" w:hAnsi="Calibri" w:cs="Calibri"/>
                <w:lang w:val="en-GB"/>
              </w:rPr>
              <w:t xml:space="preserve">Odén A, McCloskey EV, Kanis JA, Harvey NC, Johansson H (2015) Burden of high fracture probability worldwide: secular increases 2010-2040. </w:t>
            </w:r>
            <w:r>
              <w:rPr>
                <w:rFonts w:ascii="Calibri" w:hAnsi="Calibri" w:cs="Calibri"/>
                <w:lang w:val="en-GB"/>
              </w:rPr>
              <w:t xml:space="preserve"> </w:t>
            </w:r>
            <w:r w:rsidRPr="006E2DA6">
              <w:rPr>
                <w:rFonts w:ascii="Calibri" w:hAnsi="Calibri" w:cs="Calibri"/>
              </w:rPr>
              <w:t>Osteoporos Int 26:2243–2248</w:t>
            </w:r>
          </w:p>
        </w:tc>
      </w:tr>
      <w:tr w:rsidR="00EB07ED" w:rsidRPr="006E2DA6" w14:paraId="633599C5" w14:textId="77777777" w:rsidTr="00EB07ED">
        <w:trPr>
          <w:trHeight w:val="20"/>
        </w:trPr>
        <w:tc>
          <w:tcPr>
            <w:tcW w:w="709" w:type="dxa"/>
          </w:tcPr>
          <w:p w14:paraId="0DE1B762" w14:textId="0DFC0E06" w:rsidR="00EB07ED" w:rsidRDefault="00EB07ED" w:rsidP="007328AD">
            <w:pPr>
              <w:jc w:val="right"/>
              <w:rPr>
                <w:rFonts w:cs="Calibri"/>
              </w:rPr>
            </w:pPr>
            <w:r>
              <w:rPr>
                <w:rFonts w:cs="Calibri"/>
              </w:rPr>
              <w:t>8.</w:t>
            </w:r>
          </w:p>
        </w:tc>
        <w:tc>
          <w:tcPr>
            <w:tcW w:w="7792" w:type="dxa"/>
          </w:tcPr>
          <w:p w14:paraId="073A50AC" w14:textId="4F0697D3" w:rsidR="00EB07ED" w:rsidRPr="006E2DA6" w:rsidRDefault="00EB07ED" w:rsidP="007328AD">
            <w:pPr>
              <w:rPr>
                <w:rFonts w:ascii="Calibri" w:hAnsi="Calibri" w:cs="Calibri"/>
                <w:bCs/>
                <w:lang w:val="en-GB"/>
              </w:rPr>
            </w:pPr>
            <w:r w:rsidRPr="006E2DA6">
              <w:rPr>
                <w:rFonts w:ascii="Calibri" w:hAnsi="Calibri" w:cs="Calibri"/>
                <w:lang w:val="en-GB"/>
              </w:rPr>
              <w:t xml:space="preserve">Kanis JA, Harvey NC, Cyrus Cooper C, Johansson H, Odén A, McCloskey EV, the Advisory Board of the National Osteoporosis Guideline Group (2016) A systematic review of intervention thresholds based on FRAX. A report prepared for the National Osteoporosis Guideline Group and the International Osteoporosis Foundation. </w:t>
            </w:r>
            <w:r>
              <w:rPr>
                <w:rFonts w:ascii="Calibri" w:hAnsi="Calibri" w:cs="Calibri"/>
                <w:lang w:val="en-GB"/>
              </w:rPr>
              <w:t xml:space="preserve"> </w:t>
            </w:r>
            <w:r w:rsidRPr="006E2DA6">
              <w:rPr>
                <w:rFonts w:ascii="Calibri" w:hAnsi="Calibri" w:cs="Calibri"/>
              </w:rPr>
              <w:t>Arch Osteoporos 11:25.</w:t>
            </w:r>
          </w:p>
        </w:tc>
      </w:tr>
      <w:tr w:rsidR="00EB07ED" w:rsidRPr="006E2DA6" w14:paraId="060F4B0C" w14:textId="77777777" w:rsidTr="00EB07ED">
        <w:trPr>
          <w:trHeight w:val="20"/>
        </w:trPr>
        <w:tc>
          <w:tcPr>
            <w:tcW w:w="709" w:type="dxa"/>
          </w:tcPr>
          <w:p w14:paraId="363576E0" w14:textId="19B2C34A" w:rsidR="00EB07ED" w:rsidRDefault="00EB07ED" w:rsidP="007328AD">
            <w:pPr>
              <w:jc w:val="right"/>
              <w:rPr>
                <w:rFonts w:cs="Calibri"/>
                <w:bCs/>
                <w:lang w:val="en-GB"/>
              </w:rPr>
            </w:pPr>
            <w:r>
              <w:rPr>
                <w:rFonts w:cs="Calibri"/>
                <w:bCs/>
                <w:lang w:val="en-GB"/>
              </w:rPr>
              <w:t>9.</w:t>
            </w:r>
          </w:p>
        </w:tc>
        <w:tc>
          <w:tcPr>
            <w:tcW w:w="7792" w:type="dxa"/>
          </w:tcPr>
          <w:p w14:paraId="6518DE26" w14:textId="5ED865CB" w:rsidR="00EB07ED" w:rsidRPr="006E2DA6" w:rsidRDefault="00EB07ED" w:rsidP="007328AD">
            <w:pPr>
              <w:rPr>
                <w:rFonts w:ascii="Calibri" w:hAnsi="Calibri" w:cs="Calibri"/>
                <w:lang w:val="en-GB"/>
              </w:rPr>
            </w:pPr>
            <w:r w:rsidRPr="006E2DA6">
              <w:rPr>
                <w:rFonts w:ascii="Calibri" w:hAnsi="Calibri" w:cs="Calibri"/>
                <w:lang w:val="en-GB"/>
              </w:rPr>
              <w:t xml:space="preserve">Agency for care effectiveness (2018) Osteoporosis – identification and management in primary care.  Available at </w:t>
            </w:r>
            <w:hyperlink r:id="rId13" w:history="1">
              <w:r w:rsidRPr="006E2DA6">
                <w:rPr>
                  <w:rStyle w:val="Hyperlink"/>
                  <w:rFonts w:ascii="Calibri" w:hAnsi="Calibri" w:cs="Calibri"/>
                  <w:lang w:val="en-GB"/>
                </w:rPr>
                <w:t>http://www.ace-hta.gov.sg/our-guidance/osteoporosis-identification-and-management-in-primary-care.html</w:t>
              </w:r>
            </w:hyperlink>
            <w:r w:rsidRPr="006E2DA6">
              <w:rPr>
                <w:rFonts w:ascii="Calibri" w:hAnsi="Calibri" w:cs="Calibri"/>
                <w:lang w:val="en-GB"/>
              </w:rPr>
              <w:t xml:space="preserve"> Accessed 22 Dec 2019</w:t>
            </w:r>
          </w:p>
        </w:tc>
      </w:tr>
      <w:tr w:rsidR="00EB07ED" w:rsidRPr="006E2DA6" w14:paraId="69DD6D64" w14:textId="77777777" w:rsidTr="00EB07ED">
        <w:trPr>
          <w:trHeight w:val="20"/>
        </w:trPr>
        <w:tc>
          <w:tcPr>
            <w:tcW w:w="709" w:type="dxa"/>
          </w:tcPr>
          <w:p w14:paraId="47B97467" w14:textId="79FAAFD1" w:rsidR="00EB07ED" w:rsidRDefault="00EB07ED" w:rsidP="007328AD">
            <w:pPr>
              <w:jc w:val="right"/>
              <w:rPr>
                <w:rFonts w:cs="Calibri"/>
                <w:bCs/>
                <w:lang w:val="en-GB"/>
              </w:rPr>
            </w:pPr>
            <w:r>
              <w:rPr>
                <w:rFonts w:cs="Calibri"/>
                <w:bCs/>
                <w:lang w:val="en-GB"/>
              </w:rPr>
              <w:t>10.</w:t>
            </w:r>
          </w:p>
        </w:tc>
        <w:tc>
          <w:tcPr>
            <w:tcW w:w="7792" w:type="dxa"/>
          </w:tcPr>
          <w:p w14:paraId="0FA93831" w14:textId="77777777" w:rsidR="00EB07ED" w:rsidRPr="006E2DA6" w:rsidRDefault="00EB07ED" w:rsidP="007328AD">
            <w:pPr>
              <w:rPr>
                <w:rFonts w:ascii="Calibri" w:hAnsi="Calibri" w:cs="Calibri"/>
                <w:bCs/>
                <w:lang w:val="en-GB"/>
              </w:rPr>
            </w:pPr>
            <w:proofErr w:type="spellStart"/>
            <w:r w:rsidRPr="006E2DA6">
              <w:rPr>
                <w:rFonts w:ascii="Calibri" w:hAnsi="Calibri" w:cs="Calibri"/>
                <w:bCs/>
                <w:lang w:val="en-GB"/>
              </w:rPr>
              <w:t>Hankin</w:t>
            </w:r>
            <w:proofErr w:type="spellEnd"/>
            <w:r w:rsidRPr="006E2DA6">
              <w:rPr>
                <w:rFonts w:ascii="Calibri" w:hAnsi="Calibri" w:cs="Calibri"/>
                <w:bCs/>
                <w:lang w:val="en-GB"/>
              </w:rPr>
              <w:t xml:space="preserve"> JH, </w:t>
            </w:r>
            <w:proofErr w:type="spellStart"/>
            <w:r w:rsidRPr="006E2DA6">
              <w:rPr>
                <w:rFonts w:ascii="Calibri" w:hAnsi="Calibri" w:cs="Calibri"/>
                <w:bCs/>
                <w:lang w:val="en-GB"/>
              </w:rPr>
              <w:t>Stram</w:t>
            </w:r>
            <w:proofErr w:type="spellEnd"/>
            <w:r w:rsidRPr="006E2DA6">
              <w:rPr>
                <w:rFonts w:ascii="Calibri" w:hAnsi="Calibri" w:cs="Calibri"/>
                <w:bCs/>
                <w:lang w:val="en-GB"/>
              </w:rPr>
              <w:t xml:space="preserve"> DO, Arakawa K, Park S, Low S-H, Lee H-P, et al (2001) Singapore Chinese health study: development, validation, and calibration of the quantitative food frequency questionnaire. </w:t>
            </w:r>
            <w:proofErr w:type="spellStart"/>
            <w:r w:rsidRPr="006E2DA6">
              <w:rPr>
                <w:rFonts w:ascii="Calibri" w:hAnsi="Calibri" w:cs="Calibri"/>
                <w:bCs/>
                <w:lang w:val="en-GB"/>
              </w:rPr>
              <w:t>Nutr</w:t>
            </w:r>
            <w:proofErr w:type="spellEnd"/>
            <w:r w:rsidRPr="006E2DA6">
              <w:rPr>
                <w:rFonts w:ascii="Calibri" w:hAnsi="Calibri" w:cs="Calibri"/>
                <w:bCs/>
                <w:lang w:val="en-GB"/>
              </w:rPr>
              <w:t xml:space="preserve"> Cancer 39: 187–95</w:t>
            </w:r>
          </w:p>
        </w:tc>
      </w:tr>
      <w:tr w:rsidR="00EB07ED" w:rsidRPr="006E2DA6" w14:paraId="54357F7A" w14:textId="77777777" w:rsidTr="00EB07ED">
        <w:trPr>
          <w:trHeight w:val="20"/>
        </w:trPr>
        <w:tc>
          <w:tcPr>
            <w:tcW w:w="709" w:type="dxa"/>
          </w:tcPr>
          <w:p w14:paraId="0BC7245E" w14:textId="2137DF23" w:rsidR="00EB07ED" w:rsidRDefault="00EB07ED" w:rsidP="007328AD">
            <w:pPr>
              <w:jc w:val="right"/>
              <w:rPr>
                <w:rFonts w:cs="Calibri"/>
                <w:bCs/>
                <w:lang w:val="en-GB"/>
              </w:rPr>
            </w:pPr>
            <w:r>
              <w:rPr>
                <w:rFonts w:cs="Calibri"/>
                <w:bCs/>
                <w:lang w:val="en-GB"/>
              </w:rPr>
              <w:t>11.</w:t>
            </w:r>
          </w:p>
        </w:tc>
        <w:tc>
          <w:tcPr>
            <w:tcW w:w="7792" w:type="dxa"/>
          </w:tcPr>
          <w:p w14:paraId="41D2EF5C" w14:textId="4C6B9DF2" w:rsidR="00EB07ED" w:rsidRPr="006E2DA6" w:rsidRDefault="00EB07ED" w:rsidP="007328AD">
            <w:pPr>
              <w:rPr>
                <w:rFonts w:ascii="Calibri" w:hAnsi="Calibri" w:cs="Calibri"/>
                <w:bCs/>
                <w:lang w:val="en-GB"/>
              </w:rPr>
            </w:pPr>
            <w:r w:rsidRPr="00120EA6">
              <w:rPr>
                <w:rFonts w:ascii="Calibri" w:hAnsi="Calibri" w:cs="Calibri"/>
                <w:bCs/>
                <w:lang w:val="en-GB"/>
              </w:rPr>
              <w:t>Dai Z, Wang R, Ang LW, Low YL, Yuan JM, Koh WP</w:t>
            </w:r>
            <w:r>
              <w:rPr>
                <w:rFonts w:ascii="Calibri" w:hAnsi="Calibri" w:cs="Calibri"/>
                <w:bCs/>
                <w:lang w:val="en-GB"/>
              </w:rPr>
              <w:t xml:space="preserve"> (2014) </w:t>
            </w:r>
            <w:r w:rsidRPr="00120EA6">
              <w:rPr>
                <w:rFonts w:ascii="Calibri" w:hAnsi="Calibri" w:cs="Calibri"/>
                <w:bCs/>
                <w:lang w:val="en-GB"/>
              </w:rPr>
              <w:t>Protective effects of dietary carotenoids on risk of hip fracture in men: the Singapore Chinese Health Study.</w:t>
            </w:r>
            <w:r>
              <w:rPr>
                <w:rFonts w:ascii="Calibri" w:hAnsi="Calibri" w:cs="Calibri"/>
                <w:bCs/>
                <w:lang w:val="en-GB"/>
              </w:rPr>
              <w:t xml:space="preserve"> </w:t>
            </w:r>
            <w:r w:rsidRPr="00120EA6">
              <w:rPr>
                <w:rFonts w:ascii="Calibri" w:hAnsi="Calibri" w:cs="Calibri"/>
                <w:bCs/>
                <w:lang w:val="en-GB"/>
              </w:rPr>
              <w:t>J Bone Miner Res</w:t>
            </w:r>
            <w:r>
              <w:rPr>
                <w:rFonts w:ascii="Calibri" w:hAnsi="Calibri" w:cs="Calibri"/>
                <w:bCs/>
                <w:lang w:val="en-GB"/>
              </w:rPr>
              <w:t xml:space="preserve"> </w:t>
            </w:r>
            <w:r w:rsidRPr="00120EA6">
              <w:rPr>
                <w:rFonts w:ascii="Calibri" w:hAnsi="Calibri" w:cs="Calibri"/>
                <w:bCs/>
                <w:lang w:val="en-GB"/>
              </w:rPr>
              <w:t>29</w:t>
            </w:r>
            <w:r>
              <w:rPr>
                <w:rFonts w:ascii="Calibri" w:hAnsi="Calibri" w:cs="Calibri"/>
                <w:bCs/>
                <w:lang w:val="en-GB"/>
              </w:rPr>
              <w:t xml:space="preserve">: </w:t>
            </w:r>
            <w:r w:rsidRPr="00120EA6">
              <w:rPr>
                <w:rFonts w:ascii="Calibri" w:hAnsi="Calibri" w:cs="Calibri"/>
                <w:bCs/>
                <w:lang w:val="en-GB"/>
              </w:rPr>
              <w:t>408-17.</w:t>
            </w:r>
          </w:p>
        </w:tc>
      </w:tr>
      <w:tr w:rsidR="00EB07ED" w:rsidRPr="006E2DA6" w14:paraId="383A792F" w14:textId="77777777" w:rsidTr="00EB07ED">
        <w:trPr>
          <w:trHeight w:val="20"/>
        </w:trPr>
        <w:tc>
          <w:tcPr>
            <w:tcW w:w="709" w:type="dxa"/>
          </w:tcPr>
          <w:p w14:paraId="6236BAE5" w14:textId="7777FF14" w:rsidR="00EB07ED" w:rsidRDefault="00EB07ED" w:rsidP="007328AD">
            <w:pPr>
              <w:jc w:val="right"/>
              <w:rPr>
                <w:rFonts w:cs="Calibri"/>
                <w:bCs/>
                <w:lang w:val="en-GB"/>
              </w:rPr>
            </w:pPr>
            <w:r>
              <w:rPr>
                <w:rFonts w:cs="Calibri"/>
                <w:bCs/>
                <w:lang w:val="en-GB"/>
              </w:rPr>
              <w:t>12.</w:t>
            </w:r>
          </w:p>
        </w:tc>
        <w:tc>
          <w:tcPr>
            <w:tcW w:w="7792" w:type="dxa"/>
          </w:tcPr>
          <w:p w14:paraId="30F16849" w14:textId="481D00D9" w:rsidR="00EB07ED" w:rsidRPr="006E2DA6" w:rsidRDefault="00EB07ED" w:rsidP="007328AD">
            <w:pPr>
              <w:rPr>
                <w:rFonts w:ascii="Calibri" w:hAnsi="Calibri" w:cs="Calibri"/>
                <w:bCs/>
                <w:lang w:val="en-GB"/>
              </w:rPr>
            </w:pPr>
            <w:r w:rsidRPr="006E2DA6">
              <w:rPr>
                <w:rFonts w:ascii="Calibri" w:hAnsi="Calibri" w:cs="Calibri"/>
              </w:rPr>
              <w:t>Kanis JA, Johansson H, Odén A, McCloskey EV (2012) The distribution of FRAX® based probabilities in women from Japan.  J Bone Miner Metab 30: 700-5.</w:t>
            </w:r>
          </w:p>
        </w:tc>
      </w:tr>
      <w:tr w:rsidR="00EB07ED" w:rsidRPr="006E2DA6" w14:paraId="7F6E23D2" w14:textId="77777777" w:rsidTr="00EB07ED">
        <w:trPr>
          <w:trHeight w:val="20"/>
        </w:trPr>
        <w:tc>
          <w:tcPr>
            <w:tcW w:w="709" w:type="dxa"/>
          </w:tcPr>
          <w:p w14:paraId="7049BB5A" w14:textId="51819967" w:rsidR="00EB07ED" w:rsidRDefault="00EB07ED" w:rsidP="007328AD">
            <w:pPr>
              <w:jc w:val="right"/>
              <w:rPr>
                <w:rFonts w:cs="Calibri"/>
                <w:bCs/>
                <w:lang w:val="en-GB"/>
              </w:rPr>
            </w:pPr>
            <w:r>
              <w:rPr>
                <w:rFonts w:cs="Calibri"/>
                <w:bCs/>
                <w:lang w:val="en-GB"/>
              </w:rPr>
              <w:lastRenderedPageBreak/>
              <w:t>13.</w:t>
            </w:r>
          </w:p>
        </w:tc>
        <w:tc>
          <w:tcPr>
            <w:tcW w:w="7792" w:type="dxa"/>
          </w:tcPr>
          <w:p w14:paraId="4F54B344" w14:textId="1BB66066" w:rsidR="00EB07ED" w:rsidRPr="006E2DA6" w:rsidRDefault="00EB07ED" w:rsidP="007328AD">
            <w:pPr>
              <w:rPr>
                <w:rFonts w:ascii="Calibri" w:hAnsi="Calibri" w:cs="Calibri"/>
                <w:bCs/>
                <w:lang w:val="en-GB"/>
              </w:rPr>
            </w:pPr>
            <w:r w:rsidRPr="006E2DA6">
              <w:rPr>
                <w:rFonts w:ascii="Calibri" w:hAnsi="Calibri" w:cs="Calibri"/>
                <w:bCs/>
                <w:lang w:val="en-GB"/>
              </w:rPr>
              <w:t xml:space="preserve">Dawson-Hughes B, Looker AC, </w:t>
            </w:r>
            <w:proofErr w:type="spellStart"/>
            <w:r w:rsidRPr="006E2DA6">
              <w:rPr>
                <w:rFonts w:ascii="Calibri" w:hAnsi="Calibri" w:cs="Calibri"/>
                <w:bCs/>
                <w:lang w:val="en-GB"/>
              </w:rPr>
              <w:t>Tosteson</w:t>
            </w:r>
            <w:proofErr w:type="spellEnd"/>
            <w:r w:rsidRPr="006E2DA6">
              <w:rPr>
                <w:rFonts w:ascii="Calibri" w:hAnsi="Calibri" w:cs="Calibri"/>
                <w:bCs/>
                <w:lang w:val="en-GB"/>
              </w:rPr>
              <w:t xml:space="preserve"> ANA, Johansson H, Kanis JA, Melton III LJ (2010) The potential impact of new National Osteoporosis Foundation guidance on treatment patterns. Osteoporos Int 21: 41-52.</w:t>
            </w:r>
          </w:p>
        </w:tc>
      </w:tr>
      <w:tr w:rsidR="00EB07ED" w:rsidRPr="006E2DA6" w14:paraId="05D8E1E4" w14:textId="77777777" w:rsidTr="00EB07ED">
        <w:trPr>
          <w:trHeight w:val="20"/>
        </w:trPr>
        <w:tc>
          <w:tcPr>
            <w:tcW w:w="709" w:type="dxa"/>
          </w:tcPr>
          <w:p w14:paraId="1520336C" w14:textId="73E6D710" w:rsidR="00EB07ED" w:rsidRDefault="00EB07ED" w:rsidP="007328AD">
            <w:pPr>
              <w:jc w:val="right"/>
              <w:rPr>
                <w:rFonts w:cs="Calibri"/>
                <w:bCs/>
                <w:lang w:val="en-GB"/>
              </w:rPr>
            </w:pPr>
            <w:r>
              <w:rPr>
                <w:rFonts w:cs="Calibri"/>
                <w:bCs/>
                <w:lang w:val="en-GB"/>
              </w:rPr>
              <w:t>14.</w:t>
            </w:r>
          </w:p>
        </w:tc>
        <w:tc>
          <w:tcPr>
            <w:tcW w:w="7792" w:type="dxa"/>
          </w:tcPr>
          <w:p w14:paraId="207A1088" w14:textId="57C27F03" w:rsidR="00EB07ED" w:rsidRPr="006E2DA6" w:rsidRDefault="00EB07ED" w:rsidP="007328AD">
            <w:pPr>
              <w:rPr>
                <w:rFonts w:ascii="Calibri" w:hAnsi="Calibri" w:cs="Calibri"/>
                <w:bCs/>
                <w:lang w:val="en-GB"/>
              </w:rPr>
            </w:pPr>
            <w:r w:rsidRPr="006E2DA6">
              <w:rPr>
                <w:rFonts w:ascii="Calibri" w:hAnsi="Calibri" w:cs="Calibri"/>
              </w:rPr>
              <w:t xml:space="preserve">Johansson H, Kanis JA, Oden A, Compston J, McCloskey E (2012) A comparison of case-finding strategies in the UK for the management of hip fractures. Osteoporos Int 23: 907-915.  </w:t>
            </w:r>
          </w:p>
        </w:tc>
      </w:tr>
      <w:tr w:rsidR="00EB07ED" w:rsidRPr="006E2DA6" w14:paraId="6136C93C" w14:textId="77777777" w:rsidTr="00EB07ED">
        <w:trPr>
          <w:trHeight w:val="20"/>
        </w:trPr>
        <w:tc>
          <w:tcPr>
            <w:tcW w:w="709" w:type="dxa"/>
          </w:tcPr>
          <w:p w14:paraId="5C2753A3" w14:textId="79D5680F" w:rsidR="00EB07ED" w:rsidRDefault="00EB07ED" w:rsidP="007328AD">
            <w:pPr>
              <w:jc w:val="right"/>
              <w:rPr>
                <w:rFonts w:cs="Calibri"/>
                <w:bCs/>
                <w:lang w:val="en-GB"/>
              </w:rPr>
            </w:pPr>
            <w:r>
              <w:rPr>
                <w:rFonts w:cs="Calibri"/>
                <w:bCs/>
                <w:lang w:val="en-GB"/>
              </w:rPr>
              <w:t>15.</w:t>
            </w:r>
          </w:p>
        </w:tc>
        <w:tc>
          <w:tcPr>
            <w:tcW w:w="7792" w:type="dxa"/>
          </w:tcPr>
          <w:p w14:paraId="37415A6D" w14:textId="312D4482" w:rsidR="00EB07ED" w:rsidRPr="006E2DA6" w:rsidRDefault="00EB07ED" w:rsidP="007328AD">
            <w:pPr>
              <w:rPr>
                <w:rFonts w:ascii="Calibri" w:hAnsi="Calibri" w:cs="Calibri"/>
              </w:rPr>
            </w:pPr>
            <w:r w:rsidRPr="006E2DA6">
              <w:rPr>
                <w:rFonts w:ascii="Calibri" w:hAnsi="Calibri" w:cs="Calibri"/>
                <w:bCs/>
                <w:lang w:val="en-GB"/>
              </w:rPr>
              <w:t xml:space="preserve">Wong SY, Kwok T, Woo J, </w:t>
            </w:r>
            <w:r>
              <w:t xml:space="preserve"> </w:t>
            </w:r>
            <w:r w:rsidRPr="00E5211B">
              <w:rPr>
                <w:rFonts w:ascii="Calibri" w:hAnsi="Calibri" w:cs="Calibri"/>
                <w:bCs/>
                <w:lang w:val="en-GB"/>
              </w:rPr>
              <w:t xml:space="preserve">Lynn H, Griffith JF, Leung J, Tang YY, Leung PC </w:t>
            </w:r>
            <w:r w:rsidRPr="006E2DA6">
              <w:rPr>
                <w:rFonts w:ascii="Calibri" w:hAnsi="Calibri" w:cs="Calibri"/>
                <w:bCs/>
                <w:lang w:val="en-GB"/>
              </w:rPr>
              <w:t>(2005) Bone mineral density and the risk of peripheral arterial disease in men and women: results from Mr. and Ms. OS, Hong Kong. Osteoporos Int. 16: 1933–8.</w:t>
            </w:r>
          </w:p>
        </w:tc>
      </w:tr>
      <w:tr w:rsidR="00EB07ED" w:rsidRPr="006E2DA6" w14:paraId="1EF9A7FF" w14:textId="77777777" w:rsidTr="00EB07ED">
        <w:trPr>
          <w:trHeight w:val="20"/>
        </w:trPr>
        <w:tc>
          <w:tcPr>
            <w:tcW w:w="709" w:type="dxa"/>
          </w:tcPr>
          <w:p w14:paraId="5CFAA490" w14:textId="0B061358" w:rsidR="00EB07ED" w:rsidRDefault="00EB07ED" w:rsidP="007328AD">
            <w:pPr>
              <w:jc w:val="right"/>
              <w:rPr>
                <w:rFonts w:cs="Calibri"/>
                <w:bCs/>
                <w:lang w:val="en-GB"/>
              </w:rPr>
            </w:pPr>
            <w:r>
              <w:rPr>
                <w:rFonts w:cs="Calibri"/>
                <w:bCs/>
                <w:lang w:val="en-GB"/>
              </w:rPr>
              <w:t>16.</w:t>
            </w:r>
          </w:p>
        </w:tc>
        <w:tc>
          <w:tcPr>
            <w:tcW w:w="7792" w:type="dxa"/>
          </w:tcPr>
          <w:p w14:paraId="6F5B5C87" w14:textId="3FEACB84" w:rsidR="00EB07ED" w:rsidRPr="006E2DA6" w:rsidRDefault="00EB07ED" w:rsidP="007328AD">
            <w:pPr>
              <w:rPr>
                <w:rFonts w:ascii="Calibri" w:hAnsi="Calibri" w:cs="Calibri"/>
                <w:bCs/>
                <w:lang w:val="en-GB"/>
              </w:rPr>
            </w:pPr>
            <w:r w:rsidRPr="006E2DA6">
              <w:rPr>
                <w:rFonts w:ascii="Calibri" w:hAnsi="Calibri" w:cs="Calibri"/>
                <w:bCs/>
              </w:rPr>
              <w:t xml:space="preserve">Koh LK, Sedrine WB, Torralba TP, </w:t>
            </w:r>
            <w:r>
              <w:t xml:space="preserve"> </w:t>
            </w:r>
            <w:r w:rsidRPr="006D421B">
              <w:rPr>
                <w:rFonts w:ascii="Calibri" w:hAnsi="Calibri" w:cs="Calibri"/>
                <w:bCs/>
              </w:rPr>
              <w:t>Kung A, Fujiwara S, Chan SP, Huang QR, Rajatanavin R, Tsai KS, Park HM, Reginster JY; Osteoporosis Self-Assessment Tool for Asians (OSTA) Research Group</w:t>
            </w:r>
            <w:r>
              <w:rPr>
                <w:rFonts w:ascii="Calibri" w:hAnsi="Calibri" w:cs="Calibri"/>
                <w:bCs/>
              </w:rPr>
              <w:t xml:space="preserve"> (2001)</w:t>
            </w:r>
            <w:r w:rsidRPr="006D421B">
              <w:rPr>
                <w:rFonts w:ascii="Calibri" w:hAnsi="Calibri" w:cs="Calibri"/>
                <w:bCs/>
              </w:rPr>
              <w:t xml:space="preserve"> </w:t>
            </w:r>
            <w:r w:rsidRPr="006E2DA6">
              <w:rPr>
                <w:rFonts w:ascii="Calibri" w:hAnsi="Calibri" w:cs="Calibri"/>
                <w:bCs/>
              </w:rPr>
              <w:t xml:space="preserve"> </w:t>
            </w:r>
            <w:r w:rsidRPr="006E2DA6">
              <w:rPr>
                <w:rFonts w:ascii="Calibri" w:hAnsi="Calibri" w:cs="Calibri"/>
                <w:bCs/>
                <w:lang w:val="en-GB"/>
              </w:rPr>
              <w:t>A simple tool to identify Asian women at increased risk of osteoporosis. Osteoporos Int</w:t>
            </w:r>
            <w:r>
              <w:rPr>
                <w:rFonts w:ascii="Calibri" w:hAnsi="Calibri" w:cs="Calibri"/>
                <w:bCs/>
                <w:lang w:val="en-GB"/>
              </w:rPr>
              <w:t xml:space="preserve"> </w:t>
            </w:r>
            <w:r w:rsidRPr="006E2DA6">
              <w:rPr>
                <w:rFonts w:ascii="Calibri" w:hAnsi="Calibri" w:cs="Calibri"/>
                <w:bCs/>
                <w:lang w:val="en-GB"/>
              </w:rPr>
              <w:t>12</w:t>
            </w:r>
            <w:r>
              <w:rPr>
                <w:rFonts w:ascii="Calibri" w:hAnsi="Calibri" w:cs="Calibri"/>
                <w:bCs/>
                <w:lang w:val="en-GB"/>
              </w:rPr>
              <w:t xml:space="preserve">: </w:t>
            </w:r>
            <w:r w:rsidRPr="006E2DA6">
              <w:rPr>
                <w:rFonts w:ascii="Calibri" w:hAnsi="Calibri" w:cs="Calibri"/>
                <w:bCs/>
                <w:lang w:val="en-GB"/>
              </w:rPr>
              <w:t>699–705.</w:t>
            </w:r>
          </w:p>
        </w:tc>
      </w:tr>
      <w:tr w:rsidR="00EB07ED" w:rsidRPr="006E2DA6" w14:paraId="26EDAFE6" w14:textId="77777777" w:rsidTr="00EB07ED">
        <w:trPr>
          <w:trHeight w:val="20"/>
        </w:trPr>
        <w:tc>
          <w:tcPr>
            <w:tcW w:w="709" w:type="dxa"/>
          </w:tcPr>
          <w:p w14:paraId="24FE6568" w14:textId="0320CF3E" w:rsidR="00EB07ED" w:rsidRDefault="00EB07ED" w:rsidP="007328AD">
            <w:pPr>
              <w:jc w:val="right"/>
              <w:rPr>
                <w:rFonts w:cs="Calibri"/>
                <w:bCs/>
                <w:lang w:val="en-GB"/>
              </w:rPr>
            </w:pPr>
            <w:r>
              <w:rPr>
                <w:rFonts w:cs="Calibri"/>
                <w:bCs/>
                <w:lang w:val="en-GB"/>
              </w:rPr>
              <w:t>17.</w:t>
            </w:r>
          </w:p>
        </w:tc>
        <w:tc>
          <w:tcPr>
            <w:tcW w:w="7792" w:type="dxa"/>
          </w:tcPr>
          <w:p w14:paraId="122EC2A3" w14:textId="7BEEFD52" w:rsidR="00EB07ED" w:rsidRPr="006E2DA6" w:rsidRDefault="00EB07ED" w:rsidP="007328AD">
            <w:pPr>
              <w:rPr>
                <w:rFonts w:ascii="Calibri" w:hAnsi="Calibri" w:cs="Calibri"/>
              </w:rPr>
            </w:pPr>
            <w:r w:rsidRPr="006E2DA6">
              <w:rPr>
                <w:rFonts w:ascii="Calibri" w:hAnsi="Calibri" w:cs="Calibri"/>
                <w:lang w:val="en-GB"/>
              </w:rPr>
              <w:t xml:space="preserve">Kanis JA, McCloskey EV, Johansson H, Strom O, Borgstrom F, Oden A, the National Osteoporosis Guideline Group (2008) Case finding for the management of osteoporosis with FRAX®—assessment and intervention thresholds for the UK. </w:t>
            </w:r>
            <w:r w:rsidRPr="006E2DA6">
              <w:rPr>
                <w:rFonts w:ascii="Calibri" w:hAnsi="Calibri" w:cs="Calibri"/>
              </w:rPr>
              <w:t>Osteoporos Int 19:1395–1408, Erratum 2009 Osteoporos Int 20, 499-502.</w:t>
            </w:r>
          </w:p>
        </w:tc>
      </w:tr>
      <w:tr w:rsidR="00EB07ED" w:rsidRPr="006E2DA6" w14:paraId="1BFAE5A1" w14:textId="77777777" w:rsidTr="00EB07ED">
        <w:trPr>
          <w:trHeight w:val="20"/>
        </w:trPr>
        <w:tc>
          <w:tcPr>
            <w:tcW w:w="709" w:type="dxa"/>
          </w:tcPr>
          <w:p w14:paraId="2451A610" w14:textId="1CBB40D0" w:rsidR="00EB07ED" w:rsidRDefault="00EB07ED" w:rsidP="007328AD">
            <w:pPr>
              <w:jc w:val="right"/>
              <w:rPr>
                <w:rFonts w:cs="Calibri"/>
                <w:bCs/>
                <w:lang w:val="en-GB"/>
              </w:rPr>
            </w:pPr>
            <w:r>
              <w:rPr>
                <w:rFonts w:cs="Calibri"/>
                <w:bCs/>
                <w:lang w:val="en-GB"/>
              </w:rPr>
              <w:t>18.</w:t>
            </w:r>
          </w:p>
        </w:tc>
        <w:tc>
          <w:tcPr>
            <w:tcW w:w="7792" w:type="dxa"/>
          </w:tcPr>
          <w:p w14:paraId="2AEB3271" w14:textId="056437FF" w:rsidR="00EB07ED" w:rsidRPr="006E2DA6" w:rsidRDefault="00EB07ED" w:rsidP="007328AD">
            <w:pPr>
              <w:rPr>
                <w:rFonts w:ascii="Calibri" w:hAnsi="Calibri" w:cs="Calibri"/>
              </w:rPr>
            </w:pPr>
            <w:r w:rsidRPr="00BD0C15">
              <w:rPr>
                <w:rFonts w:ascii="Calibri" w:hAnsi="Calibri" w:cs="Calibri"/>
                <w:lang w:val="en-GB"/>
              </w:rPr>
              <w:t xml:space="preserve">Francis R, Kanis JA, Marsh D, McCloskey EV, Reid DM, Selby P, Wilkins M; National Osteoporosis Guideline Group (NOGG) </w:t>
            </w:r>
            <w:r w:rsidRPr="006E2DA6">
              <w:rPr>
                <w:rFonts w:ascii="Calibri" w:hAnsi="Calibri" w:cs="Calibri"/>
                <w:lang w:val="en-GB"/>
              </w:rPr>
              <w:t xml:space="preserve">(2009) Guidelines for the diagnosis and management of osteoporosis in postmenopausal women and men from the age of 50 years in the UK. </w:t>
            </w:r>
            <w:r w:rsidRPr="006E2DA6">
              <w:rPr>
                <w:rFonts w:ascii="Calibri" w:hAnsi="Calibri" w:cs="Calibri"/>
              </w:rPr>
              <w:t>Maturitas 62:105–108</w:t>
            </w:r>
          </w:p>
        </w:tc>
      </w:tr>
      <w:tr w:rsidR="00EB07ED" w:rsidRPr="006E2DA6" w14:paraId="6942A246" w14:textId="77777777" w:rsidTr="00EB07ED">
        <w:trPr>
          <w:trHeight w:val="20"/>
        </w:trPr>
        <w:tc>
          <w:tcPr>
            <w:tcW w:w="709" w:type="dxa"/>
          </w:tcPr>
          <w:p w14:paraId="71940AB2" w14:textId="56B22363" w:rsidR="00EB07ED" w:rsidRDefault="00EB07ED" w:rsidP="007328AD">
            <w:pPr>
              <w:jc w:val="right"/>
              <w:rPr>
                <w:rFonts w:cs="Calibri"/>
              </w:rPr>
            </w:pPr>
            <w:r>
              <w:rPr>
                <w:rFonts w:cs="Calibri"/>
              </w:rPr>
              <w:t>19.</w:t>
            </w:r>
          </w:p>
        </w:tc>
        <w:tc>
          <w:tcPr>
            <w:tcW w:w="7792" w:type="dxa"/>
          </w:tcPr>
          <w:p w14:paraId="1A9F3861" w14:textId="321A0FCE" w:rsidR="00EB07ED" w:rsidRPr="006E2DA6" w:rsidRDefault="00EB07ED" w:rsidP="007328AD">
            <w:pPr>
              <w:rPr>
                <w:rFonts w:ascii="Calibri" w:hAnsi="Calibri" w:cs="Calibri"/>
              </w:rPr>
            </w:pPr>
            <w:r w:rsidRPr="006E2DA6">
              <w:rPr>
                <w:rFonts w:ascii="Calibri" w:hAnsi="Calibri" w:cs="Calibri"/>
                <w:lang w:val="en-GB"/>
              </w:rPr>
              <w:t xml:space="preserve">Compston J, Cooper A, Cooper C, Gittoes N, Gregson C, Harvey N, Hope S, Kanis JA, McCloskey EV, Poole KES, Reid DM, Selby P, Thompson F, Thurston A, Vine N: The National Osteoporosis Guideline Group (NOGG) (2017) UK clinical guideline for the prevention and treatment of osteoporosis.  </w:t>
            </w:r>
            <w:r w:rsidRPr="006E2DA6">
              <w:rPr>
                <w:rFonts w:ascii="Calibri" w:hAnsi="Calibri" w:cs="Calibri"/>
              </w:rPr>
              <w:t>Arch Osteoporos</w:t>
            </w:r>
            <w:r>
              <w:rPr>
                <w:rFonts w:ascii="Calibri" w:hAnsi="Calibri" w:cs="Calibri"/>
              </w:rPr>
              <w:t xml:space="preserve"> </w:t>
            </w:r>
            <w:r w:rsidRPr="006E2DA6">
              <w:rPr>
                <w:rFonts w:ascii="Calibri" w:hAnsi="Calibri" w:cs="Calibri"/>
              </w:rPr>
              <w:t>12: 43. DOI 10.1007/s11657-017-0324-5</w:t>
            </w:r>
          </w:p>
        </w:tc>
      </w:tr>
      <w:tr w:rsidR="00EB07ED" w:rsidRPr="006E2DA6" w14:paraId="239D9EE4" w14:textId="77777777" w:rsidTr="00EB07ED">
        <w:trPr>
          <w:trHeight w:val="20"/>
        </w:trPr>
        <w:tc>
          <w:tcPr>
            <w:tcW w:w="709" w:type="dxa"/>
          </w:tcPr>
          <w:p w14:paraId="3FFCB00C" w14:textId="0B0463CF" w:rsidR="00EB07ED" w:rsidRDefault="00EB07ED" w:rsidP="007328AD">
            <w:pPr>
              <w:jc w:val="right"/>
              <w:rPr>
                <w:rFonts w:cs="Calibri"/>
              </w:rPr>
            </w:pPr>
            <w:r>
              <w:rPr>
                <w:rFonts w:cs="Calibri"/>
              </w:rPr>
              <w:t>20.</w:t>
            </w:r>
          </w:p>
        </w:tc>
        <w:tc>
          <w:tcPr>
            <w:tcW w:w="7792" w:type="dxa"/>
          </w:tcPr>
          <w:p w14:paraId="6472CFE0" w14:textId="39F2F3C4" w:rsidR="00EB07ED" w:rsidRPr="006E2DA6" w:rsidRDefault="00EB07ED" w:rsidP="007328AD">
            <w:pPr>
              <w:rPr>
                <w:rFonts w:ascii="Calibri" w:hAnsi="Calibri" w:cs="Calibri"/>
              </w:rPr>
            </w:pPr>
            <w:bookmarkStart w:id="13" w:name="_Hlk27917730"/>
            <w:proofErr w:type="spellStart"/>
            <w:r w:rsidRPr="006E2DA6">
              <w:rPr>
                <w:rFonts w:ascii="Calibri" w:hAnsi="Calibri" w:cs="Calibri"/>
                <w:lang w:val="en-GB"/>
              </w:rPr>
              <w:t>Lekamwasam</w:t>
            </w:r>
            <w:bookmarkEnd w:id="13"/>
            <w:proofErr w:type="spellEnd"/>
            <w:r w:rsidRPr="006E2DA6">
              <w:rPr>
                <w:rFonts w:ascii="Calibri" w:hAnsi="Calibri" w:cs="Calibri"/>
                <w:lang w:val="en-GB"/>
              </w:rPr>
              <w:t xml:space="preserve"> S, Adachi JD, </w:t>
            </w:r>
            <w:proofErr w:type="spellStart"/>
            <w:r w:rsidRPr="006E2DA6">
              <w:rPr>
                <w:rFonts w:ascii="Calibri" w:hAnsi="Calibri" w:cs="Calibri"/>
                <w:lang w:val="en-GB"/>
              </w:rPr>
              <w:t>Agnusdei</w:t>
            </w:r>
            <w:proofErr w:type="spellEnd"/>
            <w:r w:rsidRPr="006E2DA6">
              <w:rPr>
                <w:rFonts w:ascii="Calibri" w:hAnsi="Calibri" w:cs="Calibri"/>
                <w:lang w:val="en-GB"/>
              </w:rPr>
              <w:t xml:space="preserve"> D, </w:t>
            </w:r>
            <w:proofErr w:type="spellStart"/>
            <w:r w:rsidRPr="006E2DA6">
              <w:rPr>
                <w:rFonts w:ascii="Calibri" w:hAnsi="Calibri" w:cs="Calibri"/>
                <w:lang w:val="en-GB"/>
              </w:rPr>
              <w:t>Bilezikian</w:t>
            </w:r>
            <w:proofErr w:type="spellEnd"/>
            <w:r w:rsidRPr="006E2DA6">
              <w:rPr>
                <w:rFonts w:ascii="Calibri" w:hAnsi="Calibri" w:cs="Calibri"/>
                <w:lang w:val="en-GB"/>
              </w:rPr>
              <w:t xml:space="preserve"> J, Boonen S, Borgström F, Cooper C, Diez Perez A, </w:t>
            </w:r>
            <w:proofErr w:type="spellStart"/>
            <w:r w:rsidRPr="006E2DA6">
              <w:rPr>
                <w:rFonts w:ascii="Calibri" w:hAnsi="Calibri" w:cs="Calibri"/>
                <w:lang w:val="en-GB"/>
              </w:rPr>
              <w:t>Eastell</w:t>
            </w:r>
            <w:proofErr w:type="spellEnd"/>
            <w:r w:rsidRPr="006E2DA6">
              <w:rPr>
                <w:rFonts w:ascii="Calibri" w:hAnsi="Calibri" w:cs="Calibri"/>
                <w:lang w:val="en-GB"/>
              </w:rPr>
              <w:t xml:space="preserve"> R, </w:t>
            </w:r>
            <w:proofErr w:type="spellStart"/>
            <w:r w:rsidRPr="006E2DA6">
              <w:rPr>
                <w:rFonts w:ascii="Calibri" w:hAnsi="Calibri" w:cs="Calibri"/>
                <w:lang w:val="en-GB"/>
              </w:rPr>
              <w:t>Hofbauer</w:t>
            </w:r>
            <w:proofErr w:type="spellEnd"/>
            <w:r w:rsidRPr="006E2DA6">
              <w:rPr>
                <w:rFonts w:ascii="Calibri" w:hAnsi="Calibri" w:cs="Calibri"/>
                <w:lang w:val="en-GB"/>
              </w:rPr>
              <w:t xml:space="preserve"> L, </w:t>
            </w:r>
            <w:proofErr w:type="spellStart"/>
            <w:r w:rsidRPr="006E2DA6">
              <w:rPr>
                <w:rFonts w:ascii="Calibri" w:hAnsi="Calibri" w:cs="Calibri"/>
                <w:lang w:val="en-GB"/>
              </w:rPr>
              <w:t>Kanis</w:t>
            </w:r>
            <w:proofErr w:type="spellEnd"/>
            <w:r w:rsidRPr="006E2DA6">
              <w:rPr>
                <w:rFonts w:ascii="Calibri" w:hAnsi="Calibri" w:cs="Calibri"/>
                <w:lang w:val="en-GB"/>
              </w:rPr>
              <w:t xml:space="preserve"> JA, </w:t>
            </w:r>
            <w:proofErr w:type="spellStart"/>
            <w:r w:rsidRPr="006E2DA6">
              <w:rPr>
                <w:rFonts w:ascii="Calibri" w:hAnsi="Calibri" w:cs="Calibri"/>
                <w:lang w:val="en-GB"/>
              </w:rPr>
              <w:t>Langdahl</w:t>
            </w:r>
            <w:proofErr w:type="spellEnd"/>
            <w:r w:rsidRPr="006E2DA6">
              <w:rPr>
                <w:rFonts w:ascii="Calibri" w:hAnsi="Calibri" w:cs="Calibri"/>
                <w:lang w:val="en-GB"/>
              </w:rPr>
              <w:t xml:space="preserve"> BL, </w:t>
            </w:r>
            <w:proofErr w:type="spellStart"/>
            <w:r w:rsidRPr="006E2DA6">
              <w:rPr>
                <w:rFonts w:ascii="Calibri" w:hAnsi="Calibri" w:cs="Calibri"/>
                <w:lang w:val="en-GB"/>
              </w:rPr>
              <w:t>Lesnyak</w:t>
            </w:r>
            <w:proofErr w:type="spellEnd"/>
            <w:r w:rsidRPr="006E2DA6">
              <w:rPr>
                <w:rFonts w:ascii="Calibri" w:hAnsi="Calibri" w:cs="Calibri"/>
                <w:lang w:val="en-GB"/>
              </w:rPr>
              <w:t xml:space="preserve"> O, Lorenc R,  McCloskey E, Messina OD, Napoli N, </w:t>
            </w:r>
            <w:proofErr w:type="spellStart"/>
            <w:r w:rsidRPr="006E2DA6">
              <w:rPr>
                <w:rFonts w:ascii="Calibri" w:hAnsi="Calibri" w:cs="Calibri"/>
                <w:lang w:val="en-GB"/>
              </w:rPr>
              <w:t>Obermayer</w:t>
            </w:r>
            <w:proofErr w:type="spellEnd"/>
            <w:r w:rsidRPr="006E2DA6">
              <w:rPr>
                <w:rFonts w:ascii="Calibri" w:hAnsi="Calibri" w:cs="Calibri"/>
                <w:lang w:val="en-GB"/>
              </w:rPr>
              <w:t xml:space="preserve">-Pietsch B, Ralston SH, Sambrook PN, Silverman S, Sosa M, Stepan J, </w:t>
            </w:r>
            <w:proofErr w:type="spellStart"/>
            <w:r w:rsidRPr="006E2DA6">
              <w:rPr>
                <w:rFonts w:ascii="Calibri" w:hAnsi="Calibri" w:cs="Calibri"/>
                <w:lang w:val="en-GB"/>
              </w:rPr>
              <w:t>Suppan</w:t>
            </w:r>
            <w:proofErr w:type="spellEnd"/>
            <w:r w:rsidRPr="006E2DA6">
              <w:rPr>
                <w:rFonts w:ascii="Calibri" w:hAnsi="Calibri" w:cs="Calibri"/>
                <w:lang w:val="en-GB"/>
              </w:rPr>
              <w:t xml:space="preserve"> G, Wahl DA, Compston JE for the Joint IOF-ECTS GIO Guidelines Working Group (2012) A framework for the development of guidelines for the management of glucocorticoid-induced osteoporosis. </w:t>
            </w:r>
            <w:r w:rsidRPr="006E2DA6">
              <w:rPr>
                <w:rFonts w:ascii="Calibri" w:hAnsi="Calibri" w:cs="Calibri"/>
              </w:rPr>
              <w:t>Osteoporos Int 23: 2257-76.</w:t>
            </w:r>
          </w:p>
        </w:tc>
      </w:tr>
      <w:tr w:rsidR="00EB07ED" w:rsidRPr="006E2DA6" w14:paraId="64B7ECA9" w14:textId="77777777" w:rsidTr="00EB07ED">
        <w:trPr>
          <w:trHeight w:val="20"/>
        </w:trPr>
        <w:tc>
          <w:tcPr>
            <w:tcW w:w="709" w:type="dxa"/>
          </w:tcPr>
          <w:p w14:paraId="100EF19F" w14:textId="4275C3AE" w:rsidR="00EB07ED" w:rsidRDefault="00EB07ED" w:rsidP="007328AD">
            <w:pPr>
              <w:jc w:val="right"/>
              <w:rPr>
                <w:rFonts w:cs="Calibri"/>
              </w:rPr>
            </w:pPr>
            <w:r>
              <w:rPr>
                <w:rFonts w:cs="Calibri"/>
              </w:rPr>
              <w:t>21.</w:t>
            </w:r>
          </w:p>
        </w:tc>
        <w:tc>
          <w:tcPr>
            <w:tcW w:w="7792" w:type="dxa"/>
          </w:tcPr>
          <w:p w14:paraId="44E01CA6" w14:textId="0279808D" w:rsidR="00EB07ED" w:rsidRPr="006E2DA6" w:rsidRDefault="00EB07ED" w:rsidP="007328AD">
            <w:pPr>
              <w:rPr>
                <w:rFonts w:ascii="Calibri" w:hAnsi="Calibri" w:cs="Calibri"/>
              </w:rPr>
            </w:pPr>
            <w:proofErr w:type="spellStart"/>
            <w:r w:rsidRPr="00984B04">
              <w:rPr>
                <w:rFonts w:ascii="Calibri" w:hAnsi="Calibri" w:cs="Calibri"/>
                <w:lang w:val="en-GB"/>
              </w:rPr>
              <w:t>Papaioannou</w:t>
            </w:r>
            <w:proofErr w:type="spellEnd"/>
            <w:r w:rsidRPr="00984B04">
              <w:rPr>
                <w:rFonts w:ascii="Calibri" w:hAnsi="Calibri" w:cs="Calibri"/>
                <w:lang w:val="en-GB"/>
              </w:rPr>
              <w:t xml:space="preserve"> A, Morin S, Cheung AM, Atkinson S, Brown JP, Feldman S, Hanley DA, </w:t>
            </w:r>
            <w:proofErr w:type="spellStart"/>
            <w:r w:rsidRPr="00984B04">
              <w:rPr>
                <w:rFonts w:ascii="Calibri" w:hAnsi="Calibri" w:cs="Calibri"/>
                <w:lang w:val="en-GB"/>
              </w:rPr>
              <w:t>Hodsman</w:t>
            </w:r>
            <w:proofErr w:type="spellEnd"/>
            <w:r w:rsidRPr="00984B04">
              <w:rPr>
                <w:rFonts w:ascii="Calibri" w:hAnsi="Calibri" w:cs="Calibri"/>
                <w:lang w:val="en-GB"/>
              </w:rPr>
              <w:t xml:space="preserve"> A, Jamal SA, Kaiser SM, </w:t>
            </w:r>
            <w:proofErr w:type="spellStart"/>
            <w:r w:rsidRPr="00984B04">
              <w:rPr>
                <w:rFonts w:ascii="Calibri" w:hAnsi="Calibri" w:cs="Calibri"/>
                <w:lang w:val="en-GB"/>
              </w:rPr>
              <w:t>Kvern</w:t>
            </w:r>
            <w:proofErr w:type="spellEnd"/>
            <w:r w:rsidRPr="00984B04">
              <w:rPr>
                <w:rFonts w:ascii="Calibri" w:hAnsi="Calibri" w:cs="Calibri"/>
                <w:lang w:val="en-GB"/>
              </w:rPr>
              <w:t xml:space="preserve"> B, </w:t>
            </w:r>
            <w:proofErr w:type="spellStart"/>
            <w:r w:rsidRPr="00984B04">
              <w:rPr>
                <w:rFonts w:ascii="Calibri" w:hAnsi="Calibri" w:cs="Calibri"/>
                <w:lang w:val="en-GB"/>
              </w:rPr>
              <w:t>Siminoski</w:t>
            </w:r>
            <w:proofErr w:type="spellEnd"/>
            <w:r w:rsidRPr="00984B04">
              <w:rPr>
                <w:rFonts w:ascii="Calibri" w:hAnsi="Calibri" w:cs="Calibri"/>
                <w:lang w:val="en-GB"/>
              </w:rPr>
              <w:t xml:space="preserve"> K, Leslie WD; Scientific Advisory Council of Osteoporosis Canada </w:t>
            </w:r>
            <w:r w:rsidRPr="006E2DA6">
              <w:rPr>
                <w:rFonts w:ascii="Calibri" w:hAnsi="Calibri" w:cs="Calibri"/>
                <w:lang w:val="en-GB"/>
              </w:rPr>
              <w:t xml:space="preserve">(2010) 2010 Clinical practice guidelines for the diagnosis and management of osteoporosis in Canada: summary. </w:t>
            </w:r>
            <w:r w:rsidRPr="006E2DA6">
              <w:rPr>
                <w:rFonts w:ascii="Calibri" w:hAnsi="Calibri" w:cs="Calibri"/>
              </w:rPr>
              <w:t>CMAJ 182:1864–1873</w:t>
            </w:r>
            <w:r>
              <w:rPr>
                <w:rFonts w:ascii="Calibri" w:hAnsi="Calibri" w:cs="Calibri"/>
              </w:rPr>
              <w:t>.</w:t>
            </w:r>
          </w:p>
        </w:tc>
      </w:tr>
      <w:tr w:rsidR="00EB07ED" w:rsidRPr="006E2DA6" w14:paraId="67D94701" w14:textId="77777777" w:rsidTr="00EB07ED">
        <w:trPr>
          <w:trHeight w:val="20"/>
        </w:trPr>
        <w:tc>
          <w:tcPr>
            <w:tcW w:w="709" w:type="dxa"/>
          </w:tcPr>
          <w:p w14:paraId="5AB695D3" w14:textId="3AE0CEFD" w:rsidR="00EB07ED" w:rsidRDefault="00EB07ED" w:rsidP="007328AD">
            <w:pPr>
              <w:jc w:val="right"/>
              <w:rPr>
                <w:rFonts w:cs="Calibri"/>
              </w:rPr>
            </w:pPr>
            <w:r>
              <w:rPr>
                <w:rFonts w:cs="Calibri"/>
              </w:rPr>
              <w:lastRenderedPageBreak/>
              <w:t>22.</w:t>
            </w:r>
          </w:p>
        </w:tc>
        <w:tc>
          <w:tcPr>
            <w:tcW w:w="7792" w:type="dxa"/>
          </w:tcPr>
          <w:p w14:paraId="04FFE3F8" w14:textId="23936F78" w:rsidR="00EB07ED" w:rsidRPr="006E2DA6" w:rsidRDefault="00EB07ED" w:rsidP="007328AD">
            <w:pPr>
              <w:rPr>
                <w:rFonts w:ascii="Calibri" w:hAnsi="Calibri" w:cs="Calibri"/>
              </w:rPr>
            </w:pPr>
            <w:proofErr w:type="spellStart"/>
            <w:r w:rsidRPr="00606129">
              <w:rPr>
                <w:rFonts w:ascii="Calibri" w:hAnsi="Calibri" w:cs="Calibri"/>
                <w:lang w:val="en-GB"/>
              </w:rPr>
              <w:t>Cosman</w:t>
            </w:r>
            <w:proofErr w:type="spellEnd"/>
            <w:r w:rsidRPr="00606129">
              <w:rPr>
                <w:rFonts w:ascii="Calibri" w:hAnsi="Calibri" w:cs="Calibri"/>
                <w:lang w:val="en-GB"/>
              </w:rPr>
              <w:t xml:space="preserve"> F, de </w:t>
            </w:r>
            <w:proofErr w:type="spellStart"/>
            <w:r w:rsidRPr="00606129">
              <w:rPr>
                <w:rFonts w:ascii="Calibri" w:hAnsi="Calibri" w:cs="Calibri"/>
                <w:lang w:val="en-GB"/>
              </w:rPr>
              <w:t>Beur</w:t>
            </w:r>
            <w:proofErr w:type="spellEnd"/>
            <w:r w:rsidRPr="00606129">
              <w:rPr>
                <w:rFonts w:ascii="Calibri" w:hAnsi="Calibri" w:cs="Calibri"/>
                <w:lang w:val="en-GB"/>
              </w:rPr>
              <w:t xml:space="preserve"> SJ, </w:t>
            </w:r>
            <w:proofErr w:type="spellStart"/>
            <w:r w:rsidRPr="00606129">
              <w:rPr>
                <w:rFonts w:ascii="Calibri" w:hAnsi="Calibri" w:cs="Calibri"/>
                <w:lang w:val="en-GB"/>
              </w:rPr>
              <w:t>LeBoff</w:t>
            </w:r>
            <w:proofErr w:type="spellEnd"/>
            <w:r w:rsidRPr="00606129">
              <w:rPr>
                <w:rFonts w:ascii="Calibri" w:hAnsi="Calibri" w:cs="Calibri"/>
                <w:lang w:val="en-GB"/>
              </w:rPr>
              <w:t xml:space="preserve"> MS, Lewiecki EM, Tanner B, Randall S, Lindsay R; National Osteoporosis Foundation </w:t>
            </w:r>
            <w:r w:rsidRPr="006E2DA6">
              <w:rPr>
                <w:rFonts w:ascii="Calibri" w:hAnsi="Calibri" w:cs="Calibri"/>
                <w:lang w:val="en-GB"/>
              </w:rPr>
              <w:t xml:space="preserve">(2014) Clinician’s guide to prevention and treatment of osteoporosis. </w:t>
            </w:r>
            <w:r w:rsidRPr="006E2DA6">
              <w:rPr>
                <w:rFonts w:ascii="Calibri" w:hAnsi="Calibri" w:cs="Calibri"/>
              </w:rPr>
              <w:t>Osteoporos Int 25: 2359–2381</w:t>
            </w:r>
          </w:p>
        </w:tc>
      </w:tr>
      <w:tr w:rsidR="00EB07ED" w:rsidRPr="006E2DA6" w14:paraId="525C32FE" w14:textId="77777777" w:rsidTr="00EB07ED">
        <w:trPr>
          <w:trHeight w:val="20"/>
        </w:trPr>
        <w:tc>
          <w:tcPr>
            <w:tcW w:w="709" w:type="dxa"/>
          </w:tcPr>
          <w:p w14:paraId="7FA34B77" w14:textId="5D71A583" w:rsidR="00EB07ED" w:rsidRDefault="00EB07ED" w:rsidP="007328AD">
            <w:pPr>
              <w:jc w:val="right"/>
              <w:rPr>
                <w:rFonts w:cs="Calibri"/>
              </w:rPr>
            </w:pPr>
            <w:r>
              <w:rPr>
                <w:rFonts w:cs="Calibri"/>
              </w:rPr>
              <w:t>23.</w:t>
            </w:r>
          </w:p>
        </w:tc>
        <w:tc>
          <w:tcPr>
            <w:tcW w:w="7792" w:type="dxa"/>
          </w:tcPr>
          <w:p w14:paraId="06C518FC" w14:textId="232FD40E" w:rsidR="00EB07ED" w:rsidRPr="006E2DA6" w:rsidRDefault="00EB07ED" w:rsidP="007328AD">
            <w:pPr>
              <w:rPr>
                <w:rFonts w:ascii="Calibri" w:hAnsi="Calibri" w:cs="Calibri"/>
                <w:lang w:val="en-GB"/>
              </w:rPr>
            </w:pPr>
            <w:r w:rsidRPr="00E929EC">
              <w:rPr>
                <w:rFonts w:ascii="Calibri" w:hAnsi="Calibri" w:cs="Calibri"/>
                <w:lang w:val="en-GB"/>
              </w:rPr>
              <w:t>Gao H, Salim A, Lee J, Tai ES, van Dam RM (2012) Can body fat</w:t>
            </w:r>
            <w:r>
              <w:rPr>
                <w:rFonts w:ascii="Calibri" w:hAnsi="Calibri" w:cs="Calibri"/>
                <w:lang w:val="en-GB"/>
              </w:rPr>
              <w:t xml:space="preserve"> </w:t>
            </w:r>
            <w:r w:rsidRPr="00E929EC">
              <w:rPr>
                <w:rFonts w:ascii="Calibri" w:hAnsi="Calibri" w:cs="Calibri"/>
                <w:lang w:val="en-GB"/>
              </w:rPr>
              <w:t>distribution, adiponectin levels and inflammation explain differences</w:t>
            </w:r>
            <w:r>
              <w:rPr>
                <w:rFonts w:ascii="Calibri" w:hAnsi="Calibri" w:cs="Calibri"/>
                <w:lang w:val="en-GB"/>
              </w:rPr>
              <w:t xml:space="preserve"> </w:t>
            </w:r>
            <w:r w:rsidRPr="00E929EC">
              <w:rPr>
                <w:rFonts w:ascii="Calibri" w:hAnsi="Calibri" w:cs="Calibri"/>
                <w:lang w:val="en-GB"/>
              </w:rPr>
              <w:t>in insulin resistance between ethnic Chinese, Malays and</w:t>
            </w:r>
            <w:r>
              <w:rPr>
                <w:rFonts w:ascii="Calibri" w:hAnsi="Calibri" w:cs="Calibri"/>
                <w:lang w:val="en-GB"/>
              </w:rPr>
              <w:t xml:space="preserve"> </w:t>
            </w:r>
            <w:r w:rsidRPr="00E929EC">
              <w:rPr>
                <w:rFonts w:ascii="Calibri" w:hAnsi="Calibri" w:cs="Calibri"/>
                <w:lang w:val="en-GB"/>
              </w:rPr>
              <w:t xml:space="preserve">Asian Indians? Int J </w:t>
            </w:r>
            <w:proofErr w:type="spellStart"/>
            <w:r w:rsidRPr="00E929EC">
              <w:rPr>
                <w:rFonts w:ascii="Calibri" w:hAnsi="Calibri" w:cs="Calibri"/>
                <w:lang w:val="en-GB"/>
              </w:rPr>
              <w:t>Obes</w:t>
            </w:r>
            <w:proofErr w:type="spellEnd"/>
            <w:r w:rsidRPr="00E929EC">
              <w:rPr>
                <w:rFonts w:ascii="Calibri" w:hAnsi="Calibri" w:cs="Calibri"/>
                <w:lang w:val="en-GB"/>
              </w:rPr>
              <w:t xml:space="preserve"> 36:</w:t>
            </w:r>
            <w:r>
              <w:rPr>
                <w:rFonts w:ascii="Calibri" w:hAnsi="Calibri" w:cs="Calibri"/>
                <w:lang w:val="en-GB"/>
              </w:rPr>
              <w:t xml:space="preserve"> </w:t>
            </w:r>
            <w:r w:rsidRPr="00E929EC">
              <w:rPr>
                <w:rFonts w:ascii="Calibri" w:hAnsi="Calibri" w:cs="Calibri"/>
                <w:lang w:val="en-GB"/>
              </w:rPr>
              <w:t>1086–1093</w:t>
            </w:r>
          </w:p>
        </w:tc>
      </w:tr>
      <w:tr w:rsidR="00EB07ED" w:rsidRPr="006E2DA6" w14:paraId="00B19D5F" w14:textId="77777777" w:rsidTr="00EB07ED">
        <w:trPr>
          <w:trHeight w:val="20"/>
        </w:trPr>
        <w:tc>
          <w:tcPr>
            <w:tcW w:w="709" w:type="dxa"/>
          </w:tcPr>
          <w:p w14:paraId="2D4F0AE3" w14:textId="6BE7781E" w:rsidR="00EB07ED" w:rsidRDefault="00EB07ED" w:rsidP="007328AD">
            <w:pPr>
              <w:jc w:val="right"/>
              <w:rPr>
                <w:rFonts w:cs="Calibri"/>
              </w:rPr>
            </w:pPr>
            <w:r>
              <w:rPr>
                <w:rFonts w:cs="Calibri"/>
              </w:rPr>
              <w:t>24.</w:t>
            </w:r>
          </w:p>
        </w:tc>
        <w:tc>
          <w:tcPr>
            <w:tcW w:w="7792" w:type="dxa"/>
          </w:tcPr>
          <w:p w14:paraId="000CA8BA" w14:textId="720A673F" w:rsidR="00EB07ED" w:rsidRPr="00E929EC" w:rsidRDefault="00EB07ED" w:rsidP="007328AD">
            <w:pPr>
              <w:pStyle w:val="CommentText"/>
              <w:rPr>
                <w:rFonts w:cs="Calibri"/>
                <w:lang w:val="en-GB"/>
              </w:rPr>
            </w:pPr>
            <w:r>
              <w:t xml:space="preserve">Chandran M, McCloskey EV, Thu WPP, Logan S, Hao Y, Tay D, Ang WC, Aung TKK, Choo KS, Ali A, Yan SX, Huang XF, Liu XM, Yong EL, Lekamwasam S (2018) </w:t>
            </w:r>
            <w:r w:rsidRPr="001B4DE4">
              <w:t>FRAX® based intervention thresholds for management of osteoporosis in Singaporean women.</w:t>
            </w:r>
            <w:r>
              <w:t xml:space="preserve"> Arch Osteoporos 13: 130. doi: 10.1007/s11657-018-0542-5.</w:t>
            </w:r>
          </w:p>
        </w:tc>
      </w:tr>
      <w:tr w:rsidR="00EB07ED" w:rsidRPr="006E2DA6" w14:paraId="113C11A5" w14:textId="77777777" w:rsidTr="00EB07ED">
        <w:trPr>
          <w:trHeight w:val="20"/>
        </w:trPr>
        <w:tc>
          <w:tcPr>
            <w:tcW w:w="709" w:type="dxa"/>
          </w:tcPr>
          <w:p w14:paraId="17BEB933" w14:textId="29F7F576" w:rsidR="00EB07ED" w:rsidRDefault="00EB07ED" w:rsidP="007328AD">
            <w:pPr>
              <w:jc w:val="right"/>
              <w:rPr>
                <w:rFonts w:cs="Calibri"/>
              </w:rPr>
            </w:pPr>
            <w:r>
              <w:rPr>
                <w:rFonts w:cs="Calibri"/>
              </w:rPr>
              <w:t>25.</w:t>
            </w:r>
          </w:p>
        </w:tc>
        <w:tc>
          <w:tcPr>
            <w:tcW w:w="7792" w:type="dxa"/>
          </w:tcPr>
          <w:p w14:paraId="2AEE40E3" w14:textId="6CB5AFA4" w:rsidR="00EB07ED" w:rsidRPr="006E2DA6" w:rsidRDefault="00EB07ED" w:rsidP="007328AD">
            <w:pPr>
              <w:rPr>
                <w:rFonts w:ascii="Calibri" w:hAnsi="Calibri" w:cs="Calibri"/>
                <w:lang w:val="en-GB"/>
              </w:rPr>
            </w:pPr>
            <w:r>
              <w:rPr>
                <w:rFonts w:ascii="Calibri" w:hAnsi="Calibri" w:cs="Calibri"/>
                <w:lang w:val="en-GB"/>
              </w:rPr>
              <w:t xml:space="preserve">Ministry of Health, Singapore (2020). </w:t>
            </w:r>
            <w:r w:rsidRPr="002A78D6">
              <w:rPr>
                <w:rFonts w:ascii="Calibri" w:hAnsi="Calibri" w:cs="Calibri"/>
                <w:lang w:val="en-GB"/>
              </w:rPr>
              <w:t xml:space="preserve">Ganga </w:t>
            </w:r>
            <w:r>
              <w:rPr>
                <w:rFonts w:ascii="Calibri" w:hAnsi="Calibri" w:cs="Calibri"/>
                <w:lang w:val="en-GB"/>
              </w:rPr>
              <w:t xml:space="preserve">Ganesan personal </w:t>
            </w:r>
            <w:r w:rsidRPr="005A35FF">
              <w:rPr>
                <w:rFonts w:ascii="Calibri" w:hAnsi="Calibri" w:cs="Calibri"/>
                <w:lang w:val="en-GB"/>
              </w:rPr>
              <w:t xml:space="preserve">communication, 23 </w:t>
            </w:r>
            <w:proofErr w:type="gramStart"/>
            <w:r w:rsidRPr="005A35FF">
              <w:rPr>
                <w:rFonts w:ascii="Calibri" w:hAnsi="Calibri" w:cs="Calibri"/>
                <w:lang w:val="en-GB"/>
              </w:rPr>
              <w:t>October,</w:t>
            </w:r>
            <w:proofErr w:type="gramEnd"/>
            <w:r w:rsidRPr="005A35FF">
              <w:rPr>
                <w:rFonts w:ascii="Calibri" w:hAnsi="Calibri" w:cs="Calibri"/>
                <w:lang w:val="en-GB"/>
              </w:rPr>
              <w:t xml:space="preserve"> 2018.</w:t>
            </w:r>
          </w:p>
        </w:tc>
      </w:tr>
      <w:tr w:rsidR="00EB07ED" w:rsidRPr="006E2DA6" w14:paraId="3550D21B" w14:textId="77777777" w:rsidTr="00EB07ED">
        <w:trPr>
          <w:trHeight w:val="20"/>
        </w:trPr>
        <w:tc>
          <w:tcPr>
            <w:tcW w:w="709" w:type="dxa"/>
          </w:tcPr>
          <w:p w14:paraId="20047CB7" w14:textId="28906C56" w:rsidR="00EB07ED" w:rsidRDefault="00EB07ED" w:rsidP="007328AD">
            <w:pPr>
              <w:jc w:val="right"/>
              <w:rPr>
                <w:rFonts w:cs="Calibri"/>
              </w:rPr>
            </w:pPr>
            <w:r>
              <w:rPr>
                <w:rFonts w:cs="Calibri"/>
              </w:rPr>
              <w:t>26.</w:t>
            </w:r>
          </w:p>
        </w:tc>
        <w:tc>
          <w:tcPr>
            <w:tcW w:w="7792" w:type="dxa"/>
          </w:tcPr>
          <w:p w14:paraId="5EDF3DC0" w14:textId="106EB33E" w:rsidR="00EB07ED" w:rsidRPr="006E2DA6" w:rsidRDefault="00EB07ED" w:rsidP="007328AD">
            <w:pPr>
              <w:rPr>
                <w:rFonts w:ascii="Calibri" w:hAnsi="Calibri" w:cs="Calibri"/>
              </w:rPr>
            </w:pPr>
            <w:r w:rsidRPr="006E2DA6">
              <w:rPr>
                <w:rFonts w:ascii="Calibri" w:hAnsi="Calibri" w:cs="Calibri"/>
                <w:lang w:val="en-GB"/>
              </w:rPr>
              <w:t xml:space="preserve">Johansson H, Oden A, Johnell O et al (2004) Optimisation of BMD measurements to identify high risk groups for treatment—a test analysis. </w:t>
            </w:r>
            <w:r w:rsidRPr="006E2DA6">
              <w:rPr>
                <w:rFonts w:ascii="Calibri" w:hAnsi="Calibri" w:cs="Calibri"/>
              </w:rPr>
              <w:t>J Bone Miner Res 19:</w:t>
            </w:r>
            <w:r>
              <w:rPr>
                <w:rFonts w:ascii="Calibri" w:hAnsi="Calibri" w:cs="Calibri"/>
              </w:rPr>
              <w:t xml:space="preserve"> </w:t>
            </w:r>
            <w:r w:rsidRPr="006E2DA6">
              <w:rPr>
                <w:rFonts w:ascii="Calibri" w:hAnsi="Calibri" w:cs="Calibri"/>
              </w:rPr>
              <w:t>906–913</w:t>
            </w:r>
          </w:p>
        </w:tc>
      </w:tr>
      <w:tr w:rsidR="00EB07ED" w:rsidRPr="006E2DA6" w14:paraId="7827AAD6" w14:textId="77777777" w:rsidTr="00EB07ED">
        <w:trPr>
          <w:trHeight w:val="20"/>
        </w:trPr>
        <w:tc>
          <w:tcPr>
            <w:tcW w:w="709" w:type="dxa"/>
          </w:tcPr>
          <w:p w14:paraId="7F9FCE13" w14:textId="4798E91F" w:rsidR="00EB07ED" w:rsidRDefault="00EB07ED" w:rsidP="007328AD">
            <w:pPr>
              <w:jc w:val="right"/>
              <w:rPr>
                <w:rFonts w:cs="Calibri"/>
                <w:bCs/>
                <w:lang w:val="en-GB"/>
              </w:rPr>
            </w:pPr>
            <w:r>
              <w:rPr>
                <w:rFonts w:cs="Calibri"/>
                <w:bCs/>
                <w:lang w:val="en-GB"/>
              </w:rPr>
              <w:t>27.</w:t>
            </w:r>
          </w:p>
        </w:tc>
        <w:tc>
          <w:tcPr>
            <w:tcW w:w="7792" w:type="dxa"/>
          </w:tcPr>
          <w:p w14:paraId="08C7E84E" w14:textId="141F480C" w:rsidR="00EB07ED" w:rsidRPr="006E2DA6" w:rsidRDefault="00EB07ED" w:rsidP="007328AD">
            <w:pPr>
              <w:rPr>
                <w:rFonts w:ascii="Calibri" w:hAnsi="Calibri" w:cs="Calibri"/>
              </w:rPr>
            </w:pPr>
            <w:r w:rsidRPr="006E2DA6">
              <w:rPr>
                <w:rFonts w:ascii="Calibri" w:hAnsi="Calibri" w:cs="Calibri"/>
              </w:rPr>
              <w:t>Johansson H, Kanis JA, Oden A, Johnell O, McCloskey E (2009) BMD, clinical risk factors and their combination for hip fracture prevention. Osteoporos Int 20:1675–1682</w:t>
            </w:r>
          </w:p>
        </w:tc>
      </w:tr>
      <w:tr w:rsidR="00EB07ED" w:rsidRPr="006E2DA6" w14:paraId="2D6878D0" w14:textId="77777777" w:rsidTr="00EB07ED">
        <w:trPr>
          <w:trHeight w:val="20"/>
        </w:trPr>
        <w:tc>
          <w:tcPr>
            <w:tcW w:w="709" w:type="dxa"/>
          </w:tcPr>
          <w:p w14:paraId="7F2EAA5F" w14:textId="503427D9" w:rsidR="00EB07ED" w:rsidRDefault="00EB07ED" w:rsidP="007328AD">
            <w:pPr>
              <w:jc w:val="right"/>
              <w:rPr>
                <w:rFonts w:cs="Calibri"/>
                <w:bCs/>
                <w:lang w:val="en-GB"/>
              </w:rPr>
            </w:pPr>
            <w:r>
              <w:rPr>
                <w:rFonts w:cs="Calibri"/>
                <w:bCs/>
                <w:lang w:val="en-GB"/>
              </w:rPr>
              <w:t>28.</w:t>
            </w:r>
          </w:p>
        </w:tc>
        <w:tc>
          <w:tcPr>
            <w:tcW w:w="7792" w:type="dxa"/>
          </w:tcPr>
          <w:p w14:paraId="08E3FCDE" w14:textId="6654E481" w:rsidR="00EB07ED" w:rsidRPr="006E2DA6" w:rsidRDefault="00EB07ED" w:rsidP="007328AD">
            <w:pPr>
              <w:rPr>
                <w:rFonts w:ascii="Calibri" w:hAnsi="Calibri" w:cs="Calibri"/>
              </w:rPr>
            </w:pPr>
            <w:r w:rsidRPr="006E2DA6">
              <w:rPr>
                <w:rFonts w:ascii="Calibri" w:hAnsi="Calibri" w:cs="Calibri"/>
              </w:rPr>
              <w:t xml:space="preserve">Leslie WD, </w:t>
            </w:r>
            <w:r>
              <w:t xml:space="preserve"> </w:t>
            </w:r>
            <w:r w:rsidRPr="00F2355B">
              <w:rPr>
                <w:rFonts w:ascii="Calibri" w:hAnsi="Calibri" w:cs="Calibri"/>
              </w:rPr>
              <w:t xml:space="preserve">Majumdar SR, Lix LM, Johansson H, Oden A, McCloskey E, Kanis JA; Manitoba Bone Density Program </w:t>
            </w:r>
            <w:r w:rsidRPr="006E2DA6">
              <w:rPr>
                <w:rFonts w:ascii="Calibri" w:hAnsi="Calibri" w:cs="Calibri"/>
              </w:rPr>
              <w:t>(2011) High fracture probability with FRAX® usually indicates densitometric osteoporosis: implications for clinical practice. Osteoporos Int 23:391–397.</w:t>
            </w:r>
          </w:p>
        </w:tc>
      </w:tr>
      <w:tr w:rsidR="00EB07ED" w:rsidRPr="006E2DA6" w14:paraId="6CFEF58E" w14:textId="77777777" w:rsidTr="00EB07ED">
        <w:trPr>
          <w:trHeight w:val="20"/>
        </w:trPr>
        <w:tc>
          <w:tcPr>
            <w:tcW w:w="709" w:type="dxa"/>
          </w:tcPr>
          <w:p w14:paraId="09CDA43D" w14:textId="7BE984A6" w:rsidR="00EB07ED" w:rsidRDefault="00EB07ED" w:rsidP="007328AD">
            <w:pPr>
              <w:jc w:val="right"/>
              <w:rPr>
                <w:rFonts w:cs="Calibri"/>
              </w:rPr>
            </w:pPr>
            <w:r>
              <w:rPr>
                <w:rFonts w:cs="Calibri"/>
              </w:rPr>
              <w:t>29.</w:t>
            </w:r>
          </w:p>
        </w:tc>
        <w:tc>
          <w:tcPr>
            <w:tcW w:w="7792" w:type="dxa"/>
          </w:tcPr>
          <w:p w14:paraId="77E0252C" w14:textId="6E97F012" w:rsidR="00EB07ED" w:rsidRPr="006E2DA6" w:rsidRDefault="00EB07ED" w:rsidP="007328AD">
            <w:pPr>
              <w:rPr>
                <w:rFonts w:ascii="Calibri" w:hAnsi="Calibri" w:cs="Calibri"/>
              </w:rPr>
            </w:pPr>
            <w:r w:rsidRPr="006E2DA6">
              <w:rPr>
                <w:rFonts w:ascii="Calibri" w:hAnsi="Calibri" w:cs="Calibri"/>
              </w:rPr>
              <w:t>Kanis JA, McCloskey E, Johansson H, Oden A, Leslie WD (2012) FRAX® with and without BMD. Calcif Tiss Int 90:1–13.</w:t>
            </w:r>
          </w:p>
        </w:tc>
      </w:tr>
      <w:tr w:rsidR="00EB07ED" w:rsidRPr="006E2DA6" w14:paraId="3E0CC483" w14:textId="77777777" w:rsidTr="00EB07ED">
        <w:trPr>
          <w:trHeight w:val="20"/>
        </w:trPr>
        <w:tc>
          <w:tcPr>
            <w:tcW w:w="709" w:type="dxa"/>
          </w:tcPr>
          <w:p w14:paraId="0AA975E1" w14:textId="4892C5D2" w:rsidR="00EB07ED" w:rsidRDefault="00EB07ED" w:rsidP="007328AD">
            <w:pPr>
              <w:jc w:val="right"/>
              <w:rPr>
                <w:rFonts w:cs="Calibri"/>
              </w:rPr>
            </w:pPr>
            <w:r>
              <w:rPr>
                <w:rFonts w:cs="Calibri"/>
              </w:rPr>
              <w:t>30.</w:t>
            </w:r>
          </w:p>
        </w:tc>
        <w:tc>
          <w:tcPr>
            <w:tcW w:w="7792" w:type="dxa"/>
          </w:tcPr>
          <w:p w14:paraId="11C49820" w14:textId="729D9D97" w:rsidR="00EB07ED" w:rsidRPr="006E2DA6" w:rsidRDefault="00EB07ED" w:rsidP="007328AD">
            <w:pPr>
              <w:rPr>
                <w:rFonts w:ascii="Calibri" w:hAnsi="Calibri" w:cs="Calibri"/>
              </w:rPr>
            </w:pPr>
            <w:r w:rsidRPr="006E2DA6">
              <w:rPr>
                <w:rFonts w:ascii="Calibri" w:hAnsi="Calibri" w:cs="Calibri"/>
              </w:rPr>
              <w:t>Torgerson DJ, Bell-Syer SE (2001) Hormone replacement therapy and prevention of nonvertebral fractures: a meta-analysis of randomized trials. JAMA 285:2891–2897.</w:t>
            </w:r>
          </w:p>
        </w:tc>
      </w:tr>
      <w:tr w:rsidR="00EB07ED" w:rsidRPr="006E2DA6" w14:paraId="2EA787F1" w14:textId="77777777" w:rsidTr="00EB07ED">
        <w:trPr>
          <w:trHeight w:val="20"/>
        </w:trPr>
        <w:tc>
          <w:tcPr>
            <w:tcW w:w="709" w:type="dxa"/>
          </w:tcPr>
          <w:p w14:paraId="7E16F6C6" w14:textId="41BBEA52" w:rsidR="00EB07ED" w:rsidRDefault="00EB07ED" w:rsidP="007328AD">
            <w:pPr>
              <w:jc w:val="right"/>
              <w:rPr>
                <w:rFonts w:cs="Calibri"/>
              </w:rPr>
            </w:pPr>
            <w:r>
              <w:rPr>
                <w:rFonts w:cs="Calibri"/>
              </w:rPr>
              <w:t>31.</w:t>
            </w:r>
          </w:p>
        </w:tc>
        <w:tc>
          <w:tcPr>
            <w:tcW w:w="7792" w:type="dxa"/>
          </w:tcPr>
          <w:p w14:paraId="54C89922" w14:textId="3F676992" w:rsidR="00EB07ED" w:rsidRPr="006E2DA6" w:rsidRDefault="00EB07ED" w:rsidP="007328AD">
            <w:pPr>
              <w:rPr>
                <w:rFonts w:ascii="Calibri" w:hAnsi="Calibri" w:cs="Calibri"/>
              </w:rPr>
            </w:pPr>
            <w:r w:rsidRPr="006E2DA6">
              <w:rPr>
                <w:rFonts w:ascii="Calibri" w:hAnsi="Calibri" w:cs="Calibri"/>
              </w:rPr>
              <w:t>Cauley JA, Robbins J, Chen Z, Cummings SR, Jackson RD, LaCroix AZ, LeBoff M, Lewis CE, McGowan J, Neuner J, Pettinger M, Stefanick ML, Wactawski-Wende J, Watts NB (2003) Effects of estrogen plus progestin on risk of fracture and bone mineral density: the Women’s Health Initiative randomized trial. JAMA 290:1729–1738.</w:t>
            </w:r>
          </w:p>
        </w:tc>
      </w:tr>
      <w:tr w:rsidR="00EB07ED" w:rsidRPr="006E2DA6" w14:paraId="5D13C087" w14:textId="77777777" w:rsidTr="00EB07ED">
        <w:trPr>
          <w:trHeight w:val="20"/>
        </w:trPr>
        <w:tc>
          <w:tcPr>
            <w:tcW w:w="709" w:type="dxa"/>
          </w:tcPr>
          <w:p w14:paraId="15DEE1A2" w14:textId="61192E3E" w:rsidR="00EB07ED" w:rsidRDefault="00EB07ED" w:rsidP="007328AD">
            <w:pPr>
              <w:jc w:val="right"/>
              <w:rPr>
                <w:rFonts w:cs="Calibri"/>
              </w:rPr>
            </w:pPr>
            <w:r>
              <w:rPr>
                <w:rFonts w:cs="Calibri"/>
              </w:rPr>
              <w:t>32.</w:t>
            </w:r>
          </w:p>
        </w:tc>
        <w:tc>
          <w:tcPr>
            <w:tcW w:w="7792" w:type="dxa"/>
          </w:tcPr>
          <w:p w14:paraId="2A3C0EE2" w14:textId="17D098E2" w:rsidR="00EB07ED" w:rsidRPr="006E2DA6" w:rsidRDefault="00EB07ED" w:rsidP="007328AD">
            <w:pPr>
              <w:rPr>
                <w:rFonts w:ascii="Calibri" w:hAnsi="Calibri" w:cs="Calibri"/>
              </w:rPr>
            </w:pPr>
            <w:r w:rsidRPr="006E2DA6">
              <w:rPr>
                <w:rFonts w:ascii="Calibri" w:hAnsi="Calibri" w:cs="Calibri"/>
              </w:rPr>
              <w:t>McCloskey EV, Beneton M, Charlesworth D, Kayan K, deTakats D, Dey A, Orgee J,  Ashford R, Forster M, Cliffe J, Kersh L, Brazier J, Nichol J, Aropuu S, Jalava T, Kanis JA (2007) Clodronate reduces the incidence of fractures in community-dwelling elderly women unselected for osteoporosis: results of a double-blind, placebo-controlled randomized study. Journal of Bone and Mineral Research 22: 135-141.</w:t>
            </w:r>
          </w:p>
        </w:tc>
      </w:tr>
      <w:tr w:rsidR="00EB07ED" w:rsidRPr="006E2DA6" w14:paraId="05D03C82" w14:textId="77777777" w:rsidTr="00EB07ED">
        <w:trPr>
          <w:trHeight w:val="20"/>
        </w:trPr>
        <w:tc>
          <w:tcPr>
            <w:tcW w:w="709" w:type="dxa"/>
          </w:tcPr>
          <w:p w14:paraId="3A01E8F6" w14:textId="1E0FF44A" w:rsidR="00EB07ED" w:rsidRDefault="00EB07ED" w:rsidP="007328AD">
            <w:pPr>
              <w:jc w:val="right"/>
              <w:rPr>
                <w:rFonts w:cs="Calibri"/>
              </w:rPr>
            </w:pPr>
            <w:r>
              <w:rPr>
                <w:rFonts w:cs="Calibri"/>
              </w:rPr>
              <w:t>33.</w:t>
            </w:r>
          </w:p>
        </w:tc>
        <w:tc>
          <w:tcPr>
            <w:tcW w:w="7792" w:type="dxa"/>
          </w:tcPr>
          <w:p w14:paraId="3F7BA75C" w14:textId="6D8F0BAB" w:rsidR="00EB07ED" w:rsidRPr="006E2DA6" w:rsidRDefault="00EB07ED" w:rsidP="007328AD">
            <w:pPr>
              <w:rPr>
                <w:rFonts w:ascii="Calibri" w:hAnsi="Calibri" w:cs="Calibri"/>
              </w:rPr>
            </w:pPr>
            <w:r w:rsidRPr="00AF3741">
              <w:rPr>
                <w:rFonts w:ascii="Calibri" w:hAnsi="Calibri" w:cs="Calibri"/>
              </w:rPr>
              <w:t xml:space="preserve">Lyles KW, Colón-Emeric CS, Magaziner JS, Adachi JD, Pieper CF, Mautalen C, Hyldstrup L, Recknor C, Nordsletten L, Moore KA, Lavecchia C, Zhang J, Mesenbrink P, Hodgson PK, Abrams K, Orloff JJ, Horowitz Z, Eriksen EF, Boonen S; HORIZON </w:t>
            </w:r>
            <w:r w:rsidRPr="00AF3741">
              <w:rPr>
                <w:rFonts w:ascii="Calibri" w:hAnsi="Calibri" w:cs="Calibri"/>
              </w:rPr>
              <w:lastRenderedPageBreak/>
              <w:t>Recurrent Fracture Trial</w:t>
            </w:r>
            <w:r>
              <w:rPr>
                <w:rFonts w:ascii="Calibri" w:hAnsi="Calibri" w:cs="Calibri"/>
              </w:rPr>
              <w:t xml:space="preserve"> </w:t>
            </w:r>
            <w:r w:rsidRPr="00AF3741">
              <w:rPr>
                <w:rFonts w:ascii="Calibri" w:hAnsi="Calibri" w:cs="Calibri"/>
              </w:rPr>
              <w:t xml:space="preserve"> </w:t>
            </w:r>
            <w:r w:rsidRPr="006E2DA6">
              <w:rPr>
                <w:rFonts w:ascii="Calibri" w:hAnsi="Calibri" w:cs="Calibri"/>
              </w:rPr>
              <w:t>(2007) Zoledronic acid and clinical fractures and mortality after hip fracture. N Engl J Med. 357:</w:t>
            </w:r>
            <w:r>
              <w:rPr>
                <w:rFonts w:ascii="Calibri" w:hAnsi="Calibri" w:cs="Calibri"/>
              </w:rPr>
              <w:t xml:space="preserve"> </w:t>
            </w:r>
            <w:r w:rsidRPr="006E2DA6">
              <w:rPr>
                <w:rFonts w:ascii="Calibri" w:hAnsi="Calibri" w:cs="Calibri"/>
              </w:rPr>
              <w:t xml:space="preserve">1799–1809. </w:t>
            </w:r>
          </w:p>
        </w:tc>
      </w:tr>
      <w:tr w:rsidR="00EB07ED" w:rsidRPr="006E2DA6" w14:paraId="53A31293" w14:textId="77777777" w:rsidTr="00EB07ED">
        <w:trPr>
          <w:trHeight w:val="20"/>
        </w:trPr>
        <w:tc>
          <w:tcPr>
            <w:tcW w:w="709" w:type="dxa"/>
          </w:tcPr>
          <w:p w14:paraId="2178A453" w14:textId="35C7212B" w:rsidR="00EB07ED" w:rsidRDefault="00EB07ED" w:rsidP="007328AD">
            <w:pPr>
              <w:jc w:val="right"/>
              <w:rPr>
                <w:rFonts w:cs="Calibri"/>
              </w:rPr>
            </w:pPr>
            <w:r>
              <w:rPr>
                <w:rFonts w:cs="Calibri"/>
              </w:rPr>
              <w:lastRenderedPageBreak/>
              <w:t>34.</w:t>
            </w:r>
          </w:p>
        </w:tc>
        <w:tc>
          <w:tcPr>
            <w:tcW w:w="7792" w:type="dxa"/>
          </w:tcPr>
          <w:p w14:paraId="65CF0FEE" w14:textId="66736F59" w:rsidR="00EB07ED" w:rsidRPr="00AF3741" w:rsidRDefault="00EB07ED" w:rsidP="007328AD">
            <w:pPr>
              <w:rPr>
                <w:rFonts w:cs="Calibri"/>
              </w:rPr>
            </w:pPr>
            <w:r w:rsidRPr="00A00938">
              <w:rPr>
                <w:rFonts w:cs="Calibri"/>
              </w:rPr>
              <w:t>Reid IR, Horne AM, Mihov B, Stewart A, Garratt E, Wong S, Wiessing KR, Bolland MJ, Bastin S, Gamble GD (2018) Fracture prevention with zoledronate in older women with osteopenia. N Engl J Med 379: 2407-2416.</w:t>
            </w:r>
          </w:p>
        </w:tc>
      </w:tr>
      <w:tr w:rsidR="00EB07ED" w:rsidRPr="006E2DA6" w14:paraId="031C8A54" w14:textId="77777777" w:rsidTr="00EB07ED">
        <w:trPr>
          <w:trHeight w:val="20"/>
        </w:trPr>
        <w:tc>
          <w:tcPr>
            <w:tcW w:w="709" w:type="dxa"/>
          </w:tcPr>
          <w:p w14:paraId="182DF6FD" w14:textId="33503DD2" w:rsidR="00EB07ED" w:rsidRDefault="00EB07ED" w:rsidP="007328AD">
            <w:pPr>
              <w:jc w:val="right"/>
              <w:rPr>
                <w:rFonts w:cs="Calibri"/>
              </w:rPr>
            </w:pPr>
            <w:r>
              <w:rPr>
                <w:rFonts w:cs="Calibri"/>
              </w:rPr>
              <w:t>35.</w:t>
            </w:r>
          </w:p>
        </w:tc>
        <w:tc>
          <w:tcPr>
            <w:tcW w:w="7792" w:type="dxa"/>
          </w:tcPr>
          <w:p w14:paraId="790D0242" w14:textId="362BE4CA" w:rsidR="00EB07ED" w:rsidRPr="00AF3741" w:rsidRDefault="00EB07ED" w:rsidP="007328AD">
            <w:pPr>
              <w:rPr>
                <w:rFonts w:cs="Calibri"/>
              </w:rPr>
            </w:pPr>
            <w:r>
              <w:t>Reid IR, Horne AM, Mihov B, Stewart A, Garratt E, Wiessing KR, Bolland MJ, Bastin S, Gamble GD (2019) Anti-fracture efficacy of zoledronate in subgroups of osteopenic postmenopausal women: secondary analysis of a randomized controlled trial. J Intern Med 286: 221-229.</w:t>
            </w:r>
          </w:p>
        </w:tc>
      </w:tr>
      <w:tr w:rsidR="00EB07ED" w:rsidRPr="006E2DA6" w14:paraId="0640E913" w14:textId="77777777" w:rsidTr="00EB07ED">
        <w:trPr>
          <w:trHeight w:val="20"/>
        </w:trPr>
        <w:tc>
          <w:tcPr>
            <w:tcW w:w="709" w:type="dxa"/>
          </w:tcPr>
          <w:p w14:paraId="3EE10EDC" w14:textId="28607AE8" w:rsidR="00EB07ED" w:rsidRDefault="00EB07ED" w:rsidP="007328AD">
            <w:pPr>
              <w:jc w:val="right"/>
              <w:rPr>
                <w:rFonts w:cs="Calibri"/>
              </w:rPr>
            </w:pPr>
            <w:r>
              <w:rPr>
                <w:rFonts w:cs="Calibri"/>
                <w:bCs/>
                <w:lang w:val="en-GB"/>
              </w:rPr>
              <w:t>36.</w:t>
            </w:r>
          </w:p>
        </w:tc>
        <w:tc>
          <w:tcPr>
            <w:tcW w:w="7792" w:type="dxa"/>
          </w:tcPr>
          <w:p w14:paraId="3ED180A4" w14:textId="7F6D4C2E" w:rsidR="00EB07ED" w:rsidRPr="006E2DA6" w:rsidRDefault="00EB07ED" w:rsidP="007328AD">
            <w:pPr>
              <w:rPr>
                <w:rFonts w:ascii="Calibri" w:hAnsi="Calibri" w:cs="Calibri"/>
              </w:rPr>
            </w:pPr>
            <w:r w:rsidRPr="006E2DA6">
              <w:rPr>
                <w:rFonts w:ascii="Calibri" w:hAnsi="Calibri" w:cs="Calibri"/>
              </w:rPr>
              <w:t>Shepstone L, Lenaghan E, Cooper C, Clarke S, Fong-Soe-Khioe R, Fordham R, Gittoes NJ, Harvey I, Harvey N, Heawood A, Holland R, Howe A, Kanis J, Marshall T, O'Neill T, Peters T, Redmond N, Torgerson D, Turner D, McCloskey E (2018) Screening in the community to reduce fractures in older women (SCOOP): a randomised controlled trial. Lancet 391(10122): 741-747.</w:t>
            </w:r>
          </w:p>
        </w:tc>
      </w:tr>
      <w:tr w:rsidR="00EB07ED" w:rsidRPr="006E2DA6" w14:paraId="4220F6E1" w14:textId="77777777" w:rsidTr="00EB07ED">
        <w:trPr>
          <w:trHeight w:val="20"/>
        </w:trPr>
        <w:tc>
          <w:tcPr>
            <w:tcW w:w="709" w:type="dxa"/>
          </w:tcPr>
          <w:p w14:paraId="568AFA0A" w14:textId="1857D30D" w:rsidR="00EB07ED" w:rsidRDefault="00EB07ED" w:rsidP="007328AD">
            <w:pPr>
              <w:jc w:val="right"/>
              <w:rPr>
                <w:rFonts w:cs="Calibri"/>
              </w:rPr>
            </w:pPr>
            <w:r>
              <w:rPr>
                <w:rFonts w:cs="Calibri"/>
                <w:bCs/>
                <w:lang w:val="en-GB"/>
              </w:rPr>
              <w:t>37.</w:t>
            </w:r>
          </w:p>
        </w:tc>
        <w:tc>
          <w:tcPr>
            <w:tcW w:w="7792" w:type="dxa"/>
          </w:tcPr>
          <w:p w14:paraId="0025B86E" w14:textId="4EBD5145" w:rsidR="00EB07ED" w:rsidRPr="006E2DA6" w:rsidRDefault="00EB07ED" w:rsidP="007328AD">
            <w:pPr>
              <w:rPr>
                <w:rFonts w:ascii="Calibri" w:hAnsi="Calibri" w:cs="Calibri"/>
              </w:rPr>
            </w:pPr>
            <w:r w:rsidRPr="006E2DA6">
              <w:rPr>
                <w:rFonts w:ascii="Calibri" w:hAnsi="Calibri" w:cs="Calibri"/>
              </w:rPr>
              <w:t>Kanis JA, Oden A, Johnell O, Johansson H, De Laet C, Brown J, Burckhardt P, Cooper C, Christiansen C, Cummings S, Eisman JA, Fujiwara S, Gluer C, Goltzman D, Hans D, Krieg MA, La Croix A, McCloskey E, Mellstrom D, Melton LJ 3rd, Pols H, Reeve J, Sanders K, Schott AM, Silman A, Torgerson D, van Staa T, Watts NB, Yoshimura N (2007) The use of clinical risk factors enhances the performance of BMD in the prediction of hip and osteoporotic fractures in men and women.  Osteoporos Int 18: 1033-46.</w:t>
            </w:r>
          </w:p>
        </w:tc>
      </w:tr>
      <w:tr w:rsidR="00EB07ED" w:rsidRPr="006E2DA6" w14:paraId="6CEEE4EB" w14:textId="77777777" w:rsidTr="00EB07ED">
        <w:trPr>
          <w:trHeight w:val="20"/>
        </w:trPr>
        <w:tc>
          <w:tcPr>
            <w:tcW w:w="709" w:type="dxa"/>
          </w:tcPr>
          <w:p w14:paraId="5FD4BD68" w14:textId="0EEF63CC" w:rsidR="00EB07ED" w:rsidRDefault="00EB07ED" w:rsidP="007328AD">
            <w:pPr>
              <w:jc w:val="right"/>
              <w:rPr>
                <w:rFonts w:cs="Calibri"/>
                <w:bCs/>
                <w:lang w:val="en-GB"/>
              </w:rPr>
            </w:pPr>
            <w:r>
              <w:rPr>
                <w:rFonts w:cs="Calibri"/>
                <w:bCs/>
                <w:lang w:val="en-GB"/>
              </w:rPr>
              <w:t>38.</w:t>
            </w:r>
          </w:p>
        </w:tc>
        <w:tc>
          <w:tcPr>
            <w:tcW w:w="7792" w:type="dxa"/>
          </w:tcPr>
          <w:p w14:paraId="29BDAEFD" w14:textId="5B2548FD" w:rsidR="00EB07ED" w:rsidRPr="006E2DA6" w:rsidRDefault="00EB07ED" w:rsidP="007328AD">
            <w:pPr>
              <w:rPr>
                <w:rFonts w:ascii="Calibri" w:hAnsi="Calibri" w:cs="Calibri"/>
              </w:rPr>
            </w:pPr>
            <w:r w:rsidRPr="006E2DA6">
              <w:rPr>
                <w:rFonts w:ascii="Calibri" w:hAnsi="Calibri" w:cs="Calibri"/>
                <w:bCs/>
                <w:lang w:val="en-GB"/>
              </w:rPr>
              <w:t>Nayak S, Edwards DL, Saleh AA, Greenspan SL</w:t>
            </w:r>
            <w:r>
              <w:rPr>
                <w:rFonts w:ascii="Calibri" w:hAnsi="Calibri" w:cs="Calibri"/>
                <w:bCs/>
                <w:lang w:val="en-GB"/>
              </w:rPr>
              <w:t xml:space="preserve"> (2015) </w:t>
            </w:r>
            <w:r w:rsidRPr="006E2DA6">
              <w:rPr>
                <w:rFonts w:ascii="Calibri" w:hAnsi="Calibri" w:cs="Calibri"/>
                <w:bCs/>
                <w:lang w:val="en-GB"/>
              </w:rPr>
              <w:t>Systematic review and meta-analysis of the performance of clinical risk assessment instruments for screening for osteoporosis or low bone density. Osteoporos Int</w:t>
            </w:r>
            <w:r>
              <w:rPr>
                <w:rFonts w:ascii="Calibri" w:hAnsi="Calibri" w:cs="Calibri"/>
                <w:bCs/>
                <w:lang w:val="en-GB"/>
              </w:rPr>
              <w:t xml:space="preserve"> </w:t>
            </w:r>
            <w:r w:rsidRPr="006E2DA6">
              <w:rPr>
                <w:rFonts w:ascii="Calibri" w:hAnsi="Calibri" w:cs="Calibri"/>
                <w:bCs/>
                <w:lang w:val="en-GB"/>
              </w:rPr>
              <w:t>26</w:t>
            </w:r>
            <w:r>
              <w:rPr>
                <w:rFonts w:ascii="Calibri" w:hAnsi="Calibri" w:cs="Calibri"/>
                <w:bCs/>
                <w:lang w:val="en-GB"/>
              </w:rPr>
              <w:t xml:space="preserve">: </w:t>
            </w:r>
            <w:r w:rsidRPr="006E2DA6">
              <w:rPr>
                <w:rFonts w:ascii="Calibri" w:hAnsi="Calibri" w:cs="Calibri"/>
                <w:bCs/>
                <w:lang w:val="en-GB"/>
              </w:rPr>
              <w:t>1543–1554.</w:t>
            </w:r>
          </w:p>
        </w:tc>
      </w:tr>
      <w:tr w:rsidR="00EB07ED" w:rsidRPr="006E2DA6" w14:paraId="1CEF1E93" w14:textId="77777777" w:rsidTr="00EB07ED">
        <w:trPr>
          <w:trHeight w:val="20"/>
        </w:trPr>
        <w:tc>
          <w:tcPr>
            <w:tcW w:w="709" w:type="dxa"/>
          </w:tcPr>
          <w:p w14:paraId="2162E8D9" w14:textId="452C24BF" w:rsidR="00EB07ED" w:rsidRDefault="00EB07ED" w:rsidP="007328AD">
            <w:pPr>
              <w:jc w:val="right"/>
              <w:rPr>
                <w:rFonts w:cs="Calibri"/>
                <w:bCs/>
                <w:lang w:val="en-GB"/>
              </w:rPr>
            </w:pPr>
            <w:r>
              <w:rPr>
                <w:rFonts w:cs="Calibri"/>
                <w:bCs/>
                <w:lang w:val="en-GB"/>
              </w:rPr>
              <w:t>39.</w:t>
            </w:r>
          </w:p>
        </w:tc>
        <w:tc>
          <w:tcPr>
            <w:tcW w:w="7792" w:type="dxa"/>
          </w:tcPr>
          <w:p w14:paraId="03603573" w14:textId="1D5FDDB3" w:rsidR="00EB07ED" w:rsidRPr="006E2DA6" w:rsidRDefault="00EB07ED" w:rsidP="007328AD">
            <w:pPr>
              <w:rPr>
                <w:rFonts w:ascii="Calibri" w:hAnsi="Calibri" w:cs="Calibri"/>
                <w:bCs/>
                <w:lang w:val="en-GB"/>
              </w:rPr>
            </w:pPr>
            <w:r w:rsidRPr="006E2DA6">
              <w:rPr>
                <w:rFonts w:ascii="Calibri" w:hAnsi="Calibri" w:cs="Calibri"/>
                <w:color w:val="000000" w:themeColor="text1"/>
                <w:lang w:val="en-GB"/>
              </w:rPr>
              <w:t xml:space="preserve">Kanis JA, Adams J, Borgström F, Cooper C, </w:t>
            </w:r>
            <w:proofErr w:type="spellStart"/>
            <w:r w:rsidRPr="006E2DA6">
              <w:rPr>
                <w:rFonts w:ascii="Calibri" w:hAnsi="Calibri" w:cs="Calibri"/>
                <w:color w:val="000000" w:themeColor="text1"/>
                <w:lang w:val="en-GB"/>
              </w:rPr>
              <w:t>Jönsson</w:t>
            </w:r>
            <w:proofErr w:type="spellEnd"/>
            <w:r w:rsidRPr="006E2DA6">
              <w:rPr>
                <w:rFonts w:ascii="Calibri" w:hAnsi="Calibri" w:cs="Calibri"/>
                <w:color w:val="000000" w:themeColor="text1"/>
                <w:lang w:val="en-GB"/>
              </w:rPr>
              <w:t xml:space="preserve"> B, </w:t>
            </w:r>
            <w:proofErr w:type="spellStart"/>
            <w:r w:rsidRPr="006E2DA6">
              <w:rPr>
                <w:rFonts w:ascii="Calibri" w:hAnsi="Calibri" w:cs="Calibri"/>
                <w:color w:val="000000" w:themeColor="text1"/>
                <w:lang w:val="en-GB"/>
              </w:rPr>
              <w:t>Preedy</w:t>
            </w:r>
            <w:proofErr w:type="spellEnd"/>
            <w:r w:rsidRPr="006E2DA6">
              <w:rPr>
                <w:rFonts w:ascii="Calibri" w:hAnsi="Calibri" w:cs="Calibri"/>
                <w:color w:val="000000" w:themeColor="text1"/>
                <w:lang w:val="en-GB"/>
              </w:rPr>
              <w:t xml:space="preserve"> </w:t>
            </w:r>
            <w:proofErr w:type="gramStart"/>
            <w:r w:rsidRPr="006E2DA6">
              <w:rPr>
                <w:rFonts w:ascii="Calibri" w:hAnsi="Calibri" w:cs="Calibri"/>
                <w:color w:val="000000" w:themeColor="text1"/>
                <w:lang w:val="en-GB"/>
              </w:rPr>
              <w:t>D</w:t>
            </w:r>
            <w:r>
              <w:rPr>
                <w:rFonts w:ascii="Calibri" w:hAnsi="Calibri" w:cs="Calibri"/>
                <w:color w:val="000000" w:themeColor="text1"/>
                <w:lang w:val="en-GB"/>
              </w:rPr>
              <w:t>,</w:t>
            </w:r>
            <w:r w:rsidRPr="006E2DA6">
              <w:rPr>
                <w:rFonts w:ascii="Calibri" w:hAnsi="Calibri" w:cs="Calibri"/>
                <w:color w:val="000000" w:themeColor="text1"/>
                <w:lang w:val="en-GB"/>
              </w:rPr>
              <w:t xml:space="preserve"> </w:t>
            </w:r>
            <w:r w:rsidRPr="00B85EB4">
              <w:rPr>
                <w:rFonts w:ascii="Calibri" w:hAnsi="Calibri" w:cs="Calibri"/>
                <w:color w:val="000000" w:themeColor="text1"/>
                <w:lang w:val="en-GB"/>
              </w:rPr>
              <w:t xml:space="preserve"> Selby</w:t>
            </w:r>
            <w:proofErr w:type="gramEnd"/>
            <w:r w:rsidRPr="00B85EB4">
              <w:rPr>
                <w:rFonts w:ascii="Calibri" w:hAnsi="Calibri" w:cs="Calibri"/>
                <w:color w:val="000000" w:themeColor="text1"/>
                <w:lang w:val="en-GB"/>
              </w:rPr>
              <w:t xml:space="preserve"> P, Compston J </w:t>
            </w:r>
            <w:r w:rsidRPr="006E2DA6">
              <w:rPr>
                <w:rFonts w:ascii="Calibri" w:hAnsi="Calibri" w:cs="Calibri"/>
                <w:color w:val="000000" w:themeColor="text1"/>
                <w:lang w:val="en-GB"/>
              </w:rPr>
              <w:t xml:space="preserve">(2008) The cost-effectiveness of alendronate in the management of osteoporosis. </w:t>
            </w:r>
            <w:r w:rsidRPr="006E2DA6">
              <w:rPr>
                <w:rFonts w:ascii="Calibri" w:hAnsi="Calibri" w:cs="Calibri"/>
                <w:color w:val="000000" w:themeColor="text1"/>
              </w:rPr>
              <w:t>Bone 42:4–15</w:t>
            </w:r>
          </w:p>
        </w:tc>
      </w:tr>
    </w:tbl>
    <w:p w14:paraId="3A5CE2C3" w14:textId="77777777" w:rsidR="00401781" w:rsidRPr="00AF1491" w:rsidRDefault="00401781" w:rsidP="00603E67">
      <w:pPr>
        <w:ind w:right="1275"/>
        <w:rPr>
          <w:rFonts w:asciiTheme="minorHAnsi" w:hAnsiTheme="minorHAnsi" w:cstheme="minorHAnsi"/>
          <w:b/>
          <w:sz w:val="24"/>
          <w:szCs w:val="24"/>
          <w:highlight w:val="yellow"/>
          <w:lang w:val="en-GB"/>
        </w:rPr>
      </w:pPr>
    </w:p>
    <w:p w14:paraId="38B2859D" w14:textId="320C6792" w:rsidR="00401781" w:rsidRDefault="00401781" w:rsidP="00603E67">
      <w:pPr>
        <w:ind w:right="1275"/>
        <w:rPr>
          <w:rFonts w:asciiTheme="minorHAnsi" w:hAnsiTheme="minorHAnsi" w:cstheme="minorHAnsi"/>
          <w:b/>
          <w:color w:val="FF0000"/>
          <w:sz w:val="24"/>
          <w:szCs w:val="24"/>
          <w:highlight w:val="yellow"/>
          <w:lang w:val="en-GB"/>
        </w:rPr>
      </w:pPr>
    </w:p>
    <w:p w14:paraId="20EE2189" w14:textId="77777777" w:rsidR="00A00938" w:rsidRDefault="00A00938" w:rsidP="00603E67">
      <w:pPr>
        <w:ind w:right="1275"/>
        <w:rPr>
          <w:rFonts w:asciiTheme="minorHAnsi" w:hAnsiTheme="minorHAnsi" w:cstheme="minorHAnsi"/>
          <w:b/>
          <w:color w:val="FF0000"/>
          <w:sz w:val="24"/>
          <w:szCs w:val="24"/>
          <w:highlight w:val="yellow"/>
          <w:lang w:val="en-GB"/>
        </w:rPr>
      </w:pPr>
    </w:p>
    <w:p w14:paraId="06855E5C" w14:textId="4581A5F8" w:rsidR="00EB617F" w:rsidRDefault="00EB617F" w:rsidP="00A04C7F">
      <w:pPr>
        <w:spacing w:after="120"/>
        <w:ind w:left="1134"/>
        <w:rPr>
          <w:b/>
          <w:bCs/>
          <w:lang w:val="en-GB"/>
        </w:rPr>
      </w:pPr>
    </w:p>
    <w:p w14:paraId="19C8FDED" w14:textId="4EC236FA" w:rsidR="00EB617F" w:rsidRDefault="00EB617F">
      <w:pPr>
        <w:spacing w:after="0" w:line="240" w:lineRule="auto"/>
        <w:rPr>
          <w:b/>
          <w:bCs/>
          <w:lang w:val="en-GB"/>
        </w:rPr>
      </w:pPr>
      <w:r>
        <w:rPr>
          <w:b/>
          <w:bCs/>
          <w:lang w:val="en-GB"/>
        </w:rPr>
        <w:br w:type="page"/>
      </w:r>
    </w:p>
    <w:p w14:paraId="5D76E157" w14:textId="3F42F387" w:rsidR="00AA483B" w:rsidRPr="00B139F5" w:rsidRDefault="003950B1" w:rsidP="00A04C7F">
      <w:pPr>
        <w:spacing w:after="120"/>
        <w:ind w:left="1134"/>
        <w:rPr>
          <w:b/>
          <w:bCs/>
          <w:lang w:val="en-GB"/>
        </w:rPr>
      </w:pPr>
      <w:r w:rsidRPr="00B139F5">
        <w:rPr>
          <w:b/>
          <w:bCs/>
          <w:lang w:val="en-GB"/>
        </w:rPr>
        <w:lastRenderedPageBreak/>
        <w:t>Appendix A</w:t>
      </w:r>
    </w:p>
    <w:p w14:paraId="431940B2" w14:textId="26621D52" w:rsidR="004E1344" w:rsidRPr="00E01B1F" w:rsidRDefault="00B139F5" w:rsidP="00A04C7F">
      <w:pPr>
        <w:spacing w:after="120"/>
        <w:ind w:left="1134"/>
        <w:rPr>
          <w:lang w:val="en-GB"/>
        </w:rPr>
      </w:pPr>
      <w:bookmarkStart w:id="14" w:name="_Hlk28099836"/>
      <w:r w:rsidRPr="00E21937">
        <w:rPr>
          <w:b/>
          <w:bCs/>
          <w:sz w:val="24"/>
          <w:szCs w:val="24"/>
          <w:shd w:val="clear" w:color="auto" w:fill="FFFFFF"/>
          <w:lang w:val="en-GB"/>
        </w:rPr>
        <w:t>Table A1</w:t>
      </w:r>
      <w:r>
        <w:rPr>
          <w:sz w:val="24"/>
          <w:szCs w:val="24"/>
          <w:shd w:val="clear" w:color="auto" w:fill="FFFFFF"/>
          <w:lang w:val="en-GB"/>
        </w:rPr>
        <w:t xml:space="preserve"> </w:t>
      </w:r>
      <w:proofErr w:type="gramStart"/>
      <w:r w:rsidRPr="00B139F5">
        <w:rPr>
          <w:sz w:val="24"/>
          <w:szCs w:val="24"/>
          <w:shd w:val="clear" w:color="auto" w:fill="FFFFFF"/>
          <w:lang w:val="en-GB"/>
        </w:rPr>
        <w:t>The</w:t>
      </w:r>
      <w:proofErr w:type="gramEnd"/>
      <w:r w:rsidRPr="00B139F5">
        <w:rPr>
          <w:sz w:val="24"/>
          <w:szCs w:val="24"/>
          <w:shd w:val="clear" w:color="auto" w:fill="FFFFFF"/>
          <w:lang w:val="en-GB"/>
        </w:rPr>
        <w:t xml:space="preserve"> prevalence of the simulated </w:t>
      </w:r>
      <w:r>
        <w:rPr>
          <w:sz w:val="24"/>
          <w:szCs w:val="24"/>
          <w:shd w:val="clear" w:color="auto" w:fill="FFFFFF"/>
          <w:lang w:val="en-GB"/>
        </w:rPr>
        <w:t>risk factors</w:t>
      </w:r>
      <w:r w:rsidRPr="00B139F5">
        <w:rPr>
          <w:sz w:val="24"/>
          <w:szCs w:val="24"/>
          <w:shd w:val="clear" w:color="auto" w:fill="FFFFFF"/>
          <w:lang w:val="en-GB"/>
        </w:rPr>
        <w:t xml:space="preserve"> for SCHS compared with the age-</w:t>
      </w:r>
      <w:r w:rsidR="00776453">
        <w:rPr>
          <w:sz w:val="24"/>
          <w:szCs w:val="24"/>
          <w:shd w:val="clear" w:color="auto" w:fill="FFFFFF"/>
          <w:lang w:val="en-GB"/>
        </w:rPr>
        <w:t>matched</w:t>
      </w:r>
      <w:r w:rsidRPr="00B139F5">
        <w:rPr>
          <w:sz w:val="24"/>
          <w:szCs w:val="24"/>
          <w:shd w:val="clear" w:color="auto" w:fill="FFFFFF"/>
          <w:lang w:val="en-GB"/>
        </w:rPr>
        <w:t xml:space="preserve"> prevalence from Ms </w:t>
      </w:r>
      <w:proofErr w:type="spellStart"/>
      <w:r w:rsidRPr="00B139F5">
        <w:rPr>
          <w:sz w:val="24"/>
          <w:szCs w:val="24"/>
          <w:shd w:val="clear" w:color="auto" w:fill="FFFFFF"/>
          <w:lang w:val="en-GB"/>
        </w:rPr>
        <w:t>Os</w:t>
      </w:r>
      <w:proofErr w:type="spellEnd"/>
      <w:r>
        <w:rPr>
          <w:sz w:val="24"/>
          <w:szCs w:val="24"/>
          <w:shd w:val="clear" w:color="auto" w:fill="FFFFFF"/>
          <w:lang w:val="en-GB"/>
        </w:rPr>
        <w:t>.</w:t>
      </w:r>
    </w:p>
    <w:bookmarkEnd w:id="14"/>
    <w:tbl>
      <w:tblPr>
        <w:tblpPr w:leftFromText="141" w:rightFromText="141" w:vertAnchor="text" w:horzAnchor="page" w:tblpX="2588" w:tblpY="279"/>
        <w:tblOverlap w:val="never"/>
        <w:tblW w:w="0" w:type="auto"/>
        <w:tblBorders>
          <w:top w:val="single" w:sz="4" w:space="0" w:color="auto"/>
          <w:bottom w:val="single" w:sz="4" w:space="0" w:color="auto"/>
        </w:tblBorders>
        <w:tblLook w:val="04A0" w:firstRow="1" w:lastRow="0" w:firstColumn="1" w:lastColumn="0" w:noHBand="0" w:noVBand="1"/>
      </w:tblPr>
      <w:tblGrid>
        <w:gridCol w:w="2799"/>
        <w:gridCol w:w="663"/>
        <w:gridCol w:w="1567"/>
        <w:gridCol w:w="551"/>
        <w:gridCol w:w="1567"/>
      </w:tblGrid>
      <w:tr w:rsidR="00184050" w:rsidRPr="00184050" w14:paraId="20849D55" w14:textId="77777777" w:rsidTr="00451309">
        <w:tc>
          <w:tcPr>
            <w:tcW w:w="0" w:type="auto"/>
            <w:tcBorders>
              <w:bottom w:val="nil"/>
            </w:tcBorders>
          </w:tcPr>
          <w:p w14:paraId="13BD4E43" w14:textId="77777777" w:rsidR="0037654A" w:rsidRPr="00E01B1F" w:rsidRDefault="0037654A" w:rsidP="00451309">
            <w:pPr>
              <w:pStyle w:val="PlainText"/>
              <w:rPr>
                <w:rFonts w:asciiTheme="minorHAnsi" w:hAnsiTheme="minorHAnsi" w:cstheme="minorHAnsi"/>
                <w:sz w:val="22"/>
                <w:szCs w:val="22"/>
                <w:lang w:val="en-US"/>
              </w:rPr>
            </w:pPr>
          </w:p>
        </w:tc>
        <w:tc>
          <w:tcPr>
            <w:tcW w:w="0" w:type="auto"/>
            <w:gridSpan w:val="2"/>
            <w:tcBorders>
              <w:bottom w:val="nil"/>
            </w:tcBorders>
          </w:tcPr>
          <w:p w14:paraId="607014F0" w14:textId="02E9A8DF" w:rsidR="0037654A" w:rsidRPr="00E01B1F" w:rsidRDefault="00F97FAA" w:rsidP="00451309">
            <w:pPr>
              <w:pStyle w:val="PlainText"/>
              <w:rPr>
                <w:rFonts w:asciiTheme="minorHAnsi" w:hAnsiTheme="minorHAnsi" w:cstheme="minorHAnsi"/>
                <w:sz w:val="22"/>
                <w:szCs w:val="22"/>
              </w:rPr>
            </w:pPr>
            <w:r w:rsidRPr="00E01B1F">
              <w:rPr>
                <w:rFonts w:asciiTheme="minorHAnsi" w:hAnsiTheme="minorHAnsi" w:cstheme="minorHAnsi"/>
                <w:sz w:val="22"/>
                <w:szCs w:val="22"/>
              </w:rPr>
              <w:t>Women in SCHS</w:t>
            </w:r>
          </w:p>
        </w:tc>
        <w:tc>
          <w:tcPr>
            <w:tcW w:w="0" w:type="auto"/>
            <w:gridSpan w:val="2"/>
            <w:tcBorders>
              <w:bottom w:val="nil"/>
            </w:tcBorders>
          </w:tcPr>
          <w:p w14:paraId="46E028A8" w14:textId="570A890D" w:rsidR="0037654A" w:rsidRPr="00E01B1F" w:rsidRDefault="0037654A"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Women</w:t>
            </w:r>
            <w:r w:rsidR="00F97FAA" w:rsidRPr="00E01B1F">
              <w:rPr>
                <w:rFonts w:asciiTheme="minorHAnsi" w:hAnsiTheme="minorHAnsi" w:cstheme="minorHAnsi"/>
                <w:sz w:val="22"/>
                <w:szCs w:val="22"/>
                <w:lang w:val="en-US"/>
              </w:rPr>
              <w:t xml:space="preserve"> in </w:t>
            </w:r>
            <w:proofErr w:type="spellStart"/>
            <w:r w:rsidR="00F97FAA" w:rsidRPr="00E01B1F">
              <w:rPr>
                <w:rFonts w:asciiTheme="minorHAnsi" w:hAnsiTheme="minorHAnsi" w:cstheme="minorHAnsi"/>
                <w:sz w:val="22"/>
                <w:szCs w:val="22"/>
                <w:lang w:val="en-US"/>
              </w:rPr>
              <w:t>Ms</w:t>
            </w:r>
            <w:proofErr w:type="spellEnd"/>
            <w:r w:rsidR="00F97FAA" w:rsidRPr="00E01B1F">
              <w:rPr>
                <w:rFonts w:asciiTheme="minorHAnsi" w:hAnsiTheme="minorHAnsi" w:cstheme="minorHAnsi"/>
                <w:sz w:val="22"/>
                <w:szCs w:val="22"/>
                <w:lang w:val="en-US"/>
              </w:rPr>
              <w:t xml:space="preserve"> </w:t>
            </w:r>
            <w:proofErr w:type="spellStart"/>
            <w:r w:rsidR="00F97FAA" w:rsidRPr="00E01B1F">
              <w:rPr>
                <w:rFonts w:asciiTheme="minorHAnsi" w:hAnsiTheme="minorHAnsi" w:cstheme="minorHAnsi"/>
                <w:sz w:val="22"/>
                <w:szCs w:val="22"/>
                <w:lang w:val="en-US"/>
              </w:rPr>
              <w:t>Os</w:t>
            </w:r>
            <w:proofErr w:type="spellEnd"/>
          </w:p>
        </w:tc>
      </w:tr>
      <w:tr w:rsidR="00AB1932" w:rsidRPr="00184050" w14:paraId="448505A7" w14:textId="77777777" w:rsidTr="00451309">
        <w:tc>
          <w:tcPr>
            <w:tcW w:w="0" w:type="auto"/>
            <w:tcBorders>
              <w:top w:val="nil"/>
              <w:bottom w:val="single" w:sz="4" w:space="0" w:color="auto"/>
            </w:tcBorders>
          </w:tcPr>
          <w:p w14:paraId="1A9499BA" w14:textId="77777777" w:rsidR="00F97FAA" w:rsidRPr="00E01B1F" w:rsidRDefault="00F97FAA" w:rsidP="00451309">
            <w:pPr>
              <w:pStyle w:val="PlainText"/>
              <w:rPr>
                <w:rFonts w:asciiTheme="minorHAnsi" w:hAnsiTheme="minorHAnsi" w:cstheme="minorHAnsi"/>
                <w:sz w:val="22"/>
                <w:szCs w:val="22"/>
                <w:lang w:val="en-US"/>
              </w:rPr>
            </w:pPr>
          </w:p>
        </w:tc>
        <w:tc>
          <w:tcPr>
            <w:tcW w:w="0" w:type="auto"/>
            <w:tcBorders>
              <w:top w:val="nil"/>
              <w:bottom w:val="single" w:sz="4" w:space="0" w:color="auto"/>
            </w:tcBorders>
          </w:tcPr>
          <w:p w14:paraId="51DA31DC" w14:textId="77777777" w:rsidR="00F97FAA" w:rsidRPr="00E01B1F" w:rsidRDefault="00F97FAA" w:rsidP="00451309">
            <w:pPr>
              <w:pStyle w:val="PlainText"/>
              <w:rPr>
                <w:rFonts w:asciiTheme="minorHAnsi" w:hAnsiTheme="minorHAnsi" w:cstheme="minorHAnsi"/>
                <w:sz w:val="22"/>
                <w:szCs w:val="22"/>
              </w:rPr>
            </w:pPr>
            <w:r w:rsidRPr="00E01B1F">
              <w:rPr>
                <w:rFonts w:asciiTheme="minorHAnsi" w:hAnsiTheme="minorHAnsi" w:cstheme="minorHAnsi"/>
                <w:sz w:val="22"/>
                <w:szCs w:val="22"/>
              </w:rPr>
              <w:t>N</w:t>
            </w:r>
          </w:p>
        </w:tc>
        <w:tc>
          <w:tcPr>
            <w:tcW w:w="0" w:type="auto"/>
            <w:tcBorders>
              <w:top w:val="nil"/>
              <w:bottom w:val="single" w:sz="4" w:space="0" w:color="auto"/>
            </w:tcBorders>
          </w:tcPr>
          <w:p w14:paraId="3AB7B517" w14:textId="66DCDC46" w:rsidR="00F97FAA" w:rsidRPr="00E01B1F" w:rsidRDefault="00F97FAA" w:rsidP="00451309">
            <w:pPr>
              <w:pStyle w:val="PlainText"/>
              <w:rPr>
                <w:rFonts w:asciiTheme="minorHAnsi" w:hAnsiTheme="minorHAnsi" w:cstheme="minorHAnsi"/>
                <w:sz w:val="22"/>
                <w:szCs w:val="22"/>
              </w:rPr>
            </w:pPr>
            <w:r w:rsidRPr="00E01B1F">
              <w:rPr>
                <w:rFonts w:asciiTheme="minorHAnsi" w:hAnsiTheme="minorHAnsi" w:cstheme="minorHAnsi"/>
                <w:sz w:val="22"/>
                <w:szCs w:val="22"/>
              </w:rPr>
              <w:t>Percentage (%)</w:t>
            </w:r>
          </w:p>
        </w:tc>
        <w:tc>
          <w:tcPr>
            <w:tcW w:w="0" w:type="auto"/>
            <w:tcBorders>
              <w:top w:val="nil"/>
              <w:bottom w:val="single" w:sz="4" w:space="0" w:color="auto"/>
            </w:tcBorders>
          </w:tcPr>
          <w:p w14:paraId="20AA6E66" w14:textId="77777777" w:rsidR="00F97FAA" w:rsidRPr="00E01B1F" w:rsidRDefault="00F97FAA"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N</w:t>
            </w:r>
          </w:p>
        </w:tc>
        <w:tc>
          <w:tcPr>
            <w:tcW w:w="0" w:type="auto"/>
            <w:tcBorders>
              <w:top w:val="nil"/>
              <w:bottom w:val="single" w:sz="4" w:space="0" w:color="auto"/>
            </w:tcBorders>
          </w:tcPr>
          <w:p w14:paraId="455A09D5" w14:textId="60BCC977" w:rsidR="00F97FAA" w:rsidRPr="00E01B1F" w:rsidRDefault="00F97FAA"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rPr>
              <w:t>Percentage (%)</w:t>
            </w:r>
          </w:p>
        </w:tc>
      </w:tr>
      <w:tr w:rsidR="00AB1932" w:rsidRPr="00184050" w14:paraId="7626676A" w14:textId="77777777" w:rsidTr="00451309">
        <w:tc>
          <w:tcPr>
            <w:tcW w:w="0" w:type="auto"/>
            <w:tcBorders>
              <w:top w:val="single" w:sz="4" w:space="0" w:color="auto"/>
            </w:tcBorders>
          </w:tcPr>
          <w:p w14:paraId="3E36A751" w14:textId="77777777" w:rsidR="00F97FAA" w:rsidRPr="00E01B1F" w:rsidRDefault="00F97FAA" w:rsidP="00451309">
            <w:pPr>
              <w:pStyle w:val="PlainText"/>
              <w:rPr>
                <w:rFonts w:asciiTheme="minorHAnsi" w:hAnsiTheme="minorHAnsi" w:cstheme="minorHAnsi"/>
                <w:b/>
                <w:sz w:val="22"/>
                <w:szCs w:val="22"/>
              </w:rPr>
            </w:pPr>
            <w:r w:rsidRPr="00E01B1F">
              <w:rPr>
                <w:rFonts w:asciiTheme="minorHAnsi" w:hAnsiTheme="minorHAnsi" w:cstheme="minorHAnsi"/>
                <w:b/>
                <w:sz w:val="22"/>
                <w:szCs w:val="22"/>
              </w:rPr>
              <w:t>Age 65-69</w:t>
            </w:r>
          </w:p>
        </w:tc>
        <w:tc>
          <w:tcPr>
            <w:tcW w:w="0" w:type="auto"/>
            <w:tcBorders>
              <w:top w:val="single" w:sz="4" w:space="0" w:color="auto"/>
            </w:tcBorders>
          </w:tcPr>
          <w:p w14:paraId="51BDAB7C" w14:textId="77777777" w:rsidR="00F97FAA" w:rsidRPr="00E01B1F" w:rsidRDefault="00F97FAA" w:rsidP="00451309">
            <w:pPr>
              <w:pStyle w:val="PlainText"/>
              <w:rPr>
                <w:rFonts w:asciiTheme="minorHAnsi" w:hAnsiTheme="minorHAnsi" w:cstheme="minorHAnsi"/>
                <w:b/>
                <w:sz w:val="22"/>
                <w:szCs w:val="22"/>
              </w:rPr>
            </w:pPr>
          </w:p>
        </w:tc>
        <w:tc>
          <w:tcPr>
            <w:tcW w:w="0" w:type="auto"/>
            <w:tcBorders>
              <w:top w:val="single" w:sz="4" w:space="0" w:color="auto"/>
            </w:tcBorders>
          </w:tcPr>
          <w:p w14:paraId="7468A4D0" w14:textId="77777777" w:rsidR="00F97FAA" w:rsidRPr="00E01B1F" w:rsidRDefault="00F97FAA" w:rsidP="00451309">
            <w:pPr>
              <w:pStyle w:val="PlainText"/>
              <w:rPr>
                <w:rFonts w:asciiTheme="minorHAnsi" w:hAnsiTheme="minorHAnsi" w:cstheme="minorHAnsi"/>
                <w:b/>
                <w:sz w:val="22"/>
                <w:szCs w:val="22"/>
              </w:rPr>
            </w:pPr>
          </w:p>
        </w:tc>
        <w:tc>
          <w:tcPr>
            <w:tcW w:w="0" w:type="auto"/>
            <w:tcBorders>
              <w:top w:val="single" w:sz="4" w:space="0" w:color="auto"/>
            </w:tcBorders>
          </w:tcPr>
          <w:p w14:paraId="08341DA7" w14:textId="77777777" w:rsidR="00F97FAA" w:rsidRPr="00E01B1F" w:rsidRDefault="00F97FAA" w:rsidP="00451309">
            <w:pPr>
              <w:pStyle w:val="PlainText"/>
              <w:rPr>
                <w:rFonts w:asciiTheme="minorHAnsi" w:hAnsiTheme="minorHAnsi" w:cstheme="minorHAnsi"/>
                <w:b/>
                <w:sz w:val="22"/>
                <w:szCs w:val="22"/>
                <w:lang w:val="en-US"/>
              </w:rPr>
            </w:pPr>
          </w:p>
        </w:tc>
        <w:tc>
          <w:tcPr>
            <w:tcW w:w="0" w:type="auto"/>
            <w:tcBorders>
              <w:top w:val="single" w:sz="4" w:space="0" w:color="auto"/>
            </w:tcBorders>
          </w:tcPr>
          <w:p w14:paraId="52623728" w14:textId="77777777" w:rsidR="00F97FAA" w:rsidRPr="00E01B1F" w:rsidRDefault="00F97FAA" w:rsidP="00451309">
            <w:pPr>
              <w:pStyle w:val="PlainText"/>
              <w:rPr>
                <w:rFonts w:asciiTheme="minorHAnsi" w:hAnsiTheme="minorHAnsi" w:cstheme="minorHAnsi"/>
                <w:b/>
                <w:sz w:val="22"/>
                <w:szCs w:val="22"/>
                <w:lang w:val="en-US"/>
              </w:rPr>
            </w:pPr>
          </w:p>
        </w:tc>
      </w:tr>
      <w:tr w:rsidR="00AB1932" w:rsidRPr="00184050" w14:paraId="155FBE02" w14:textId="77777777" w:rsidTr="00451309">
        <w:tc>
          <w:tcPr>
            <w:tcW w:w="0" w:type="auto"/>
          </w:tcPr>
          <w:p w14:paraId="0AD5D05D" w14:textId="1B2B1FAE" w:rsidR="00F97FAA" w:rsidRPr="00E01B1F" w:rsidRDefault="00F97FAA" w:rsidP="00451309">
            <w:pPr>
              <w:pStyle w:val="PlainText"/>
              <w:rPr>
                <w:rFonts w:asciiTheme="minorHAnsi" w:hAnsiTheme="minorHAnsi" w:cstheme="minorHAnsi"/>
                <w:sz w:val="22"/>
                <w:szCs w:val="22"/>
                <w:lang w:val="en-GB"/>
              </w:rPr>
            </w:pPr>
            <w:r w:rsidRPr="00E01B1F">
              <w:rPr>
                <w:rFonts w:asciiTheme="minorHAnsi" w:hAnsiTheme="minorHAnsi" w:cstheme="minorHAnsi"/>
                <w:sz w:val="22"/>
                <w:szCs w:val="22"/>
                <w:lang w:val="en-GB"/>
              </w:rPr>
              <w:t>Family</w:t>
            </w:r>
            <w:r w:rsidR="00184050" w:rsidRPr="00E01B1F">
              <w:rPr>
                <w:rFonts w:asciiTheme="minorHAnsi" w:hAnsiTheme="minorHAnsi" w:cstheme="minorHAnsi"/>
                <w:sz w:val="22"/>
                <w:szCs w:val="22"/>
                <w:lang w:val="en-GB"/>
              </w:rPr>
              <w:t xml:space="preserve"> history of hip fracture</w:t>
            </w:r>
          </w:p>
        </w:tc>
        <w:tc>
          <w:tcPr>
            <w:tcW w:w="0" w:type="auto"/>
          </w:tcPr>
          <w:p w14:paraId="47A7258D" w14:textId="46B3D9EF" w:rsidR="00F97FAA" w:rsidRPr="00E01B1F" w:rsidRDefault="00184050" w:rsidP="00451309">
            <w:pPr>
              <w:pStyle w:val="PlainText"/>
              <w:rPr>
                <w:rFonts w:asciiTheme="minorHAnsi" w:hAnsiTheme="minorHAnsi" w:cstheme="minorHAnsi"/>
                <w:sz w:val="22"/>
                <w:szCs w:val="22"/>
                <w:lang w:val="en-GB"/>
              </w:rPr>
            </w:pPr>
            <w:r>
              <w:rPr>
                <w:rFonts w:asciiTheme="minorHAnsi" w:hAnsiTheme="minorHAnsi" w:cstheme="minorHAnsi"/>
                <w:sz w:val="22"/>
                <w:szCs w:val="22"/>
                <w:lang w:val="en-GB"/>
              </w:rPr>
              <w:t>4687</w:t>
            </w:r>
          </w:p>
        </w:tc>
        <w:tc>
          <w:tcPr>
            <w:tcW w:w="0" w:type="auto"/>
          </w:tcPr>
          <w:p w14:paraId="72585AAD" w14:textId="31ED754B" w:rsidR="00F97FAA" w:rsidRPr="00E01B1F" w:rsidRDefault="00184050" w:rsidP="00451309">
            <w:pPr>
              <w:pStyle w:val="PlainText"/>
              <w:rPr>
                <w:rFonts w:asciiTheme="minorHAnsi" w:hAnsiTheme="minorHAnsi" w:cstheme="minorHAnsi"/>
                <w:sz w:val="22"/>
                <w:szCs w:val="22"/>
                <w:lang w:val="en-GB"/>
              </w:rPr>
            </w:pPr>
            <w:r>
              <w:rPr>
                <w:rFonts w:asciiTheme="minorHAnsi" w:hAnsiTheme="minorHAnsi" w:cstheme="minorHAnsi"/>
                <w:sz w:val="22"/>
                <w:szCs w:val="22"/>
                <w:lang w:val="en-GB"/>
              </w:rPr>
              <w:t>6</w:t>
            </w:r>
          </w:p>
        </w:tc>
        <w:tc>
          <w:tcPr>
            <w:tcW w:w="0" w:type="auto"/>
          </w:tcPr>
          <w:p w14:paraId="65293EF3" w14:textId="77777777" w:rsidR="00F97FAA" w:rsidRPr="00E01B1F" w:rsidRDefault="00F97FAA"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565</w:t>
            </w:r>
          </w:p>
        </w:tc>
        <w:tc>
          <w:tcPr>
            <w:tcW w:w="0" w:type="auto"/>
          </w:tcPr>
          <w:p w14:paraId="7A60E89C" w14:textId="77777777" w:rsidR="00F97FAA" w:rsidRPr="00E01B1F" w:rsidRDefault="00F97FAA"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8</w:t>
            </w:r>
          </w:p>
        </w:tc>
      </w:tr>
      <w:tr w:rsidR="00AB1932" w:rsidRPr="00184050" w14:paraId="4FE8F11E" w14:textId="77777777" w:rsidTr="00451309">
        <w:tc>
          <w:tcPr>
            <w:tcW w:w="0" w:type="auto"/>
          </w:tcPr>
          <w:p w14:paraId="2F2FFDF6" w14:textId="285761AE" w:rsidR="00F97FAA" w:rsidRPr="00E01B1F" w:rsidRDefault="00184050" w:rsidP="00451309">
            <w:pPr>
              <w:pStyle w:val="PlainText"/>
              <w:rPr>
                <w:rFonts w:asciiTheme="minorHAnsi" w:hAnsiTheme="minorHAnsi" w:cstheme="minorHAnsi"/>
                <w:sz w:val="22"/>
                <w:szCs w:val="22"/>
              </w:rPr>
            </w:pPr>
            <w:r w:rsidRPr="00E01B1F">
              <w:rPr>
                <w:rFonts w:asciiTheme="minorHAnsi" w:hAnsiTheme="minorHAnsi" w:cstheme="minorHAnsi"/>
                <w:sz w:val="22"/>
                <w:szCs w:val="22"/>
              </w:rPr>
              <w:t>Corticosteroid use</w:t>
            </w:r>
          </w:p>
        </w:tc>
        <w:tc>
          <w:tcPr>
            <w:tcW w:w="0" w:type="auto"/>
          </w:tcPr>
          <w:p w14:paraId="5F2E8AC6" w14:textId="495932F4" w:rsidR="00F97FAA" w:rsidRPr="00E01B1F" w:rsidRDefault="00184050" w:rsidP="00451309">
            <w:pPr>
              <w:pStyle w:val="PlainText"/>
              <w:rPr>
                <w:rFonts w:asciiTheme="minorHAnsi" w:hAnsiTheme="minorHAnsi" w:cstheme="minorHAnsi"/>
                <w:sz w:val="22"/>
                <w:szCs w:val="22"/>
              </w:rPr>
            </w:pPr>
            <w:r>
              <w:rPr>
                <w:rFonts w:asciiTheme="minorHAnsi" w:hAnsiTheme="minorHAnsi" w:cstheme="minorHAnsi"/>
                <w:sz w:val="22"/>
                <w:szCs w:val="22"/>
              </w:rPr>
              <w:t>4687</w:t>
            </w:r>
          </w:p>
        </w:tc>
        <w:tc>
          <w:tcPr>
            <w:tcW w:w="0" w:type="auto"/>
          </w:tcPr>
          <w:p w14:paraId="178EC7EA" w14:textId="7DB98AC8" w:rsidR="00F97FAA" w:rsidRPr="00E01B1F" w:rsidRDefault="00184050" w:rsidP="00451309">
            <w:pPr>
              <w:pStyle w:val="PlainText"/>
              <w:rPr>
                <w:rFonts w:asciiTheme="minorHAnsi" w:hAnsiTheme="minorHAnsi" w:cstheme="minorHAnsi"/>
                <w:sz w:val="22"/>
                <w:szCs w:val="22"/>
              </w:rPr>
            </w:pPr>
            <w:r>
              <w:rPr>
                <w:rFonts w:asciiTheme="minorHAnsi" w:hAnsiTheme="minorHAnsi" w:cstheme="minorHAnsi"/>
                <w:sz w:val="22"/>
                <w:szCs w:val="22"/>
              </w:rPr>
              <w:t>0</w:t>
            </w:r>
          </w:p>
        </w:tc>
        <w:tc>
          <w:tcPr>
            <w:tcW w:w="0" w:type="auto"/>
          </w:tcPr>
          <w:p w14:paraId="77AD2AA4" w14:textId="77777777" w:rsidR="00F97FAA" w:rsidRPr="00E01B1F" w:rsidRDefault="00F97FAA"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669</w:t>
            </w:r>
          </w:p>
        </w:tc>
        <w:tc>
          <w:tcPr>
            <w:tcW w:w="0" w:type="auto"/>
          </w:tcPr>
          <w:p w14:paraId="4949D16F" w14:textId="77777777" w:rsidR="00F97FAA" w:rsidRPr="00E01B1F" w:rsidRDefault="00F97FAA"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0</w:t>
            </w:r>
          </w:p>
        </w:tc>
      </w:tr>
      <w:tr w:rsidR="00AB1932" w:rsidRPr="00184050" w14:paraId="2AD273FD" w14:textId="77777777" w:rsidTr="00451309">
        <w:tc>
          <w:tcPr>
            <w:tcW w:w="0" w:type="auto"/>
          </w:tcPr>
          <w:p w14:paraId="3676E6A3" w14:textId="4005A13E" w:rsidR="00F97FAA" w:rsidRPr="00E01B1F" w:rsidRDefault="00F97FAA" w:rsidP="00451309">
            <w:pPr>
              <w:pStyle w:val="PlainText"/>
              <w:rPr>
                <w:rFonts w:asciiTheme="minorHAnsi" w:hAnsiTheme="minorHAnsi" w:cstheme="minorHAnsi"/>
                <w:sz w:val="22"/>
                <w:szCs w:val="22"/>
              </w:rPr>
            </w:pPr>
            <w:r w:rsidRPr="00E01B1F">
              <w:rPr>
                <w:rFonts w:asciiTheme="minorHAnsi" w:hAnsiTheme="minorHAnsi" w:cstheme="minorHAnsi"/>
                <w:sz w:val="22"/>
                <w:szCs w:val="22"/>
              </w:rPr>
              <w:t>R</w:t>
            </w:r>
            <w:r w:rsidR="00184050" w:rsidRPr="00E01B1F">
              <w:rPr>
                <w:rFonts w:asciiTheme="minorHAnsi" w:hAnsiTheme="minorHAnsi" w:cstheme="minorHAnsi"/>
                <w:sz w:val="22"/>
                <w:szCs w:val="22"/>
              </w:rPr>
              <w:t>heumatoid arthritis</w:t>
            </w:r>
          </w:p>
        </w:tc>
        <w:tc>
          <w:tcPr>
            <w:tcW w:w="0" w:type="auto"/>
          </w:tcPr>
          <w:p w14:paraId="0A7AD3C9" w14:textId="09BCFAC8" w:rsidR="00F97FAA" w:rsidRPr="00E01B1F" w:rsidRDefault="00184050" w:rsidP="00451309">
            <w:pPr>
              <w:pStyle w:val="PlainText"/>
              <w:rPr>
                <w:rFonts w:asciiTheme="minorHAnsi" w:hAnsiTheme="minorHAnsi" w:cstheme="minorHAnsi"/>
                <w:sz w:val="22"/>
                <w:szCs w:val="22"/>
              </w:rPr>
            </w:pPr>
            <w:r>
              <w:rPr>
                <w:rFonts w:asciiTheme="minorHAnsi" w:hAnsiTheme="minorHAnsi" w:cstheme="minorHAnsi"/>
                <w:sz w:val="22"/>
                <w:szCs w:val="22"/>
              </w:rPr>
              <w:t>4687</w:t>
            </w:r>
          </w:p>
        </w:tc>
        <w:tc>
          <w:tcPr>
            <w:tcW w:w="0" w:type="auto"/>
          </w:tcPr>
          <w:p w14:paraId="251B6DF5" w14:textId="520E1C9E" w:rsidR="00F97FAA" w:rsidRPr="00E01B1F" w:rsidRDefault="00184050" w:rsidP="00451309">
            <w:pPr>
              <w:pStyle w:val="PlainText"/>
              <w:rPr>
                <w:rFonts w:asciiTheme="minorHAnsi" w:hAnsiTheme="minorHAnsi" w:cstheme="minorHAnsi"/>
                <w:sz w:val="22"/>
                <w:szCs w:val="22"/>
              </w:rPr>
            </w:pPr>
            <w:r>
              <w:rPr>
                <w:rFonts w:asciiTheme="minorHAnsi" w:hAnsiTheme="minorHAnsi" w:cstheme="minorHAnsi"/>
                <w:sz w:val="22"/>
                <w:szCs w:val="22"/>
              </w:rPr>
              <w:t>2</w:t>
            </w:r>
          </w:p>
        </w:tc>
        <w:tc>
          <w:tcPr>
            <w:tcW w:w="0" w:type="auto"/>
          </w:tcPr>
          <w:p w14:paraId="0B7F016E" w14:textId="77777777" w:rsidR="00F97FAA" w:rsidRPr="00E01B1F" w:rsidRDefault="00F97FAA"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669</w:t>
            </w:r>
          </w:p>
        </w:tc>
        <w:tc>
          <w:tcPr>
            <w:tcW w:w="0" w:type="auto"/>
          </w:tcPr>
          <w:p w14:paraId="226693DB" w14:textId="77777777" w:rsidR="00F97FAA" w:rsidRPr="00E01B1F" w:rsidRDefault="00F97FAA"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2</w:t>
            </w:r>
          </w:p>
        </w:tc>
      </w:tr>
      <w:tr w:rsidR="00AB1932" w:rsidRPr="00184050" w14:paraId="7E50BC5F" w14:textId="77777777" w:rsidTr="00451309">
        <w:tc>
          <w:tcPr>
            <w:tcW w:w="0" w:type="auto"/>
          </w:tcPr>
          <w:p w14:paraId="5D396E29" w14:textId="77777777" w:rsidR="00F97FAA" w:rsidRPr="00E01B1F" w:rsidRDefault="00F97FAA" w:rsidP="00451309">
            <w:pPr>
              <w:pStyle w:val="PlainText"/>
              <w:rPr>
                <w:rFonts w:asciiTheme="minorHAnsi" w:hAnsiTheme="minorHAnsi" w:cstheme="minorHAnsi"/>
                <w:b/>
                <w:sz w:val="22"/>
                <w:szCs w:val="22"/>
              </w:rPr>
            </w:pPr>
            <w:r w:rsidRPr="00E01B1F">
              <w:rPr>
                <w:rFonts w:asciiTheme="minorHAnsi" w:hAnsiTheme="minorHAnsi" w:cstheme="minorHAnsi"/>
                <w:b/>
                <w:sz w:val="22"/>
                <w:szCs w:val="22"/>
              </w:rPr>
              <w:t>Age 70-74</w:t>
            </w:r>
          </w:p>
        </w:tc>
        <w:tc>
          <w:tcPr>
            <w:tcW w:w="0" w:type="auto"/>
          </w:tcPr>
          <w:p w14:paraId="7F43FBEC" w14:textId="77777777" w:rsidR="00F97FAA" w:rsidRPr="00E01B1F" w:rsidRDefault="00F97FAA" w:rsidP="00451309">
            <w:pPr>
              <w:pStyle w:val="PlainText"/>
              <w:rPr>
                <w:rFonts w:asciiTheme="minorHAnsi" w:hAnsiTheme="minorHAnsi" w:cstheme="minorHAnsi"/>
                <w:b/>
                <w:sz w:val="22"/>
                <w:szCs w:val="22"/>
              </w:rPr>
            </w:pPr>
          </w:p>
        </w:tc>
        <w:tc>
          <w:tcPr>
            <w:tcW w:w="0" w:type="auto"/>
          </w:tcPr>
          <w:p w14:paraId="6E24958D" w14:textId="77777777" w:rsidR="00F97FAA" w:rsidRPr="00E01B1F" w:rsidRDefault="00F97FAA" w:rsidP="00451309">
            <w:pPr>
              <w:pStyle w:val="PlainText"/>
              <w:rPr>
                <w:rFonts w:asciiTheme="minorHAnsi" w:hAnsiTheme="minorHAnsi" w:cstheme="minorHAnsi"/>
                <w:b/>
                <w:sz w:val="22"/>
                <w:szCs w:val="22"/>
              </w:rPr>
            </w:pPr>
          </w:p>
        </w:tc>
        <w:tc>
          <w:tcPr>
            <w:tcW w:w="0" w:type="auto"/>
          </w:tcPr>
          <w:p w14:paraId="2D4BB68E" w14:textId="77777777" w:rsidR="00F97FAA" w:rsidRPr="00E01B1F" w:rsidRDefault="00F97FAA" w:rsidP="00451309">
            <w:pPr>
              <w:pStyle w:val="PlainText"/>
              <w:rPr>
                <w:rFonts w:asciiTheme="minorHAnsi" w:hAnsiTheme="minorHAnsi" w:cstheme="minorHAnsi"/>
                <w:b/>
                <w:sz w:val="22"/>
                <w:szCs w:val="22"/>
                <w:lang w:val="en-US"/>
              </w:rPr>
            </w:pPr>
          </w:p>
        </w:tc>
        <w:tc>
          <w:tcPr>
            <w:tcW w:w="0" w:type="auto"/>
          </w:tcPr>
          <w:p w14:paraId="4CA73742" w14:textId="77777777" w:rsidR="00F97FAA" w:rsidRPr="00E01B1F" w:rsidRDefault="00F97FAA" w:rsidP="00451309">
            <w:pPr>
              <w:pStyle w:val="PlainText"/>
              <w:rPr>
                <w:rFonts w:asciiTheme="minorHAnsi" w:hAnsiTheme="minorHAnsi" w:cstheme="minorHAnsi"/>
                <w:b/>
                <w:sz w:val="22"/>
                <w:szCs w:val="22"/>
                <w:lang w:val="en-US"/>
              </w:rPr>
            </w:pPr>
          </w:p>
        </w:tc>
      </w:tr>
      <w:tr w:rsidR="00AB1932" w:rsidRPr="00184050" w14:paraId="3368A0BF" w14:textId="77777777" w:rsidTr="00451309">
        <w:tc>
          <w:tcPr>
            <w:tcW w:w="0" w:type="auto"/>
          </w:tcPr>
          <w:p w14:paraId="478AD9BC" w14:textId="1F796DF5" w:rsidR="00184050" w:rsidRPr="00E01B1F" w:rsidRDefault="00184050" w:rsidP="00451309">
            <w:pPr>
              <w:pStyle w:val="PlainText"/>
              <w:rPr>
                <w:rFonts w:asciiTheme="minorHAnsi" w:hAnsiTheme="minorHAnsi" w:cstheme="minorHAnsi"/>
                <w:sz w:val="22"/>
                <w:szCs w:val="22"/>
                <w:lang w:val="en-GB"/>
              </w:rPr>
            </w:pPr>
            <w:r w:rsidRPr="007672CE">
              <w:rPr>
                <w:rFonts w:asciiTheme="minorHAnsi" w:hAnsiTheme="minorHAnsi" w:cstheme="minorHAnsi"/>
                <w:sz w:val="22"/>
                <w:szCs w:val="22"/>
                <w:lang w:val="en-GB"/>
              </w:rPr>
              <w:t>Family history of hip fracture</w:t>
            </w:r>
          </w:p>
        </w:tc>
        <w:tc>
          <w:tcPr>
            <w:tcW w:w="0" w:type="auto"/>
          </w:tcPr>
          <w:p w14:paraId="34CFDC1C" w14:textId="14DD14CA" w:rsidR="00184050" w:rsidRPr="00E01B1F" w:rsidRDefault="00184050" w:rsidP="00451309">
            <w:pPr>
              <w:pStyle w:val="PlainText"/>
              <w:rPr>
                <w:rFonts w:asciiTheme="minorHAnsi" w:hAnsiTheme="minorHAnsi" w:cstheme="minorHAnsi"/>
                <w:sz w:val="22"/>
                <w:szCs w:val="22"/>
                <w:lang w:val="en-GB"/>
              </w:rPr>
            </w:pPr>
            <w:r>
              <w:rPr>
                <w:rFonts w:asciiTheme="minorHAnsi" w:hAnsiTheme="minorHAnsi" w:cstheme="minorHAnsi"/>
                <w:sz w:val="22"/>
                <w:szCs w:val="22"/>
                <w:lang w:val="en-GB"/>
              </w:rPr>
              <w:t>3371</w:t>
            </w:r>
          </w:p>
        </w:tc>
        <w:tc>
          <w:tcPr>
            <w:tcW w:w="0" w:type="auto"/>
          </w:tcPr>
          <w:p w14:paraId="253BFDB5" w14:textId="75F52EB5" w:rsidR="00184050" w:rsidRPr="00E01B1F" w:rsidRDefault="00184050" w:rsidP="00451309">
            <w:pPr>
              <w:pStyle w:val="PlainText"/>
              <w:rPr>
                <w:rFonts w:asciiTheme="minorHAnsi" w:hAnsiTheme="minorHAnsi" w:cstheme="minorHAnsi"/>
                <w:sz w:val="22"/>
                <w:szCs w:val="22"/>
                <w:lang w:val="en-GB"/>
              </w:rPr>
            </w:pPr>
            <w:r>
              <w:rPr>
                <w:rFonts w:asciiTheme="minorHAnsi" w:hAnsiTheme="minorHAnsi" w:cstheme="minorHAnsi"/>
                <w:sz w:val="22"/>
                <w:szCs w:val="22"/>
                <w:lang w:val="en-GB"/>
              </w:rPr>
              <w:t>5</w:t>
            </w:r>
          </w:p>
        </w:tc>
        <w:tc>
          <w:tcPr>
            <w:tcW w:w="0" w:type="auto"/>
          </w:tcPr>
          <w:p w14:paraId="2E28EDEC"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542</w:t>
            </w:r>
          </w:p>
        </w:tc>
        <w:tc>
          <w:tcPr>
            <w:tcW w:w="0" w:type="auto"/>
          </w:tcPr>
          <w:p w14:paraId="733C3B11"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6</w:t>
            </w:r>
          </w:p>
        </w:tc>
      </w:tr>
      <w:tr w:rsidR="00AB1932" w:rsidRPr="00184050" w14:paraId="699E0DC4" w14:textId="77777777" w:rsidTr="00451309">
        <w:tc>
          <w:tcPr>
            <w:tcW w:w="0" w:type="auto"/>
          </w:tcPr>
          <w:p w14:paraId="0268B480" w14:textId="05B47CC6" w:rsidR="00184050" w:rsidRPr="00E01B1F" w:rsidRDefault="00184050" w:rsidP="00451309">
            <w:pPr>
              <w:pStyle w:val="PlainText"/>
              <w:rPr>
                <w:rFonts w:asciiTheme="minorHAnsi" w:hAnsiTheme="minorHAnsi" w:cstheme="minorHAnsi"/>
                <w:sz w:val="22"/>
                <w:szCs w:val="22"/>
              </w:rPr>
            </w:pPr>
            <w:r w:rsidRPr="007672CE">
              <w:rPr>
                <w:rFonts w:asciiTheme="minorHAnsi" w:hAnsiTheme="minorHAnsi" w:cstheme="minorHAnsi"/>
                <w:sz w:val="22"/>
                <w:szCs w:val="22"/>
              </w:rPr>
              <w:t>Corticosteroid use</w:t>
            </w:r>
          </w:p>
        </w:tc>
        <w:tc>
          <w:tcPr>
            <w:tcW w:w="0" w:type="auto"/>
          </w:tcPr>
          <w:p w14:paraId="05E14B26" w14:textId="4A10362A" w:rsidR="00184050" w:rsidRPr="00E01B1F" w:rsidRDefault="00184050" w:rsidP="00451309">
            <w:pPr>
              <w:pStyle w:val="PlainText"/>
              <w:rPr>
                <w:rFonts w:asciiTheme="minorHAnsi" w:hAnsiTheme="minorHAnsi" w:cstheme="minorHAnsi"/>
                <w:sz w:val="22"/>
                <w:szCs w:val="22"/>
              </w:rPr>
            </w:pPr>
            <w:r>
              <w:rPr>
                <w:rFonts w:asciiTheme="minorHAnsi" w:hAnsiTheme="minorHAnsi" w:cstheme="minorHAnsi"/>
                <w:sz w:val="22"/>
                <w:szCs w:val="22"/>
              </w:rPr>
              <w:t>3371</w:t>
            </w:r>
          </w:p>
        </w:tc>
        <w:tc>
          <w:tcPr>
            <w:tcW w:w="0" w:type="auto"/>
          </w:tcPr>
          <w:p w14:paraId="2F0CB093" w14:textId="5A0DD282" w:rsidR="00184050" w:rsidRPr="00E01B1F" w:rsidRDefault="00184050" w:rsidP="00451309">
            <w:pPr>
              <w:pStyle w:val="PlainText"/>
              <w:rPr>
                <w:rFonts w:asciiTheme="minorHAnsi" w:hAnsiTheme="minorHAnsi" w:cstheme="minorHAnsi"/>
                <w:sz w:val="22"/>
                <w:szCs w:val="22"/>
              </w:rPr>
            </w:pPr>
            <w:r>
              <w:rPr>
                <w:rFonts w:asciiTheme="minorHAnsi" w:hAnsiTheme="minorHAnsi" w:cstheme="minorHAnsi"/>
                <w:sz w:val="22"/>
                <w:szCs w:val="22"/>
              </w:rPr>
              <w:t>0</w:t>
            </w:r>
          </w:p>
        </w:tc>
        <w:tc>
          <w:tcPr>
            <w:tcW w:w="0" w:type="auto"/>
          </w:tcPr>
          <w:p w14:paraId="3E50A3CC"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664</w:t>
            </w:r>
          </w:p>
        </w:tc>
        <w:tc>
          <w:tcPr>
            <w:tcW w:w="0" w:type="auto"/>
          </w:tcPr>
          <w:p w14:paraId="36A89D71"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0</w:t>
            </w:r>
          </w:p>
        </w:tc>
      </w:tr>
      <w:tr w:rsidR="00AB1932" w:rsidRPr="00184050" w14:paraId="07A6823E" w14:textId="77777777" w:rsidTr="00451309">
        <w:tc>
          <w:tcPr>
            <w:tcW w:w="0" w:type="auto"/>
          </w:tcPr>
          <w:p w14:paraId="6F830692" w14:textId="03BC50DC" w:rsidR="00184050" w:rsidRPr="00E01B1F" w:rsidRDefault="00184050" w:rsidP="00451309">
            <w:pPr>
              <w:pStyle w:val="PlainText"/>
              <w:rPr>
                <w:rFonts w:asciiTheme="minorHAnsi" w:hAnsiTheme="minorHAnsi" w:cstheme="minorHAnsi"/>
                <w:sz w:val="22"/>
                <w:szCs w:val="22"/>
              </w:rPr>
            </w:pPr>
            <w:r w:rsidRPr="007672CE">
              <w:rPr>
                <w:rFonts w:asciiTheme="minorHAnsi" w:hAnsiTheme="minorHAnsi" w:cstheme="minorHAnsi"/>
                <w:sz w:val="22"/>
                <w:szCs w:val="22"/>
              </w:rPr>
              <w:t>Rheumatoid arthritis</w:t>
            </w:r>
          </w:p>
        </w:tc>
        <w:tc>
          <w:tcPr>
            <w:tcW w:w="0" w:type="auto"/>
          </w:tcPr>
          <w:p w14:paraId="109FFE3C" w14:textId="7AC5164B" w:rsidR="00184050" w:rsidRPr="00E01B1F" w:rsidRDefault="00184050" w:rsidP="00451309">
            <w:pPr>
              <w:pStyle w:val="PlainText"/>
              <w:rPr>
                <w:rFonts w:asciiTheme="minorHAnsi" w:hAnsiTheme="minorHAnsi" w:cstheme="minorHAnsi"/>
                <w:sz w:val="22"/>
                <w:szCs w:val="22"/>
              </w:rPr>
            </w:pPr>
            <w:r>
              <w:rPr>
                <w:rFonts w:asciiTheme="minorHAnsi" w:hAnsiTheme="minorHAnsi" w:cstheme="minorHAnsi"/>
                <w:sz w:val="22"/>
                <w:szCs w:val="22"/>
              </w:rPr>
              <w:t>3371</w:t>
            </w:r>
          </w:p>
        </w:tc>
        <w:tc>
          <w:tcPr>
            <w:tcW w:w="0" w:type="auto"/>
          </w:tcPr>
          <w:p w14:paraId="64E90C8D" w14:textId="5F51AFB3" w:rsidR="00184050" w:rsidRPr="00E01B1F" w:rsidRDefault="00184050" w:rsidP="00451309">
            <w:pPr>
              <w:pStyle w:val="PlainText"/>
              <w:rPr>
                <w:rFonts w:asciiTheme="minorHAnsi" w:hAnsiTheme="minorHAnsi" w:cstheme="minorHAnsi"/>
                <w:sz w:val="22"/>
                <w:szCs w:val="22"/>
              </w:rPr>
            </w:pPr>
            <w:r>
              <w:rPr>
                <w:rFonts w:asciiTheme="minorHAnsi" w:hAnsiTheme="minorHAnsi" w:cstheme="minorHAnsi"/>
                <w:sz w:val="22"/>
                <w:szCs w:val="22"/>
              </w:rPr>
              <w:t>2</w:t>
            </w:r>
          </w:p>
        </w:tc>
        <w:tc>
          <w:tcPr>
            <w:tcW w:w="0" w:type="auto"/>
          </w:tcPr>
          <w:p w14:paraId="40A4D9C9"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665</w:t>
            </w:r>
          </w:p>
        </w:tc>
        <w:tc>
          <w:tcPr>
            <w:tcW w:w="0" w:type="auto"/>
          </w:tcPr>
          <w:p w14:paraId="0F43B98E"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2</w:t>
            </w:r>
          </w:p>
        </w:tc>
      </w:tr>
      <w:tr w:rsidR="00AB1932" w:rsidRPr="00184050" w14:paraId="5D9BF600" w14:textId="77777777" w:rsidTr="00451309">
        <w:tc>
          <w:tcPr>
            <w:tcW w:w="0" w:type="auto"/>
          </w:tcPr>
          <w:p w14:paraId="04C89B33" w14:textId="77777777" w:rsidR="00184050" w:rsidRPr="00E01B1F" w:rsidRDefault="00184050" w:rsidP="00451309">
            <w:pPr>
              <w:pStyle w:val="PlainText"/>
              <w:rPr>
                <w:rFonts w:asciiTheme="minorHAnsi" w:hAnsiTheme="minorHAnsi" w:cstheme="minorHAnsi"/>
                <w:b/>
                <w:sz w:val="22"/>
                <w:szCs w:val="22"/>
              </w:rPr>
            </w:pPr>
            <w:r w:rsidRPr="00E01B1F">
              <w:rPr>
                <w:rFonts w:asciiTheme="minorHAnsi" w:hAnsiTheme="minorHAnsi" w:cstheme="minorHAnsi"/>
                <w:b/>
                <w:sz w:val="22"/>
                <w:szCs w:val="22"/>
              </w:rPr>
              <w:t>Age 75-79</w:t>
            </w:r>
          </w:p>
        </w:tc>
        <w:tc>
          <w:tcPr>
            <w:tcW w:w="0" w:type="auto"/>
          </w:tcPr>
          <w:p w14:paraId="1EF6A642" w14:textId="77777777" w:rsidR="00184050" w:rsidRPr="00E01B1F" w:rsidRDefault="00184050" w:rsidP="00451309">
            <w:pPr>
              <w:pStyle w:val="PlainText"/>
              <w:rPr>
                <w:rFonts w:asciiTheme="minorHAnsi" w:hAnsiTheme="minorHAnsi" w:cstheme="minorHAnsi"/>
                <w:b/>
                <w:sz w:val="22"/>
                <w:szCs w:val="22"/>
              </w:rPr>
            </w:pPr>
          </w:p>
        </w:tc>
        <w:tc>
          <w:tcPr>
            <w:tcW w:w="0" w:type="auto"/>
          </w:tcPr>
          <w:p w14:paraId="7754E453" w14:textId="77777777" w:rsidR="00184050" w:rsidRPr="00E01B1F" w:rsidRDefault="00184050" w:rsidP="00451309">
            <w:pPr>
              <w:pStyle w:val="PlainText"/>
              <w:rPr>
                <w:rFonts w:asciiTheme="minorHAnsi" w:hAnsiTheme="minorHAnsi" w:cstheme="minorHAnsi"/>
                <w:b/>
                <w:sz w:val="22"/>
                <w:szCs w:val="22"/>
              </w:rPr>
            </w:pPr>
          </w:p>
        </w:tc>
        <w:tc>
          <w:tcPr>
            <w:tcW w:w="0" w:type="auto"/>
          </w:tcPr>
          <w:p w14:paraId="344F24AB" w14:textId="77777777" w:rsidR="00184050" w:rsidRPr="00E01B1F" w:rsidRDefault="00184050" w:rsidP="00451309">
            <w:pPr>
              <w:pStyle w:val="PlainText"/>
              <w:rPr>
                <w:rFonts w:asciiTheme="minorHAnsi" w:hAnsiTheme="minorHAnsi" w:cstheme="minorHAnsi"/>
                <w:b/>
                <w:sz w:val="22"/>
                <w:szCs w:val="22"/>
                <w:lang w:val="en-US"/>
              </w:rPr>
            </w:pPr>
          </w:p>
        </w:tc>
        <w:tc>
          <w:tcPr>
            <w:tcW w:w="0" w:type="auto"/>
          </w:tcPr>
          <w:p w14:paraId="5B3E83B2" w14:textId="77777777" w:rsidR="00184050" w:rsidRPr="00E01B1F" w:rsidRDefault="00184050" w:rsidP="00451309">
            <w:pPr>
              <w:pStyle w:val="PlainText"/>
              <w:rPr>
                <w:rFonts w:asciiTheme="minorHAnsi" w:hAnsiTheme="minorHAnsi" w:cstheme="minorHAnsi"/>
                <w:b/>
                <w:sz w:val="22"/>
                <w:szCs w:val="22"/>
                <w:lang w:val="en-US"/>
              </w:rPr>
            </w:pPr>
          </w:p>
        </w:tc>
      </w:tr>
      <w:tr w:rsidR="00AB1932" w:rsidRPr="00184050" w14:paraId="1F1AF4A9" w14:textId="77777777" w:rsidTr="00451309">
        <w:tc>
          <w:tcPr>
            <w:tcW w:w="0" w:type="auto"/>
          </w:tcPr>
          <w:p w14:paraId="7DB002A4" w14:textId="2DC7B939" w:rsidR="00184050" w:rsidRPr="00E01B1F" w:rsidRDefault="00184050" w:rsidP="00451309">
            <w:pPr>
              <w:pStyle w:val="PlainText"/>
              <w:rPr>
                <w:rFonts w:asciiTheme="minorHAnsi" w:hAnsiTheme="minorHAnsi" w:cstheme="minorHAnsi"/>
                <w:sz w:val="22"/>
                <w:szCs w:val="22"/>
                <w:lang w:val="en-GB"/>
              </w:rPr>
            </w:pPr>
            <w:r w:rsidRPr="007672CE">
              <w:rPr>
                <w:rFonts w:asciiTheme="minorHAnsi" w:hAnsiTheme="minorHAnsi" w:cstheme="minorHAnsi"/>
                <w:sz w:val="22"/>
                <w:szCs w:val="22"/>
                <w:lang w:val="en-GB"/>
              </w:rPr>
              <w:t>Family history of hip fracture</w:t>
            </w:r>
          </w:p>
        </w:tc>
        <w:tc>
          <w:tcPr>
            <w:tcW w:w="0" w:type="auto"/>
          </w:tcPr>
          <w:p w14:paraId="64623893" w14:textId="0B11C67F" w:rsidR="00184050" w:rsidRPr="00E01B1F" w:rsidRDefault="00184050" w:rsidP="00451309">
            <w:pPr>
              <w:pStyle w:val="PlainText"/>
              <w:rPr>
                <w:rFonts w:asciiTheme="minorHAnsi" w:hAnsiTheme="minorHAnsi" w:cstheme="minorHAnsi"/>
                <w:sz w:val="22"/>
                <w:szCs w:val="22"/>
                <w:lang w:val="en-US"/>
              </w:rPr>
            </w:pPr>
            <w:r>
              <w:rPr>
                <w:rFonts w:asciiTheme="minorHAnsi" w:hAnsiTheme="minorHAnsi" w:cstheme="minorHAnsi"/>
                <w:sz w:val="22"/>
                <w:szCs w:val="22"/>
                <w:lang w:val="en-US"/>
              </w:rPr>
              <w:t>1905</w:t>
            </w:r>
          </w:p>
        </w:tc>
        <w:tc>
          <w:tcPr>
            <w:tcW w:w="0" w:type="auto"/>
          </w:tcPr>
          <w:p w14:paraId="27215378" w14:textId="7982ECB7" w:rsidR="00184050" w:rsidRPr="00E01B1F" w:rsidRDefault="00184050" w:rsidP="00451309">
            <w:pPr>
              <w:pStyle w:val="PlainText"/>
              <w:rPr>
                <w:rFonts w:asciiTheme="minorHAnsi" w:hAnsiTheme="minorHAnsi" w:cstheme="minorHAnsi"/>
                <w:sz w:val="22"/>
                <w:szCs w:val="22"/>
                <w:lang w:val="en-US"/>
              </w:rPr>
            </w:pPr>
            <w:r>
              <w:rPr>
                <w:rFonts w:asciiTheme="minorHAnsi" w:hAnsiTheme="minorHAnsi" w:cstheme="minorHAnsi"/>
                <w:sz w:val="22"/>
                <w:szCs w:val="22"/>
                <w:lang w:val="en-US"/>
              </w:rPr>
              <w:t>3</w:t>
            </w:r>
          </w:p>
        </w:tc>
        <w:tc>
          <w:tcPr>
            <w:tcW w:w="0" w:type="auto"/>
          </w:tcPr>
          <w:p w14:paraId="45B40A49"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354</w:t>
            </w:r>
          </w:p>
        </w:tc>
        <w:tc>
          <w:tcPr>
            <w:tcW w:w="0" w:type="auto"/>
          </w:tcPr>
          <w:p w14:paraId="26FB70C8"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2</w:t>
            </w:r>
          </w:p>
        </w:tc>
      </w:tr>
      <w:tr w:rsidR="00AB1932" w:rsidRPr="00184050" w14:paraId="0308023A" w14:textId="77777777" w:rsidTr="00451309">
        <w:tc>
          <w:tcPr>
            <w:tcW w:w="0" w:type="auto"/>
          </w:tcPr>
          <w:p w14:paraId="438B1104" w14:textId="0ABA0652" w:rsidR="00184050" w:rsidRPr="00E01B1F" w:rsidRDefault="00184050" w:rsidP="00451309">
            <w:pPr>
              <w:pStyle w:val="PlainText"/>
              <w:rPr>
                <w:rFonts w:asciiTheme="minorHAnsi" w:hAnsiTheme="minorHAnsi" w:cstheme="minorHAnsi"/>
                <w:sz w:val="22"/>
                <w:szCs w:val="22"/>
              </w:rPr>
            </w:pPr>
            <w:r w:rsidRPr="007672CE">
              <w:rPr>
                <w:rFonts w:asciiTheme="minorHAnsi" w:hAnsiTheme="minorHAnsi" w:cstheme="minorHAnsi"/>
                <w:sz w:val="22"/>
                <w:szCs w:val="22"/>
              </w:rPr>
              <w:t>Corticosteroid use</w:t>
            </w:r>
          </w:p>
        </w:tc>
        <w:tc>
          <w:tcPr>
            <w:tcW w:w="0" w:type="auto"/>
          </w:tcPr>
          <w:p w14:paraId="4918920E" w14:textId="3B0E6D3C" w:rsidR="00184050" w:rsidRPr="00E01B1F" w:rsidRDefault="00184050" w:rsidP="00451309">
            <w:pPr>
              <w:pStyle w:val="PlainText"/>
              <w:rPr>
                <w:rFonts w:asciiTheme="minorHAnsi" w:hAnsiTheme="minorHAnsi" w:cstheme="minorHAnsi"/>
                <w:sz w:val="22"/>
                <w:szCs w:val="22"/>
                <w:lang w:val="en-US"/>
              </w:rPr>
            </w:pPr>
            <w:r>
              <w:rPr>
                <w:rFonts w:asciiTheme="minorHAnsi" w:hAnsiTheme="minorHAnsi" w:cstheme="minorHAnsi"/>
                <w:sz w:val="22"/>
                <w:szCs w:val="22"/>
                <w:lang w:val="en-US"/>
              </w:rPr>
              <w:t>1905</w:t>
            </w:r>
          </w:p>
        </w:tc>
        <w:tc>
          <w:tcPr>
            <w:tcW w:w="0" w:type="auto"/>
          </w:tcPr>
          <w:p w14:paraId="4EA8077D" w14:textId="2EC01BCC" w:rsidR="00184050" w:rsidRPr="00E01B1F" w:rsidRDefault="00184050" w:rsidP="00451309">
            <w:pPr>
              <w:pStyle w:val="PlainText"/>
              <w:rPr>
                <w:rFonts w:asciiTheme="minorHAnsi" w:hAnsiTheme="minorHAnsi" w:cstheme="minorHAnsi"/>
                <w:sz w:val="22"/>
                <w:szCs w:val="22"/>
                <w:lang w:val="en-US"/>
              </w:rPr>
            </w:pPr>
            <w:r>
              <w:rPr>
                <w:rFonts w:asciiTheme="minorHAnsi" w:hAnsiTheme="minorHAnsi" w:cstheme="minorHAnsi"/>
                <w:sz w:val="22"/>
                <w:szCs w:val="22"/>
                <w:lang w:val="en-US"/>
              </w:rPr>
              <w:t>0</w:t>
            </w:r>
          </w:p>
        </w:tc>
        <w:tc>
          <w:tcPr>
            <w:tcW w:w="0" w:type="auto"/>
          </w:tcPr>
          <w:p w14:paraId="30106E8A"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449</w:t>
            </w:r>
          </w:p>
        </w:tc>
        <w:tc>
          <w:tcPr>
            <w:tcW w:w="0" w:type="auto"/>
          </w:tcPr>
          <w:p w14:paraId="016D80D3"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0</w:t>
            </w:r>
          </w:p>
        </w:tc>
      </w:tr>
      <w:tr w:rsidR="00AB1932" w:rsidRPr="00184050" w14:paraId="2C99FC96" w14:textId="77777777" w:rsidTr="00451309">
        <w:tc>
          <w:tcPr>
            <w:tcW w:w="0" w:type="auto"/>
          </w:tcPr>
          <w:p w14:paraId="654A2CA1" w14:textId="64FF03D5" w:rsidR="00184050" w:rsidRPr="00E01B1F" w:rsidRDefault="00184050" w:rsidP="00451309">
            <w:pPr>
              <w:pStyle w:val="PlainText"/>
              <w:rPr>
                <w:rFonts w:asciiTheme="minorHAnsi" w:hAnsiTheme="minorHAnsi" w:cstheme="minorHAnsi"/>
                <w:sz w:val="22"/>
                <w:szCs w:val="22"/>
              </w:rPr>
            </w:pPr>
            <w:r w:rsidRPr="007672CE">
              <w:rPr>
                <w:rFonts w:asciiTheme="minorHAnsi" w:hAnsiTheme="minorHAnsi" w:cstheme="minorHAnsi"/>
                <w:sz w:val="22"/>
                <w:szCs w:val="22"/>
              </w:rPr>
              <w:t>Rheumatoid arthritis</w:t>
            </w:r>
          </w:p>
        </w:tc>
        <w:tc>
          <w:tcPr>
            <w:tcW w:w="0" w:type="auto"/>
          </w:tcPr>
          <w:p w14:paraId="699F1A38" w14:textId="38BB0386" w:rsidR="00184050" w:rsidRPr="00E01B1F" w:rsidRDefault="00184050" w:rsidP="00451309">
            <w:pPr>
              <w:pStyle w:val="PlainText"/>
              <w:rPr>
                <w:rFonts w:asciiTheme="minorHAnsi" w:hAnsiTheme="minorHAnsi" w:cstheme="minorHAnsi"/>
                <w:sz w:val="22"/>
                <w:szCs w:val="22"/>
                <w:lang w:val="en-US"/>
              </w:rPr>
            </w:pPr>
            <w:r>
              <w:rPr>
                <w:rFonts w:asciiTheme="minorHAnsi" w:hAnsiTheme="minorHAnsi" w:cstheme="minorHAnsi"/>
                <w:sz w:val="22"/>
                <w:szCs w:val="22"/>
                <w:lang w:val="en-US"/>
              </w:rPr>
              <w:t>1905</w:t>
            </w:r>
          </w:p>
        </w:tc>
        <w:tc>
          <w:tcPr>
            <w:tcW w:w="0" w:type="auto"/>
          </w:tcPr>
          <w:p w14:paraId="17BDBF3F" w14:textId="1AF72991" w:rsidR="00184050" w:rsidRPr="00E01B1F" w:rsidRDefault="00184050" w:rsidP="00451309">
            <w:pPr>
              <w:pStyle w:val="PlainText"/>
              <w:rPr>
                <w:rFonts w:asciiTheme="minorHAnsi" w:hAnsiTheme="minorHAnsi" w:cstheme="minorHAnsi"/>
                <w:sz w:val="22"/>
                <w:szCs w:val="22"/>
                <w:lang w:val="en-US"/>
              </w:rPr>
            </w:pPr>
            <w:r>
              <w:rPr>
                <w:rFonts w:asciiTheme="minorHAnsi" w:hAnsiTheme="minorHAnsi" w:cstheme="minorHAnsi"/>
                <w:sz w:val="22"/>
                <w:szCs w:val="22"/>
                <w:lang w:val="en-US"/>
              </w:rPr>
              <w:t>2</w:t>
            </w:r>
          </w:p>
        </w:tc>
        <w:tc>
          <w:tcPr>
            <w:tcW w:w="0" w:type="auto"/>
          </w:tcPr>
          <w:p w14:paraId="7830B8CC"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449</w:t>
            </w:r>
          </w:p>
        </w:tc>
        <w:tc>
          <w:tcPr>
            <w:tcW w:w="0" w:type="auto"/>
          </w:tcPr>
          <w:p w14:paraId="002E5D47"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2</w:t>
            </w:r>
          </w:p>
        </w:tc>
      </w:tr>
      <w:tr w:rsidR="00AB1932" w:rsidRPr="00184050" w14:paraId="4FD6E041" w14:textId="77777777" w:rsidTr="00451309">
        <w:tc>
          <w:tcPr>
            <w:tcW w:w="0" w:type="auto"/>
          </w:tcPr>
          <w:p w14:paraId="46492992" w14:textId="77777777" w:rsidR="00184050" w:rsidRPr="00E01B1F" w:rsidRDefault="00184050" w:rsidP="00451309">
            <w:pPr>
              <w:pStyle w:val="PlainText"/>
              <w:rPr>
                <w:rFonts w:asciiTheme="minorHAnsi" w:hAnsiTheme="minorHAnsi" w:cstheme="minorHAnsi"/>
                <w:b/>
                <w:sz w:val="22"/>
                <w:szCs w:val="22"/>
                <w:lang w:val="en-US"/>
              </w:rPr>
            </w:pPr>
            <w:r w:rsidRPr="00E01B1F">
              <w:rPr>
                <w:rFonts w:asciiTheme="minorHAnsi" w:hAnsiTheme="minorHAnsi" w:cstheme="minorHAnsi"/>
                <w:b/>
                <w:sz w:val="22"/>
                <w:szCs w:val="22"/>
                <w:lang w:val="en-US"/>
              </w:rPr>
              <w:t>Age 80-84</w:t>
            </w:r>
          </w:p>
        </w:tc>
        <w:tc>
          <w:tcPr>
            <w:tcW w:w="0" w:type="auto"/>
          </w:tcPr>
          <w:p w14:paraId="7FCC99F5" w14:textId="77777777" w:rsidR="00184050" w:rsidRPr="00E01B1F" w:rsidRDefault="00184050" w:rsidP="00451309">
            <w:pPr>
              <w:pStyle w:val="PlainText"/>
              <w:rPr>
                <w:rFonts w:asciiTheme="minorHAnsi" w:hAnsiTheme="minorHAnsi" w:cstheme="minorHAnsi"/>
                <w:b/>
                <w:sz w:val="22"/>
                <w:szCs w:val="22"/>
                <w:lang w:val="en-US"/>
              </w:rPr>
            </w:pPr>
          </w:p>
        </w:tc>
        <w:tc>
          <w:tcPr>
            <w:tcW w:w="0" w:type="auto"/>
          </w:tcPr>
          <w:p w14:paraId="673B36A0" w14:textId="77777777" w:rsidR="00184050" w:rsidRPr="00E01B1F" w:rsidRDefault="00184050" w:rsidP="00451309">
            <w:pPr>
              <w:pStyle w:val="PlainText"/>
              <w:rPr>
                <w:rFonts w:asciiTheme="minorHAnsi" w:hAnsiTheme="minorHAnsi" w:cstheme="minorHAnsi"/>
                <w:b/>
                <w:sz w:val="22"/>
                <w:szCs w:val="22"/>
                <w:lang w:val="en-US"/>
              </w:rPr>
            </w:pPr>
          </w:p>
        </w:tc>
        <w:tc>
          <w:tcPr>
            <w:tcW w:w="0" w:type="auto"/>
          </w:tcPr>
          <w:p w14:paraId="7FFD42D8" w14:textId="77777777" w:rsidR="00184050" w:rsidRPr="00E01B1F" w:rsidRDefault="00184050" w:rsidP="00451309">
            <w:pPr>
              <w:pStyle w:val="PlainText"/>
              <w:rPr>
                <w:rFonts w:asciiTheme="minorHAnsi" w:hAnsiTheme="minorHAnsi" w:cstheme="minorHAnsi"/>
                <w:b/>
                <w:sz w:val="22"/>
                <w:szCs w:val="22"/>
                <w:lang w:val="en-US"/>
              </w:rPr>
            </w:pPr>
          </w:p>
        </w:tc>
        <w:tc>
          <w:tcPr>
            <w:tcW w:w="0" w:type="auto"/>
          </w:tcPr>
          <w:p w14:paraId="31FA5021" w14:textId="77777777" w:rsidR="00184050" w:rsidRPr="00E01B1F" w:rsidRDefault="00184050" w:rsidP="00451309">
            <w:pPr>
              <w:pStyle w:val="PlainText"/>
              <w:rPr>
                <w:rFonts w:asciiTheme="minorHAnsi" w:hAnsiTheme="minorHAnsi" w:cstheme="minorHAnsi"/>
                <w:b/>
                <w:sz w:val="22"/>
                <w:szCs w:val="22"/>
                <w:lang w:val="en-US"/>
              </w:rPr>
            </w:pPr>
          </w:p>
        </w:tc>
      </w:tr>
      <w:tr w:rsidR="00AB1932" w:rsidRPr="00184050" w14:paraId="75F87D7B" w14:textId="77777777" w:rsidTr="00451309">
        <w:tc>
          <w:tcPr>
            <w:tcW w:w="0" w:type="auto"/>
          </w:tcPr>
          <w:p w14:paraId="0292057C" w14:textId="7A974C07" w:rsidR="00184050" w:rsidRPr="00E01B1F" w:rsidRDefault="00184050" w:rsidP="00451309">
            <w:pPr>
              <w:pStyle w:val="PlainText"/>
              <w:rPr>
                <w:rFonts w:asciiTheme="minorHAnsi" w:hAnsiTheme="minorHAnsi" w:cstheme="minorHAnsi"/>
                <w:sz w:val="22"/>
                <w:szCs w:val="22"/>
                <w:lang w:val="en-GB"/>
              </w:rPr>
            </w:pPr>
            <w:r w:rsidRPr="007672CE">
              <w:rPr>
                <w:rFonts w:asciiTheme="minorHAnsi" w:hAnsiTheme="minorHAnsi" w:cstheme="minorHAnsi"/>
                <w:sz w:val="22"/>
                <w:szCs w:val="22"/>
                <w:lang w:val="en-GB"/>
              </w:rPr>
              <w:t>Family history of hip fracture</w:t>
            </w:r>
          </w:p>
        </w:tc>
        <w:tc>
          <w:tcPr>
            <w:tcW w:w="0" w:type="auto"/>
          </w:tcPr>
          <w:p w14:paraId="36E90D63" w14:textId="1D59113E" w:rsidR="00184050" w:rsidRPr="00E01B1F" w:rsidRDefault="00184050" w:rsidP="00451309">
            <w:pPr>
              <w:pStyle w:val="PlainText"/>
              <w:rPr>
                <w:rFonts w:asciiTheme="minorHAnsi" w:hAnsiTheme="minorHAnsi" w:cstheme="minorHAnsi"/>
                <w:sz w:val="22"/>
                <w:szCs w:val="22"/>
                <w:lang w:val="en-US"/>
              </w:rPr>
            </w:pPr>
            <w:r>
              <w:rPr>
                <w:rFonts w:asciiTheme="minorHAnsi" w:hAnsiTheme="minorHAnsi" w:cstheme="minorHAnsi"/>
                <w:sz w:val="22"/>
                <w:szCs w:val="22"/>
                <w:lang w:val="en-US"/>
              </w:rPr>
              <w:t>257</w:t>
            </w:r>
          </w:p>
        </w:tc>
        <w:tc>
          <w:tcPr>
            <w:tcW w:w="0" w:type="auto"/>
          </w:tcPr>
          <w:p w14:paraId="25B3504E" w14:textId="3A5559F2" w:rsidR="00184050" w:rsidRPr="00E01B1F" w:rsidRDefault="00960E2B" w:rsidP="00451309">
            <w:pPr>
              <w:pStyle w:val="PlainText"/>
              <w:rPr>
                <w:rFonts w:asciiTheme="minorHAnsi" w:hAnsiTheme="minorHAnsi" w:cstheme="minorHAnsi"/>
                <w:sz w:val="22"/>
                <w:szCs w:val="22"/>
                <w:lang w:val="en-US"/>
              </w:rPr>
            </w:pPr>
            <w:r>
              <w:rPr>
                <w:rFonts w:asciiTheme="minorHAnsi" w:hAnsiTheme="minorHAnsi" w:cstheme="minorHAnsi"/>
                <w:sz w:val="22"/>
                <w:szCs w:val="22"/>
                <w:lang w:val="en-US"/>
              </w:rPr>
              <w:t>2</w:t>
            </w:r>
          </w:p>
        </w:tc>
        <w:tc>
          <w:tcPr>
            <w:tcW w:w="0" w:type="auto"/>
          </w:tcPr>
          <w:p w14:paraId="434522AB"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125</w:t>
            </w:r>
          </w:p>
        </w:tc>
        <w:tc>
          <w:tcPr>
            <w:tcW w:w="0" w:type="auto"/>
          </w:tcPr>
          <w:p w14:paraId="4E4FC1D4"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2</w:t>
            </w:r>
          </w:p>
        </w:tc>
      </w:tr>
      <w:tr w:rsidR="00AB1932" w:rsidRPr="00184050" w14:paraId="301BC2B1" w14:textId="77777777" w:rsidTr="00451309">
        <w:tc>
          <w:tcPr>
            <w:tcW w:w="0" w:type="auto"/>
          </w:tcPr>
          <w:p w14:paraId="0304D8CA" w14:textId="2CCFFAB0" w:rsidR="00184050" w:rsidRPr="00E01B1F" w:rsidRDefault="00184050" w:rsidP="00451309">
            <w:pPr>
              <w:pStyle w:val="PlainText"/>
              <w:rPr>
                <w:rFonts w:asciiTheme="minorHAnsi" w:hAnsiTheme="minorHAnsi" w:cstheme="minorHAnsi"/>
                <w:sz w:val="22"/>
                <w:szCs w:val="22"/>
              </w:rPr>
            </w:pPr>
            <w:r w:rsidRPr="007672CE">
              <w:rPr>
                <w:rFonts w:asciiTheme="minorHAnsi" w:hAnsiTheme="minorHAnsi" w:cstheme="minorHAnsi"/>
                <w:sz w:val="22"/>
                <w:szCs w:val="22"/>
              </w:rPr>
              <w:t>Corticosteroid use</w:t>
            </w:r>
          </w:p>
        </w:tc>
        <w:tc>
          <w:tcPr>
            <w:tcW w:w="0" w:type="auto"/>
          </w:tcPr>
          <w:p w14:paraId="6BFD744E" w14:textId="0B5EFD51" w:rsidR="00184050" w:rsidRPr="00E01B1F" w:rsidRDefault="00184050" w:rsidP="00451309">
            <w:pPr>
              <w:pStyle w:val="PlainText"/>
              <w:rPr>
                <w:rFonts w:asciiTheme="minorHAnsi" w:hAnsiTheme="minorHAnsi" w:cstheme="minorHAnsi"/>
                <w:sz w:val="22"/>
                <w:szCs w:val="22"/>
                <w:lang w:val="en-US"/>
              </w:rPr>
            </w:pPr>
            <w:r>
              <w:rPr>
                <w:rFonts w:asciiTheme="minorHAnsi" w:hAnsiTheme="minorHAnsi" w:cstheme="minorHAnsi"/>
                <w:sz w:val="22"/>
                <w:szCs w:val="22"/>
                <w:lang w:val="en-US"/>
              </w:rPr>
              <w:t>257</w:t>
            </w:r>
          </w:p>
        </w:tc>
        <w:tc>
          <w:tcPr>
            <w:tcW w:w="0" w:type="auto"/>
          </w:tcPr>
          <w:p w14:paraId="7563B3A5" w14:textId="77686723" w:rsidR="00184050" w:rsidRPr="00E01B1F" w:rsidRDefault="00960E2B" w:rsidP="00451309">
            <w:pPr>
              <w:pStyle w:val="PlainText"/>
              <w:rPr>
                <w:rFonts w:asciiTheme="minorHAnsi" w:hAnsiTheme="minorHAnsi" w:cstheme="minorHAnsi"/>
                <w:sz w:val="22"/>
                <w:szCs w:val="22"/>
                <w:lang w:val="en-US"/>
              </w:rPr>
            </w:pPr>
            <w:r>
              <w:rPr>
                <w:rFonts w:asciiTheme="minorHAnsi" w:hAnsiTheme="minorHAnsi" w:cstheme="minorHAnsi"/>
                <w:sz w:val="22"/>
                <w:szCs w:val="22"/>
                <w:lang w:val="en-US"/>
              </w:rPr>
              <w:t>0</w:t>
            </w:r>
          </w:p>
        </w:tc>
        <w:tc>
          <w:tcPr>
            <w:tcW w:w="0" w:type="auto"/>
          </w:tcPr>
          <w:p w14:paraId="62CC1177"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159</w:t>
            </w:r>
          </w:p>
        </w:tc>
        <w:tc>
          <w:tcPr>
            <w:tcW w:w="0" w:type="auto"/>
          </w:tcPr>
          <w:p w14:paraId="49C6EF7A"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1</w:t>
            </w:r>
          </w:p>
        </w:tc>
      </w:tr>
      <w:tr w:rsidR="00AB1932" w:rsidRPr="00184050" w14:paraId="13BBB0E3" w14:textId="77777777" w:rsidTr="00451309">
        <w:tc>
          <w:tcPr>
            <w:tcW w:w="0" w:type="auto"/>
          </w:tcPr>
          <w:p w14:paraId="3408BC78" w14:textId="08A166CB" w:rsidR="00184050" w:rsidRPr="00E01B1F" w:rsidRDefault="00184050" w:rsidP="00451309">
            <w:pPr>
              <w:pStyle w:val="PlainText"/>
              <w:rPr>
                <w:rFonts w:asciiTheme="minorHAnsi" w:hAnsiTheme="minorHAnsi" w:cstheme="minorHAnsi"/>
                <w:sz w:val="22"/>
                <w:szCs w:val="22"/>
              </w:rPr>
            </w:pPr>
            <w:r w:rsidRPr="007672CE">
              <w:rPr>
                <w:rFonts w:asciiTheme="minorHAnsi" w:hAnsiTheme="minorHAnsi" w:cstheme="minorHAnsi"/>
                <w:sz w:val="22"/>
                <w:szCs w:val="22"/>
              </w:rPr>
              <w:t>Rheumatoid arthritis</w:t>
            </w:r>
          </w:p>
        </w:tc>
        <w:tc>
          <w:tcPr>
            <w:tcW w:w="0" w:type="auto"/>
          </w:tcPr>
          <w:p w14:paraId="4E331BF6" w14:textId="269DB9D1" w:rsidR="00184050" w:rsidRPr="00E01B1F" w:rsidRDefault="00184050" w:rsidP="00451309">
            <w:pPr>
              <w:pStyle w:val="PlainText"/>
              <w:rPr>
                <w:rFonts w:asciiTheme="minorHAnsi" w:hAnsiTheme="minorHAnsi" w:cstheme="minorHAnsi"/>
                <w:sz w:val="22"/>
                <w:szCs w:val="22"/>
                <w:lang w:val="en-US"/>
              </w:rPr>
            </w:pPr>
            <w:r>
              <w:rPr>
                <w:rFonts w:asciiTheme="minorHAnsi" w:hAnsiTheme="minorHAnsi" w:cstheme="minorHAnsi"/>
                <w:sz w:val="22"/>
                <w:szCs w:val="22"/>
                <w:lang w:val="en-US"/>
              </w:rPr>
              <w:t>257</w:t>
            </w:r>
          </w:p>
        </w:tc>
        <w:tc>
          <w:tcPr>
            <w:tcW w:w="0" w:type="auto"/>
          </w:tcPr>
          <w:p w14:paraId="19C49A71" w14:textId="7B499BD4" w:rsidR="00184050" w:rsidRPr="00E01B1F" w:rsidRDefault="00960E2B" w:rsidP="00451309">
            <w:pPr>
              <w:pStyle w:val="PlainText"/>
              <w:rPr>
                <w:rFonts w:asciiTheme="minorHAnsi" w:hAnsiTheme="minorHAnsi" w:cstheme="minorHAnsi"/>
                <w:sz w:val="22"/>
                <w:szCs w:val="22"/>
                <w:lang w:val="en-US"/>
              </w:rPr>
            </w:pPr>
            <w:r>
              <w:rPr>
                <w:rFonts w:asciiTheme="minorHAnsi" w:hAnsiTheme="minorHAnsi" w:cstheme="minorHAnsi"/>
                <w:sz w:val="22"/>
                <w:szCs w:val="22"/>
                <w:lang w:val="en-US"/>
              </w:rPr>
              <w:t>2</w:t>
            </w:r>
          </w:p>
        </w:tc>
        <w:tc>
          <w:tcPr>
            <w:tcW w:w="0" w:type="auto"/>
          </w:tcPr>
          <w:p w14:paraId="2105BBF8"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159</w:t>
            </w:r>
          </w:p>
        </w:tc>
        <w:tc>
          <w:tcPr>
            <w:tcW w:w="0" w:type="auto"/>
          </w:tcPr>
          <w:p w14:paraId="7408D961" w14:textId="77777777" w:rsidR="00184050" w:rsidRPr="00E01B1F" w:rsidRDefault="00184050" w:rsidP="00451309">
            <w:pPr>
              <w:pStyle w:val="PlainText"/>
              <w:rPr>
                <w:rFonts w:asciiTheme="minorHAnsi" w:hAnsiTheme="minorHAnsi" w:cstheme="minorHAnsi"/>
                <w:sz w:val="22"/>
                <w:szCs w:val="22"/>
                <w:lang w:val="en-US"/>
              </w:rPr>
            </w:pPr>
            <w:r w:rsidRPr="00E01B1F">
              <w:rPr>
                <w:rFonts w:asciiTheme="minorHAnsi" w:hAnsiTheme="minorHAnsi" w:cstheme="minorHAnsi"/>
                <w:sz w:val="22"/>
                <w:szCs w:val="22"/>
                <w:lang w:val="en-US"/>
              </w:rPr>
              <w:t>1</w:t>
            </w:r>
          </w:p>
        </w:tc>
      </w:tr>
    </w:tbl>
    <w:p w14:paraId="4EF6EF38" w14:textId="376A2BA8" w:rsidR="003950B1" w:rsidRPr="00F579DA" w:rsidRDefault="003950B1" w:rsidP="00D84B33">
      <w:pPr>
        <w:spacing w:after="120"/>
        <w:ind w:left="720" w:hanging="720"/>
        <w:rPr>
          <w:color w:val="FF0000"/>
          <w:lang w:val="en-GB"/>
        </w:rPr>
      </w:pPr>
    </w:p>
    <w:p w14:paraId="52BE13FA" w14:textId="77777777" w:rsidR="00184050" w:rsidRDefault="00184050">
      <w:pPr>
        <w:spacing w:after="0" w:line="240" w:lineRule="auto"/>
        <w:rPr>
          <w:rFonts w:asciiTheme="minorHAnsi" w:hAnsiTheme="minorHAnsi" w:cstheme="minorHAnsi"/>
          <w:lang w:val="en-GB"/>
        </w:rPr>
      </w:pPr>
    </w:p>
    <w:p w14:paraId="6FD2BA8F" w14:textId="77777777" w:rsidR="00184050" w:rsidRDefault="00184050">
      <w:pPr>
        <w:spacing w:after="0" w:line="240" w:lineRule="auto"/>
        <w:rPr>
          <w:rFonts w:asciiTheme="minorHAnsi" w:hAnsiTheme="minorHAnsi" w:cstheme="minorHAnsi"/>
          <w:lang w:val="en-GB"/>
        </w:rPr>
      </w:pPr>
    </w:p>
    <w:p w14:paraId="37BD34C7" w14:textId="77777777" w:rsidR="00184050" w:rsidRDefault="00184050">
      <w:pPr>
        <w:spacing w:after="0" w:line="240" w:lineRule="auto"/>
        <w:rPr>
          <w:rFonts w:asciiTheme="minorHAnsi" w:hAnsiTheme="minorHAnsi" w:cstheme="minorHAnsi"/>
          <w:lang w:val="en-GB"/>
        </w:rPr>
      </w:pPr>
    </w:p>
    <w:p w14:paraId="0F28E43A" w14:textId="77777777" w:rsidR="00184050" w:rsidRDefault="00184050">
      <w:pPr>
        <w:spacing w:after="0" w:line="240" w:lineRule="auto"/>
        <w:rPr>
          <w:rFonts w:asciiTheme="minorHAnsi" w:hAnsiTheme="minorHAnsi" w:cstheme="minorHAnsi"/>
          <w:lang w:val="en-GB"/>
        </w:rPr>
      </w:pPr>
    </w:p>
    <w:p w14:paraId="52DA9CC5" w14:textId="77777777" w:rsidR="00184050" w:rsidRDefault="00184050">
      <w:pPr>
        <w:spacing w:after="0" w:line="240" w:lineRule="auto"/>
        <w:rPr>
          <w:rFonts w:asciiTheme="minorHAnsi" w:hAnsiTheme="minorHAnsi" w:cstheme="minorHAnsi"/>
          <w:lang w:val="en-GB"/>
        </w:rPr>
      </w:pPr>
    </w:p>
    <w:p w14:paraId="1D8A8281" w14:textId="77777777" w:rsidR="00184050" w:rsidRDefault="00184050">
      <w:pPr>
        <w:spacing w:after="0" w:line="240" w:lineRule="auto"/>
        <w:rPr>
          <w:rFonts w:asciiTheme="minorHAnsi" w:hAnsiTheme="minorHAnsi" w:cstheme="minorHAnsi"/>
          <w:lang w:val="en-GB"/>
        </w:rPr>
      </w:pPr>
    </w:p>
    <w:p w14:paraId="295ECD01" w14:textId="77777777" w:rsidR="00184050" w:rsidRDefault="00184050">
      <w:pPr>
        <w:spacing w:after="0" w:line="240" w:lineRule="auto"/>
        <w:rPr>
          <w:rFonts w:asciiTheme="minorHAnsi" w:hAnsiTheme="minorHAnsi" w:cstheme="minorHAnsi"/>
          <w:lang w:val="en-GB"/>
        </w:rPr>
      </w:pPr>
    </w:p>
    <w:p w14:paraId="437C8C47" w14:textId="77777777" w:rsidR="00184050" w:rsidRDefault="00184050">
      <w:pPr>
        <w:spacing w:after="0" w:line="240" w:lineRule="auto"/>
        <w:rPr>
          <w:rFonts w:asciiTheme="minorHAnsi" w:hAnsiTheme="minorHAnsi" w:cstheme="minorHAnsi"/>
          <w:lang w:val="en-GB"/>
        </w:rPr>
      </w:pPr>
    </w:p>
    <w:p w14:paraId="51FCFD8F" w14:textId="77777777" w:rsidR="00184050" w:rsidRDefault="00184050">
      <w:pPr>
        <w:spacing w:after="0" w:line="240" w:lineRule="auto"/>
        <w:rPr>
          <w:rFonts w:asciiTheme="minorHAnsi" w:hAnsiTheme="minorHAnsi" w:cstheme="minorHAnsi"/>
          <w:lang w:val="en-GB"/>
        </w:rPr>
      </w:pPr>
    </w:p>
    <w:p w14:paraId="785AB29E" w14:textId="77777777" w:rsidR="00184050" w:rsidRDefault="00184050">
      <w:pPr>
        <w:spacing w:after="0" w:line="240" w:lineRule="auto"/>
        <w:rPr>
          <w:rFonts w:asciiTheme="minorHAnsi" w:hAnsiTheme="minorHAnsi" w:cstheme="minorHAnsi"/>
          <w:lang w:val="en-GB"/>
        </w:rPr>
      </w:pPr>
    </w:p>
    <w:p w14:paraId="2BDB7FA9" w14:textId="77777777" w:rsidR="00184050" w:rsidRDefault="00184050">
      <w:pPr>
        <w:spacing w:after="0" w:line="240" w:lineRule="auto"/>
        <w:rPr>
          <w:rFonts w:asciiTheme="minorHAnsi" w:hAnsiTheme="minorHAnsi" w:cstheme="minorHAnsi"/>
          <w:lang w:val="en-GB"/>
        </w:rPr>
      </w:pPr>
    </w:p>
    <w:p w14:paraId="5BC52D1F" w14:textId="77777777" w:rsidR="00184050" w:rsidRDefault="00184050">
      <w:pPr>
        <w:spacing w:after="0" w:line="240" w:lineRule="auto"/>
        <w:rPr>
          <w:rFonts w:asciiTheme="minorHAnsi" w:hAnsiTheme="minorHAnsi" w:cstheme="minorHAnsi"/>
          <w:lang w:val="en-GB"/>
        </w:rPr>
      </w:pPr>
    </w:p>
    <w:p w14:paraId="3BC81532" w14:textId="77777777" w:rsidR="00184050" w:rsidRDefault="00184050">
      <w:pPr>
        <w:spacing w:after="0" w:line="240" w:lineRule="auto"/>
        <w:rPr>
          <w:rFonts w:asciiTheme="minorHAnsi" w:hAnsiTheme="minorHAnsi" w:cstheme="minorHAnsi"/>
          <w:lang w:val="en-GB"/>
        </w:rPr>
      </w:pPr>
    </w:p>
    <w:p w14:paraId="49510A94" w14:textId="77777777" w:rsidR="00184050" w:rsidRDefault="00184050">
      <w:pPr>
        <w:spacing w:after="0" w:line="240" w:lineRule="auto"/>
        <w:rPr>
          <w:rFonts w:asciiTheme="minorHAnsi" w:hAnsiTheme="minorHAnsi" w:cstheme="minorHAnsi"/>
          <w:lang w:val="en-GB"/>
        </w:rPr>
      </w:pPr>
    </w:p>
    <w:p w14:paraId="049CD47A" w14:textId="77777777" w:rsidR="00184050" w:rsidRDefault="00184050">
      <w:pPr>
        <w:spacing w:after="0" w:line="240" w:lineRule="auto"/>
        <w:rPr>
          <w:rFonts w:asciiTheme="minorHAnsi" w:hAnsiTheme="minorHAnsi" w:cstheme="minorHAnsi"/>
          <w:lang w:val="en-GB"/>
        </w:rPr>
      </w:pPr>
    </w:p>
    <w:p w14:paraId="21B12E28" w14:textId="77777777" w:rsidR="00184050" w:rsidRDefault="00184050">
      <w:pPr>
        <w:spacing w:after="0" w:line="240" w:lineRule="auto"/>
        <w:rPr>
          <w:rFonts w:asciiTheme="minorHAnsi" w:hAnsiTheme="minorHAnsi" w:cstheme="minorHAnsi"/>
          <w:lang w:val="en-GB"/>
        </w:rPr>
      </w:pPr>
    </w:p>
    <w:p w14:paraId="4CFABF07" w14:textId="77777777" w:rsidR="00184050" w:rsidRDefault="00184050">
      <w:pPr>
        <w:spacing w:after="0" w:line="240" w:lineRule="auto"/>
        <w:rPr>
          <w:rFonts w:asciiTheme="minorHAnsi" w:hAnsiTheme="minorHAnsi" w:cstheme="minorHAnsi"/>
          <w:lang w:val="en-GB"/>
        </w:rPr>
      </w:pPr>
    </w:p>
    <w:p w14:paraId="0F68AF33" w14:textId="77777777" w:rsidR="00184050" w:rsidRDefault="00184050">
      <w:pPr>
        <w:spacing w:after="0" w:line="240" w:lineRule="auto"/>
        <w:rPr>
          <w:rFonts w:asciiTheme="minorHAnsi" w:hAnsiTheme="minorHAnsi" w:cstheme="minorHAnsi"/>
          <w:lang w:val="en-GB"/>
        </w:rPr>
      </w:pPr>
    </w:p>
    <w:p w14:paraId="6C329C85" w14:textId="39B41BED" w:rsidR="00184050" w:rsidRDefault="00184050">
      <w:pPr>
        <w:spacing w:after="0" w:line="240" w:lineRule="auto"/>
        <w:rPr>
          <w:rFonts w:asciiTheme="minorHAnsi" w:hAnsiTheme="minorHAnsi" w:cstheme="minorHAnsi"/>
          <w:lang w:val="en-GB"/>
        </w:rPr>
      </w:pPr>
    </w:p>
    <w:p w14:paraId="4F9CE1A6" w14:textId="4853EF27" w:rsidR="004E1344" w:rsidRDefault="00E21937" w:rsidP="00A04C7F">
      <w:pPr>
        <w:spacing w:after="0" w:line="240" w:lineRule="auto"/>
        <w:ind w:left="1134"/>
        <w:rPr>
          <w:b/>
          <w:bCs/>
          <w:color w:val="FF0000"/>
          <w:sz w:val="24"/>
          <w:szCs w:val="24"/>
          <w:lang w:val="en-US"/>
        </w:rPr>
      </w:pPr>
      <w:r w:rsidRPr="00E21937">
        <w:rPr>
          <w:rFonts w:asciiTheme="minorHAnsi" w:hAnsiTheme="minorHAnsi" w:cstheme="minorHAnsi"/>
          <w:b/>
          <w:bCs/>
          <w:lang w:val="en-GB"/>
        </w:rPr>
        <w:t>Table A2</w:t>
      </w:r>
      <w:r w:rsidRPr="00E21937">
        <w:rPr>
          <w:rFonts w:asciiTheme="minorHAnsi" w:hAnsiTheme="minorHAnsi" w:cstheme="minorHAnsi"/>
          <w:lang w:val="en-GB"/>
        </w:rPr>
        <w:t xml:space="preserve"> </w:t>
      </w:r>
      <w:r>
        <w:rPr>
          <w:rFonts w:asciiTheme="minorHAnsi" w:hAnsiTheme="minorHAnsi" w:cstheme="minorHAnsi"/>
          <w:lang w:val="en-GB"/>
        </w:rPr>
        <w:t>Mean f</w:t>
      </w:r>
      <w:r w:rsidRPr="00E21937">
        <w:rPr>
          <w:rFonts w:asciiTheme="minorHAnsi" w:hAnsiTheme="minorHAnsi" w:cstheme="minorHAnsi"/>
          <w:lang w:val="en-GB"/>
        </w:rPr>
        <w:t xml:space="preserve">emoral neck BMD </w:t>
      </w:r>
      <w:r>
        <w:rPr>
          <w:rFonts w:asciiTheme="minorHAnsi" w:hAnsiTheme="minorHAnsi" w:cstheme="minorHAnsi"/>
          <w:lang w:val="en-GB"/>
        </w:rPr>
        <w:t>T</w:t>
      </w:r>
      <w:r w:rsidRPr="00E21937">
        <w:rPr>
          <w:rFonts w:asciiTheme="minorHAnsi" w:hAnsiTheme="minorHAnsi" w:cstheme="minorHAnsi"/>
          <w:lang w:val="en-GB"/>
        </w:rPr>
        <w:t xml:space="preserve">-score </w:t>
      </w:r>
      <w:r>
        <w:rPr>
          <w:rFonts w:asciiTheme="minorHAnsi" w:hAnsiTheme="minorHAnsi" w:cstheme="minorHAnsi"/>
          <w:lang w:val="en-GB"/>
        </w:rPr>
        <w:t>and standard deviation (SD) by age</w:t>
      </w:r>
      <w:r w:rsidRPr="00E21937">
        <w:rPr>
          <w:rFonts w:asciiTheme="minorHAnsi" w:hAnsiTheme="minorHAnsi" w:cstheme="minorHAnsi"/>
          <w:lang w:val="en-GB"/>
        </w:rPr>
        <w:t xml:space="preserve"> for SCHS compared with Ms </w:t>
      </w:r>
      <w:proofErr w:type="spellStart"/>
      <w:r w:rsidRPr="00E21937">
        <w:rPr>
          <w:rFonts w:asciiTheme="minorHAnsi" w:hAnsiTheme="minorHAnsi" w:cstheme="minorHAnsi"/>
          <w:lang w:val="en-GB"/>
        </w:rPr>
        <w:t>Os</w:t>
      </w:r>
      <w:proofErr w:type="spellEnd"/>
      <w:r w:rsidRPr="00E21937">
        <w:rPr>
          <w:rFonts w:asciiTheme="minorHAnsi" w:hAnsiTheme="minorHAnsi" w:cstheme="minorHAnsi"/>
          <w:lang w:val="en-GB"/>
        </w:rPr>
        <w:t>.</w:t>
      </w:r>
      <w:r w:rsidR="00184050">
        <w:rPr>
          <w:b/>
          <w:bCs/>
          <w:color w:val="FF0000"/>
          <w:sz w:val="24"/>
          <w:szCs w:val="24"/>
          <w:lang w:val="en-US"/>
        </w:rPr>
        <w:t xml:space="preserve"> </w:t>
      </w:r>
    </w:p>
    <w:p w14:paraId="3BC1B8B8" w14:textId="77777777" w:rsidR="00D535D7" w:rsidRDefault="00D535D7" w:rsidP="00A04C7F">
      <w:pPr>
        <w:spacing w:after="0" w:line="240" w:lineRule="auto"/>
        <w:ind w:left="1134"/>
        <w:rPr>
          <w:b/>
          <w:bCs/>
          <w:color w:val="FF0000"/>
          <w:sz w:val="24"/>
          <w:szCs w:val="24"/>
          <w:lang w:val="en-US"/>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6"/>
        <w:gridCol w:w="849"/>
        <w:gridCol w:w="849"/>
        <w:gridCol w:w="850"/>
        <w:gridCol w:w="284"/>
        <w:gridCol w:w="1044"/>
        <w:gridCol w:w="1045"/>
        <w:gridCol w:w="1045"/>
      </w:tblGrid>
      <w:tr w:rsidR="006F2EF8" w14:paraId="7434F956" w14:textId="77777777" w:rsidTr="00F47426">
        <w:tc>
          <w:tcPr>
            <w:tcW w:w="1326" w:type="dxa"/>
            <w:tcBorders>
              <w:top w:val="single" w:sz="4" w:space="0" w:color="auto"/>
            </w:tcBorders>
          </w:tcPr>
          <w:p w14:paraId="6822A099" w14:textId="77777777" w:rsidR="006F2EF8" w:rsidRPr="00EB5083" w:rsidRDefault="006F2EF8" w:rsidP="00D14816">
            <w:pPr>
              <w:spacing w:after="0" w:line="360" w:lineRule="auto"/>
              <w:rPr>
                <w:rFonts w:asciiTheme="minorHAnsi" w:hAnsiTheme="minorHAnsi" w:cstheme="minorHAnsi"/>
                <w:lang w:val="en-US"/>
              </w:rPr>
            </w:pPr>
          </w:p>
        </w:tc>
        <w:tc>
          <w:tcPr>
            <w:tcW w:w="2548" w:type="dxa"/>
            <w:gridSpan w:val="3"/>
            <w:tcBorders>
              <w:top w:val="single" w:sz="4" w:space="0" w:color="auto"/>
              <w:bottom w:val="single" w:sz="4" w:space="0" w:color="auto"/>
            </w:tcBorders>
          </w:tcPr>
          <w:p w14:paraId="3299A7A3" w14:textId="5CD09FE7" w:rsidR="006F2EF8" w:rsidRDefault="006F2EF8" w:rsidP="00D14816">
            <w:pPr>
              <w:spacing w:after="0" w:line="360" w:lineRule="auto"/>
              <w:rPr>
                <w:rFonts w:asciiTheme="minorHAnsi" w:hAnsiTheme="minorHAnsi" w:cstheme="minorHAnsi"/>
                <w:lang w:val="en-US"/>
              </w:rPr>
            </w:pPr>
            <w:r w:rsidRPr="007672CE">
              <w:rPr>
                <w:rFonts w:asciiTheme="minorHAnsi" w:hAnsiTheme="minorHAnsi" w:cstheme="minorHAnsi"/>
                <w:sz w:val="22"/>
                <w:szCs w:val="22"/>
              </w:rPr>
              <w:t>Women in SCHS</w:t>
            </w:r>
          </w:p>
        </w:tc>
        <w:tc>
          <w:tcPr>
            <w:tcW w:w="284" w:type="dxa"/>
            <w:tcBorders>
              <w:top w:val="single" w:sz="4" w:space="0" w:color="auto"/>
            </w:tcBorders>
          </w:tcPr>
          <w:p w14:paraId="2702C435" w14:textId="77777777" w:rsidR="006F2EF8" w:rsidRPr="007672CE" w:rsidRDefault="006F2EF8" w:rsidP="00D14816">
            <w:pPr>
              <w:spacing w:after="0" w:line="360" w:lineRule="auto"/>
              <w:rPr>
                <w:rFonts w:asciiTheme="minorHAnsi" w:hAnsiTheme="minorHAnsi" w:cstheme="minorHAnsi"/>
                <w:lang w:val="en-US"/>
              </w:rPr>
            </w:pPr>
          </w:p>
        </w:tc>
        <w:tc>
          <w:tcPr>
            <w:tcW w:w="3134" w:type="dxa"/>
            <w:gridSpan w:val="3"/>
            <w:tcBorders>
              <w:top w:val="single" w:sz="4" w:space="0" w:color="auto"/>
              <w:bottom w:val="single" w:sz="4" w:space="0" w:color="auto"/>
            </w:tcBorders>
          </w:tcPr>
          <w:p w14:paraId="7BE0A55E" w14:textId="30149CB0" w:rsidR="006F2EF8" w:rsidRDefault="006F2EF8" w:rsidP="00D14816">
            <w:pPr>
              <w:spacing w:after="0" w:line="360" w:lineRule="auto"/>
              <w:rPr>
                <w:rFonts w:asciiTheme="minorHAnsi" w:hAnsiTheme="minorHAnsi" w:cstheme="minorHAnsi"/>
                <w:lang w:val="en-US"/>
              </w:rPr>
            </w:pPr>
            <w:r w:rsidRPr="007672CE">
              <w:rPr>
                <w:rFonts w:asciiTheme="minorHAnsi" w:hAnsiTheme="minorHAnsi" w:cstheme="minorHAnsi"/>
                <w:sz w:val="22"/>
                <w:szCs w:val="22"/>
                <w:lang w:val="en-US"/>
              </w:rPr>
              <w:t xml:space="preserve">Women in </w:t>
            </w:r>
            <w:proofErr w:type="spellStart"/>
            <w:r w:rsidRPr="007672CE">
              <w:rPr>
                <w:rFonts w:asciiTheme="minorHAnsi" w:hAnsiTheme="minorHAnsi" w:cstheme="minorHAnsi"/>
                <w:sz w:val="22"/>
                <w:szCs w:val="22"/>
                <w:lang w:val="en-US"/>
              </w:rPr>
              <w:t>Ms</w:t>
            </w:r>
            <w:proofErr w:type="spellEnd"/>
            <w:r w:rsidRPr="007672CE">
              <w:rPr>
                <w:rFonts w:asciiTheme="minorHAnsi" w:hAnsiTheme="minorHAnsi" w:cstheme="minorHAnsi"/>
                <w:sz w:val="22"/>
                <w:szCs w:val="22"/>
                <w:lang w:val="en-US"/>
              </w:rPr>
              <w:t xml:space="preserve"> </w:t>
            </w:r>
            <w:proofErr w:type="spellStart"/>
            <w:r w:rsidRPr="007672CE">
              <w:rPr>
                <w:rFonts w:asciiTheme="minorHAnsi" w:hAnsiTheme="minorHAnsi" w:cstheme="minorHAnsi"/>
                <w:sz w:val="22"/>
                <w:szCs w:val="22"/>
                <w:lang w:val="en-US"/>
              </w:rPr>
              <w:t>Os</w:t>
            </w:r>
            <w:proofErr w:type="spellEnd"/>
          </w:p>
        </w:tc>
      </w:tr>
      <w:tr w:rsidR="006F2EF8" w14:paraId="28E25B2B" w14:textId="77777777" w:rsidTr="00F47426">
        <w:tc>
          <w:tcPr>
            <w:tcW w:w="1326" w:type="dxa"/>
            <w:tcBorders>
              <w:bottom w:val="single" w:sz="4" w:space="0" w:color="auto"/>
            </w:tcBorders>
          </w:tcPr>
          <w:p w14:paraId="4085CB62" w14:textId="77777777" w:rsidR="006F2EF8" w:rsidRPr="00E21937" w:rsidRDefault="006F2EF8" w:rsidP="00D14816">
            <w:pPr>
              <w:spacing w:after="0" w:line="360" w:lineRule="auto"/>
              <w:rPr>
                <w:rFonts w:asciiTheme="minorHAnsi" w:hAnsiTheme="minorHAnsi" w:cstheme="minorHAnsi"/>
                <w:sz w:val="22"/>
                <w:szCs w:val="22"/>
                <w:lang w:val="en-US"/>
              </w:rPr>
            </w:pPr>
          </w:p>
        </w:tc>
        <w:tc>
          <w:tcPr>
            <w:tcW w:w="849" w:type="dxa"/>
            <w:tcBorders>
              <w:top w:val="single" w:sz="4" w:space="0" w:color="auto"/>
              <w:bottom w:val="single" w:sz="4" w:space="0" w:color="auto"/>
            </w:tcBorders>
          </w:tcPr>
          <w:p w14:paraId="67D84F55" w14:textId="0F0261FA"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n</w:t>
            </w:r>
          </w:p>
        </w:tc>
        <w:tc>
          <w:tcPr>
            <w:tcW w:w="849" w:type="dxa"/>
            <w:tcBorders>
              <w:top w:val="single" w:sz="4" w:space="0" w:color="auto"/>
              <w:bottom w:val="single" w:sz="4" w:space="0" w:color="auto"/>
            </w:tcBorders>
          </w:tcPr>
          <w:p w14:paraId="70685CD2" w14:textId="7E57DD11"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Mean</w:t>
            </w:r>
          </w:p>
        </w:tc>
        <w:tc>
          <w:tcPr>
            <w:tcW w:w="850" w:type="dxa"/>
            <w:tcBorders>
              <w:top w:val="single" w:sz="4" w:space="0" w:color="auto"/>
              <w:bottom w:val="single" w:sz="4" w:space="0" w:color="auto"/>
            </w:tcBorders>
          </w:tcPr>
          <w:p w14:paraId="6EBDE889" w14:textId="33A310EB"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SD</w:t>
            </w:r>
          </w:p>
        </w:tc>
        <w:tc>
          <w:tcPr>
            <w:tcW w:w="284" w:type="dxa"/>
            <w:tcBorders>
              <w:bottom w:val="single" w:sz="4" w:space="0" w:color="auto"/>
            </w:tcBorders>
          </w:tcPr>
          <w:p w14:paraId="6AB2262A" w14:textId="77777777" w:rsidR="006F2EF8" w:rsidRDefault="006F2EF8" w:rsidP="00D14816">
            <w:pPr>
              <w:spacing w:after="0" w:line="360" w:lineRule="auto"/>
              <w:rPr>
                <w:rFonts w:asciiTheme="minorHAnsi" w:hAnsiTheme="minorHAnsi" w:cstheme="minorHAnsi"/>
                <w:lang w:val="en-US"/>
              </w:rPr>
            </w:pPr>
          </w:p>
        </w:tc>
        <w:tc>
          <w:tcPr>
            <w:tcW w:w="1044" w:type="dxa"/>
            <w:tcBorders>
              <w:top w:val="single" w:sz="4" w:space="0" w:color="auto"/>
              <w:bottom w:val="single" w:sz="4" w:space="0" w:color="auto"/>
            </w:tcBorders>
          </w:tcPr>
          <w:p w14:paraId="068EC08A" w14:textId="302DDE33"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n</w:t>
            </w:r>
          </w:p>
        </w:tc>
        <w:tc>
          <w:tcPr>
            <w:tcW w:w="1045" w:type="dxa"/>
            <w:tcBorders>
              <w:top w:val="single" w:sz="4" w:space="0" w:color="auto"/>
              <w:bottom w:val="single" w:sz="4" w:space="0" w:color="auto"/>
            </w:tcBorders>
          </w:tcPr>
          <w:p w14:paraId="2D7D2FD9" w14:textId="70F707F9"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Mean </w:t>
            </w:r>
          </w:p>
        </w:tc>
        <w:tc>
          <w:tcPr>
            <w:tcW w:w="1045" w:type="dxa"/>
            <w:tcBorders>
              <w:top w:val="single" w:sz="4" w:space="0" w:color="auto"/>
              <w:bottom w:val="single" w:sz="4" w:space="0" w:color="auto"/>
            </w:tcBorders>
          </w:tcPr>
          <w:p w14:paraId="36A156C6" w14:textId="3F52D561"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SD</w:t>
            </w:r>
          </w:p>
        </w:tc>
      </w:tr>
      <w:tr w:rsidR="006F2EF8" w14:paraId="36DA9446" w14:textId="77777777" w:rsidTr="00F47426">
        <w:tc>
          <w:tcPr>
            <w:tcW w:w="1326" w:type="dxa"/>
            <w:tcBorders>
              <w:top w:val="single" w:sz="4" w:space="0" w:color="auto"/>
            </w:tcBorders>
          </w:tcPr>
          <w:p w14:paraId="0ED04ABA" w14:textId="7BDA1C06" w:rsidR="006F2EF8" w:rsidRPr="00E21937" w:rsidRDefault="006F2EF8" w:rsidP="00D14816">
            <w:pPr>
              <w:spacing w:after="0" w:line="360" w:lineRule="auto"/>
              <w:rPr>
                <w:rFonts w:asciiTheme="minorHAnsi" w:hAnsiTheme="minorHAnsi" w:cstheme="minorHAnsi"/>
                <w:sz w:val="22"/>
                <w:szCs w:val="22"/>
                <w:lang w:val="en-US"/>
              </w:rPr>
            </w:pPr>
            <w:r w:rsidRPr="00E21937">
              <w:rPr>
                <w:rFonts w:asciiTheme="minorHAnsi" w:hAnsiTheme="minorHAnsi" w:cstheme="minorHAnsi"/>
                <w:sz w:val="22"/>
                <w:szCs w:val="22"/>
                <w:lang w:val="en-US"/>
              </w:rPr>
              <w:t>Age 65-69</w:t>
            </w:r>
          </w:p>
        </w:tc>
        <w:tc>
          <w:tcPr>
            <w:tcW w:w="849" w:type="dxa"/>
            <w:tcBorders>
              <w:top w:val="single" w:sz="4" w:space="0" w:color="auto"/>
            </w:tcBorders>
          </w:tcPr>
          <w:p w14:paraId="67CF8DB2" w14:textId="595BD105"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4687</w:t>
            </w:r>
          </w:p>
        </w:tc>
        <w:tc>
          <w:tcPr>
            <w:tcW w:w="849" w:type="dxa"/>
            <w:tcBorders>
              <w:top w:val="single" w:sz="4" w:space="0" w:color="auto"/>
            </w:tcBorders>
          </w:tcPr>
          <w:p w14:paraId="207BD47C" w14:textId="156AF977"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-2.1</w:t>
            </w:r>
          </w:p>
        </w:tc>
        <w:tc>
          <w:tcPr>
            <w:tcW w:w="850" w:type="dxa"/>
            <w:tcBorders>
              <w:top w:val="single" w:sz="4" w:space="0" w:color="auto"/>
            </w:tcBorders>
          </w:tcPr>
          <w:p w14:paraId="49936553" w14:textId="722412B7"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0.8</w:t>
            </w:r>
          </w:p>
        </w:tc>
        <w:tc>
          <w:tcPr>
            <w:tcW w:w="284" w:type="dxa"/>
            <w:tcBorders>
              <w:top w:val="single" w:sz="4" w:space="0" w:color="auto"/>
            </w:tcBorders>
          </w:tcPr>
          <w:p w14:paraId="6F486E0D" w14:textId="77777777" w:rsidR="006F2EF8" w:rsidRDefault="006F2EF8" w:rsidP="00D14816">
            <w:pPr>
              <w:spacing w:after="0" w:line="360" w:lineRule="auto"/>
              <w:rPr>
                <w:rFonts w:asciiTheme="minorHAnsi" w:hAnsiTheme="minorHAnsi" w:cstheme="minorHAnsi"/>
                <w:lang w:val="en-US"/>
              </w:rPr>
            </w:pPr>
          </w:p>
        </w:tc>
        <w:tc>
          <w:tcPr>
            <w:tcW w:w="1044" w:type="dxa"/>
            <w:tcBorders>
              <w:top w:val="single" w:sz="4" w:space="0" w:color="auto"/>
            </w:tcBorders>
          </w:tcPr>
          <w:p w14:paraId="36A2F78C" w14:textId="4F6EF8B7"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669</w:t>
            </w:r>
          </w:p>
        </w:tc>
        <w:tc>
          <w:tcPr>
            <w:tcW w:w="1045" w:type="dxa"/>
            <w:tcBorders>
              <w:top w:val="single" w:sz="4" w:space="0" w:color="auto"/>
            </w:tcBorders>
          </w:tcPr>
          <w:p w14:paraId="24FF79E5" w14:textId="48759DE3"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-2.0</w:t>
            </w:r>
          </w:p>
        </w:tc>
        <w:tc>
          <w:tcPr>
            <w:tcW w:w="1045" w:type="dxa"/>
            <w:tcBorders>
              <w:top w:val="single" w:sz="4" w:space="0" w:color="auto"/>
            </w:tcBorders>
          </w:tcPr>
          <w:p w14:paraId="77F41D54" w14:textId="4C7FC008"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0.8</w:t>
            </w:r>
          </w:p>
        </w:tc>
      </w:tr>
      <w:tr w:rsidR="006F2EF8" w14:paraId="100E6D6E" w14:textId="77777777" w:rsidTr="00F47426">
        <w:tc>
          <w:tcPr>
            <w:tcW w:w="1326" w:type="dxa"/>
          </w:tcPr>
          <w:p w14:paraId="7A771798" w14:textId="6AD3B5D0" w:rsidR="006F2EF8" w:rsidRPr="00E21937" w:rsidRDefault="006F2EF8" w:rsidP="00D14816">
            <w:pPr>
              <w:spacing w:after="0" w:line="360" w:lineRule="auto"/>
              <w:rPr>
                <w:rFonts w:asciiTheme="minorHAnsi" w:hAnsiTheme="minorHAnsi" w:cstheme="minorHAnsi"/>
                <w:sz w:val="22"/>
                <w:szCs w:val="22"/>
                <w:lang w:val="en-US"/>
              </w:rPr>
            </w:pPr>
            <w:r w:rsidRPr="00E21937">
              <w:rPr>
                <w:rFonts w:asciiTheme="minorHAnsi" w:hAnsiTheme="minorHAnsi" w:cstheme="minorHAnsi"/>
                <w:sz w:val="22"/>
                <w:szCs w:val="22"/>
                <w:lang w:val="en-US"/>
              </w:rPr>
              <w:t>Age 70-74</w:t>
            </w:r>
          </w:p>
        </w:tc>
        <w:tc>
          <w:tcPr>
            <w:tcW w:w="849" w:type="dxa"/>
          </w:tcPr>
          <w:p w14:paraId="45D11E13" w14:textId="56FC9803"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3371</w:t>
            </w:r>
          </w:p>
        </w:tc>
        <w:tc>
          <w:tcPr>
            <w:tcW w:w="849" w:type="dxa"/>
          </w:tcPr>
          <w:p w14:paraId="027BA27C" w14:textId="43F10666"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-2.3</w:t>
            </w:r>
          </w:p>
        </w:tc>
        <w:tc>
          <w:tcPr>
            <w:tcW w:w="850" w:type="dxa"/>
          </w:tcPr>
          <w:p w14:paraId="5C1531E2" w14:textId="6CEEF0D6"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0.8</w:t>
            </w:r>
          </w:p>
        </w:tc>
        <w:tc>
          <w:tcPr>
            <w:tcW w:w="284" w:type="dxa"/>
          </w:tcPr>
          <w:p w14:paraId="123A024D" w14:textId="77777777" w:rsidR="006F2EF8" w:rsidRDefault="006F2EF8" w:rsidP="00D14816">
            <w:pPr>
              <w:spacing w:after="0" w:line="360" w:lineRule="auto"/>
              <w:rPr>
                <w:rFonts w:asciiTheme="minorHAnsi" w:hAnsiTheme="minorHAnsi" w:cstheme="minorHAnsi"/>
                <w:lang w:val="en-US"/>
              </w:rPr>
            </w:pPr>
          </w:p>
        </w:tc>
        <w:tc>
          <w:tcPr>
            <w:tcW w:w="1044" w:type="dxa"/>
          </w:tcPr>
          <w:p w14:paraId="342785D8" w14:textId="48B2E64D"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665</w:t>
            </w:r>
          </w:p>
        </w:tc>
        <w:tc>
          <w:tcPr>
            <w:tcW w:w="1045" w:type="dxa"/>
          </w:tcPr>
          <w:p w14:paraId="6B4678AC" w14:textId="5E24F954"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-2.3</w:t>
            </w:r>
          </w:p>
        </w:tc>
        <w:tc>
          <w:tcPr>
            <w:tcW w:w="1045" w:type="dxa"/>
          </w:tcPr>
          <w:p w14:paraId="09904A16" w14:textId="5BF6E0E6"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0.8</w:t>
            </w:r>
          </w:p>
        </w:tc>
      </w:tr>
      <w:tr w:rsidR="006F2EF8" w14:paraId="0755F1FE" w14:textId="77777777" w:rsidTr="00F47426">
        <w:tc>
          <w:tcPr>
            <w:tcW w:w="1326" w:type="dxa"/>
          </w:tcPr>
          <w:p w14:paraId="1488D1A8" w14:textId="596CFA71" w:rsidR="006F2EF8" w:rsidRPr="00E21937" w:rsidRDefault="006F2EF8" w:rsidP="00D14816">
            <w:pPr>
              <w:spacing w:after="0" w:line="360" w:lineRule="auto"/>
              <w:rPr>
                <w:rFonts w:asciiTheme="minorHAnsi" w:hAnsiTheme="minorHAnsi" w:cstheme="minorHAnsi"/>
                <w:sz w:val="22"/>
                <w:szCs w:val="22"/>
                <w:lang w:val="en-US"/>
              </w:rPr>
            </w:pPr>
            <w:r w:rsidRPr="00E21937">
              <w:rPr>
                <w:rFonts w:asciiTheme="minorHAnsi" w:hAnsiTheme="minorHAnsi" w:cstheme="minorHAnsi"/>
                <w:sz w:val="22"/>
                <w:szCs w:val="22"/>
                <w:lang w:val="en-US"/>
              </w:rPr>
              <w:t>Age 75-79</w:t>
            </w:r>
          </w:p>
        </w:tc>
        <w:tc>
          <w:tcPr>
            <w:tcW w:w="849" w:type="dxa"/>
          </w:tcPr>
          <w:p w14:paraId="5FDFD273" w14:textId="17B33D54"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1905</w:t>
            </w:r>
          </w:p>
        </w:tc>
        <w:tc>
          <w:tcPr>
            <w:tcW w:w="849" w:type="dxa"/>
          </w:tcPr>
          <w:p w14:paraId="28997D5D" w14:textId="06DAEFA9"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-2.6</w:t>
            </w:r>
          </w:p>
        </w:tc>
        <w:tc>
          <w:tcPr>
            <w:tcW w:w="850" w:type="dxa"/>
          </w:tcPr>
          <w:p w14:paraId="236B2EBB" w14:textId="259A3369"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0.8</w:t>
            </w:r>
          </w:p>
        </w:tc>
        <w:tc>
          <w:tcPr>
            <w:tcW w:w="284" w:type="dxa"/>
          </w:tcPr>
          <w:p w14:paraId="2B8CF922" w14:textId="77777777" w:rsidR="006F2EF8" w:rsidRDefault="006F2EF8" w:rsidP="00D14816">
            <w:pPr>
              <w:spacing w:after="0" w:line="360" w:lineRule="auto"/>
              <w:rPr>
                <w:rFonts w:asciiTheme="minorHAnsi" w:hAnsiTheme="minorHAnsi" w:cstheme="minorHAnsi"/>
                <w:lang w:val="en-US"/>
              </w:rPr>
            </w:pPr>
          </w:p>
        </w:tc>
        <w:tc>
          <w:tcPr>
            <w:tcW w:w="1044" w:type="dxa"/>
          </w:tcPr>
          <w:p w14:paraId="61EC7C85" w14:textId="5676EDC8"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449</w:t>
            </w:r>
          </w:p>
        </w:tc>
        <w:tc>
          <w:tcPr>
            <w:tcW w:w="1045" w:type="dxa"/>
          </w:tcPr>
          <w:p w14:paraId="4871EA2F" w14:textId="4A236661"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-2.5</w:t>
            </w:r>
          </w:p>
        </w:tc>
        <w:tc>
          <w:tcPr>
            <w:tcW w:w="1045" w:type="dxa"/>
          </w:tcPr>
          <w:p w14:paraId="5531EE2E" w14:textId="1E91B9E1"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0.8</w:t>
            </w:r>
          </w:p>
        </w:tc>
      </w:tr>
      <w:tr w:rsidR="006F2EF8" w14:paraId="56C22CA4" w14:textId="77777777" w:rsidTr="00F47426">
        <w:tc>
          <w:tcPr>
            <w:tcW w:w="1326" w:type="dxa"/>
            <w:tcBorders>
              <w:bottom w:val="single" w:sz="4" w:space="0" w:color="auto"/>
            </w:tcBorders>
          </w:tcPr>
          <w:p w14:paraId="07315446" w14:textId="4B56CCC3" w:rsidR="006F2EF8" w:rsidRPr="00E21937" w:rsidRDefault="006F2EF8" w:rsidP="00D14816">
            <w:pPr>
              <w:spacing w:after="0" w:line="360" w:lineRule="auto"/>
              <w:rPr>
                <w:rFonts w:asciiTheme="minorHAnsi" w:hAnsiTheme="minorHAnsi" w:cstheme="minorHAnsi"/>
                <w:sz w:val="22"/>
                <w:szCs w:val="22"/>
                <w:lang w:val="en-US"/>
              </w:rPr>
            </w:pPr>
            <w:r w:rsidRPr="00E21937">
              <w:rPr>
                <w:rFonts w:asciiTheme="minorHAnsi" w:hAnsiTheme="minorHAnsi" w:cstheme="minorHAnsi"/>
                <w:sz w:val="22"/>
                <w:szCs w:val="22"/>
                <w:lang w:val="en-US"/>
              </w:rPr>
              <w:t>Age 80-84</w:t>
            </w:r>
          </w:p>
        </w:tc>
        <w:tc>
          <w:tcPr>
            <w:tcW w:w="849" w:type="dxa"/>
            <w:tcBorders>
              <w:bottom w:val="single" w:sz="4" w:space="0" w:color="auto"/>
            </w:tcBorders>
          </w:tcPr>
          <w:p w14:paraId="0A7AC159" w14:textId="26ABCF91"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257</w:t>
            </w:r>
          </w:p>
        </w:tc>
        <w:tc>
          <w:tcPr>
            <w:tcW w:w="849" w:type="dxa"/>
            <w:tcBorders>
              <w:bottom w:val="single" w:sz="4" w:space="0" w:color="auto"/>
            </w:tcBorders>
          </w:tcPr>
          <w:p w14:paraId="2258247D" w14:textId="1828D946"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-2.7</w:t>
            </w:r>
          </w:p>
        </w:tc>
        <w:tc>
          <w:tcPr>
            <w:tcW w:w="850" w:type="dxa"/>
            <w:tcBorders>
              <w:bottom w:val="single" w:sz="4" w:space="0" w:color="auto"/>
            </w:tcBorders>
          </w:tcPr>
          <w:p w14:paraId="2A7C88E2" w14:textId="369D37E2"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0.9</w:t>
            </w:r>
          </w:p>
        </w:tc>
        <w:tc>
          <w:tcPr>
            <w:tcW w:w="284" w:type="dxa"/>
            <w:tcBorders>
              <w:bottom w:val="single" w:sz="4" w:space="0" w:color="auto"/>
            </w:tcBorders>
          </w:tcPr>
          <w:p w14:paraId="26267EB1" w14:textId="77777777" w:rsidR="006F2EF8" w:rsidRDefault="006F2EF8" w:rsidP="00D14816">
            <w:pPr>
              <w:spacing w:after="0" w:line="360" w:lineRule="auto"/>
              <w:rPr>
                <w:rFonts w:asciiTheme="minorHAnsi" w:hAnsiTheme="minorHAnsi" w:cstheme="minorHAnsi"/>
                <w:lang w:val="en-US"/>
              </w:rPr>
            </w:pPr>
          </w:p>
        </w:tc>
        <w:tc>
          <w:tcPr>
            <w:tcW w:w="1044" w:type="dxa"/>
            <w:tcBorders>
              <w:bottom w:val="single" w:sz="4" w:space="0" w:color="auto"/>
            </w:tcBorders>
          </w:tcPr>
          <w:p w14:paraId="069C05CB" w14:textId="5A3E6145"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159</w:t>
            </w:r>
          </w:p>
        </w:tc>
        <w:tc>
          <w:tcPr>
            <w:tcW w:w="1045" w:type="dxa"/>
            <w:tcBorders>
              <w:bottom w:val="single" w:sz="4" w:space="0" w:color="auto"/>
            </w:tcBorders>
          </w:tcPr>
          <w:p w14:paraId="2A96FF5C" w14:textId="4B1B6AC8"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-2.8</w:t>
            </w:r>
          </w:p>
        </w:tc>
        <w:tc>
          <w:tcPr>
            <w:tcW w:w="1045" w:type="dxa"/>
            <w:tcBorders>
              <w:bottom w:val="single" w:sz="4" w:space="0" w:color="auto"/>
            </w:tcBorders>
          </w:tcPr>
          <w:p w14:paraId="7DCF3240" w14:textId="57949DE4" w:rsidR="006F2EF8" w:rsidRPr="00E21937" w:rsidRDefault="006F2EF8" w:rsidP="00D14816">
            <w:pPr>
              <w:spacing w:after="0" w:line="360" w:lineRule="auto"/>
              <w:rPr>
                <w:rFonts w:asciiTheme="minorHAnsi" w:hAnsiTheme="minorHAnsi" w:cstheme="minorHAnsi"/>
                <w:sz w:val="22"/>
                <w:szCs w:val="22"/>
                <w:lang w:val="en-US"/>
              </w:rPr>
            </w:pPr>
            <w:r>
              <w:rPr>
                <w:rFonts w:asciiTheme="minorHAnsi" w:hAnsiTheme="minorHAnsi" w:cstheme="minorHAnsi"/>
                <w:sz w:val="22"/>
                <w:szCs w:val="22"/>
                <w:lang w:val="en-US"/>
              </w:rPr>
              <w:t>0.8</w:t>
            </w:r>
          </w:p>
        </w:tc>
      </w:tr>
    </w:tbl>
    <w:p w14:paraId="78A3EA77" w14:textId="77777777" w:rsidR="00DD01D2" w:rsidRDefault="00DD01D2" w:rsidP="00DD01D2">
      <w:pPr>
        <w:spacing w:after="0" w:line="240" w:lineRule="auto"/>
        <w:ind w:left="1134"/>
        <w:rPr>
          <w:b/>
          <w:bCs/>
          <w:color w:val="FF0000"/>
          <w:sz w:val="24"/>
          <w:szCs w:val="24"/>
          <w:lang w:val="en-US"/>
        </w:rPr>
      </w:pPr>
    </w:p>
    <w:p w14:paraId="149D3333" w14:textId="77777777" w:rsidR="00D400A8" w:rsidRDefault="00D400A8" w:rsidP="00DD01D2">
      <w:pPr>
        <w:spacing w:after="0" w:line="240" w:lineRule="auto"/>
        <w:ind w:left="1134"/>
        <w:rPr>
          <w:b/>
          <w:bCs/>
          <w:color w:val="FF0000"/>
          <w:sz w:val="24"/>
          <w:szCs w:val="24"/>
          <w:lang w:val="en-US"/>
        </w:rPr>
      </w:pPr>
    </w:p>
    <w:sectPr w:rsidR="00D400A8" w:rsidSect="00B7189D">
      <w:footerReference w:type="default" r:id="rId14"/>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61842" w14:textId="77777777" w:rsidR="00A41A9B" w:rsidRDefault="00A41A9B" w:rsidP="00774BC6">
      <w:pPr>
        <w:spacing w:after="0" w:line="240" w:lineRule="auto"/>
      </w:pPr>
      <w:r>
        <w:separator/>
      </w:r>
    </w:p>
  </w:endnote>
  <w:endnote w:type="continuationSeparator" w:id="0">
    <w:p w14:paraId="2EAB6677" w14:textId="77777777" w:rsidR="00A41A9B" w:rsidRDefault="00A41A9B" w:rsidP="0077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LTStd-Light">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874729"/>
      <w:docPartObj>
        <w:docPartGallery w:val="Page Numbers (Bottom of Page)"/>
        <w:docPartUnique/>
      </w:docPartObj>
    </w:sdtPr>
    <w:sdtEndPr>
      <w:rPr>
        <w:noProof/>
      </w:rPr>
    </w:sdtEndPr>
    <w:sdtContent>
      <w:p w14:paraId="1AE6D669" w14:textId="351417BB" w:rsidR="00A97C2B" w:rsidRDefault="00A97C2B">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52DCEB8" w14:textId="77777777" w:rsidR="00A97C2B" w:rsidRDefault="00A9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88A7" w14:textId="77777777" w:rsidR="00A41A9B" w:rsidRDefault="00A41A9B" w:rsidP="00774BC6">
      <w:pPr>
        <w:spacing w:after="0" w:line="240" w:lineRule="auto"/>
      </w:pPr>
      <w:r>
        <w:separator/>
      </w:r>
    </w:p>
  </w:footnote>
  <w:footnote w:type="continuationSeparator" w:id="0">
    <w:p w14:paraId="5ACFA085" w14:textId="77777777" w:rsidR="00A41A9B" w:rsidRDefault="00A41A9B" w:rsidP="00774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07ED0"/>
    <w:multiLevelType w:val="hybridMultilevel"/>
    <w:tmpl w:val="ABC4E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E231AE"/>
    <w:multiLevelType w:val="hybridMultilevel"/>
    <w:tmpl w:val="1F44C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6F05E6"/>
    <w:multiLevelType w:val="hybridMultilevel"/>
    <w:tmpl w:val="D884C0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0B7451"/>
    <w:multiLevelType w:val="hybridMultilevel"/>
    <w:tmpl w:val="C4B6F11A"/>
    <w:lvl w:ilvl="0" w:tplc="DD3A99C0">
      <w:start w:val="1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F5AB9"/>
    <w:multiLevelType w:val="hybridMultilevel"/>
    <w:tmpl w:val="67802DF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15:restartNumberingAfterBreak="0">
    <w:nsid w:val="64A37EA6"/>
    <w:multiLevelType w:val="hybridMultilevel"/>
    <w:tmpl w:val="C5806996"/>
    <w:lvl w:ilvl="0" w:tplc="D3727C3E">
      <w:start w:val="60"/>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735A9"/>
    <w:multiLevelType w:val="hybridMultilevel"/>
    <w:tmpl w:val="63DE905C"/>
    <w:lvl w:ilvl="0" w:tplc="66EE1C1A">
      <w:numFmt w:val="bullet"/>
      <w:lvlText w:val="•"/>
      <w:lvlJc w:val="left"/>
      <w:pPr>
        <w:ind w:left="720" w:hanging="360"/>
      </w:pPr>
      <w:rPr>
        <w:rFonts w:ascii="Calibri" w:eastAsia="UniversLTStd-Light"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0860E8"/>
    <w:multiLevelType w:val="hybridMultilevel"/>
    <w:tmpl w:val="D3DEA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5B7D9C"/>
    <w:multiLevelType w:val="hybridMultilevel"/>
    <w:tmpl w:val="AC06DA10"/>
    <w:lvl w:ilvl="0" w:tplc="4A225440">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8"/>
  </w:num>
  <w:num w:numId="4">
    <w:abstractNumId w:val="4"/>
  </w:num>
  <w:num w:numId="5">
    <w:abstractNumId w:val="0"/>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SpringerBasicNumber Copy&lt;/Style&gt;&lt;LeftDelim&gt;{&lt;/LeftDelim&gt;&lt;RightDelim&gt;}&lt;/RightDelim&gt;&lt;FontName&gt;Consola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x09d9szpxxvp1et0zkxdf2ixz5efdfww9xa&quot;&gt;Fracture&lt;record-ids&gt;&lt;item&gt;190&lt;/item&gt;&lt;/record-ids&gt;&lt;/item&gt;&lt;/Libraries&gt;"/>
  </w:docVars>
  <w:rsids>
    <w:rsidRoot w:val="00003573"/>
    <w:rsid w:val="0000014A"/>
    <w:rsid w:val="0000092D"/>
    <w:rsid w:val="0000097F"/>
    <w:rsid w:val="00000A26"/>
    <w:rsid w:val="00000B2C"/>
    <w:rsid w:val="000029B7"/>
    <w:rsid w:val="00002DA0"/>
    <w:rsid w:val="00002E67"/>
    <w:rsid w:val="000032E0"/>
    <w:rsid w:val="00003328"/>
    <w:rsid w:val="00003573"/>
    <w:rsid w:val="000035CD"/>
    <w:rsid w:val="00004A82"/>
    <w:rsid w:val="00006609"/>
    <w:rsid w:val="00007B6D"/>
    <w:rsid w:val="000102AD"/>
    <w:rsid w:val="000108B0"/>
    <w:rsid w:val="000123BC"/>
    <w:rsid w:val="00012567"/>
    <w:rsid w:val="00013916"/>
    <w:rsid w:val="00013D4D"/>
    <w:rsid w:val="00013EBC"/>
    <w:rsid w:val="000140E3"/>
    <w:rsid w:val="000166E0"/>
    <w:rsid w:val="0001683A"/>
    <w:rsid w:val="0001779F"/>
    <w:rsid w:val="00020D9A"/>
    <w:rsid w:val="0002106A"/>
    <w:rsid w:val="00021D40"/>
    <w:rsid w:val="00022CC5"/>
    <w:rsid w:val="00023951"/>
    <w:rsid w:val="00025B60"/>
    <w:rsid w:val="00026062"/>
    <w:rsid w:val="00030C1C"/>
    <w:rsid w:val="00032836"/>
    <w:rsid w:val="00033036"/>
    <w:rsid w:val="00033E08"/>
    <w:rsid w:val="00034366"/>
    <w:rsid w:val="000349AD"/>
    <w:rsid w:val="00034B89"/>
    <w:rsid w:val="000360EB"/>
    <w:rsid w:val="0003728F"/>
    <w:rsid w:val="000374CE"/>
    <w:rsid w:val="00037C86"/>
    <w:rsid w:val="00037ED8"/>
    <w:rsid w:val="00037FC2"/>
    <w:rsid w:val="00041466"/>
    <w:rsid w:val="000444AE"/>
    <w:rsid w:val="00044606"/>
    <w:rsid w:val="00045BF8"/>
    <w:rsid w:val="000464AB"/>
    <w:rsid w:val="000464D4"/>
    <w:rsid w:val="00046F7A"/>
    <w:rsid w:val="00047DC6"/>
    <w:rsid w:val="00050519"/>
    <w:rsid w:val="0005340C"/>
    <w:rsid w:val="00053655"/>
    <w:rsid w:val="00053B7B"/>
    <w:rsid w:val="00053D1B"/>
    <w:rsid w:val="00053E49"/>
    <w:rsid w:val="0005433C"/>
    <w:rsid w:val="000551F2"/>
    <w:rsid w:val="00055691"/>
    <w:rsid w:val="000561CD"/>
    <w:rsid w:val="00057CF8"/>
    <w:rsid w:val="00060C00"/>
    <w:rsid w:val="00060C3C"/>
    <w:rsid w:val="00062096"/>
    <w:rsid w:val="000626FB"/>
    <w:rsid w:val="00062DF2"/>
    <w:rsid w:val="00063609"/>
    <w:rsid w:val="0006363E"/>
    <w:rsid w:val="00064321"/>
    <w:rsid w:val="000645DA"/>
    <w:rsid w:val="000647F1"/>
    <w:rsid w:val="000650C0"/>
    <w:rsid w:val="000650D5"/>
    <w:rsid w:val="0006558C"/>
    <w:rsid w:val="000658B5"/>
    <w:rsid w:val="00065DA3"/>
    <w:rsid w:val="00066294"/>
    <w:rsid w:val="000668DD"/>
    <w:rsid w:val="00066E85"/>
    <w:rsid w:val="00067207"/>
    <w:rsid w:val="0006761D"/>
    <w:rsid w:val="00070C9C"/>
    <w:rsid w:val="0007169A"/>
    <w:rsid w:val="00072F67"/>
    <w:rsid w:val="0007302B"/>
    <w:rsid w:val="00073AB3"/>
    <w:rsid w:val="00075E14"/>
    <w:rsid w:val="000771FC"/>
    <w:rsid w:val="00077D42"/>
    <w:rsid w:val="00080737"/>
    <w:rsid w:val="0008134A"/>
    <w:rsid w:val="00081FB9"/>
    <w:rsid w:val="00082088"/>
    <w:rsid w:val="0008242A"/>
    <w:rsid w:val="00083706"/>
    <w:rsid w:val="00083A8C"/>
    <w:rsid w:val="00083B5F"/>
    <w:rsid w:val="000843BB"/>
    <w:rsid w:val="000855B9"/>
    <w:rsid w:val="00085A9E"/>
    <w:rsid w:val="00085CA7"/>
    <w:rsid w:val="000860BD"/>
    <w:rsid w:val="00086D21"/>
    <w:rsid w:val="000913ED"/>
    <w:rsid w:val="00091A4D"/>
    <w:rsid w:val="00094DCA"/>
    <w:rsid w:val="00094E20"/>
    <w:rsid w:val="000954EA"/>
    <w:rsid w:val="000955A8"/>
    <w:rsid w:val="00095689"/>
    <w:rsid w:val="00095DEF"/>
    <w:rsid w:val="00096FB2"/>
    <w:rsid w:val="00097711"/>
    <w:rsid w:val="000A0993"/>
    <w:rsid w:val="000A0C50"/>
    <w:rsid w:val="000A17D7"/>
    <w:rsid w:val="000A1FAD"/>
    <w:rsid w:val="000A1FE7"/>
    <w:rsid w:val="000A4B22"/>
    <w:rsid w:val="000A52B2"/>
    <w:rsid w:val="000A6663"/>
    <w:rsid w:val="000B12E4"/>
    <w:rsid w:val="000B26CB"/>
    <w:rsid w:val="000B2E3A"/>
    <w:rsid w:val="000B31FB"/>
    <w:rsid w:val="000B34EC"/>
    <w:rsid w:val="000B3877"/>
    <w:rsid w:val="000B4419"/>
    <w:rsid w:val="000B450E"/>
    <w:rsid w:val="000B4C41"/>
    <w:rsid w:val="000B5396"/>
    <w:rsid w:val="000B716C"/>
    <w:rsid w:val="000C2002"/>
    <w:rsid w:val="000C2104"/>
    <w:rsid w:val="000C228C"/>
    <w:rsid w:val="000C2913"/>
    <w:rsid w:val="000C2921"/>
    <w:rsid w:val="000C4A20"/>
    <w:rsid w:val="000C5574"/>
    <w:rsid w:val="000C5F59"/>
    <w:rsid w:val="000C6370"/>
    <w:rsid w:val="000C6472"/>
    <w:rsid w:val="000D0EA0"/>
    <w:rsid w:val="000D0F47"/>
    <w:rsid w:val="000D1222"/>
    <w:rsid w:val="000D19F1"/>
    <w:rsid w:val="000D24FB"/>
    <w:rsid w:val="000D30E0"/>
    <w:rsid w:val="000D426C"/>
    <w:rsid w:val="000D47DD"/>
    <w:rsid w:val="000D4903"/>
    <w:rsid w:val="000D4A90"/>
    <w:rsid w:val="000D509A"/>
    <w:rsid w:val="000D633E"/>
    <w:rsid w:val="000D646C"/>
    <w:rsid w:val="000D6713"/>
    <w:rsid w:val="000D675D"/>
    <w:rsid w:val="000E04A2"/>
    <w:rsid w:val="000E06CA"/>
    <w:rsid w:val="000E08AF"/>
    <w:rsid w:val="000E0CA1"/>
    <w:rsid w:val="000E1114"/>
    <w:rsid w:val="000E1EEE"/>
    <w:rsid w:val="000E231A"/>
    <w:rsid w:val="000E2AC8"/>
    <w:rsid w:val="000E338A"/>
    <w:rsid w:val="000E33B3"/>
    <w:rsid w:val="000E3FC5"/>
    <w:rsid w:val="000E4528"/>
    <w:rsid w:val="000E477B"/>
    <w:rsid w:val="000E47F7"/>
    <w:rsid w:val="000E5035"/>
    <w:rsid w:val="000E55B3"/>
    <w:rsid w:val="000E5C2A"/>
    <w:rsid w:val="000E6263"/>
    <w:rsid w:val="000E67D8"/>
    <w:rsid w:val="000E6B92"/>
    <w:rsid w:val="000F17B5"/>
    <w:rsid w:val="000F1ACC"/>
    <w:rsid w:val="000F1FC4"/>
    <w:rsid w:val="000F2D75"/>
    <w:rsid w:val="000F3AA0"/>
    <w:rsid w:val="000F5569"/>
    <w:rsid w:val="000F7977"/>
    <w:rsid w:val="00100530"/>
    <w:rsid w:val="001007BB"/>
    <w:rsid w:val="00100A0E"/>
    <w:rsid w:val="00100C77"/>
    <w:rsid w:val="00101221"/>
    <w:rsid w:val="00102E4A"/>
    <w:rsid w:val="001038D8"/>
    <w:rsid w:val="001046B9"/>
    <w:rsid w:val="00104D05"/>
    <w:rsid w:val="00105621"/>
    <w:rsid w:val="001057B5"/>
    <w:rsid w:val="001058E2"/>
    <w:rsid w:val="0010600A"/>
    <w:rsid w:val="001062F0"/>
    <w:rsid w:val="00107ACA"/>
    <w:rsid w:val="001100FD"/>
    <w:rsid w:val="0011041B"/>
    <w:rsid w:val="0011268B"/>
    <w:rsid w:val="001126F3"/>
    <w:rsid w:val="00113236"/>
    <w:rsid w:val="001149AA"/>
    <w:rsid w:val="00114B95"/>
    <w:rsid w:val="00114BE1"/>
    <w:rsid w:val="00115C97"/>
    <w:rsid w:val="00116044"/>
    <w:rsid w:val="0011686A"/>
    <w:rsid w:val="00117A2A"/>
    <w:rsid w:val="00117B40"/>
    <w:rsid w:val="00117DE6"/>
    <w:rsid w:val="0012031A"/>
    <w:rsid w:val="001203A1"/>
    <w:rsid w:val="001207CC"/>
    <w:rsid w:val="00120C4E"/>
    <w:rsid w:val="00120EA6"/>
    <w:rsid w:val="00120FCA"/>
    <w:rsid w:val="00121A97"/>
    <w:rsid w:val="00121F03"/>
    <w:rsid w:val="00122022"/>
    <w:rsid w:val="00123295"/>
    <w:rsid w:val="001232CA"/>
    <w:rsid w:val="00125457"/>
    <w:rsid w:val="00127A25"/>
    <w:rsid w:val="00127CBE"/>
    <w:rsid w:val="00127D6D"/>
    <w:rsid w:val="00130226"/>
    <w:rsid w:val="001306DA"/>
    <w:rsid w:val="00130A37"/>
    <w:rsid w:val="00131E5E"/>
    <w:rsid w:val="00133D37"/>
    <w:rsid w:val="001349B7"/>
    <w:rsid w:val="00136336"/>
    <w:rsid w:val="00136854"/>
    <w:rsid w:val="00137034"/>
    <w:rsid w:val="00142DCC"/>
    <w:rsid w:val="00142E9B"/>
    <w:rsid w:val="001432A1"/>
    <w:rsid w:val="001443AD"/>
    <w:rsid w:val="001444C9"/>
    <w:rsid w:val="001466D6"/>
    <w:rsid w:val="00147AC0"/>
    <w:rsid w:val="00147ACF"/>
    <w:rsid w:val="0015096D"/>
    <w:rsid w:val="00152F05"/>
    <w:rsid w:val="00153594"/>
    <w:rsid w:val="00153768"/>
    <w:rsid w:val="00153EDC"/>
    <w:rsid w:val="001553A8"/>
    <w:rsid w:val="00156DD6"/>
    <w:rsid w:val="00156E34"/>
    <w:rsid w:val="00157512"/>
    <w:rsid w:val="001604DE"/>
    <w:rsid w:val="001604E3"/>
    <w:rsid w:val="00160942"/>
    <w:rsid w:val="00161152"/>
    <w:rsid w:val="00161605"/>
    <w:rsid w:val="00162D4F"/>
    <w:rsid w:val="0016395B"/>
    <w:rsid w:val="00164A0F"/>
    <w:rsid w:val="001651E0"/>
    <w:rsid w:val="001654F7"/>
    <w:rsid w:val="001657AA"/>
    <w:rsid w:val="001667CA"/>
    <w:rsid w:val="00166D74"/>
    <w:rsid w:val="001676EE"/>
    <w:rsid w:val="001721C9"/>
    <w:rsid w:val="00172FF1"/>
    <w:rsid w:val="00173DE9"/>
    <w:rsid w:val="001745CB"/>
    <w:rsid w:val="00174A3B"/>
    <w:rsid w:val="0017675E"/>
    <w:rsid w:val="00177833"/>
    <w:rsid w:val="00180512"/>
    <w:rsid w:val="0018194C"/>
    <w:rsid w:val="001823E8"/>
    <w:rsid w:val="0018274E"/>
    <w:rsid w:val="0018298A"/>
    <w:rsid w:val="00183D4D"/>
    <w:rsid w:val="00183D53"/>
    <w:rsid w:val="00184050"/>
    <w:rsid w:val="00185860"/>
    <w:rsid w:val="00185BFB"/>
    <w:rsid w:val="0018766E"/>
    <w:rsid w:val="001877B0"/>
    <w:rsid w:val="00190B68"/>
    <w:rsid w:val="00191D80"/>
    <w:rsid w:val="001921C3"/>
    <w:rsid w:val="00192FFC"/>
    <w:rsid w:val="001959CA"/>
    <w:rsid w:val="00195EBF"/>
    <w:rsid w:val="00195EEF"/>
    <w:rsid w:val="001972FE"/>
    <w:rsid w:val="001A1283"/>
    <w:rsid w:val="001A1328"/>
    <w:rsid w:val="001A2857"/>
    <w:rsid w:val="001A293A"/>
    <w:rsid w:val="001A2CF1"/>
    <w:rsid w:val="001A3061"/>
    <w:rsid w:val="001A363B"/>
    <w:rsid w:val="001A3AAD"/>
    <w:rsid w:val="001A63B4"/>
    <w:rsid w:val="001A6C7E"/>
    <w:rsid w:val="001A6E6B"/>
    <w:rsid w:val="001A771A"/>
    <w:rsid w:val="001B09E4"/>
    <w:rsid w:val="001B10C6"/>
    <w:rsid w:val="001B2AA9"/>
    <w:rsid w:val="001B2ABD"/>
    <w:rsid w:val="001B36B0"/>
    <w:rsid w:val="001B3972"/>
    <w:rsid w:val="001B3FDE"/>
    <w:rsid w:val="001B448C"/>
    <w:rsid w:val="001B4DE4"/>
    <w:rsid w:val="001B5948"/>
    <w:rsid w:val="001B5CD0"/>
    <w:rsid w:val="001B766B"/>
    <w:rsid w:val="001C0110"/>
    <w:rsid w:val="001C035E"/>
    <w:rsid w:val="001C1505"/>
    <w:rsid w:val="001C1A31"/>
    <w:rsid w:val="001C24B4"/>
    <w:rsid w:val="001C2952"/>
    <w:rsid w:val="001C3CD6"/>
    <w:rsid w:val="001C4580"/>
    <w:rsid w:val="001C571F"/>
    <w:rsid w:val="001C5C1B"/>
    <w:rsid w:val="001D01F2"/>
    <w:rsid w:val="001D1000"/>
    <w:rsid w:val="001D13B2"/>
    <w:rsid w:val="001D2DF2"/>
    <w:rsid w:val="001D3DDC"/>
    <w:rsid w:val="001D42B5"/>
    <w:rsid w:val="001D48A6"/>
    <w:rsid w:val="001D75FA"/>
    <w:rsid w:val="001E0134"/>
    <w:rsid w:val="001E0722"/>
    <w:rsid w:val="001E0B26"/>
    <w:rsid w:val="001E10FE"/>
    <w:rsid w:val="001E1DAC"/>
    <w:rsid w:val="001E291E"/>
    <w:rsid w:val="001E3E6D"/>
    <w:rsid w:val="001E4B46"/>
    <w:rsid w:val="001E514D"/>
    <w:rsid w:val="001E67B3"/>
    <w:rsid w:val="001E67F8"/>
    <w:rsid w:val="001E6928"/>
    <w:rsid w:val="001E719C"/>
    <w:rsid w:val="001F0840"/>
    <w:rsid w:val="001F0F31"/>
    <w:rsid w:val="001F1B87"/>
    <w:rsid w:val="001F1FFB"/>
    <w:rsid w:val="001F256F"/>
    <w:rsid w:val="001F2BC3"/>
    <w:rsid w:val="001F4C10"/>
    <w:rsid w:val="001F5F04"/>
    <w:rsid w:val="001F698B"/>
    <w:rsid w:val="001F72A9"/>
    <w:rsid w:val="001F732F"/>
    <w:rsid w:val="001F76EF"/>
    <w:rsid w:val="001F7A45"/>
    <w:rsid w:val="001F7B84"/>
    <w:rsid w:val="001F7D30"/>
    <w:rsid w:val="0020014E"/>
    <w:rsid w:val="00200267"/>
    <w:rsid w:val="002004E7"/>
    <w:rsid w:val="00200D27"/>
    <w:rsid w:val="00201683"/>
    <w:rsid w:val="002016C8"/>
    <w:rsid w:val="00201E9E"/>
    <w:rsid w:val="002022A5"/>
    <w:rsid w:val="0020243D"/>
    <w:rsid w:val="00202610"/>
    <w:rsid w:val="002029D7"/>
    <w:rsid w:val="00203A1C"/>
    <w:rsid w:val="00203DC8"/>
    <w:rsid w:val="0020414A"/>
    <w:rsid w:val="002059B4"/>
    <w:rsid w:val="002079E8"/>
    <w:rsid w:val="00211089"/>
    <w:rsid w:val="00211513"/>
    <w:rsid w:val="00211548"/>
    <w:rsid w:val="002115EB"/>
    <w:rsid w:val="002117F8"/>
    <w:rsid w:val="002120BC"/>
    <w:rsid w:val="002124D7"/>
    <w:rsid w:val="00212E23"/>
    <w:rsid w:val="00213E8F"/>
    <w:rsid w:val="00214EB5"/>
    <w:rsid w:val="00217651"/>
    <w:rsid w:val="00217841"/>
    <w:rsid w:val="00217CC1"/>
    <w:rsid w:val="00221DAD"/>
    <w:rsid w:val="00223365"/>
    <w:rsid w:val="00223475"/>
    <w:rsid w:val="00224303"/>
    <w:rsid w:val="00224431"/>
    <w:rsid w:val="00224459"/>
    <w:rsid w:val="00224FE9"/>
    <w:rsid w:val="00225BDF"/>
    <w:rsid w:val="00225D0E"/>
    <w:rsid w:val="00225DE5"/>
    <w:rsid w:val="00226071"/>
    <w:rsid w:val="00227A5D"/>
    <w:rsid w:val="00232288"/>
    <w:rsid w:val="00233E44"/>
    <w:rsid w:val="002342AB"/>
    <w:rsid w:val="002347EE"/>
    <w:rsid w:val="00234C8D"/>
    <w:rsid w:val="00235BA4"/>
    <w:rsid w:val="0023662E"/>
    <w:rsid w:val="00236FE8"/>
    <w:rsid w:val="00240535"/>
    <w:rsid w:val="002405C8"/>
    <w:rsid w:val="00241234"/>
    <w:rsid w:val="00241ED0"/>
    <w:rsid w:val="00241FF9"/>
    <w:rsid w:val="002421F5"/>
    <w:rsid w:val="00242D43"/>
    <w:rsid w:val="00243E81"/>
    <w:rsid w:val="0024587B"/>
    <w:rsid w:val="00247BF3"/>
    <w:rsid w:val="00247D12"/>
    <w:rsid w:val="00250136"/>
    <w:rsid w:val="002515F5"/>
    <w:rsid w:val="00251E98"/>
    <w:rsid w:val="00252F87"/>
    <w:rsid w:val="00252F8A"/>
    <w:rsid w:val="0025391C"/>
    <w:rsid w:val="002546C8"/>
    <w:rsid w:val="002573A9"/>
    <w:rsid w:val="00257B0E"/>
    <w:rsid w:val="00260221"/>
    <w:rsid w:val="0026045D"/>
    <w:rsid w:val="00260D86"/>
    <w:rsid w:val="002610DF"/>
    <w:rsid w:val="002611A4"/>
    <w:rsid w:val="00261651"/>
    <w:rsid w:val="00261D88"/>
    <w:rsid w:val="00261E76"/>
    <w:rsid w:val="00262962"/>
    <w:rsid w:val="00264F5D"/>
    <w:rsid w:val="00266F18"/>
    <w:rsid w:val="0026736C"/>
    <w:rsid w:val="0026771F"/>
    <w:rsid w:val="00267CC3"/>
    <w:rsid w:val="0027007D"/>
    <w:rsid w:val="002701D3"/>
    <w:rsid w:val="00270413"/>
    <w:rsid w:val="0027089D"/>
    <w:rsid w:val="00270ACD"/>
    <w:rsid w:val="00271591"/>
    <w:rsid w:val="0027215A"/>
    <w:rsid w:val="00273827"/>
    <w:rsid w:val="00273948"/>
    <w:rsid w:val="00280273"/>
    <w:rsid w:val="00280CB7"/>
    <w:rsid w:val="002816C0"/>
    <w:rsid w:val="002819FB"/>
    <w:rsid w:val="00281A5A"/>
    <w:rsid w:val="00282493"/>
    <w:rsid w:val="002840C7"/>
    <w:rsid w:val="00284530"/>
    <w:rsid w:val="00284659"/>
    <w:rsid w:val="00284E2D"/>
    <w:rsid w:val="00285493"/>
    <w:rsid w:val="00285519"/>
    <w:rsid w:val="00285D64"/>
    <w:rsid w:val="00286D63"/>
    <w:rsid w:val="002909B3"/>
    <w:rsid w:val="00290DC3"/>
    <w:rsid w:val="002924CC"/>
    <w:rsid w:val="00292E80"/>
    <w:rsid w:val="00293C5E"/>
    <w:rsid w:val="00294308"/>
    <w:rsid w:val="002946BB"/>
    <w:rsid w:val="00296474"/>
    <w:rsid w:val="0029725A"/>
    <w:rsid w:val="002976B3"/>
    <w:rsid w:val="00297A72"/>
    <w:rsid w:val="00297E1D"/>
    <w:rsid w:val="002A0221"/>
    <w:rsid w:val="002A0246"/>
    <w:rsid w:val="002A1239"/>
    <w:rsid w:val="002A1338"/>
    <w:rsid w:val="002A20C7"/>
    <w:rsid w:val="002A25D2"/>
    <w:rsid w:val="002A2FF6"/>
    <w:rsid w:val="002A336F"/>
    <w:rsid w:val="002A3C65"/>
    <w:rsid w:val="002A3FAE"/>
    <w:rsid w:val="002A560B"/>
    <w:rsid w:val="002A5813"/>
    <w:rsid w:val="002A6751"/>
    <w:rsid w:val="002A6C52"/>
    <w:rsid w:val="002A7227"/>
    <w:rsid w:val="002A7592"/>
    <w:rsid w:val="002A78D6"/>
    <w:rsid w:val="002A7FE6"/>
    <w:rsid w:val="002B02D1"/>
    <w:rsid w:val="002B034F"/>
    <w:rsid w:val="002B19E4"/>
    <w:rsid w:val="002B20A7"/>
    <w:rsid w:val="002B3492"/>
    <w:rsid w:val="002B37A7"/>
    <w:rsid w:val="002B414E"/>
    <w:rsid w:val="002B4F74"/>
    <w:rsid w:val="002B51B3"/>
    <w:rsid w:val="002B635C"/>
    <w:rsid w:val="002B7BC4"/>
    <w:rsid w:val="002B7DE3"/>
    <w:rsid w:val="002C02DC"/>
    <w:rsid w:val="002C176A"/>
    <w:rsid w:val="002C21A1"/>
    <w:rsid w:val="002C3129"/>
    <w:rsid w:val="002C4F20"/>
    <w:rsid w:val="002C55AB"/>
    <w:rsid w:val="002C5DD6"/>
    <w:rsid w:val="002C63D6"/>
    <w:rsid w:val="002D0C37"/>
    <w:rsid w:val="002D1C5D"/>
    <w:rsid w:val="002D23DB"/>
    <w:rsid w:val="002D2775"/>
    <w:rsid w:val="002D29CE"/>
    <w:rsid w:val="002D38C4"/>
    <w:rsid w:val="002D3C7D"/>
    <w:rsid w:val="002D4937"/>
    <w:rsid w:val="002D49D5"/>
    <w:rsid w:val="002D5E70"/>
    <w:rsid w:val="002D5EEE"/>
    <w:rsid w:val="002D6549"/>
    <w:rsid w:val="002D6D1C"/>
    <w:rsid w:val="002D71C4"/>
    <w:rsid w:val="002E019C"/>
    <w:rsid w:val="002E059E"/>
    <w:rsid w:val="002E06FA"/>
    <w:rsid w:val="002E0CC6"/>
    <w:rsid w:val="002E19EE"/>
    <w:rsid w:val="002E2460"/>
    <w:rsid w:val="002E3492"/>
    <w:rsid w:val="002E395B"/>
    <w:rsid w:val="002E6592"/>
    <w:rsid w:val="002E793C"/>
    <w:rsid w:val="002F0028"/>
    <w:rsid w:val="002F052D"/>
    <w:rsid w:val="002F0796"/>
    <w:rsid w:val="002F13A2"/>
    <w:rsid w:val="002F14BB"/>
    <w:rsid w:val="002F18DF"/>
    <w:rsid w:val="002F26B8"/>
    <w:rsid w:val="002F2AB7"/>
    <w:rsid w:val="002F3502"/>
    <w:rsid w:val="002F3961"/>
    <w:rsid w:val="002F4388"/>
    <w:rsid w:val="002F47A3"/>
    <w:rsid w:val="002F4B77"/>
    <w:rsid w:val="002F679C"/>
    <w:rsid w:val="002F697E"/>
    <w:rsid w:val="002F6A39"/>
    <w:rsid w:val="002F72E1"/>
    <w:rsid w:val="002F735B"/>
    <w:rsid w:val="002F784D"/>
    <w:rsid w:val="00300919"/>
    <w:rsid w:val="00300CD7"/>
    <w:rsid w:val="00300F32"/>
    <w:rsid w:val="00301B4E"/>
    <w:rsid w:val="00301C2B"/>
    <w:rsid w:val="0030258F"/>
    <w:rsid w:val="00302C05"/>
    <w:rsid w:val="00303091"/>
    <w:rsid w:val="00303212"/>
    <w:rsid w:val="00304276"/>
    <w:rsid w:val="00304C2C"/>
    <w:rsid w:val="003051AA"/>
    <w:rsid w:val="00306042"/>
    <w:rsid w:val="0030633A"/>
    <w:rsid w:val="003068E8"/>
    <w:rsid w:val="00307652"/>
    <w:rsid w:val="003103FD"/>
    <w:rsid w:val="00311CEB"/>
    <w:rsid w:val="00311E3D"/>
    <w:rsid w:val="00312E97"/>
    <w:rsid w:val="0031407B"/>
    <w:rsid w:val="00314C59"/>
    <w:rsid w:val="00315C1B"/>
    <w:rsid w:val="00316366"/>
    <w:rsid w:val="003173EB"/>
    <w:rsid w:val="00317524"/>
    <w:rsid w:val="003202A9"/>
    <w:rsid w:val="00320E74"/>
    <w:rsid w:val="003211E6"/>
    <w:rsid w:val="003219E2"/>
    <w:rsid w:val="00321C14"/>
    <w:rsid w:val="003221FA"/>
    <w:rsid w:val="003224BB"/>
    <w:rsid w:val="00323681"/>
    <w:rsid w:val="003252E6"/>
    <w:rsid w:val="00326B73"/>
    <w:rsid w:val="00327ACA"/>
    <w:rsid w:val="00330551"/>
    <w:rsid w:val="00330D40"/>
    <w:rsid w:val="00330EE0"/>
    <w:rsid w:val="003311A2"/>
    <w:rsid w:val="00331A92"/>
    <w:rsid w:val="00331E2F"/>
    <w:rsid w:val="003321C3"/>
    <w:rsid w:val="00332C96"/>
    <w:rsid w:val="0033334D"/>
    <w:rsid w:val="00333413"/>
    <w:rsid w:val="0033348A"/>
    <w:rsid w:val="003343B9"/>
    <w:rsid w:val="00334D43"/>
    <w:rsid w:val="00334EDA"/>
    <w:rsid w:val="00335DB1"/>
    <w:rsid w:val="00336317"/>
    <w:rsid w:val="00336347"/>
    <w:rsid w:val="00337236"/>
    <w:rsid w:val="00337C86"/>
    <w:rsid w:val="0034055D"/>
    <w:rsid w:val="00340BA0"/>
    <w:rsid w:val="00341330"/>
    <w:rsid w:val="00342A36"/>
    <w:rsid w:val="00344D08"/>
    <w:rsid w:val="003450E4"/>
    <w:rsid w:val="0034543F"/>
    <w:rsid w:val="003457B5"/>
    <w:rsid w:val="003462D2"/>
    <w:rsid w:val="00347E97"/>
    <w:rsid w:val="00350DB7"/>
    <w:rsid w:val="00350F9F"/>
    <w:rsid w:val="003512A7"/>
    <w:rsid w:val="00351FCE"/>
    <w:rsid w:val="0035216B"/>
    <w:rsid w:val="003525BB"/>
    <w:rsid w:val="003526C7"/>
    <w:rsid w:val="00352B5E"/>
    <w:rsid w:val="00353BBC"/>
    <w:rsid w:val="00354613"/>
    <w:rsid w:val="00354851"/>
    <w:rsid w:val="00354C47"/>
    <w:rsid w:val="0035542E"/>
    <w:rsid w:val="00355A5A"/>
    <w:rsid w:val="00355CCA"/>
    <w:rsid w:val="003564A2"/>
    <w:rsid w:val="003564A8"/>
    <w:rsid w:val="00356BC5"/>
    <w:rsid w:val="00357487"/>
    <w:rsid w:val="00357B44"/>
    <w:rsid w:val="00357DA2"/>
    <w:rsid w:val="0036016E"/>
    <w:rsid w:val="00360BCF"/>
    <w:rsid w:val="00360CD4"/>
    <w:rsid w:val="00360E46"/>
    <w:rsid w:val="00361297"/>
    <w:rsid w:val="003612F5"/>
    <w:rsid w:val="00361625"/>
    <w:rsid w:val="00362CED"/>
    <w:rsid w:val="00362DDF"/>
    <w:rsid w:val="00362F66"/>
    <w:rsid w:val="00363AFB"/>
    <w:rsid w:val="00364066"/>
    <w:rsid w:val="003640CB"/>
    <w:rsid w:val="003656D9"/>
    <w:rsid w:val="00365EC8"/>
    <w:rsid w:val="0036618A"/>
    <w:rsid w:val="003671BF"/>
    <w:rsid w:val="003677E9"/>
    <w:rsid w:val="0036785A"/>
    <w:rsid w:val="0037035B"/>
    <w:rsid w:val="0037048F"/>
    <w:rsid w:val="003709F0"/>
    <w:rsid w:val="00370EE8"/>
    <w:rsid w:val="003714B1"/>
    <w:rsid w:val="0037209E"/>
    <w:rsid w:val="00372D86"/>
    <w:rsid w:val="00373376"/>
    <w:rsid w:val="00374038"/>
    <w:rsid w:val="00374F93"/>
    <w:rsid w:val="00375ABB"/>
    <w:rsid w:val="0037654A"/>
    <w:rsid w:val="00376AFD"/>
    <w:rsid w:val="00376F83"/>
    <w:rsid w:val="00377C60"/>
    <w:rsid w:val="00380BC1"/>
    <w:rsid w:val="003817A4"/>
    <w:rsid w:val="00381CC2"/>
    <w:rsid w:val="00381E0E"/>
    <w:rsid w:val="003820C9"/>
    <w:rsid w:val="003829F2"/>
    <w:rsid w:val="00382AFB"/>
    <w:rsid w:val="00382B12"/>
    <w:rsid w:val="00382C66"/>
    <w:rsid w:val="003842AC"/>
    <w:rsid w:val="00384706"/>
    <w:rsid w:val="0038613A"/>
    <w:rsid w:val="00386277"/>
    <w:rsid w:val="003862A9"/>
    <w:rsid w:val="00386BEE"/>
    <w:rsid w:val="00386C9F"/>
    <w:rsid w:val="0038735E"/>
    <w:rsid w:val="003878BF"/>
    <w:rsid w:val="00390331"/>
    <w:rsid w:val="00390767"/>
    <w:rsid w:val="003908D1"/>
    <w:rsid w:val="0039110E"/>
    <w:rsid w:val="00391210"/>
    <w:rsid w:val="00391234"/>
    <w:rsid w:val="00391795"/>
    <w:rsid w:val="00392DAC"/>
    <w:rsid w:val="00392FE5"/>
    <w:rsid w:val="0039319B"/>
    <w:rsid w:val="0039337B"/>
    <w:rsid w:val="003939AB"/>
    <w:rsid w:val="00393CDD"/>
    <w:rsid w:val="00393D0E"/>
    <w:rsid w:val="00393FCA"/>
    <w:rsid w:val="00394C8B"/>
    <w:rsid w:val="003950B1"/>
    <w:rsid w:val="00395F0B"/>
    <w:rsid w:val="003975C2"/>
    <w:rsid w:val="003A0236"/>
    <w:rsid w:val="003A0762"/>
    <w:rsid w:val="003A0924"/>
    <w:rsid w:val="003A11C7"/>
    <w:rsid w:val="003A3A50"/>
    <w:rsid w:val="003A533D"/>
    <w:rsid w:val="003A629F"/>
    <w:rsid w:val="003A75AD"/>
    <w:rsid w:val="003B0911"/>
    <w:rsid w:val="003B27F6"/>
    <w:rsid w:val="003B29FD"/>
    <w:rsid w:val="003B3B2B"/>
    <w:rsid w:val="003B3EA7"/>
    <w:rsid w:val="003B4443"/>
    <w:rsid w:val="003B454E"/>
    <w:rsid w:val="003B468E"/>
    <w:rsid w:val="003B47E2"/>
    <w:rsid w:val="003B54EA"/>
    <w:rsid w:val="003B6026"/>
    <w:rsid w:val="003B68A9"/>
    <w:rsid w:val="003B6BF8"/>
    <w:rsid w:val="003B6E2A"/>
    <w:rsid w:val="003B7287"/>
    <w:rsid w:val="003B7FF5"/>
    <w:rsid w:val="003C08DF"/>
    <w:rsid w:val="003C0DCE"/>
    <w:rsid w:val="003C1FEC"/>
    <w:rsid w:val="003C25C5"/>
    <w:rsid w:val="003C2D2A"/>
    <w:rsid w:val="003C4E84"/>
    <w:rsid w:val="003C51C5"/>
    <w:rsid w:val="003C64ED"/>
    <w:rsid w:val="003C65A6"/>
    <w:rsid w:val="003C7C3E"/>
    <w:rsid w:val="003D0853"/>
    <w:rsid w:val="003D0BE6"/>
    <w:rsid w:val="003D1E64"/>
    <w:rsid w:val="003D3197"/>
    <w:rsid w:val="003D345F"/>
    <w:rsid w:val="003D3AAE"/>
    <w:rsid w:val="003D4579"/>
    <w:rsid w:val="003D4709"/>
    <w:rsid w:val="003D54E3"/>
    <w:rsid w:val="003D5FAA"/>
    <w:rsid w:val="003D6AB3"/>
    <w:rsid w:val="003D7C42"/>
    <w:rsid w:val="003D7E0B"/>
    <w:rsid w:val="003E0518"/>
    <w:rsid w:val="003E0A33"/>
    <w:rsid w:val="003E0FB8"/>
    <w:rsid w:val="003E21EB"/>
    <w:rsid w:val="003E49CD"/>
    <w:rsid w:val="003E4A75"/>
    <w:rsid w:val="003E517C"/>
    <w:rsid w:val="003E57F9"/>
    <w:rsid w:val="003E6546"/>
    <w:rsid w:val="003E67E0"/>
    <w:rsid w:val="003E7998"/>
    <w:rsid w:val="003E7AE9"/>
    <w:rsid w:val="003E7BDB"/>
    <w:rsid w:val="003E7D78"/>
    <w:rsid w:val="003F008B"/>
    <w:rsid w:val="003F0795"/>
    <w:rsid w:val="003F085B"/>
    <w:rsid w:val="003F09B0"/>
    <w:rsid w:val="003F0A7B"/>
    <w:rsid w:val="003F1984"/>
    <w:rsid w:val="003F1DC2"/>
    <w:rsid w:val="003F2278"/>
    <w:rsid w:val="003F24DC"/>
    <w:rsid w:val="003F2519"/>
    <w:rsid w:val="003F260C"/>
    <w:rsid w:val="003F2BBD"/>
    <w:rsid w:val="003F3004"/>
    <w:rsid w:val="003F3163"/>
    <w:rsid w:val="003F3B93"/>
    <w:rsid w:val="003F4349"/>
    <w:rsid w:val="003F44A7"/>
    <w:rsid w:val="003F4C80"/>
    <w:rsid w:val="003F5522"/>
    <w:rsid w:val="003F578F"/>
    <w:rsid w:val="003F5868"/>
    <w:rsid w:val="003F6922"/>
    <w:rsid w:val="003F75A6"/>
    <w:rsid w:val="00400086"/>
    <w:rsid w:val="00401029"/>
    <w:rsid w:val="0040105B"/>
    <w:rsid w:val="00401781"/>
    <w:rsid w:val="00402ED1"/>
    <w:rsid w:val="00403B37"/>
    <w:rsid w:val="00406447"/>
    <w:rsid w:val="00406828"/>
    <w:rsid w:val="004079A5"/>
    <w:rsid w:val="00407F49"/>
    <w:rsid w:val="004100BA"/>
    <w:rsid w:val="00410F2F"/>
    <w:rsid w:val="00413517"/>
    <w:rsid w:val="004137B9"/>
    <w:rsid w:val="00413B43"/>
    <w:rsid w:val="00413E05"/>
    <w:rsid w:val="00420015"/>
    <w:rsid w:val="00420AA1"/>
    <w:rsid w:val="00420BF8"/>
    <w:rsid w:val="004211AA"/>
    <w:rsid w:val="00421317"/>
    <w:rsid w:val="00421D2F"/>
    <w:rsid w:val="00423E17"/>
    <w:rsid w:val="00425F7B"/>
    <w:rsid w:val="004260BC"/>
    <w:rsid w:val="00426236"/>
    <w:rsid w:val="0042682A"/>
    <w:rsid w:val="00426B66"/>
    <w:rsid w:val="00426B9E"/>
    <w:rsid w:val="004272D4"/>
    <w:rsid w:val="00427663"/>
    <w:rsid w:val="004320A0"/>
    <w:rsid w:val="004329E8"/>
    <w:rsid w:val="00433F74"/>
    <w:rsid w:val="00434796"/>
    <w:rsid w:val="00435A31"/>
    <w:rsid w:val="00435FFD"/>
    <w:rsid w:val="004364EA"/>
    <w:rsid w:val="004379D1"/>
    <w:rsid w:val="00440900"/>
    <w:rsid w:val="00441474"/>
    <w:rsid w:val="00441C7D"/>
    <w:rsid w:val="004432AF"/>
    <w:rsid w:val="004433C3"/>
    <w:rsid w:val="00443C21"/>
    <w:rsid w:val="00443E17"/>
    <w:rsid w:val="004447BC"/>
    <w:rsid w:val="00444E0E"/>
    <w:rsid w:val="00445961"/>
    <w:rsid w:val="00450245"/>
    <w:rsid w:val="00451071"/>
    <w:rsid w:val="00451309"/>
    <w:rsid w:val="0045143F"/>
    <w:rsid w:val="00452771"/>
    <w:rsid w:val="00453350"/>
    <w:rsid w:val="00453D72"/>
    <w:rsid w:val="004540B1"/>
    <w:rsid w:val="00454164"/>
    <w:rsid w:val="00454E9F"/>
    <w:rsid w:val="00455ED3"/>
    <w:rsid w:val="00456092"/>
    <w:rsid w:val="004574C7"/>
    <w:rsid w:val="00461232"/>
    <w:rsid w:val="0046127E"/>
    <w:rsid w:val="0046372A"/>
    <w:rsid w:val="00463E46"/>
    <w:rsid w:val="00465A5A"/>
    <w:rsid w:val="0046622F"/>
    <w:rsid w:val="0046659E"/>
    <w:rsid w:val="00466C28"/>
    <w:rsid w:val="00467A9E"/>
    <w:rsid w:val="00470116"/>
    <w:rsid w:val="0047177B"/>
    <w:rsid w:val="004757E4"/>
    <w:rsid w:val="00475A59"/>
    <w:rsid w:val="00475DAF"/>
    <w:rsid w:val="004761F4"/>
    <w:rsid w:val="00476CDE"/>
    <w:rsid w:val="00476D09"/>
    <w:rsid w:val="00476F43"/>
    <w:rsid w:val="004771E2"/>
    <w:rsid w:val="0047755A"/>
    <w:rsid w:val="00481502"/>
    <w:rsid w:val="00481A0D"/>
    <w:rsid w:val="00481CBD"/>
    <w:rsid w:val="00482B63"/>
    <w:rsid w:val="00483AE7"/>
    <w:rsid w:val="00483F0F"/>
    <w:rsid w:val="00484061"/>
    <w:rsid w:val="0048523A"/>
    <w:rsid w:val="004876A0"/>
    <w:rsid w:val="0049022F"/>
    <w:rsid w:val="004904A4"/>
    <w:rsid w:val="00493C1C"/>
    <w:rsid w:val="00494A79"/>
    <w:rsid w:val="0049545D"/>
    <w:rsid w:val="0049578A"/>
    <w:rsid w:val="00496045"/>
    <w:rsid w:val="00496533"/>
    <w:rsid w:val="00496C3A"/>
    <w:rsid w:val="00496F5C"/>
    <w:rsid w:val="00497B89"/>
    <w:rsid w:val="004A0086"/>
    <w:rsid w:val="004A0D2E"/>
    <w:rsid w:val="004A0D6E"/>
    <w:rsid w:val="004A24F4"/>
    <w:rsid w:val="004A36E8"/>
    <w:rsid w:val="004A3DF8"/>
    <w:rsid w:val="004A4629"/>
    <w:rsid w:val="004A4A5F"/>
    <w:rsid w:val="004A4F75"/>
    <w:rsid w:val="004A5036"/>
    <w:rsid w:val="004A6773"/>
    <w:rsid w:val="004B04AB"/>
    <w:rsid w:val="004B14E2"/>
    <w:rsid w:val="004B167A"/>
    <w:rsid w:val="004B1917"/>
    <w:rsid w:val="004B2666"/>
    <w:rsid w:val="004B295E"/>
    <w:rsid w:val="004B2A57"/>
    <w:rsid w:val="004B314A"/>
    <w:rsid w:val="004B342A"/>
    <w:rsid w:val="004B4171"/>
    <w:rsid w:val="004B487F"/>
    <w:rsid w:val="004B4D84"/>
    <w:rsid w:val="004B5594"/>
    <w:rsid w:val="004B5C7C"/>
    <w:rsid w:val="004B5D46"/>
    <w:rsid w:val="004B6217"/>
    <w:rsid w:val="004B6D8C"/>
    <w:rsid w:val="004B6F21"/>
    <w:rsid w:val="004B7DC2"/>
    <w:rsid w:val="004C2063"/>
    <w:rsid w:val="004C2DDD"/>
    <w:rsid w:val="004C2DF4"/>
    <w:rsid w:val="004C3181"/>
    <w:rsid w:val="004C3D24"/>
    <w:rsid w:val="004C432C"/>
    <w:rsid w:val="004C43A0"/>
    <w:rsid w:val="004C47C6"/>
    <w:rsid w:val="004C4843"/>
    <w:rsid w:val="004C57A1"/>
    <w:rsid w:val="004C6482"/>
    <w:rsid w:val="004C7287"/>
    <w:rsid w:val="004C7FE7"/>
    <w:rsid w:val="004D0091"/>
    <w:rsid w:val="004D01D7"/>
    <w:rsid w:val="004D0BF3"/>
    <w:rsid w:val="004D1002"/>
    <w:rsid w:val="004D184F"/>
    <w:rsid w:val="004D21CA"/>
    <w:rsid w:val="004D23A4"/>
    <w:rsid w:val="004D30AE"/>
    <w:rsid w:val="004D3398"/>
    <w:rsid w:val="004D44DD"/>
    <w:rsid w:val="004D453D"/>
    <w:rsid w:val="004D4D38"/>
    <w:rsid w:val="004D7F5D"/>
    <w:rsid w:val="004E1344"/>
    <w:rsid w:val="004E19B0"/>
    <w:rsid w:val="004E1FC4"/>
    <w:rsid w:val="004E2A1F"/>
    <w:rsid w:val="004E2C69"/>
    <w:rsid w:val="004E4365"/>
    <w:rsid w:val="004E4968"/>
    <w:rsid w:val="004E4F2F"/>
    <w:rsid w:val="004E529F"/>
    <w:rsid w:val="004E68B9"/>
    <w:rsid w:val="004E6B3F"/>
    <w:rsid w:val="004E6DB0"/>
    <w:rsid w:val="004E6E3E"/>
    <w:rsid w:val="004F1060"/>
    <w:rsid w:val="004F2BAC"/>
    <w:rsid w:val="004F3269"/>
    <w:rsid w:val="004F3454"/>
    <w:rsid w:val="004F4C34"/>
    <w:rsid w:val="004F6A3E"/>
    <w:rsid w:val="00500170"/>
    <w:rsid w:val="0050273D"/>
    <w:rsid w:val="00505986"/>
    <w:rsid w:val="00507DBB"/>
    <w:rsid w:val="005104B8"/>
    <w:rsid w:val="00511C4E"/>
    <w:rsid w:val="00511EC6"/>
    <w:rsid w:val="00512A62"/>
    <w:rsid w:val="00512E5C"/>
    <w:rsid w:val="00512F3A"/>
    <w:rsid w:val="005143C3"/>
    <w:rsid w:val="00514911"/>
    <w:rsid w:val="00514C4B"/>
    <w:rsid w:val="00515140"/>
    <w:rsid w:val="00515B7B"/>
    <w:rsid w:val="00516CDA"/>
    <w:rsid w:val="00517E25"/>
    <w:rsid w:val="005207E8"/>
    <w:rsid w:val="005209FA"/>
    <w:rsid w:val="00520C32"/>
    <w:rsid w:val="005213A5"/>
    <w:rsid w:val="00521709"/>
    <w:rsid w:val="00521819"/>
    <w:rsid w:val="00522C64"/>
    <w:rsid w:val="00523759"/>
    <w:rsid w:val="0052406F"/>
    <w:rsid w:val="00524BD5"/>
    <w:rsid w:val="00525AA6"/>
    <w:rsid w:val="00525F4F"/>
    <w:rsid w:val="00526BC4"/>
    <w:rsid w:val="005274E0"/>
    <w:rsid w:val="0052751E"/>
    <w:rsid w:val="005277AA"/>
    <w:rsid w:val="0053045A"/>
    <w:rsid w:val="00530B8C"/>
    <w:rsid w:val="0053177B"/>
    <w:rsid w:val="005318CE"/>
    <w:rsid w:val="005319DB"/>
    <w:rsid w:val="00532AEB"/>
    <w:rsid w:val="00532FC4"/>
    <w:rsid w:val="005332C0"/>
    <w:rsid w:val="00533325"/>
    <w:rsid w:val="0053392D"/>
    <w:rsid w:val="00533E50"/>
    <w:rsid w:val="00534437"/>
    <w:rsid w:val="0053466B"/>
    <w:rsid w:val="00535398"/>
    <w:rsid w:val="0053574E"/>
    <w:rsid w:val="00535C0D"/>
    <w:rsid w:val="00535E4E"/>
    <w:rsid w:val="00536100"/>
    <w:rsid w:val="00537B90"/>
    <w:rsid w:val="00537E2E"/>
    <w:rsid w:val="0054016F"/>
    <w:rsid w:val="00541526"/>
    <w:rsid w:val="00541546"/>
    <w:rsid w:val="00542283"/>
    <w:rsid w:val="00542520"/>
    <w:rsid w:val="00543911"/>
    <w:rsid w:val="00544867"/>
    <w:rsid w:val="00545239"/>
    <w:rsid w:val="005456F0"/>
    <w:rsid w:val="005463BE"/>
    <w:rsid w:val="005470AC"/>
    <w:rsid w:val="0054796F"/>
    <w:rsid w:val="00547B3E"/>
    <w:rsid w:val="00547BC5"/>
    <w:rsid w:val="00550BBC"/>
    <w:rsid w:val="00551600"/>
    <w:rsid w:val="00551C19"/>
    <w:rsid w:val="00551C54"/>
    <w:rsid w:val="00552A19"/>
    <w:rsid w:val="00552FAD"/>
    <w:rsid w:val="00555B22"/>
    <w:rsid w:val="005564C9"/>
    <w:rsid w:val="00560E61"/>
    <w:rsid w:val="0056102D"/>
    <w:rsid w:val="00561290"/>
    <w:rsid w:val="005615B0"/>
    <w:rsid w:val="00563C03"/>
    <w:rsid w:val="00564264"/>
    <w:rsid w:val="005642E1"/>
    <w:rsid w:val="005654BE"/>
    <w:rsid w:val="00566162"/>
    <w:rsid w:val="00566C19"/>
    <w:rsid w:val="00566D03"/>
    <w:rsid w:val="00566DC0"/>
    <w:rsid w:val="005675A1"/>
    <w:rsid w:val="00567B6A"/>
    <w:rsid w:val="00570C92"/>
    <w:rsid w:val="00571504"/>
    <w:rsid w:val="005716DB"/>
    <w:rsid w:val="0057223B"/>
    <w:rsid w:val="005724FB"/>
    <w:rsid w:val="00573147"/>
    <w:rsid w:val="00573BB6"/>
    <w:rsid w:val="00573E59"/>
    <w:rsid w:val="005749BE"/>
    <w:rsid w:val="005753C7"/>
    <w:rsid w:val="00575DA7"/>
    <w:rsid w:val="0057677B"/>
    <w:rsid w:val="00577883"/>
    <w:rsid w:val="00580792"/>
    <w:rsid w:val="005808C2"/>
    <w:rsid w:val="00580B9E"/>
    <w:rsid w:val="00580BF6"/>
    <w:rsid w:val="005824FB"/>
    <w:rsid w:val="0058273D"/>
    <w:rsid w:val="00583104"/>
    <w:rsid w:val="00583AB3"/>
    <w:rsid w:val="00583C95"/>
    <w:rsid w:val="00583DEA"/>
    <w:rsid w:val="005848E3"/>
    <w:rsid w:val="00584B0B"/>
    <w:rsid w:val="0058521F"/>
    <w:rsid w:val="0058548F"/>
    <w:rsid w:val="00585629"/>
    <w:rsid w:val="00586225"/>
    <w:rsid w:val="0058669B"/>
    <w:rsid w:val="0058794D"/>
    <w:rsid w:val="00591385"/>
    <w:rsid w:val="0059174F"/>
    <w:rsid w:val="0059245A"/>
    <w:rsid w:val="0059276B"/>
    <w:rsid w:val="00592B27"/>
    <w:rsid w:val="00592C74"/>
    <w:rsid w:val="00594413"/>
    <w:rsid w:val="0059604B"/>
    <w:rsid w:val="005965DC"/>
    <w:rsid w:val="0059660E"/>
    <w:rsid w:val="005A0D51"/>
    <w:rsid w:val="005A10EC"/>
    <w:rsid w:val="005A2B08"/>
    <w:rsid w:val="005A356A"/>
    <w:rsid w:val="005A35FF"/>
    <w:rsid w:val="005A3E44"/>
    <w:rsid w:val="005A48D4"/>
    <w:rsid w:val="005A4DED"/>
    <w:rsid w:val="005A4E0C"/>
    <w:rsid w:val="005A4F46"/>
    <w:rsid w:val="005A5D82"/>
    <w:rsid w:val="005A635D"/>
    <w:rsid w:val="005A70C1"/>
    <w:rsid w:val="005A79EF"/>
    <w:rsid w:val="005A7E17"/>
    <w:rsid w:val="005B12A5"/>
    <w:rsid w:val="005B1368"/>
    <w:rsid w:val="005B151D"/>
    <w:rsid w:val="005B1616"/>
    <w:rsid w:val="005B1677"/>
    <w:rsid w:val="005B3B4E"/>
    <w:rsid w:val="005B3DC1"/>
    <w:rsid w:val="005B3F2D"/>
    <w:rsid w:val="005B42A3"/>
    <w:rsid w:val="005B45A5"/>
    <w:rsid w:val="005B5CD2"/>
    <w:rsid w:val="005B65E9"/>
    <w:rsid w:val="005B72BF"/>
    <w:rsid w:val="005C0AD8"/>
    <w:rsid w:val="005C18CB"/>
    <w:rsid w:val="005C1B0A"/>
    <w:rsid w:val="005C1F82"/>
    <w:rsid w:val="005C279A"/>
    <w:rsid w:val="005C2A2E"/>
    <w:rsid w:val="005C2C03"/>
    <w:rsid w:val="005C2D62"/>
    <w:rsid w:val="005C2D7F"/>
    <w:rsid w:val="005C331D"/>
    <w:rsid w:val="005C3EDB"/>
    <w:rsid w:val="005C483A"/>
    <w:rsid w:val="005C4FB5"/>
    <w:rsid w:val="005C74F1"/>
    <w:rsid w:val="005C78B3"/>
    <w:rsid w:val="005C7F95"/>
    <w:rsid w:val="005D0863"/>
    <w:rsid w:val="005D0CCC"/>
    <w:rsid w:val="005D0E6D"/>
    <w:rsid w:val="005D1F3D"/>
    <w:rsid w:val="005D2BCA"/>
    <w:rsid w:val="005D2D82"/>
    <w:rsid w:val="005D34F6"/>
    <w:rsid w:val="005D363B"/>
    <w:rsid w:val="005D364C"/>
    <w:rsid w:val="005D3835"/>
    <w:rsid w:val="005D39F7"/>
    <w:rsid w:val="005D3A76"/>
    <w:rsid w:val="005D400E"/>
    <w:rsid w:val="005D5DA0"/>
    <w:rsid w:val="005D5F11"/>
    <w:rsid w:val="005D66F7"/>
    <w:rsid w:val="005D6923"/>
    <w:rsid w:val="005D69DA"/>
    <w:rsid w:val="005D6B54"/>
    <w:rsid w:val="005D740B"/>
    <w:rsid w:val="005D7885"/>
    <w:rsid w:val="005D7CB2"/>
    <w:rsid w:val="005D7F51"/>
    <w:rsid w:val="005E1034"/>
    <w:rsid w:val="005E1F64"/>
    <w:rsid w:val="005E38B1"/>
    <w:rsid w:val="005E4F68"/>
    <w:rsid w:val="005E5BC2"/>
    <w:rsid w:val="005E5D49"/>
    <w:rsid w:val="005E629D"/>
    <w:rsid w:val="005E62A7"/>
    <w:rsid w:val="005E73A7"/>
    <w:rsid w:val="005E777A"/>
    <w:rsid w:val="005E78DD"/>
    <w:rsid w:val="005E7F7B"/>
    <w:rsid w:val="005F032F"/>
    <w:rsid w:val="005F06E2"/>
    <w:rsid w:val="005F0E61"/>
    <w:rsid w:val="005F11F0"/>
    <w:rsid w:val="005F1442"/>
    <w:rsid w:val="005F196A"/>
    <w:rsid w:val="005F19E1"/>
    <w:rsid w:val="005F1C98"/>
    <w:rsid w:val="005F2AAC"/>
    <w:rsid w:val="005F2D24"/>
    <w:rsid w:val="005F305C"/>
    <w:rsid w:val="005F39DC"/>
    <w:rsid w:val="005F4F36"/>
    <w:rsid w:val="005F5380"/>
    <w:rsid w:val="005F67D3"/>
    <w:rsid w:val="005F6A4E"/>
    <w:rsid w:val="005F73A2"/>
    <w:rsid w:val="005F7C40"/>
    <w:rsid w:val="00600003"/>
    <w:rsid w:val="006004C1"/>
    <w:rsid w:val="0060052D"/>
    <w:rsid w:val="00601F0D"/>
    <w:rsid w:val="00601F4D"/>
    <w:rsid w:val="006022A0"/>
    <w:rsid w:val="00602456"/>
    <w:rsid w:val="00602AAD"/>
    <w:rsid w:val="00602D6D"/>
    <w:rsid w:val="00603466"/>
    <w:rsid w:val="006036B4"/>
    <w:rsid w:val="00603E67"/>
    <w:rsid w:val="00604854"/>
    <w:rsid w:val="00605243"/>
    <w:rsid w:val="00606129"/>
    <w:rsid w:val="006077D7"/>
    <w:rsid w:val="00607933"/>
    <w:rsid w:val="00607B93"/>
    <w:rsid w:val="00607BBD"/>
    <w:rsid w:val="00607F20"/>
    <w:rsid w:val="0061052F"/>
    <w:rsid w:val="00610B95"/>
    <w:rsid w:val="00611429"/>
    <w:rsid w:val="00611547"/>
    <w:rsid w:val="00611AAD"/>
    <w:rsid w:val="00613522"/>
    <w:rsid w:val="00613EE6"/>
    <w:rsid w:val="00614CC3"/>
    <w:rsid w:val="00615063"/>
    <w:rsid w:val="00615128"/>
    <w:rsid w:val="0061575A"/>
    <w:rsid w:val="00615E6A"/>
    <w:rsid w:val="00615FE0"/>
    <w:rsid w:val="006160BE"/>
    <w:rsid w:val="00616411"/>
    <w:rsid w:val="00616444"/>
    <w:rsid w:val="00620D59"/>
    <w:rsid w:val="00620FD4"/>
    <w:rsid w:val="00622984"/>
    <w:rsid w:val="00622CF5"/>
    <w:rsid w:val="00622FD7"/>
    <w:rsid w:val="006233A7"/>
    <w:rsid w:val="00623C3E"/>
    <w:rsid w:val="00625185"/>
    <w:rsid w:val="0062597E"/>
    <w:rsid w:val="006262EE"/>
    <w:rsid w:val="006271E5"/>
    <w:rsid w:val="00630253"/>
    <w:rsid w:val="00632454"/>
    <w:rsid w:val="00632730"/>
    <w:rsid w:val="00632886"/>
    <w:rsid w:val="00633E99"/>
    <w:rsid w:val="00633FE2"/>
    <w:rsid w:val="00634DC9"/>
    <w:rsid w:val="00635184"/>
    <w:rsid w:val="0063692B"/>
    <w:rsid w:val="00640029"/>
    <w:rsid w:val="00640ACE"/>
    <w:rsid w:val="00641373"/>
    <w:rsid w:val="0064209A"/>
    <w:rsid w:val="006420F7"/>
    <w:rsid w:val="006422B7"/>
    <w:rsid w:val="00642CE7"/>
    <w:rsid w:val="00642D2C"/>
    <w:rsid w:val="006431B5"/>
    <w:rsid w:val="0064387D"/>
    <w:rsid w:val="00643F0E"/>
    <w:rsid w:val="00645D2B"/>
    <w:rsid w:val="006461CC"/>
    <w:rsid w:val="00647E19"/>
    <w:rsid w:val="00647ECA"/>
    <w:rsid w:val="00650655"/>
    <w:rsid w:val="00650872"/>
    <w:rsid w:val="00650A75"/>
    <w:rsid w:val="00650D09"/>
    <w:rsid w:val="0065104C"/>
    <w:rsid w:val="00651102"/>
    <w:rsid w:val="00651BF0"/>
    <w:rsid w:val="0065257E"/>
    <w:rsid w:val="00652F82"/>
    <w:rsid w:val="00653885"/>
    <w:rsid w:val="00654612"/>
    <w:rsid w:val="00655892"/>
    <w:rsid w:val="00656FB5"/>
    <w:rsid w:val="0065741F"/>
    <w:rsid w:val="00657C5E"/>
    <w:rsid w:val="00657F73"/>
    <w:rsid w:val="00660793"/>
    <w:rsid w:val="00660E80"/>
    <w:rsid w:val="00661282"/>
    <w:rsid w:val="006614A3"/>
    <w:rsid w:val="00661A35"/>
    <w:rsid w:val="00662775"/>
    <w:rsid w:val="006627A6"/>
    <w:rsid w:val="006630B4"/>
    <w:rsid w:val="006632CC"/>
    <w:rsid w:val="00663FC5"/>
    <w:rsid w:val="00665197"/>
    <w:rsid w:val="006658AC"/>
    <w:rsid w:val="00667362"/>
    <w:rsid w:val="00667D67"/>
    <w:rsid w:val="006700E6"/>
    <w:rsid w:val="00670743"/>
    <w:rsid w:val="006709E3"/>
    <w:rsid w:val="00670AEF"/>
    <w:rsid w:val="0067129C"/>
    <w:rsid w:val="006725CC"/>
    <w:rsid w:val="0067280B"/>
    <w:rsid w:val="00672C61"/>
    <w:rsid w:val="00672F9C"/>
    <w:rsid w:val="0067396F"/>
    <w:rsid w:val="00673BBB"/>
    <w:rsid w:val="00674216"/>
    <w:rsid w:val="0067460A"/>
    <w:rsid w:val="006752DB"/>
    <w:rsid w:val="00675959"/>
    <w:rsid w:val="00675B34"/>
    <w:rsid w:val="00675D58"/>
    <w:rsid w:val="00676C32"/>
    <w:rsid w:val="0068061F"/>
    <w:rsid w:val="006815B7"/>
    <w:rsid w:val="0068276C"/>
    <w:rsid w:val="0068357D"/>
    <w:rsid w:val="00683B3B"/>
    <w:rsid w:val="0068496D"/>
    <w:rsid w:val="00684CAC"/>
    <w:rsid w:val="00685791"/>
    <w:rsid w:val="00685F27"/>
    <w:rsid w:val="006864E4"/>
    <w:rsid w:val="0068764A"/>
    <w:rsid w:val="0069064F"/>
    <w:rsid w:val="006925CC"/>
    <w:rsid w:val="00692C59"/>
    <w:rsid w:val="00692ECA"/>
    <w:rsid w:val="00693DF5"/>
    <w:rsid w:val="00695289"/>
    <w:rsid w:val="006967BC"/>
    <w:rsid w:val="006975AB"/>
    <w:rsid w:val="00697C5C"/>
    <w:rsid w:val="00697DDE"/>
    <w:rsid w:val="00697F83"/>
    <w:rsid w:val="006A0A17"/>
    <w:rsid w:val="006A0DB4"/>
    <w:rsid w:val="006A1080"/>
    <w:rsid w:val="006A148B"/>
    <w:rsid w:val="006A1679"/>
    <w:rsid w:val="006A209B"/>
    <w:rsid w:val="006A3709"/>
    <w:rsid w:val="006A3A75"/>
    <w:rsid w:val="006A47DA"/>
    <w:rsid w:val="006A4E72"/>
    <w:rsid w:val="006A5207"/>
    <w:rsid w:val="006A560A"/>
    <w:rsid w:val="006A5AE1"/>
    <w:rsid w:val="006A5C3C"/>
    <w:rsid w:val="006A5EC2"/>
    <w:rsid w:val="006B148A"/>
    <w:rsid w:val="006B29A6"/>
    <w:rsid w:val="006B2D1C"/>
    <w:rsid w:val="006B2FFB"/>
    <w:rsid w:val="006B3688"/>
    <w:rsid w:val="006B3A32"/>
    <w:rsid w:val="006B4A61"/>
    <w:rsid w:val="006B4F25"/>
    <w:rsid w:val="006B520D"/>
    <w:rsid w:val="006B5345"/>
    <w:rsid w:val="006B584E"/>
    <w:rsid w:val="006B599A"/>
    <w:rsid w:val="006B67D3"/>
    <w:rsid w:val="006B6F85"/>
    <w:rsid w:val="006B712B"/>
    <w:rsid w:val="006C0196"/>
    <w:rsid w:val="006C08E7"/>
    <w:rsid w:val="006C0932"/>
    <w:rsid w:val="006C0B50"/>
    <w:rsid w:val="006C148E"/>
    <w:rsid w:val="006C194D"/>
    <w:rsid w:val="006C1A47"/>
    <w:rsid w:val="006C24DC"/>
    <w:rsid w:val="006C28E5"/>
    <w:rsid w:val="006C451A"/>
    <w:rsid w:val="006C4B5F"/>
    <w:rsid w:val="006C4F27"/>
    <w:rsid w:val="006C729B"/>
    <w:rsid w:val="006C7BD9"/>
    <w:rsid w:val="006C7C2C"/>
    <w:rsid w:val="006C7D6B"/>
    <w:rsid w:val="006D1295"/>
    <w:rsid w:val="006D1B67"/>
    <w:rsid w:val="006D1F06"/>
    <w:rsid w:val="006D2771"/>
    <w:rsid w:val="006D2F5D"/>
    <w:rsid w:val="006D394F"/>
    <w:rsid w:val="006D40B0"/>
    <w:rsid w:val="006D421B"/>
    <w:rsid w:val="006D435E"/>
    <w:rsid w:val="006D54BB"/>
    <w:rsid w:val="006D575D"/>
    <w:rsid w:val="006D605A"/>
    <w:rsid w:val="006E0277"/>
    <w:rsid w:val="006E02C6"/>
    <w:rsid w:val="006E2DA6"/>
    <w:rsid w:val="006E3279"/>
    <w:rsid w:val="006E3688"/>
    <w:rsid w:val="006E3EBF"/>
    <w:rsid w:val="006E426A"/>
    <w:rsid w:val="006E54AC"/>
    <w:rsid w:val="006E587F"/>
    <w:rsid w:val="006E5AF0"/>
    <w:rsid w:val="006E6898"/>
    <w:rsid w:val="006E6D14"/>
    <w:rsid w:val="006E7C67"/>
    <w:rsid w:val="006F09AC"/>
    <w:rsid w:val="006F20FE"/>
    <w:rsid w:val="006F2EF8"/>
    <w:rsid w:val="006F3061"/>
    <w:rsid w:val="006F3904"/>
    <w:rsid w:val="006F3DAD"/>
    <w:rsid w:val="006F4092"/>
    <w:rsid w:val="006F571D"/>
    <w:rsid w:val="006F574D"/>
    <w:rsid w:val="006F66ED"/>
    <w:rsid w:val="006F6CBC"/>
    <w:rsid w:val="006F6FBC"/>
    <w:rsid w:val="006F74CA"/>
    <w:rsid w:val="00701509"/>
    <w:rsid w:val="007026D0"/>
    <w:rsid w:val="00704F3C"/>
    <w:rsid w:val="00705623"/>
    <w:rsid w:val="00705E9D"/>
    <w:rsid w:val="00705EB9"/>
    <w:rsid w:val="00706024"/>
    <w:rsid w:val="0070615B"/>
    <w:rsid w:val="00706492"/>
    <w:rsid w:val="00707345"/>
    <w:rsid w:val="007079AD"/>
    <w:rsid w:val="007109DE"/>
    <w:rsid w:val="00710D49"/>
    <w:rsid w:val="0071107D"/>
    <w:rsid w:val="00711F40"/>
    <w:rsid w:val="0071284E"/>
    <w:rsid w:val="00712A0B"/>
    <w:rsid w:val="00713E9B"/>
    <w:rsid w:val="0071402A"/>
    <w:rsid w:val="00714AC2"/>
    <w:rsid w:val="00714F45"/>
    <w:rsid w:val="00715967"/>
    <w:rsid w:val="00715C9A"/>
    <w:rsid w:val="00716A06"/>
    <w:rsid w:val="00717B86"/>
    <w:rsid w:val="00717F04"/>
    <w:rsid w:val="00720277"/>
    <w:rsid w:val="00720796"/>
    <w:rsid w:val="007210C5"/>
    <w:rsid w:val="00722259"/>
    <w:rsid w:val="007234B4"/>
    <w:rsid w:val="00723FD2"/>
    <w:rsid w:val="0072455D"/>
    <w:rsid w:val="0072520A"/>
    <w:rsid w:val="0072530F"/>
    <w:rsid w:val="00725626"/>
    <w:rsid w:val="00725705"/>
    <w:rsid w:val="00725894"/>
    <w:rsid w:val="0072622B"/>
    <w:rsid w:val="00726644"/>
    <w:rsid w:val="007268F3"/>
    <w:rsid w:val="0072708D"/>
    <w:rsid w:val="00727093"/>
    <w:rsid w:val="00727F45"/>
    <w:rsid w:val="00730305"/>
    <w:rsid w:val="00730BA2"/>
    <w:rsid w:val="0073179B"/>
    <w:rsid w:val="00731F4B"/>
    <w:rsid w:val="00732418"/>
    <w:rsid w:val="007328AD"/>
    <w:rsid w:val="00733477"/>
    <w:rsid w:val="00734658"/>
    <w:rsid w:val="00735230"/>
    <w:rsid w:val="00735C7D"/>
    <w:rsid w:val="00736AB8"/>
    <w:rsid w:val="0073738E"/>
    <w:rsid w:val="007374C7"/>
    <w:rsid w:val="00740178"/>
    <w:rsid w:val="00740334"/>
    <w:rsid w:val="007408B9"/>
    <w:rsid w:val="007428BC"/>
    <w:rsid w:val="007434EA"/>
    <w:rsid w:val="00743D01"/>
    <w:rsid w:val="00744231"/>
    <w:rsid w:val="00744290"/>
    <w:rsid w:val="00744A15"/>
    <w:rsid w:val="00744EFF"/>
    <w:rsid w:val="007451D3"/>
    <w:rsid w:val="00745519"/>
    <w:rsid w:val="00745B11"/>
    <w:rsid w:val="00746184"/>
    <w:rsid w:val="00746575"/>
    <w:rsid w:val="00746AA2"/>
    <w:rsid w:val="00750C3A"/>
    <w:rsid w:val="00750FBF"/>
    <w:rsid w:val="007518B7"/>
    <w:rsid w:val="00752429"/>
    <w:rsid w:val="007533BD"/>
    <w:rsid w:val="00753D9A"/>
    <w:rsid w:val="00753EEA"/>
    <w:rsid w:val="007545D3"/>
    <w:rsid w:val="007545EF"/>
    <w:rsid w:val="007545FA"/>
    <w:rsid w:val="0075537C"/>
    <w:rsid w:val="00757CBE"/>
    <w:rsid w:val="00757FFB"/>
    <w:rsid w:val="007606BB"/>
    <w:rsid w:val="00760F27"/>
    <w:rsid w:val="007617F0"/>
    <w:rsid w:val="007629F7"/>
    <w:rsid w:val="00762BF2"/>
    <w:rsid w:val="00763AF9"/>
    <w:rsid w:val="007641F4"/>
    <w:rsid w:val="00764330"/>
    <w:rsid w:val="0076491C"/>
    <w:rsid w:val="00765500"/>
    <w:rsid w:val="0076589A"/>
    <w:rsid w:val="00766137"/>
    <w:rsid w:val="007661C4"/>
    <w:rsid w:val="00766D84"/>
    <w:rsid w:val="00767CDD"/>
    <w:rsid w:val="007728CB"/>
    <w:rsid w:val="007736D0"/>
    <w:rsid w:val="0077381D"/>
    <w:rsid w:val="00774265"/>
    <w:rsid w:val="00774930"/>
    <w:rsid w:val="00774BC6"/>
    <w:rsid w:val="0077505E"/>
    <w:rsid w:val="00775D2B"/>
    <w:rsid w:val="00775D8C"/>
    <w:rsid w:val="00776453"/>
    <w:rsid w:val="00776751"/>
    <w:rsid w:val="0077698C"/>
    <w:rsid w:val="007773CB"/>
    <w:rsid w:val="007803FF"/>
    <w:rsid w:val="00780CDF"/>
    <w:rsid w:val="00782C15"/>
    <w:rsid w:val="00782DBA"/>
    <w:rsid w:val="0078467D"/>
    <w:rsid w:val="00784DD0"/>
    <w:rsid w:val="00785072"/>
    <w:rsid w:val="00785CFB"/>
    <w:rsid w:val="00785EC4"/>
    <w:rsid w:val="00787EB8"/>
    <w:rsid w:val="00790104"/>
    <w:rsid w:val="00790349"/>
    <w:rsid w:val="00790AA5"/>
    <w:rsid w:val="00790FA3"/>
    <w:rsid w:val="00791253"/>
    <w:rsid w:val="00792C9E"/>
    <w:rsid w:val="007955B9"/>
    <w:rsid w:val="00795E51"/>
    <w:rsid w:val="007964C5"/>
    <w:rsid w:val="0079702E"/>
    <w:rsid w:val="007970EC"/>
    <w:rsid w:val="0079713A"/>
    <w:rsid w:val="00797CC1"/>
    <w:rsid w:val="007A09D7"/>
    <w:rsid w:val="007A0C66"/>
    <w:rsid w:val="007A1031"/>
    <w:rsid w:val="007A2419"/>
    <w:rsid w:val="007A2E4F"/>
    <w:rsid w:val="007A31E5"/>
    <w:rsid w:val="007A3F57"/>
    <w:rsid w:val="007A4E5B"/>
    <w:rsid w:val="007A7B24"/>
    <w:rsid w:val="007A7F79"/>
    <w:rsid w:val="007B10E5"/>
    <w:rsid w:val="007B1152"/>
    <w:rsid w:val="007B17F6"/>
    <w:rsid w:val="007B1F6A"/>
    <w:rsid w:val="007B2464"/>
    <w:rsid w:val="007B3A3D"/>
    <w:rsid w:val="007B3BED"/>
    <w:rsid w:val="007B3C56"/>
    <w:rsid w:val="007B3D89"/>
    <w:rsid w:val="007B4B74"/>
    <w:rsid w:val="007B4BC9"/>
    <w:rsid w:val="007B6E4E"/>
    <w:rsid w:val="007C1360"/>
    <w:rsid w:val="007C2860"/>
    <w:rsid w:val="007C32CE"/>
    <w:rsid w:val="007C549E"/>
    <w:rsid w:val="007C6109"/>
    <w:rsid w:val="007C644A"/>
    <w:rsid w:val="007D1BF8"/>
    <w:rsid w:val="007D34AA"/>
    <w:rsid w:val="007D3A7E"/>
    <w:rsid w:val="007D3E11"/>
    <w:rsid w:val="007D49A0"/>
    <w:rsid w:val="007D4B7F"/>
    <w:rsid w:val="007D6BE8"/>
    <w:rsid w:val="007D7671"/>
    <w:rsid w:val="007D7848"/>
    <w:rsid w:val="007E04EE"/>
    <w:rsid w:val="007E1224"/>
    <w:rsid w:val="007E3958"/>
    <w:rsid w:val="007E3C45"/>
    <w:rsid w:val="007E3E1A"/>
    <w:rsid w:val="007E41AA"/>
    <w:rsid w:val="007E44DD"/>
    <w:rsid w:val="007E45C2"/>
    <w:rsid w:val="007E4762"/>
    <w:rsid w:val="007E7C3A"/>
    <w:rsid w:val="007F0248"/>
    <w:rsid w:val="007F1437"/>
    <w:rsid w:val="007F16C8"/>
    <w:rsid w:val="007F2A67"/>
    <w:rsid w:val="007F2BF6"/>
    <w:rsid w:val="007F3593"/>
    <w:rsid w:val="007F461A"/>
    <w:rsid w:val="007F481F"/>
    <w:rsid w:val="007F555A"/>
    <w:rsid w:val="007F588C"/>
    <w:rsid w:val="007F7623"/>
    <w:rsid w:val="007F78AA"/>
    <w:rsid w:val="0080072A"/>
    <w:rsid w:val="008008BC"/>
    <w:rsid w:val="00800AAA"/>
    <w:rsid w:val="00800D2F"/>
    <w:rsid w:val="00802067"/>
    <w:rsid w:val="00802EC4"/>
    <w:rsid w:val="008030FF"/>
    <w:rsid w:val="00803C25"/>
    <w:rsid w:val="00803CCA"/>
    <w:rsid w:val="0080480F"/>
    <w:rsid w:val="00804C1D"/>
    <w:rsid w:val="008051BE"/>
    <w:rsid w:val="00806166"/>
    <w:rsid w:val="008061A9"/>
    <w:rsid w:val="0080726E"/>
    <w:rsid w:val="00810A7D"/>
    <w:rsid w:val="00810C49"/>
    <w:rsid w:val="00811F54"/>
    <w:rsid w:val="00811FD1"/>
    <w:rsid w:val="00813106"/>
    <w:rsid w:val="00813D65"/>
    <w:rsid w:val="00813EF7"/>
    <w:rsid w:val="008140F1"/>
    <w:rsid w:val="00814904"/>
    <w:rsid w:val="008156AE"/>
    <w:rsid w:val="00815CF5"/>
    <w:rsid w:val="00817818"/>
    <w:rsid w:val="00820C2C"/>
    <w:rsid w:val="00821340"/>
    <w:rsid w:val="00821B15"/>
    <w:rsid w:val="00821B93"/>
    <w:rsid w:val="00822601"/>
    <w:rsid w:val="008247C9"/>
    <w:rsid w:val="008249DD"/>
    <w:rsid w:val="00825661"/>
    <w:rsid w:val="00826EB8"/>
    <w:rsid w:val="0082752B"/>
    <w:rsid w:val="00827830"/>
    <w:rsid w:val="00827864"/>
    <w:rsid w:val="00827EF0"/>
    <w:rsid w:val="008303A8"/>
    <w:rsid w:val="00830722"/>
    <w:rsid w:val="0083272B"/>
    <w:rsid w:val="00832FA1"/>
    <w:rsid w:val="00833404"/>
    <w:rsid w:val="00833651"/>
    <w:rsid w:val="008338E6"/>
    <w:rsid w:val="00834203"/>
    <w:rsid w:val="00834E3C"/>
    <w:rsid w:val="00834FC7"/>
    <w:rsid w:val="008360D4"/>
    <w:rsid w:val="00836152"/>
    <w:rsid w:val="008362E2"/>
    <w:rsid w:val="008365DE"/>
    <w:rsid w:val="00836DF8"/>
    <w:rsid w:val="00840B32"/>
    <w:rsid w:val="00840EA5"/>
    <w:rsid w:val="00840FF4"/>
    <w:rsid w:val="0084124C"/>
    <w:rsid w:val="00841599"/>
    <w:rsid w:val="00845C47"/>
    <w:rsid w:val="00846B78"/>
    <w:rsid w:val="00846D6D"/>
    <w:rsid w:val="0084715D"/>
    <w:rsid w:val="0085091D"/>
    <w:rsid w:val="00850CE6"/>
    <w:rsid w:val="0085112D"/>
    <w:rsid w:val="00851CF6"/>
    <w:rsid w:val="0085203B"/>
    <w:rsid w:val="00852406"/>
    <w:rsid w:val="00852D3F"/>
    <w:rsid w:val="00852FCA"/>
    <w:rsid w:val="00853D72"/>
    <w:rsid w:val="00854DC7"/>
    <w:rsid w:val="00856958"/>
    <w:rsid w:val="008569D9"/>
    <w:rsid w:val="00856F21"/>
    <w:rsid w:val="0085739F"/>
    <w:rsid w:val="00857FFA"/>
    <w:rsid w:val="0086192A"/>
    <w:rsid w:val="00861D59"/>
    <w:rsid w:val="00862333"/>
    <w:rsid w:val="0086278F"/>
    <w:rsid w:val="00862828"/>
    <w:rsid w:val="00863B83"/>
    <w:rsid w:val="00864A82"/>
    <w:rsid w:val="00864D34"/>
    <w:rsid w:val="00865612"/>
    <w:rsid w:val="00865AC4"/>
    <w:rsid w:val="0086658B"/>
    <w:rsid w:val="00866F13"/>
    <w:rsid w:val="00867089"/>
    <w:rsid w:val="00867672"/>
    <w:rsid w:val="0086774B"/>
    <w:rsid w:val="008677D8"/>
    <w:rsid w:val="00870A16"/>
    <w:rsid w:val="00871411"/>
    <w:rsid w:val="00871822"/>
    <w:rsid w:val="00871E4A"/>
    <w:rsid w:val="008723FF"/>
    <w:rsid w:val="00872652"/>
    <w:rsid w:val="00872EB7"/>
    <w:rsid w:val="008733D1"/>
    <w:rsid w:val="008736DF"/>
    <w:rsid w:val="008736E3"/>
    <w:rsid w:val="00874ED5"/>
    <w:rsid w:val="00875B52"/>
    <w:rsid w:val="0087705D"/>
    <w:rsid w:val="0087721F"/>
    <w:rsid w:val="0087780A"/>
    <w:rsid w:val="0087786B"/>
    <w:rsid w:val="008779F0"/>
    <w:rsid w:val="008801F5"/>
    <w:rsid w:val="00880477"/>
    <w:rsid w:val="00880AEF"/>
    <w:rsid w:val="00882026"/>
    <w:rsid w:val="008843B9"/>
    <w:rsid w:val="008846E2"/>
    <w:rsid w:val="00884B6E"/>
    <w:rsid w:val="00885809"/>
    <w:rsid w:val="0088656F"/>
    <w:rsid w:val="00886F49"/>
    <w:rsid w:val="0088738F"/>
    <w:rsid w:val="00890E54"/>
    <w:rsid w:val="008910E9"/>
    <w:rsid w:val="0089140F"/>
    <w:rsid w:val="00891D5E"/>
    <w:rsid w:val="00892085"/>
    <w:rsid w:val="00893539"/>
    <w:rsid w:val="0089508E"/>
    <w:rsid w:val="00895420"/>
    <w:rsid w:val="0089594F"/>
    <w:rsid w:val="0089660F"/>
    <w:rsid w:val="0089796A"/>
    <w:rsid w:val="00897A8B"/>
    <w:rsid w:val="008A0647"/>
    <w:rsid w:val="008A08DF"/>
    <w:rsid w:val="008A16C5"/>
    <w:rsid w:val="008A24A7"/>
    <w:rsid w:val="008A2728"/>
    <w:rsid w:val="008A2A7E"/>
    <w:rsid w:val="008A2D3C"/>
    <w:rsid w:val="008A353F"/>
    <w:rsid w:val="008A36BF"/>
    <w:rsid w:val="008A475C"/>
    <w:rsid w:val="008A48E6"/>
    <w:rsid w:val="008A551D"/>
    <w:rsid w:val="008A7039"/>
    <w:rsid w:val="008A722E"/>
    <w:rsid w:val="008A7B4F"/>
    <w:rsid w:val="008B0594"/>
    <w:rsid w:val="008B0753"/>
    <w:rsid w:val="008B154D"/>
    <w:rsid w:val="008B1BF8"/>
    <w:rsid w:val="008B1DD0"/>
    <w:rsid w:val="008B244A"/>
    <w:rsid w:val="008B36CB"/>
    <w:rsid w:val="008B38FA"/>
    <w:rsid w:val="008B3B40"/>
    <w:rsid w:val="008B4654"/>
    <w:rsid w:val="008B56F6"/>
    <w:rsid w:val="008B623B"/>
    <w:rsid w:val="008B62CB"/>
    <w:rsid w:val="008B732E"/>
    <w:rsid w:val="008B76D3"/>
    <w:rsid w:val="008B79DB"/>
    <w:rsid w:val="008B7CB3"/>
    <w:rsid w:val="008B7F3C"/>
    <w:rsid w:val="008C0231"/>
    <w:rsid w:val="008C0AE8"/>
    <w:rsid w:val="008C0C51"/>
    <w:rsid w:val="008C1F31"/>
    <w:rsid w:val="008C399E"/>
    <w:rsid w:val="008C3DA0"/>
    <w:rsid w:val="008C3ECB"/>
    <w:rsid w:val="008C4449"/>
    <w:rsid w:val="008C5029"/>
    <w:rsid w:val="008C51F0"/>
    <w:rsid w:val="008C5916"/>
    <w:rsid w:val="008C60D5"/>
    <w:rsid w:val="008D0B69"/>
    <w:rsid w:val="008D1738"/>
    <w:rsid w:val="008D2791"/>
    <w:rsid w:val="008D2E48"/>
    <w:rsid w:val="008D35B0"/>
    <w:rsid w:val="008D41C1"/>
    <w:rsid w:val="008D4852"/>
    <w:rsid w:val="008D5857"/>
    <w:rsid w:val="008D6809"/>
    <w:rsid w:val="008D6A62"/>
    <w:rsid w:val="008D77BD"/>
    <w:rsid w:val="008D7B0C"/>
    <w:rsid w:val="008E0769"/>
    <w:rsid w:val="008E08FE"/>
    <w:rsid w:val="008E1494"/>
    <w:rsid w:val="008E1F7B"/>
    <w:rsid w:val="008E2763"/>
    <w:rsid w:val="008E2EE4"/>
    <w:rsid w:val="008E5C10"/>
    <w:rsid w:val="008E6351"/>
    <w:rsid w:val="008E6B2D"/>
    <w:rsid w:val="008E6BD2"/>
    <w:rsid w:val="008F043C"/>
    <w:rsid w:val="008F0BF4"/>
    <w:rsid w:val="008F2CFA"/>
    <w:rsid w:val="008F34A0"/>
    <w:rsid w:val="008F3733"/>
    <w:rsid w:val="008F3A23"/>
    <w:rsid w:val="008F419B"/>
    <w:rsid w:val="008F5AB5"/>
    <w:rsid w:val="008F62EF"/>
    <w:rsid w:val="00900595"/>
    <w:rsid w:val="00900B3A"/>
    <w:rsid w:val="00900F58"/>
    <w:rsid w:val="009015EF"/>
    <w:rsid w:val="00901BA4"/>
    <w:rsid w:val="00902280"/>
    <w:rsid w:val="00902330"/>
    <w:rsid w:val="00902A30"/>
    <w:rsid w:val="00902E93"/>
    <w:rsid w:val="00903CDF"/>
    <w:rsid w:val="00904754"/>
    <w:rsid w:val="009049BC"/>
    <w:rsid w:val="009054B0"/>
    <w:rsid w:val="00905A14"/>
    <w:rsid w:val="00906F17"/>
    <w:rsid w:val="0090735B"/>
    <w:rsid w:val="00911039"/>
    <w:rsid w:val="00912CD7"/>
    <w:rsid w:val="009133E1"/>
    <w:rsid w:val="00913695"/>
    <w:rsid w:val="00913980"/>
    <w:rsid w:val="00914FC7"/>
    <w:rsid w:val="0091549B"/>
    <w:rsid w:val="00915851"/>
    <w:rsid w:val="0091692B"/>
    <w:rsid w:val="00917D1A"/>
    <w:rsid w:val="00920BCB"/>
    <w:rsid w:val="00921542"/>
    <w:rsid w:val="009219D3"/>
    <w:rsid w:val="00922931"/>
    <w:rsid w:val="009231D1"/>
    <w:rsid w:val="009231D6"/>
    <w:rsid w:val="0092356F"/>
    <w:rsid w:val="00923DBE"/>
    <w:rsid w:val="00923DEA"/>
    <w:rsid w:val="00923E72"/>
    <w:rsid w:val="0092435D"/>
    <w:rsid w:val="009255D4"/>
    <w:rsid w:val="00926C08"/>
    <w:rsid w:val="00927557"/>
    <w:rsid w:val="00927788"/>
    <w:rsid w:val="009303E9"/>
    <w:rsid w:val="00930990"/>
    <w:rsid w:val="0093123C"/>
    <w:rsid w:val="00933D0B"/>
    <w:rsid w:val="00933FD7"/>
    <w:rsid w:val="0093524B"/>
    <w:rsid w:val="00935CE4"/>
    <w:rsid w:val="00935D30"/>
    <w:rsid w:val="00935F9A"/>
    <w:rsid w:val="009371FA"/>
    <w:rsid w:val="0093790A"/>
    <w:rsid w:val="00940763"/>
    <w:rsid w:val="00941978"/>
    <w:rsid w:val="0094205C"/>
    <w:rsid w:val="0094260F"/>
    <w:rsid w:val="0094270C"/>
    <w:rsid w:val="009430F0"/>
    <w:rsid w:val="00943329"/>
    <w:rsid w:val="00943A36"/>
    <w:rsid w:val="0094523D"/>
    <w:rsid w:val="00945C8F"/>
    <w:rsid w:val="00946439"/>
    <w:rsid w:val="0094765E"/>
    <w:rsid w:val="009502DB"/>
    <w:rsid w:val="00952E70"/>
    <w:rsid w:val="0095312E"/>
    <w:rsid w:val="009533B2"/>
    <w:rsid w:val="00953654"/>
    <w:rsid w:val="00953A70"/>
    <w:rsid w:val="00953BB8"/>
    <w:rsid w:val="0095432A"/>
    <w:rsid w:val="009543DF"/>
    <w:rsid w:val="009550FF"/>
    <w:rsid w:val="00955223"/>
    <w:rsid w:val="00957B37"/>
    <w:rsid w:val="00960303"/>
    <w:rsid w:val="00960E2B"/>
    <w:rsid w:val="009613CF"/>
    <w:rsid w:val="0096143D"/>
    <w:rsid w:val="00961AB6"/>
    <w:rsid w:val="00961B6E"/>
    <w:rsid w:val="00961E2D"/>
    <w:rsid w:val="00963104"/>
    <w:rsid w:val="00963985"/>
    <w:rsid w:val="009654E5"/>
    <w:rsid w:val="00965C4C"/>
    <w:rsid w:val="0096708D"/>
    <w:rsid w:val="00967182"/>
    <w:rsid w:val="009708F9"/>
    <w:rsid w:val="00971AD3"/>
    <w:rsid w:val="00971B99"/>
    <w:rsid w:val="00971D36"/>
    <w:rsid w:val="00972C30"/>
    <w:rsid w:val="00972F1E"/>
    <w:rsid w:val="0097309C"/>
    <w:rsid w:val="009730FF"/>
    <w:rsid w:val="00973CFD"/>
    <w:rsid w:val="00974166"/>
    <w:rsid w:val="009746D3"/>
    <w:rsid w:val="00974774"/>
    <w:rsid w:val="00974D67"/>
    <w:rsid w:val="00975FA0"/>
    <w:rsid w:val="009768A6"/>
    <w:rsid w:val="00977360"/>
    <w:rsid w:val="00980295"/>
    <w:rsid w:val="009814BA"/>
    <w:rsid w:val="00981A72"/>
    <w:rsid w:val="00981CBE"/>
    <w:rsid w:val="00982178"/>
    <w:rsid w:val="009822DA"/>
    <w:rsid w:val="0098252A"/>
    <w:rsid w:val="00982856"/>
    <w:rsid w:val="00982BBB"/>
    <w:rsid w:val="00984B04"/>
    <w:rsid w:val="009851E4"/>
    <w:rsid w:val="009855DA"/>
    <w:rsid w:val="0099059E"/>
    <w:rsid w:val="0099069C"/>
    <w:rsid w:val="00990DE3"/>
    <w:rsid w:val="009911DB"/>
    <w:rsid w:val="00991E87"/>
    <w:rsid w:val="00992323"/>
    <w:rsid w:val="009933CF"/>
    <w:rsid w:val="00993BC7"/>
    <w:rsid w:val="009946CF"/>
    <w:rsid w:val="0099590A"/>
    <w:rsid w:val="0099754C"/>
    <w:rsid w:val="009A0A0F"/>
    <w:rsid w:val="009A0FDC"/>
    <w:rsid w:val="009A42D7"/>
    <w:rsid w:val="009A458B"/>
    <w:rsid w:val="009A5BE2"/>
    <w:rsid w:val="009A6119"/>
    <w:rsid w:val="009A650C"/>
    <w:rsid w:val="009A6901"/>
    <w:rsid w:val="009A735D"/>
    <w:rsid w:val="009A73E2"/>
    <w:rsid w:val="009B13AA"/>
    <w:rsid w:val="009B26A2"/>
    <w:rsid w:val="009B4E45"/>
    <w:rsid w:val="009B4F4D"/>
    <w:rsid w:val="009B5552"/>
    <w:rsid w:val="009B6EA9"/>
    <w:rsid w:val="009C0A84"/>
    <w:rsid w:val="009C1127"/>
    <w:rsid w:val="009C1BAD"/>
    <w:rsid w:val="009C2117"/>
    <w:rsid w:val="009C375A"/>
    <w:rsid w:val="009C4D2C"/>
    <w:rsid w:val="009C4F5D"/>
    <w:rsid w:val="009C6391"/>
    <w:rsid w:val="009C7246"/>
    <w:rsid w:val="009D1190"/>
    <w:rsid w:val="009D2439"/>
    <w:rsid w:val="009D2A1D"/>
    <w:rsid w:val="009D2BDC"/>
    <w:rsid w:val="009D3DAA"/>
    <w:rsid w:val="009D59E0"/>
    <w:rsid w:val="009D5A8A"/>
    <w:rsid w:val="009D6F13"/>
    <w:rsid w:val="009D70A4"/>
    <w:rsid w:val="009D7A34"/>
    <w:rsid w:val="009E05FE"/>
    <w:rsid w:val="009E0AC6"/>
    <w:rsid w:val="009E1661"/>
    <w:rsid w:val="009E1F4E"/>
    <w:rsid w:val="009E25EB"/>
    <w:rsid w:val="009E3C49"/>
    <w:rsid w:val="009E3E7E"/>
    <w:rsid w:val="009E415D"/>
    <w:rsid w:val="009E4733"/>
    <w:rsid w:val="009E4B3F"/>
    <w:rsid w:val="009E4C21"/>
    <w:rsid w:val="009E56B6"/>
    <w:rsid w:val="009E5908"/>
    <w:rsid w:val="009E6042"/>
    <w:rsid w:val="009E72F5"/>
    <w:rsid w:val="009F1B98"/>
    <w:rsid w:val="009F294E"/>
    <w:rsid w:val="009F296B"/>
    <w:rsid w:val="009F2DC5"/>
    <w:rsid w:val="009F4B34"/>
    <w:rsid w:val="009F6410"/>
    <w:rsid w:val="009F7142"/>
    <w:rsid w:val="00A00938"/>
    <w:rsid w:val="00A00CA5"/>
    <w:rsid w:val="00A02DD4"/>
    <w:rsid w:val="00A03758"/>
    <w:rsid w:val="00A03DBB"/>
    <w:rsid w:val="00A04C7F"/>
    <w:rsid w:val="00A057AA"/>
    <w:rsid w:val="00A05CC3"/>
    <w:rsid w:val="00A10AFA"/>
    <w:rsid w:val="00A1148F"/>
    <w:rsid w:val="00A11945"/>
    <w:rsid w:val="00A1230C"/>
    <w:rsid w:val="00A127FC"/>
    <w:rsid w:val="00A148FC"/>
    <w:rsid w:val="00A15876"/>
    <w:rsid w:val="00A15A8D"/>
    <w:rsid w:val="00A166C1"/>
    <w:rsid w:val="00A1676D"/>
    <w:rsid w:val="00A16C64"/>
    <w:rsid w:val="00A17343"/>
    <w:rsid w:val="00A17765"/>
    <w:rsid w:val="00A17C33"/>
    <w:rsid w:val="00A20344"/>
    <w:rsid w:val="00A203A2"/>
    <w:rsid w:val="00A21110"/>
    <w:rsid w:val="00A22FDB"/>
    <w:rsid w:val="00A2312C"/>
    <w:rsid w:val="00A238C2"/>
    <w:rsid w:val="00A23C3A"/>
    <w:rsid w:val="00A241E3"/>
    <w:rsid w:val="00A251F3"/>
    <w:rsid w:val="00A25301"/>
    <w:rsid w:val="00A25EAC"/>
    <w:rsid w:val="00A26502"/>
    <w:rsid w:val="00A26903"/>
    <w:rsid w:val="00A27836"/>
    <w:rsid w:val="00A27B22"/>
    <w:rsid w:val="00A30122"/>
    <w:rsid w:val="00A306A6"/>
    <w:rsid w:val="00A31188"/>
    <w:rsid w:val="00A31557"/>
    <w:rsid w:val="00A32A92"/>
    <w:rsid w:val="00A330A0"/>
    <w:rsid w:val="00A330A8"/>
    <w:rsid w:val="00A3337C"/>
    <w:rsid w:val="00A3354D"/>
    <w:rsid w:val="00A337BC"/>
    <w:rsid w:val="00A33913"/>
    <w:rsid w:val="00A343A8"/>
    <w:rsid w:val="00A34C78"/>
    <w:rsid w:val="00A34DFD"/>
    <w:rsid w:val="00A35977"/>
    <w:rsid w:val="00A362A4"/>
    <w:rsid w:val="00A36D9B"/>
    <w:rsid w:val="00A370A1"/>
    <w:rsid w:val="00A37394"/>
    <w:rsid w:val="00A3786A"/>
    <w:rsid w:val="00A37C3E"/>
    <w:rsid w:val="00A40468"/>
    <w:rsid w:val="00A40DCB"/>
    <w:rsid w:val="00A40EBB"/>
    <w:rsid w:val="00A41936"/>
    <w:rsid w:val="00A41A9B"/>
    <w:rsid w:val="00A43247"/>
    <w:rsid w:val="00A438DD"/>
    <w:rsid w:val="00A43F4F"/>
    <w:rsid w:val="00A449DC"/>
    <w:rsid w:val="00A44CBF"/>
    <w:rsid w:val="00A454F8"/>
    <w:rsid w:val="00A458CB"/>
    <w:rsid w:val="00A45FA8"/>
    <w:rsid w:val="00A46E14"/>
    <w:rsid w:val="00A4739D"/>
    <w:rsid w:val="00A5001C"/>
    <w:rsid w:val="00A507DD"/>
    <w:rsid w:val="00A50C4A"/>
    <w:rsid w:val="00A542E3"/>
    <w:rsid w:val="00A5440E"/>
    <w:rsid w:val="00A54CCB"/>
    <w:rsid w:val="00A54F43"/>
    <w:rsid w:val="00A556AD"/>
    <w:rsid w:val="00A55887"/>
    <w:rsid w:val="00A565CB"/>
    <w:rsid w:val="00A56B0A"/>
    <w:rsid w:val="00A57373"/>
    <w:rsid w:val="00A612CD"/>
    <w:rsid w:val="00A617FF"/>
    <w:rsid w:val="00A61839"/>
    <w:rsid w:val="00A62098"/>
    <w:rsid w:val="00A62EA5"/>
    <w:rsid w:val="00A638C1"/>
    <w:rsid w:val="00A64312"/>
    <w:rsid w:val="00A666DD"/>
    <w:rsid w:val="00A707AB"/>
    <w:rsid w:val="00A724FD"/>
    <w:rsid w:val="00A73899"/>
    <w:rsid w:val="00A73DCF"/>
    <w:rsid w:val="00A742CF"/>
    <w:rsid w:val="00A74472"/>
    <w:rsid w:val="00A753B1"/>
    <w:rsid w:val="00A75D3D"/>
    <w:rsid w:val="00A75FBB"/>
    <w:rsid w:val="00A76074"/>
    <w:rsid w:val="00A80FCA"/>
    <w:rsid w:val="00A815ED"/>
    <w:rsid w:val="00A81A0C"/>
    <w:rsid w:val="00A833F5"/>
    <w:rsid w:val="00A850CF"/>
    <w:rsid w:val="00A8515D"/>
    <w:rsid w:val="00A85326"/>
    <w:rsid w:val="00A85E9B"/>
    <w:rsid w:val="00A86331"/>
    <w:rsid w:val="00A876F6"/>
    <w:rsid w:val="00A878B7"/>
    <w:rsid w:val="00A904C9"/>
    <w:rsid w:val="00A9061C"/>
    <w:rsid w:val="00A91834"/>
    <w:rsid w:val="00A93605"/>
    <w:rsid w:val="00A9392E"/>
    <w:rsid w:val="00A948B9"/>
    <w:rsid w:val="00A95616"/>
    <w:rsid w:val="00A96238"/>
    <w:rsid w:val="00A96444"/>
    <w:rsid w:val="00A97C2B"/>
    <w:rsid w:val="00AA03F9"/>
    <w:rsid w:val="00AA0970"/>
    <w:rsid w:val="00AA0C9E"/>
    <w:rsid w:val="00AA1BC0"/>
    <w:rsid w:val="00AA21EE"/>
    <w:rsid w:val="00AA268C"/>
    <w:rsid w:val="00AA2CB8"/>
    <w:rsid w:val="00AA2E5F"/>
    <w:rsid w:val="00AA2E78"/>
    <w:rsid w:val="00AA33D7"/>
    <w:rsid w:val="00AA4361"/>
    <w:rsid w:val="00AA483B"/>
    <w:rsid w:val="00AA4F42"/>
    <w:rsid w:val="00AA585B"/>
    <w:rsid w:val="00AA59C6"/>
    <w:rsid w:val="00AA5C5A"/>
    <w:rsid w:val="00AA6293"/>
    <w:rsid w:val="00AA6E21"/>
    <w:rsid w:val="00AA7044"/>
    <w:rsid w:val="00AA73FA"/>
    <w:rsid w:val="00AA776D"/>
    <w:rsid w:val="00AA7989"/>
    <w:rsid w:val="00AB00D6"/>
    <w:rsid w:val="00AB07BE"/>
    <w:rsid w:val="00AB11BA"/>
    <w:rsid w:val="00AB1932"/>
    <w:rsid w:val="00AB2F23"/>
    <w:rsid w:val="00AB3488"/>
    <w:rsid w:val="00AB4685"/>
    <w:rsid w:val="00AB5AC4"/>
    <w:rsid w:val="00AB612F"/>
    <w:rsid w:val="00AB6200"/>
    <w:rsid w:val="00AB6285"/>
    <w:rsid w:val="00AB639A"/>
    <w:rsid w:val="00AB67FC"/>
    <w:rsid w:val="00AB6EF8"/>
    <w:rsid w:val="00AC038A"/>
    <w:rsid w:val="00AC1D0F"/>
    <w:rsid w:val="00AC345F"/>
    <w:rsid w:val="00AC3D97"/>
    <w:rsid w:val="00AC3DA9"/>
    <w:rsid w:val="00AC4CF3"/>
    <w:rsid w:val="00AC52B5"/>
    <w:rsid w:val="00AC55D8"/>
    <w:rsid w:val="00AC5673"/>
    <w:rsid w:val="00AC5CBB"/>
    <w:rsid w:val="00AC5E72"/>
    <w:rsid w:val="00AC60DD"/>
    <w:rsid w:val="00AC6B5E"/>
    <w:rsid w:val="00AC785D"/>
    <w:rsid w:val="00AC79B5"/>
    <w:rsid w:val="00AC7BFB"/>
    <w:rsid w:val="00AC7F38"/>
    <w:rsid w:val="00AD0334"/>
    <w:rsid w:val="00AD060E"/>
    <w:rsid w:val="00AD0CC6"/>
    <w:rsid w:val="00AD1AD1"/>
    <w:rsid w:val="00AD29EF"/>
    <w:rsid w:val="00AD2F45"/>
    <w:rsid w:val="00AD3A0A"/>
    <w:rsid w:val="00AD3F0E"/>
    <w:rsid w:val="00AD7212"/>
    <w:rsid w:val="00AD7BDA"/>
    <w:rsid w:val="00AE0059"/>
    <w:rsid w:val="00AE07E7"/>
    <w:rsid w:val="00AE0B9C"/>
    <w:rsid w:val="00AE1D85"/>
    <w:rsid w:val="00AE3002"/>
    <w:rsid w:val="00AE39A8"/>
    <w:rsid w:val="00AE3D4E"/>
    <w:rsid w:val="00AE497B"/>
    <w:rsid w:val="00AE5565"/>
    <w:rsid w:val="00AE5D0D"/>
    <w:rsid w:val="00AE65A6"/>
    <w:rsid w:val="00AE65E6"/>
    <w:rsid w:val="00AE7265"/>
    <w:rsid w:val="00AE7E07"/>
    <w:rsid w:val="00AE7EB8"/>
    <w:rsid w:val="00AF0EF2"/>
    <w:rsid w:val="00AF1491"/>
    <w:rsid w:val="00AF1DF9"/>
    <w:rsid w:val="00AF1F1E"/>
    <w:rsid w:val="00AF32F3"/>
    <w:rsid w:val="00AF35CE"/>
    <w:rsid w:val="00AF3741"/>
    <w:rsid w:val="00AF3FD3"/>
    <w:rsid w:val="00AF4433"/>
    <w:rsid w:val="00AF4AF9"/>
    <w:rsid w:val="00AF4E2F"/>
    <w:rsid w:val="00AF55A4"/>
    <w:rsid w:val="00AF56C4"/>
    <w:rsid w:val="00AF70D0"/>
    <w:rsid w:val="00AF7974"/>
    <w:rsid w:val="00B00C22"/>
    <w:rsid w:val="00B01297"/>
    <w:rsid w:val="00B014A7"/>
    <w:rsid w:val="00B015C9"/>
    <w:rsid w:val="00B020A1"/>
    <w:rsid w:val="00B022DE"/>
    <w:rsid w:val="00B044B5"/>
    <w:rsid w:val="00B04620"/>
    <w:rsid w:val="00B05507"/>
    <w:rsid w:val="00B055FE"/>
    <w:rsid w:val="00B0573B"/>
    <w:rsid w:val="00B06460"/>
    <w:rsid w:val="00B07E6E"/>
    <w:rsid w:val="00B100DD"/>
    <w:rsid w:val="00B1118E"/>
    <w:rsid w:val="00B11D40"/>
    <w:rsid w:val="00B11F6B"/>
    <w:rsid w:val="00B139F5"/>
    <w:rsid w:val="00B14495"/>
    <w:rsid w:val="00B14C6D"/>
    <w:rsid w:val="00B158F3"/>
    <w:rsid w:val="00B1623B"/>
    <w:rsid w:val="00B16468"/>
    <w:rsid w:val="00B17A5C"/>
    <w:rsid w:val="00B17AE1"/>
    <w:rsid w:val="00B20C19"/>
    <w:rsid w:val="00B20D77"/>
    <w:rsid w:val="00B21855"/>
    <w:rsid w:val="00B22C6D"/>
    <w:rsid w:val="00B2475C"/>
    <w:rsid w:val="00B24C06"/>
    <w:rsid w:val="00B257D0"/>
    <w:rsid w:val="00B267F5"/>
    <w:rsid w:val="00B273DC"/>
    <w:rsid w:val="00B30726"/>
    <w:rsid w:val="00B307FF"/>
    <w:rsid w:val="00B314A5"/>
    <w:rsid w:val="00B319A4"/>
    <w:rsid w:val="00B338B8"/>
    <w:rsid w:val="00B3399C"/>
    <w:rsid w:val="00B3487A"/>
    <w:rsid w:val="00B34D6D"/>
    <w:rsid w:val="00B35CA1"/>
    <w:rsid w:val="00B36049"/>
    <w:rsid w:val="00B3614F"/>
    <w:rsid w:val="00B3691D"/>
    <w:rsid w:val="00B378AD"/>
    <w:rsid w:val="00B414B7"/>
    <w:rsid w:val="00B41934"/>
    <w:rsid w:val="00B41B76"/>
    <w:rsid w:val="00B42385"/>
    <w:rsid w:val="00B4238B"/>
    <w:rsid w:val="00B424E6"/>
    <w:rsid w:val="00B42607"/>
    <w:rsid w:val="00B4275D"/>
    <w:rsid w:val="00B43AAB"/>
    <w:rsid w:val="00B43EDF"/>
    <w:rsid w:val="00B444FB"/>
    <w:rsid w:val="00B4582B"/>
    <w:rsid w:val="00B462C9"/>
    <w:rsid w:val="00B46429"/>
    <w:rsid w:val="00B46533"/>
    <w:rsid w:val="00B4662D"/>
    <w:rsid w:val="00B47599"/>
    <w:rsid w:val="00B4777F"/>
    <w:rsid w:val="00B504E0"/>
    <w:rsid w:val="00B506A2"/>
    <w:rsid w:val="00B5129B"/>
    <w:rsid w:val="00B52419"/>
    <w:rsid w:val="00B52C40"/>
    <w:rsid w:val="00B53570"/>
    <w:rsid w:val="00B5369F"/>
    <w:rsid w:val="00B53ADB"/>
    <w:rsid w:val="00B53E0E"/>
    <w:rsid w:val="00B5463B"/>
    <w:rsid w:val="00B55604"/>
    <w:rsid w:val="00B5562E"/>
    <w:rsid w:val="00B55F28"/>
    <w:rsid w:val="00B56835"/>
    <w:rsid w:val="00B574C7"/>
    <w:rsid w:val="00B574CA"/>
    <w:rsid w:val="00B60300"/>
    <w:rsid w:val="00B623E0"/>
    <w:rsid w:val="00B625C1"/>
    <w:rsid w:val="00B626ED"/>
    <w:rsid w:val="00B62B78"/>
    <w:rsid w:val="00B633CE"/>
    <w:rsid w:val="00B63677"/>
    <w:rsid w:val="00B63CF5"/>
    <w:rsid w:val="00B63DEE"/>
    <w:rsid w:val="00B640B8"/>
    <w:rsid w:val="00B64FE2"/>
    <w:rsid w:val="00B64FF8"/>
    <w:rsid w:val="00B657FD"/>
    <w:rsid w:val="00B6657B"/>
    <w:rsid w:val="00B67CC7"/>
    <w:rsid w:val="00B704FF"/>
    <w:rsid w:val="00B7174B"/>
    <w:rsid w:val="00B7189D"/>
    <w:rsid w:val="00B718CB"/>
    <w:rsid w:val="00B71A1F"/>
    <w:rsid w:val="00B71C5E"/>
    <w:rsid w:val="00B71E9D"/>
    <w:rsid w:val="00B72867"/>
    <w:rsid w:val="00B7427A"/>
    <w:rsid w:val="00B7522D"/>
    <w:rsid w:val="00B75EC0"/>
    <w:rsid w:val="00B76008"/>
    <w:rsid w:val="00B77AC3"/>
    <w:rsid w:val="00B77E12"/>
    <w:rsid w:val="00B77FCC"/>
    <w:rsid w:val="00B8032E"/>
    <w:rsid w:val="00B809F5"/>
    <w:rsid w:val="00B80D5D"/>
    <w:rsid w:val="00B80DBE"/>
    <w:rsid w:val="00B8250B"/>
    <w:rsid w:val="00B82A29"/>
    <w:rsid w:val="00B82FB6"/>
    <w:rsid w:val="00B83180"/>
    <w:rsid w:val="00B8368C"/>
    <w:rsid w:val="00B83CC3"/>
    <w:rsid w:val="00B84393"/>
    <w:rsid w:val="00B84CF1"/>
    <w:rsid w:val="00B85EB4"/>
    <w:rsid w:val="00B86CB3"/>
    <w:rsid w:val="00B87C07"/>
    <w:rsid w:val="00B90188"/>
    <w:rsid w:val="00B908E4"/>
    <w:rsid w:val="00B90BED"/>
    <w:rsid w:val="00B913B8"/>
    <w:rsid w:val="00B93E5C"/>
    <w:rsid w:val="00B9431D"/>
    <w:rsid w:val="00B946E2"/>
    <w:rsid w:val="00B94BA3"/>
    <w:rsid w:val="00B96A1C"/>
    <w:rsid w:val="00BA027F"/>
    <w:rsid w:val="00BA02A6"/>
    <w:rsid w:val="00BA06A7"/>
    <w:rsid w:val="00BA0B5E"/>
    <w:rsid w:val="00BA0D29"/>
    <w:rsid w:val="00BA14CD"/>
    <w:rsid w:val="00BA1623"/>
    <w:rsid w:val="00BA19DA"/>
    <w:rsid w:val="00BA242D"/>
    <w:rsid w:val="00BA2773"/>
    <w:rsid w:val="00BA2C21"/>
    <w:rsid w:val="00BA2E9D"/>
    <w:rsid w:val="00BA33E3"/>
    <w:rsid w:val="00BA41B5"/>
    <w:rsid w:val="00BA5DFD"/>
    <w:rsid w:val="00BA634A"/>
    <w:rsid w:val="00BA697B"/>
    <w:rsid w:val="00BA6B57"/>
    <w:rsid w:val="00BA7A37"/>
    <w:rsid w:val="00BA7FFE"/>
    <w:rsid w:val="00BB01EC"/>
    <w:rsid w:val="00BB046B"/>
    <w:rsid w:val="00BB134A"/>
    <w:rsid w:val="00BB1FAF"/>
    <w:rsid w:val="00BB2C3A"/>
    <w:rsid w:val="00BB2DF4"/>
    <w:rsid w:val="00BB318D"/>
    <w:rsid w:val="00BB3370"/>
    <w:rsid w:val="00BB39A7"/>
    <w:rsid w:val="00BB4275"/>
    <w:rsid w:val="00BB43DB"/>
    <w:rsid w:val="00BB4B73"/>
    <w:rsid w:val="00BB4D85"/>
    <w:rsid w:val="00BB4E15"/>
    <w:rsid w:val="00BB510D"/>
    <w:rsid w:val="00BB5172"/>
    <w:rsid w:val="00BB74B3"/>
    <w:rsid w:val="00BB77A5"/>
    <w:rsid w:val="00BB7F73"/>
    <w:rsid w:val="00BC00AD"/>
    <w:rsid w:val="00BC0B8C"/>
    <w:rsid w:val="00BC17A5"/>
    <w:rsid w:val="00BC243A"/>
    <w:rsid w:val="00BC2543"/>
    <w:rsid w:val="00BC254E"/>
    <w:rsid w:val="00BC2574"/>
    <w:rsid w:val="00BC2781"/>
    <w:rsid w:val="00BC3C05"/>
    <w:rsid w:val="00BC44F8"/>
    <w:rsid w:val="00BC46B7"/>
    <w:rsid w:val="00BC51AB"/>
    <w:rsid w:val="00BC5EA6"/>
    <w:rsid w:val="00BC6353"/>
    <w:rsid w:val="00BC68EA"/>
    <w:rsid w:val="00BC7988"/>
    <w:rsid w:val="00BC7B71"/>
    <w:rsid w:val="00BC7EEB"/>
    <w:rsid w:val="00BD00D9"/>
    <w:rsid w:val="00BD03C5"/>
    <w:rsid w:val="00BD08FD"/>
    <w:rsid w:val="00BD0C15"/>
    <w:rsid w:val="00BD13D9"/>
    <w:rsid w:val="00BD1580"/>
    <w:rsid w:val="00BD2819"/>
    <w:rsid w:val="00BD4977"/>
    <w:rsid w:val="00BD51A6"/>
    <w:rsid w:val="00BD6701"/>
    <w:rsid w:val="00BE031D"/>
    <w:rsid w:val="00BE10F5"/>
    <w:rsid w:val="00BE16F0"/>
    <w:rsid w:val="00BE2B7E"/>
    <w:rsid w:val="00BE3B40"/>
    <w:rsid w:val="00BE3BCA"/>
    <w:rsid w:val="00BE41D9"/>
    <w:rsid w:val="00BE53A4"/>
    <w:rsid w:val="00BE60DA"/>
    <w:rsid w:val="00BE7D9C"/>
    <w:rsid w:val="00BF06EA"/>
    <w:rsid w:val="00BF109E"/>
    <w:rsid w:val="00BF1BC8"/>
    <w:rsid w:val="00BF2B3E"/>
    <w:rsid w:val="00BF4685"/>
    <w:rsid w:val="00BF4763"/>
    <w:rsid w:val="00BF64F1"/>
    <w:rsid w:val="00BF6652"/>
    <w:rsid w:val="00C001AA"/>
    <w:rsid w:val="00C00537"/>
    <w:rsid w:val="00C00748"/>
    <w:rsid w:val="00C0125C"/>
    <w:rsid w:val="00C01733"/>
    <w:rsid w:val="00C01D39"/>
    <w:rsid w:val="00C01DE1"/>
    <w:rsid w:val="00C03241"/>
    <w:rsid w:val="00C03592"/>
    <w:rsid w:val="00C03D60"/>
    <w:rsid w:val="00C04B58"/>
    <w:rsid w:val="00C05214"/>
    <w:rsid w:val="00C059D1"/>
    <w:rsid w:val="00C06A4C"/>
    <w:rsid w:val="00C06E01"/>
    <w:rsid w:val="00C07474"/>
    <w:rsid w:val="00C07BCA"/>
    <w:rsid w:val="00C100DD"/>
    <w:rsid w:val="00C10969"/>
    <w:rsid w:val="00C10EEF"/>
    <w:rsid w:val="00C11F30"/>
    <w:rsid w:val="00C12899"/>
    <w:rsid w:val="00C12992"/>
    <w:rsid w:val="00C135E3"/>
    <w:rsid w:val="00C13D41"/>
    <w:rsid w:val="00C14A20"/>
    <w:rsid w:val="00C14C6A"/>
    <w:rsid w:val="00C15493"/>
    <w:rsid w:val="00C15B46"/>
    <w:rsid w:val="00C16C8E"/>
    <w:rsid w:val="00C171A1"/>
    <w:rsid w:val="00C200C8"/>
    <w:rsid w:val="00C204D6"/>
    <w:rsid w:val="00C20655"/>
    <w:rsid w:val="00C20B37"/>
    <w:rsid w:val="00C21285"/>
    <w:rsid w:val="00C26B04"/>
    <w:rsid w:val="00C279E0"/>
    <w:rsid w:val="00C27C3A"/>
    <w:rsid w:val="00C32652"/>
    <w:rsid w:val="00C32D16"/>
    <w:rsid w:val="00C354F7"/>
    <w:rsid w:val="00C36191"/>
    <w:rsid w:val="00C361AE"/>
    <w:rsid w:val="00C36465"/>
    <w:rsid w:val="00C40334"/>
    <w:rsid w:val="00C406E5"/>
    <w:rsid w:val="00C40D92"/>
    <w:rsid w:val="00C40F9E"/>
    <w:rsid w:val="00C413D3"/>
    <w:rsid w:val="00C41CDE"/>
    <w:rsid w:val="00C420B4"/>
    <w:rsid w:val="00C42117"/>
    <w:rsid w:val="00C424B1"/>
    <w:rsid w:val="00C43566"/>
    <w:rsid w:val="00C442DB"/>
    <w:rsid w:val="00C44444"/>
    <w:rsid w:val="00C450B7"/>
    <w:rsid w:val="00C4513B"/>
    <w:rsid w:val="00C451E9"/>
    <w:rsid w:val="00C45CFD"/>
    <w:rsid w:val="00C46FF6"/>
    <w:rsid w:val="00C47DFC"/>
    <w:rsid w:val="00C47F2C"/>
    <w:rsid w:val="00C5001F"/>
    <w:rsid w:val="00C508B0"/>
    <w:rsid w:val="00C524C4"/>
    <w:rsid w:val="00C52824"/>
    <w:rsid w:val="00C532CE"/>
    <w:rsid w:val="00C53F72"/>
    <w:rsid w:val="00C5446F"/>
    <w:rsid w:val="00C54522"/>
    <w:rsid w:val="00C54D97"/>
    <w:rsid w:val="00C551EB"/>
    <w:rsid w:val="00C55200"/>
    <w:rsid w:val="00C554C6"/>
    <w:rsid w:val="00C55BB0"/>
    <w:rsid w:val="00C55E99"/>
    <w:rsid w:val="00C57A5E"/>
    <w:rsid w:val="00C57B63"/>
    <w:rsid w:val="00C57C79"/>
    <w:rsid w:val="00C60159"/>
    <w:rsid w:val="00C60183"/>
    <w:rsid w:val="00C608AF"/>
    <w:rsid w:val="00C60A72"/>
    <w:rsid w:val="00C61119"/>
    <w:rsid w:val="00C6140B"/>
    <w:rsid w:val="00C63588"/>
    <w:rsid w:val="00C64181"/>
    <w:rsid w:val="00C64330"/>
    <w:rsid w:val="00C6505F"/>
    <w:rsid w:val="00C65804"/>
    <w:rsid w:val="00C65ED1"/>
    <w:rsid w:val="00C660F5"/>
    <w:rsid w:val="00C6645B"/>
    <w:rsid w:val="00C673B6"/>
    <w:rsid w:val="00C67AE2"/>
    <w:rsid w:val="00C67C1A"/>
    <w:rsid w:val="00C70074"/>
    <w:rsid w:val="00C70457"/>
    <w:rsid w:val="00C708D3"/>
    <w:rsid w:val="00C73047"/>
    <w:rsid w:val="00C7440A"/>
    <w:rsid w:val="00C753BF"/>
    <w:rsid w:val="00C75977"/>
    <w:rsid w:val="00C75A67"/>
    <w:rsid w:val="00C75C27"/>
    <w:rsid w:val="00C76EA0"/>
    <w:rsid w:val="00C77076"/>
    <w:rsid w:val="00C817E6"/>
    <w:rsid w:val="00C81B49"/>
    <w:rsid w:val="00C81E4C"/>
    <w:rsid w:val="00C825ED"/>
    <w:rsid w:val="00C836C0"/>
    <w:rsid w:val="00C83DF0"/>
    <w:rsid w:val="00C8416C"/>
    <w:rsid w:val="00C85E80"/>
    <w:rsid w:val="00C90925"/>
    <w:rsid w:val="00C90FA4"/>
    <w:rsid w:val="00C923ED"/>
    <w:rsid w:val="00C9310D"/>
    <w:rsid w:val="00C94094"/>
    <w:rsid w:val="00C94344"/>
    <w:rsid w:val="00C95707"/>
    <w:rsid w:val="00C95D42"/>
    <w:rsid w:val="00C9652F"/>
    <w:rsid w:val="00C974D0"/>
    <w:rsid w:val="00C97769"/>
    <w:rsid w:val="00CA0103"/>
    <w:rsid w:val="00CA019C"/>
    <w:rsid w:val="00CA0630"/>
    <w:rsid w:val="00CA078B"/>
    <w:rsid w:val="00CA2552"/>
    <w:rsid w:val="00CA27C4"/>
    <w:rsid w:val="00CA2C28"/>
    <w:rsid w:val="00CA3971"/>
    <w:rsid w:val="00CA39C5"/>
    <w:rsid w:val="00CA3DE3"/>
    <w:rsid w:val="00CA44EE"/>
    <w:rsid w:val="00CA4DA1"/>
    <w:rsid w:val="00CA4F3D"/>
    <w:rsid w:val="00CA58A1"/>
    <w:rsid w:val="00CA5DD3"/>
    <w:rsid w:val="00CA64BC"/>
    <w:rsid w:val="00CA676A"/>
    <w:rsid w:val="00CA6C21"/>
    <w:rsid w:val="00CA71ED"/>
    <w:rsid w:val="00CA7F6E"/>
    <w:rsid w:val="00CB2ADD"/>
    <w:rsid w:val="00CB30F2"/>
    <w:rsid w:val="00CB33A4"/>
    <w:rsid w:val="00CB3F6E"/>
    <w:rsid w:val="00CB45E3"/>
    <w:rsid w:val="00CB5C97"/>
    <w:rsid w:val="00CB639E"/>
    <w:rsid w:val="00CB63A9"/>
    <w:rsid w:val="00CB6A3A"/>
    <w:rsid w:val="00CB7055"/>
    <w:rsid w:val="00CB7D87"/>
    <w:rsid w:val="00CC0561"/>
    <w:rsid w:val="00CC1986"/>
    <w:rsid w:val="00CC2135"/>
    <w:rsid w:val="00CC29DC"/>
    <w:rsid w:val="00CC2B37"/>
    <w:rsid w:val="00CC2C9C"/>
    <w:rsid w:val="00CC2D5C"/>
    <w:rsid w:val="00CC30DC"/>
    <w:rsid w:val="00CC39E8"/>
    <w:rsid w:val="00CC3FCA"/>
    <w:rsid w:val="00CC4905"/>
    <w:rsid w:val="00CC4C6D"/>
    <w:rsid w:val="00CC5E15"/>
    <w:rsid w:val="00CC712F"/>
    <w:rsid w:val="00CC7351"/>
    <w:rsid w:val="00CC7D68"/>
    <w:rsid w:val="00CC7FEC"/>
    <w:rsid w:val="00CD03CF"/>
    <w:rsid w:val="00CD2279"/>
    <w:rsid w:val="00CD276F"/>
    <w:rsid w:val="00CD29DB"/>
    <w:rsid w:val="00CD32C6"/>
    <w:rsid w:val="00CD33BC"/>
    <w:rsid w:val="00CD580B"/>
    <w:rsid w:val="00CD62CD"/>
    <w:rsid w:val="00CD6603"/>
    <w:rsid w:val="00CD7325"/>
    <w:rsid w:val="00CE0ADC"/>
    <w:rsid w:val="00CE1111"/>
    <w:rsid w:val="00CE129D"/>
    <w:rsid w:val="00CE164A"/>
    <w:rsid w:val="00CE1775"/>
    <w:rsid w:val="00CE1B8F"/>
    <w:rsid w:val="00CE1EE3"/>
    <w:rsid w:val="00CE221E"/>
    <w:rsid w:val="00CE2533"/>
    <w:rsid w:val="00CE2AF2"/>
    <w:rsid w:val="00CE40AA"/>
    <w:rsid w:val="00CE4621"/>
    <w:rsid w:val="00CE4F32"/>
    <w:rsid w:val="00CE4F92"/>
    <w:rsid w:val="00CE57AF"/>
    <w:rsid w:val="00CE5854"/>
    <w:rsid w:val="00CE5962"/>
    <w:rsid w:val="00CE67AC"/>
    <w:rsid w:val="00CE6DC8"/>
    <w:rsid w:val="00CE6F5A"/>
    <w:rsid w:val="00CE72B7"/>
    <w:rsid w:val="00CF0884"/>
    <w:rsid w:val="00CF0A73"/>
    <w:rsid w:val="00CF0DAA"/>
    <w:rsid w:val="00CF0E0E"/>
    <w:rsid w:val="00CF152F"/>
    <w:rsid w:val="00CF1853"/>
    <w:rsid w:val="00CF1CF2"/>
    <w:rsid w:val="00CF2104"/>
    <w:rsid w:val="00CF26AE"/>
    <w:rsid w:val="00CF3FA1"/>
    <w:rsid w:val="00CF4022"/>
    <w:rsid w:val="00CF4B95"/>
    <w:rsid w:val="00CF539E"/>
    <w:rsid w:val="00CF57F0"/>
    <w:rsid w:val="00CF67A4"/>
    <w:rsid w:val="00CF7AA4"/>
    <w:rsid w:val="00D0038A"/>
    <w:rsid w:val="00D01A35"/>
    <w:rsid w:val="00D01C1B"/>
    <w:rsid w:val="00D01D24"/>
    <w:rsid w:val="00D0235D"/>
    <w:rsid w:val="00D03141"/>
    <w:rsid w:val="00D03392"/>
    <w:rsid w:val="00D03AE8"/>
    <w:rsid w:val="00D03CAA"/>
    <w:rsid w:val="00D03DDF"/>
    <w:rsid w:val="00D043A7"/>
    <w:rsid w:val="00D0508E"/>
    <w:rsid w:val="00D05476"/>
    <w:rsid w:val="00D05AB2"/>
    <w:rsid w:val="00D0633E"/>
    <w:rsid w:val="00D06678"/>
    <w:rsid w:val="00D06ABB"/>
    <w:rsid w:val="00D06D75"/>
    <w:rsid w:val="00D071C1"/>
    <w:rsid w:val="00D0775D"/>
    <w:rsid w:val="00D078B8"/>
    <w:rsid w:val="00D104FA"/>
    <w:rsid w:val="00D10D80"/>
    <w:rsid w:val="00D10FA2"/>
    <w:rsid w:val="00D1267F"/>
    <w:rsid w:val="00D139ED"/>
    <w:rsid w:val="00D13E66"/>
    <w:rsid w:val="00D14332"/>
    <w:rsid w:val="00D14816"/>
    <w:rsid w:val="00D14934"/>
    <w:rsid w:val="00D1506E"/>
    <w:rsid w:val="00D15234"/>
    <w:rsid w:val="00D16F6C"/>
    <w:rsid w:val="00D2122B"/>
    <w:rsid w:val="00D22222"/>
    <w:rsid w:val="00D23902"/>
    <w:rsid w:val="00D23913"/>
    <w:rsid w:val="00D24E93"/>
    <w:rsid w:val="00D24ED8"/>
    <w:rsid w:val="00D24F74"/>
    <w:rsid w:val="00D251F1"/>
    <w:rsid w:val="00D27334"/>
    <w:rsid w:val="00D275D6"/>
    <w:rsid w:val="00D2781F"/>
    <w:rsid w:val="00D30333"/>
    <w:rsid w:val="00D30E8B"/>
    <w:rsid w:val="00D311E5"/>
    <w:rsid w:val="00D32C12"/>
    <w:rsid w:val="00D32C64"/>
    <w:rsid w:val="00D33864"/>
    <w:rsid w:val="00D34930"/>
    <w:rsid w:val="00D3637D"/>
    <w:rsid w:val="00D3727E"/>
    <w:rsid w:val="00D3781C"/>
    <w:rsid w:val="00D400A8"/>
    <w:rsid w:val="00D4126C"/>
    <w:rsid w:val="00D419E7"/>
    <w:rsid w:val="00D42331"/>
    <w:rsid w:val="00D423B1"/>
    <w:rsid w:val="00D434DD"/>
    <w:rsid w:val="00D43AB0"/>
    <w:rsid w:val="00D43C90"/>
    <w:rsid w:val="00D44298"/>
    <w:rsid w:val="00D44B54"/>
    <w:rsid w:val="00D458CB"/>
    <w:rsid w:val="00D467C6"/>
    <w:rsid w:val="00D47266"/>
    <w:rsid w:val="00D47405"/>
    <w:rsid w:val="00D513E7"/>
    <w:rsid w:val="00D514F2"/>
    <w:rsid w:val="00D515FF"/>
    <w:rsid w:val="00D52C6E"/>
    <w:rsid w:val="00D535D7"/>
    <w:rsid w:val="00D54A3A"/>
    <w:rsid w:val="00D54CD3"/>
    <w:rsid w:val="00D5505B"/>
    <w:rsid w:val="00D5527B"/>
    <w:rsid w:val="00D55681"/>
    <w:rsid w:val="00D55B17"/>
    <w:rsid w:val="00D577CB"/>
    <w:rsid w:val="00D57C66"/>
    <w:rsid w:val="00D6048B"/>
    <w:rsid w:val="00D61058"/>
    <w:rsid w:val="00D614C7"/>
    <w:rsid w:val="00D62056"/>
    <w:rsid w:val="00D62541"/>
    <w:rsid w:val="00D6367A"/>
    <w:rsid w:val="00D637C7"/>
    <w:rsid w:val="00D638A8"/>
    <w:rsid w:val="00D65336"/>
    <w:rsid w:val="00D6599F"/>
    <w:rsid w:val="00D65AA5"/>
    <w:rsid w:val="00D65CDB"/>
    <w:rsid w:val="00D660C6"/>
    <w:rsid w:val="00D672D4"/>
    <w:rsid w:val="00D67902"/>
    <w:rsid w:val="00D70B2C"/>
    <w:rsid w:val="00D70D26"/>
    <w:rsid w:val="00D70EE6"/>
    <w:rsid w:val="00D72122"/>
    <w:rsid w:val="00D725BD"/>
    <w:rsid w:val="00D72716"/>
    <w:rsid w:val="00D7347E"/>
    <w:rsid w:val="00D73919"/>
    <w:rsid w:val="00D739D8"/>
    <w:rsid w:val="00D74549"/>
    <w:rsid w:val="00D749C9"/>
    <w:rsid w:val="00D7523F"/>
    <w:rsid w:val="00D77223"/>
    <w:rsid w:val="00D77EB3"/>
    <w:rsid w:val="00D80418"/>
    <w:rsid w:val="00D80872"/>
    <w:rsid w:val="00D80DE6"/>
    <w:rsid w:val="00D82548"/>
    <w:rsid w:val="00D82797"/>
    <w:rsid w:val="00D83483"/>
    <w:rsid w:val="00D8384C"/>
    <w:rsid w:val="00D838AD"/>
    <w:rsid w:val="00D84877"/>
    <w:rsid w:val="00D84B33"/>
    <w:rsid w:val="00D85355"/>
    <w:rsid w:val="00D866F1"/>
    <w:rsid w:val="00D86853"/>
    <w:rsid w:val="00D87533"/>
    <w:rsid w:val="00D87A7A"/>
    <w:rsid w:val="00D90722"/>
    <w:rsid w:val="00D913A8"/>
    <w:rsid w:val="00D922D7"/>
    <w:rsid w:val="00D923CC"/>
    <w:rsid w:val="00D92D91"/>
    <w:rsid w:val="00D930B4"/>
    <w:rsid w:val="00D93751"/>
    <w:rsid w:val="00D93794"/>
    <w:rsid w:val="00D946D2"/>
    <w:rsid w:val="00D948E3"/>
    <w:rsid w:val="00D94B06"/>
    <w:rsid w:val="00D9570C"/>
    <w:rsid w:val="00D964D0"/>
    <w:rsid w:val="00D9672C"/>
    <w:rsid w:val="00D9688E"/>
    <w:rsid w:val="00DA29E7"/>
    <w:rsid w:val="00DA31C2"/>
    <w:rsid w:val="00DA3998"/>
    <w:rsid w:val="00DA4757"/>
    <w:rsid w:val="00DA5425"/>
    <w:rsid w:val="00DA6163"/>
    <w:rsid w:val="00DA6A76"/>
    <w:rsid w:val="00DA6DCE"/>
    <w:rsid w:val="00DA76CC"/>
    <w:rsid w:val="00DA7E32"/>
    <w:rsid w:val="00DB02A8"/>
    <w:rsid w:val="00DB13BD"/>
    <w:rsid w:val="00DB2486"/>
    <w:rsid w:val="00DB2B36"/>
    <w:rsid w:val="00DB3D74"/>
    <w:rsid w:val="00DB44F4"/>
    <w:rsid w:val="00DB52A4"/>
    <w:rsid w:val="00DB5738"/>
    <w:rsid w:val="00DB591C"/>
    <w:rsid w:val="00DB59E8"/>
    <w:rsid w:val="00DB713A"/>
    <w:rsid w:val="00DC052C"/>
    <w:rsid w:val="00DC0BF9"/>
    <w:rsid w:val="00DC163D"/>
    <w:rsid w:val="00DC2BA3"/>
    <w:rsid w:val="00DC3073"/>
    <w:rsid w:val="00DC4336"/>
    <w:rsid w:val="00DC5101"/>
    <w:rsid w:val="00DC549C"/>
    <w:rsid w:val="00DC5701"/>
    <w:rsid w:val="00DC5A84"/>
    <w:rsid w:val="00DC6143"/>
    <w:rsid w:val="00DC6994"/>
    <w:rsid w:val="00DC719E"/>
    <w:rsid w:val="00DC7B7D"/>
    <w:rsid w:val="00DD01D2"/>
    <w:rsid w:val="00DD0E83"/>
    <w:rsid w:val="00DD1C4A"/>
    <w:rsid w:val="00DD36A9"/>
    <w:rsid w:val="00DD3953"/>
    <w:rsid w:val="00DD447C"/>
    <w:rsid w:val="00DD45A6"/>
    <w:rsid w:val="00DD5BEC"/>
    <w:rsid w:val="00DD5DE4"/>
    <w:rsid w:val="00DD69A5"/>
    <w:rsid w:val="00DD6CA8"/>
    <w:rsid w:val="00DD7543"/>
    <w:rsid w:val="00DE0680"/>
    <w:rsid w:val="00DE082A"/>
    <w:rsid w:val="00DE1459"/>
    <w:rsid w:val="00DE1FD3"/>
    <w:rsid w:val="00DE2674"/>
    <w:rsid w:val="00DE4CEA"/>
    <w:rsid w:val="00DE5480"/>
    <w:rsid w:val="00DE5A86"/>
    <w:rsid w:val="00DE5C11"/>
    <w:rsid w:val="00DE63DA"/>
    <w:rsid w:val="00DE6600"/>
    <w:rsid w:val="00DE6E45"/>
    <w:rsid w:val="00DE6FA9"/>
    <w:rsid w:val="00DE7029"/>
    <w:rsid w:val="00DE7327"/>
    <w:rsid w:val="00DE7BDC"/>
    <w:rsid w:val="00DF0408"/>
    <w:rsid w:val="00DF041D"/>
    <w:rsid w:val="00DF1B7B"/>
    <w:rsid w:val="00DF2D3C"/>
    <w:rsid w:val="00DF31AF"/>
    <w:rsid w:val="00DF452C"/>
    <w:rsid w:val="00DF49BF"/>
    <w:rsid w:val="00DF4C16"/>
    <w:rsid w:val="00DF5AB8"/>
    <w:rsid w:val="00DF6BBE"/>
    <w:rsid w:val="00DF6E2A"/>
    <w:rsid w:val="00DF6F2B"/>
    <w:rsid w:val="00DF6F3D"/>
    <w:rsid w:val="00DF7237"/>
    <w:rsid w:val="00DF7320"/>
    <w:rsid w:val="00DF784A"/>
    <w:rsid w:val="00DF785D"/>
    <w:rsid w:val="00E00146"/>
    <w:rsid w:val="00E00EC5"/>
    <w:rsid w:val="00E01B1F"/>
    <w:rsid w:val="00E0241B"/>
    <w:rsid w:val="00E02A59"/>
    <w:rsid w:val="00E02BD4"/>
    <w:rsid w:val="00E02CB6"/>
    <w:rsid w:val="00E02F8E"/>
    <w:rsid w:val="00E0386B"/>
    <w:rsid w:val="00E043EE"/>
    <w:rsid w:val="00E053B3"/>
    <w:rsid w:val="00E0561C"/>
    <w:rsid w:val="00E05796"/>
    <w:rsid w:val="00E05D27"/>
    <w:rsid w:val="00E05DC8"/>
    <w:rsid w:val="00E06149"/>
    <w:rsid w:val="00E06696"/>
    <w:rsid w:val="00E068EC"/>
    <w:rsid w:val="00E0694B"/>
    <w:rsid w:val="00E0753F"/>
    <w:rsid w:val="00E07B14"/>
    <w:rsid w:val="00E07E0A"/>
    <w:rsid w:val="00E1131B"/>
    <w:rsid w:val="00E12AB3"/>
    <w:rsid w:val="00E136F3"/>
    <w:rsid w:val="00E13CC7"/>
    <w:rsid w:val="00E140B7"/>
    <w:rsid w:val="00E14D84"/>
    <w:rsid w:val="00E155E2"/>
    <w:rsid w:val="00E15B01"/>
    <w:rsid w:val="00E16405"/>
    <w:rsid w:val="00E16523"/>
    <w:rsid w:val="00E16CD5"/>
    <w:rsid w:val="00E16EEA"/>
    <w:rsid w:val="00E172DF"/>
    <w:rsid w:val="00E1790E"/>
    <w:rsid w:val="00E20504"/>
    <w:rsid w:val="00E20674"/>
    <w:rsid w:val="00E21937"/>
    <w:rsid w:val="00E21F03"/>
    <w:rsid w:val="00E22022"/>
    <w:rsid w:val="00E230A6"/>
    <w:rsid w:val="00E23693"/>
    <w:rsid w:val="00E23C12"/>
    <w:rsid w:val="00E240B9"/>
    <w:rsid w:val="00E24BA2"/>
    <w:rsid w:val="00E24FA2"/>
    <w:rsid w:val="00E2531E"/>
    <w:rsid w:val="00E26207"/>
    <w:rsid w:val="00E26294"/>
    <w:rsid w:val="00E262F7"/>
    <w:rsid w:val="00E26FAA"/>
    <w:rsid w:val="00E27235"/>
    <w:rsid w:val="00E274B0"/>
    <w:rsid w:val="00E31689"/>
    <w:rsid w:val="00E33D34"/>
    <w:rsid w:val="00E33D66"/>
    <w:rsid w:val="00E33F88"/>
    <w:rsid w:val="00E348FE"/>
    <w:rsid w:val="00E358D1"/>
    <w:rsid w:val="00E3596A"/>
    <w:rsid w:val="00E3600C"/>
    <w:rsid w:val="00E36826"/>
    <w:rsid w:val="00E36C6C"/>
    <w:rsid w:val="00E37FD2"/>
    <w:rsid w:val="00E41360"/>
    <w:rsid w:val="00E418DE"/>
    <w:rsid w:val="00E42305"/>
    <w:rsid w:val="00E42429"/>
    <w:rsid w:val="00E42489"/>
    <w:rsid w:val="00E42EC0"/>
    <w:rsid w:val="00E46C5D"/>
    <w:rsid w:val="00E4784B"/>
    <w:rsid w:val="00E47D7B"/>
    <w:rsid w:val="00E50162"/>
    <w:rsid w:val="00E507E6"/>
    <w:rsid w:val="00E5211B"/>
    <w:rsid w:val="00E524FF"/>
    <w:rsid w:val="00E52614"/>
    <w:rsid w:val="00E53F53"/>
    <w:rsid w:val="00E53F77"/>
    <w:rsid w:val="00E5445F"/>
    <w:rsid w:val="00E54F86"/>
    <w:rsid w:val="00E550A1"/>
    <w:rsid w:val="00E55256"/>
    <w:rsid w:val="00E553B9"/>
    <w:rsid w:val="00E5540A"/>
    <w:rsid w:val="00E558E0"/>
    <w:rsid w:val="00E5640C"/>
    <w:rsid w:val="00E569AF"/>
    <w:rsid w:val="00E57E8F"/>
    <w:rsid w:val="00E615FD"/>
    <w:rsid w:val="00E61A85"/>
    <w:rsid w:val="00E61C78"/>
    <w:rsid w:val="00E63022"/>
    <w:rsid w:val="00E634A7"/>
    <w:rsid w:val="00E641F5"/>
    <w:rsid w:val="00E66ACA"/>
    <w:rsid w:val="00E6724E"/>
    <w:rsid w:val="00E70CC7"/>
    <w:rsid w:val="00E70EA8"/>
    <w:rsid w:val="00E738BA"/>
    <w:rsid w:val="00E74426"/>
    <w:rsid w:val="00E74BF3"/>
    <w:rsid w:val="00E74CDE"/>
    <w:rsid w:val="00E75D5E"/>
    <w:rsid w:val="00E76B15"/>
    <w:rsid w:val="00E770CE"/>
    <w:rsid w:val="00E800F8"/>
    <w:rsid w:val="00E804D5"/>
    <w:rsid w:val="00E81710"/>
    <w:rsid w:val="00E817AF"/>
    <w:rsid w:val="00E82156"/>
    <w:rsid w:val="00E83227"/>
    <w:rsid w:val="00E835B7"/>
    <w:rsid w:val="00E8496C"/>
    <w:rsid w:val="00E860FE"/>
    <w:rsid w:val="00E864C6"/>
    <w:rsid w:val="00E87046"/>
    <w:rsid w:val="00E9000D"/>
    <w:rsid w:val="00E902B1"/>
    <w:rsid w:val="00E92788"/>
    <w:rsid w:val="00E929EC"/>
    <w:rsid w:val="00E939A5"/>
    <w:rsid w:val="00E939FA"/>
    <w:rsid w:val="00E9409C"/>
    <w:rsid w:val="00E95593"/>
    <w:rsid w:val="00E95742"/>
    <w:rsid w:val="00E95924"/>
    <w:rsid w:val="00E959A5"/>
    <w:rsid w:val="00E968E1"/>
    <w:rsid w:val="00E9779F"/>
    <w:rsid w:val="00E977B8"/>
    <w:rsid w:val="00EA1C36"/>
    <w:rsid w:val="00EA1FF6"/>
    <w:rsid w:val="00EA357B"/>
    <w:rsid w:val="00EA46E3"/>
    <w:rsid w:val="00EA72D8"/>
    <w:rsid w:val="00EA761D"/>
    <w:rsid w:val="00EA7702"/>
    <w:rsid w:val="00EA7E1E"/>
    <w:rsid w:val="00EA7F0D"/>
    <w:rsid w:val="00EB05DA"/>
    <w:rsid w:val="00EB07ED"/>
    <w:rsid w:val="00EB1255"/>
    <w:rsid w:val="00EB15BE"/>
    <w:rsid w:val="00EB229C"/>
    <w:rsid w:val="00EB230A"/>
    <w:rsid w:val="00EB33E6"/>
    <w:rsid w:val="00EB3E43"/>
    <w:rsid w:val="00EB426B"/>
    <w:rsid w:val="00EB5083"/>
    <w:rsid w:val="00EB5346"/>
    <w:rsid w:val="00EB617F"/>
    <w:rsid w:val="00EB6AA8"/>
    <w:rsid w:val="00EB6EA7"/>
    <w:rsid w:val="00EB6EFA"/>
    <w:rsid w:val="00EB7816"/>
    <w:rsid w:val="00EC060C"/>
    <w:rsid w:val="00EC097A"/>
    <w:rsid w:val="00EC2A71"/>
    <w:rsid w:val="00EC3E61"/>
    <w:rsid w:val="00EC505A"/>
    <w:rsid w:val="00EC52A8"/>
    <w:rsid w:val="00EC56C5"/>
    <w:rsid w:val="00EC5896"/>
    <w:rsid w:val="00EC58F2"/>
    <w:rsid w:val="00EC5DE1"/>
    <w:rsid w:val="00EC6295"/>
    <w:rsid w:val="00EC64BA"/>
    <w:rsid w:val="00EC729D"/>
    <w:rsid w:val="00EC7FF3"/>
    <w:rsid w:val="00ED1E08"/>
    <w:rsid w:val="00ED1F81"/>
    <w:rsid w:val="00ED1FCC"/>
    <w:rsid w:val="00ED2903"/>
    <w:rsid w:val="00ED317A"/>
    <w:rsid w:val="00ED344E"/>
    <w:rsid w:val="00ED357E"/>
    <w:rsid w:val="00ED35ED"/>
    <w:rsid w:val="00ED3C6A"/>
    <w:rsid w:val="00ED44F0"/>
    <w:rsid w:val="00ED4600"/>
    <w:rsid w:val="00ED47AD"/>
    <w:rsid w:val="00ED564E"/>
    <w:rsid w:val="00ED5C2A"/>
    <w:rsid w:val="00ED5F34"/>
    <w:rsid w:val="00ED708E"/>
    <w:rsid w:val="00ED70F3"/>
    <w:rsid w:val="00EE0061"/>
    <w:rsid w:val="00EE050F"/>
    <w:rsid w:val="00EE064B"/>
    <w:rsid w:val="00EE099F"/>
    <w:rsid w:val="00EE2491"/>
    <w:rsid w:val="00EE2956"/>
    <w:rsid w:val="00EE37C2"/>
    <w:rsid w:val="00EE5B29"/>
    <w:rsid w:val="00EE768B"/>
    <w:rsid w:val="00EE7CEE"/>
    <w:rsid w:val="00EE7D3E"/>
    <w:rsid w:val="00EF0458"/>
    <w:rsid w:val="00EF0C78"/>
    <w:rsid w:val="00EF1EBA"/>
    <w:rsid w:val="00EF2825"/>
    <w:rsid w:val="00EF2E01"/>
    <w:rsid w:val="00EF30AC"/>
    <w:rsid w:val="00EF4F93"/>
    <w:rsid w:val="00EF53FB"/>
    <w:rsid w:val="00EF68A8"/>
    <w:rsid w:val="00EF6DD7"/>
    <w:rsid w:val="00EF7094"/>
    <w:rsid w:val="00EF78C3"/>
    <w:rsid w:val="00EF7DA0"/>
    <w:rsid w:val="00F0069C"/>
    <w:rsid w:val="00F00D86"/>
    <w:rsid w:val="00F013F5"/>
    <w:rsid w:val="00F014A0"/>
    <w:rsid w:val="00F01957"/>
    <w:rsid w:val="00F029E8"/>
    <w:rsid w:val="00F02E3E"/>
    <w:rsid w:val="00F05933"/>
    <w:rsid w:val="00F059F2"/>
    <w:rsid w:val="00F05A4B"/>
    <w:rsid w:val="00F05FE1"/>
    <w:rsid w:val="00F07A03"/>
    <w:rsid w:val="00F07EC7"/>
    <w:rsid w:val="00F11603"/>
    <w:rsid w:val="00F11E87"/>
    <w:rsid w:val="00F12288"/>
    <w:rsid w:val="00F124B6"/>
    <w:rsid w:val="00F1285B"/>
    <w:rsid w:val="00F12A87"/>
    <w:rsid w:val="00F130F6"/>
    <w:rsid w:val="00F13281"/>
    <w:rsid w:val="00F13470"/>
    <w:rsid w:val="00F1363C"/>
    <w:rsid w:val="00F13E1D"/>
    <w:rsid w:val="00F144B9"/>
    <w:rsid w:val="00F14EF2"/>
    <w:rsid w:val="00F15500"/>
    <w:rsid w:val="00F15801"/>
    <w:rsid w:val="00F15925"/>
    <w:rsid w:val="00F15B75"/>
    <w:rsid w:val="00F15C6A"/>
    <w:rsid w:val="00F15C82"/>
    <w:rsid w:val="00F16EC5"/>
    <w:rsid w:val="00F17BFD"/>
    <w:rsid w:val="00F20B4C"/>
    <w:rsid w:val="00F20B61"/>
    <w:rsid w:val="00F21732"/>
    <w:rsid w:val="00F217E7"/>
    <w:rsid w:val="00F219B3"/>
    <w:rsid w:val="00F220D1"/>
    <w:rsid w:val="00F22ABF"/>
    <w:rsid w:val="00F2324D"/>
    <w:rsid w:val="00F233BB"/>
    <w:rsid w:val="00F2355B"/>
    <w:rsid w:val="00F23738"/>
    <w:rsid w:val="00F2448B"/>
    <w:rsid w:val="00F2452E"/>
    <w:rsid w:val="00F24AF9"/>
    <w:rsid w:val="00F26117"/>
    <w:rsid w:val="00F26169"/>
    <w:rsid w:val="00F265C7"/>
    <w:rsid w:val="00F26634"/>
    <w:rsid w:val="00F27A70"/>
    <w:rsid w:val="00F3047A"/>
    <w:rsid w:val="00F3047E"/>
    <w:rsid w:val="00F30D4F"/>
    <w:rsid w:val="00F3149C"/>
    <w:rsid w:val="00F33512"/>
    <w:rsid w:val="00F339DE"/>
    <w:rsid w:val="00F33B2C"/>
    <w:rsid w:val="00F33CAA"/>
    <w:rsid w:val="00F3491C"/>
    <w:rsid w:val="00F35245"/>
    <w:rsid w:val="00F355D0"/>
    <w:rsid w:val="00F35C79"/>
    <w:rsid w:val="00F363E0"/>
    <w:rsid w:val="00F3699E"/>
    <w:rsid w:val="00F370DE"/>
    <w:rsid w:val="00F3738D"/>
    <w:rsid w:val="00F37776"/>
    <w:rsid w:val="00F37B16"/>
    <w:rsid w:val="00F40095"/>
    <w:rsid w:val="00F408B4"/>
    <w:rsid w:val="00F40AD2"/>
    <w:rsid w:val="00F40E49"/>
    <w:rsid w:val="00F41BC2"/>
    <w:rsid w:val="00F41D03"/>
    <w:rsid w:val="00F41D28"/>
    <w:rsid w:val="00F42320"/>
    <w:rsid w:val="00F425E6"/>
    <w:rsid w:val="00F429AC"/>
    <w:rsid w:val="00F44AD6"/>
    <w:rsid w:val="00F44E42"/>
    <w:rsid w:val="00F46A68"/>
    <w:rsid w:val="00F46F24"/>
    <w:rsid w:val="00F47426"/>
    <w:rsid w:val="00F47434"/>
    <w:rsid w:val="00F47880"/>
    <w:rsid w:val="00F50201"/>
    <w:rsid w:val="00F5028E"/>
    <w:rsid w:val="00F506E9"/>
    <w:rsid w:val="00F50B49"/>
    <w:rsid w:val="00F50B9B"/>
    <w:rsid w:val="00F511F1"/>
    <w:rsid w:val="00F51638"/>
    <w:rsid w:val="00F52167"/>
    <w:rsid w:val="00F52505"/>
    <w:rsid w:val="00F52D22"/>
    <w:rsid w:val="00F53160"/>
    <w:rsid w:val="00F5360C"/>
    <w:rsid w:val="00F53F6A"/>
    <w:rsid w:val="00F5425C"/>
    <w:rsid w:val="00F55F22"/>
    <w:rsid w:val="00F56DFD"/>
    <w:rsid w:val="00F57014"/>
    <w:rsid w:val="00F570FA"/>
    <w:rsid w:val="00F579DA"/>
    <w:rsid w:val="00F60063"/>
    <w:rsid w:val="00F60289"/>
    <w:rsid w:val="00F614B5"/>
    <w:rsid w:val="00F61527"/>
    <w:rsid w:val="00F61E21"/>
    <w:rsid w:val="00F625CB"/>
    <w:rsid w:val="00F627E7"/>
    <w:rsid w:val="00F62C17"/>
    <w:rsid w:val="00F654B7"/>
    <w:rsid w:val="00F65BEE"/>
    <w:rsid w:val="00F65E88"/>
    <w:rsid w:val="00F66435"/>
    <w:rsid w:val="00F67652"/>
    <w:rsid w:val="00F67BB9"/>
    <w:rsid w:val="00F67EBD"/>
    <w:rsid w:val="00F67FB0"/>
    <w:rsid w:val="00F70178"/>
    <w:rsid w:val="00F704D4"/>
    <w:rsid w:val="00F71E33"/>
    <w:rsid w:val="00F72002"/>
    <w:rsid w:val="00F73591"/>
    <w:rsid w:val="00F75D48"/>
    <w:rsid w:val="00F75F26"/>
    <w:rsid w:val="00F76DD3"/>
    <w:rsid w:val="00F77968"/>
    <w:rsid w:val="00F77E11"/>
    <w:rsid w:val="00F808D2"/>
    <w:rsid w:val="00F81647"/>
    <w:rsid w:val="00F81B38"/>
    <w:rsid w:val="00F81B7F"/>
    <w:rsid w:val="00F82916"/>
    <w:rsid w:val="00F82CBA"/>
    <w:rsid w:val="00F82F24"/>
    <w:rsid w:val="00F83A37"/>
    <w:rsid w:val="00F84705"/>
    <w:rsid w:val="00F84A33"/>
    <w:rsid w:val="00F858A0"/>
    <w:rsid w:val="00F86AE0"/>
    <w:rsid w:val="00F876F2"/>
    <w:rsid w:val="00F87AAE"/>
    <w:rsid w:val="00F87D33"/>
    <w:rsid w:val="00F9003B"/>
    <w:rsid w:val="00F9018A"/>
    <w:rsid w:val="00F905D7"/>
    <w:rsid w:val="00F9085D"/>
    <w:rsid w:val="00F914EA"/>
    <w:rsid w:val="00F91DC0"/>
    <w:rsid w:val="00F93706"/>
    <w:rsid w:val="00F9386A"/>
    <w:rsid w:val="00F94630"/>
    <w:rsid w:val="00F94C9F"/>
    <w:rsid w:val="00F95192"/>
    <w:rsid w:val="00F95792"/>
    <w:rsid w:val="00F96826"/>
    <w:rsid w:val="00F96CD0"/>
    <w:rsid w:val="00F96F83"/>
    <w:rsid w:val="00F97D77"/>
    <w:rsid w:val="00F97FAA"/>
    <w:rsid w:val="00FA0C67"/>
    <w:rsid w:val="00FA167D"/>
    <w:rsid w:val="00FA1725"/>
    <w:rsid w:val="00FA211F"/>
    <w:rsid w:val="00FA2743"/>
    <w:rsid w:val="00FA2913"/>
    <w:rsid w:val="00FA326E"/>
    <w:rsid w:val="00FA3A1B"/>
    <w:rsid w:val="00FA4944"/>
    <w:rsid w:val="00FA5A3B"/>
    <w:rsid w:val="00FA6DC0"/>
    <w:rsid w:val="00FA72F2"/>
    <w:rsid w:val="00FB03AA"/>
    <w:rsid w:val="00FB0925"/>
    <w:rsid w:val="00FB1112"/>
    <w:rsid w:val="00FB15B7"/>
    <w:rsid w:val="00FB1AD2"/>
    <w:rsid w:val="00FB3110"/>
    <w:rsid w:val="00FB372F"/>
    <w:rsid w:val="00FB3C6A"/>
    <w:rsid w:val="00FB4099"/>
    <w:rsid w:val="00FB41BA"/>
    <w:rsid w:val="00FB4354"/>
    <w:rsid w:val="00FB68DF"/>
    <w:rsid w:val="00FB723C"/>
    <w:rsid w:val="00FB73C8"/>
    <w:rsid w:val="00FC0BE7"/>
    <w:rsid w:val="00FC1A95"/>
    <w:rsid w:val="00FC1BEC"/>
    <w:rsid w:val="00FC2DBC"/>
    <w:rsid w:val="00FC35DD"/>
    <w:rsid w:val="00FC4169"/>
    <w:rsid w:val="00FC47F9"/>
    <w:rsid w:val="00FC49CC"/>
    <w:rsid w:val="00FC6254"/>
    <w:rsid w:val="00FD06EC"/>
    <w:rsid w:val="00FD0EDF"/>
    <w:rsid w:val="00FD25DC"/>
    <w:rsid w:val="00FD2747"/>
    <w:rsid w:val="00FD3AF9"/>
    <w:rsid w:val="00FD4512"/>
    <w:rsid w:val="00FD4890"/>
    <w:rsid w:val="00FD520B"/>
    <w:rsid w:val="00FD6565"/>
    <w:rsid w:val="00FD6777"/>
    <w:rsid w:val="00FD69C0"/>
    <w:rsid w:val="00FD6C6A"/>
    <w:rsid w:val="00FD6E6B"/>
    <w:rsid w:val="00FD6F5A"/>
    <w:rsid w:val="00FD6F93"/>
    <w:rsid w:val="00FE00E6"/>
    <w:rsid w:val="00FE03C2"/>
    <w:rsid w:val="00FE095C"/>
    <w:rsid w:val="00FE0FA7"/>
    <w:rsid w:val="00FE1214"/>
    <w:rsid w:val="00FE1A87"/>
    <w:rsid w:val="00FE287B"/>
    <w:rsid w:val="00FE2F81"/>
    <w:rsid w:val="00FE3406"/>
    <w:rsid w:val="00FE3843"/>
    <w:rsid w:val="00FE414C"/>
    <w:rsid w:val="00FE55B8"/>
    <w:rsid w:val="00FE66C8"/>
    <w:rsid w:val="00FF06F0"/>
    <w:rsid w:val="00FF119D"/>
    <w:rsid w:val="00FF12B7"/>
    <w:rsid w:val="00FF1C61"/>
    <w:rsid w:val="00FF2685"/>
    <w:rsid w:val="00FF3B2D"/>
    <w:rsid w:val="00FF4882"/>
    <w:rsid w:val="00FF54B8"/>
    <w:rsid w:val="00FF59EC"/>
    <w:rsid w:val="00FF5BDB"/>
    <w:rsid w:val="00FF6B55"/>
    <w:rsid w:val="00FF7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70FA8"/>
  <w15:docId w15:val="{4DAA459C-5B99-41B4-92A8-2CDBC310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75C"/>
    <w:pPr>
      <w:spacing w:after="200" w:line="276" w:lineRule="auto"/>
    </w:pPr>
    <w:rPr>
      <w:lang w:val="sv-SE" w:eastAsia="en-US"/>
    </w:rPr>
  </w:style>
  <w:style w:type="paragraph" w:styleId="Heading1">
    <w:name w:val="heading 1"/>
    <w:basedOn w:val="Normal"/>
    <w:next w:val="Normal"/>
    <w:link w:val="Heading1Char"/>
    <w:uiPriority w:val="99"/>
    <w:qFormat/>
    <w:locked/>
    <w:rsid w:val="00F82916"/>
    <w:pPr>
      <w:keepNext/>
      <w:spacing w:after="0" w:line="240" w:lineRule="auto"/>
      <w:outlineLvl w:val="0"/>
    </w:pPr>
    <w:rPr>
      <w:rFonts w:ascii="Times New Roman" w:hAnsi="Times New Roman"/>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F6B"/>
    <w:rPr>
      <w:rFonts w:ascii="Cambria" w:hAnsi="Cambria" w:cs="Times New Roman"/>
      <w:b/>
      <w:bCs/>
      <w:kern w:val="32"/>
      <w:sz w:val="32"/>
      <w:szCs w:val="32"/>
      <w:lang w:val="sv-SE" w:eastAsia="en-US"/>
    </w:rPr>
  </w:style>
  <w:style w:type="paragraph" w:styleId="PlainText">
    <w:name w:val="Plain Text"/>
    <w:basedOn w:val="Normal"/>
    <w:link w:val="PlainTextChar"/>
    <w:uiPriority w:val="99"/>
    <w:rsid w:val="00B718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B7189D"/>
    <w:rPr>
      <w:rFonts w:ascii="Consolas" w:hAnsi="Consolas" w:cs="Times New Roman"/>
      <w:sz w:val="21"/>
      <w:szCs w:val="21"/>
    </w:rPr>
  </w:style>
  <w:style w:type="table" w:styleId="TableGrid">
    <w:name w:val="Table Grid"/>
    <w:basedOn w:val="TableNormal"/>
    <w:uiPriority w:val="39"/>
    <w:rsid w:val="00E02A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C78B3"/>
    <w:pPr>
      <w:spacing w:after="120" w:line="240" w:lineRule="auto"/>
    </w:pPr>
    <w:rPr>
      <w:rFonts w:ascii="Times New Roman" w:eastAsia="MS Mincho" w:hAnsi="Times New Roman"/>
      <w:sz w:val="24"/>
      <w:szCs w:val="24"/>
      <w:lang w:val="en-GB" w:eastAsia="ja-JP"/>
    </w:rPr>
  </w:style>
  <w:style w:type="character" w:customStyle="1" w:styleId="BodyTextChar">
    <w:name w:val="Body Text Char"/>
    <w:basedOn w:val="DefaultParagraphFont"/>
    <w:link w:val="BodyText"/>
    <w:uiPriority w:val="99"/>
    <w:locked/>
    <w:rsid w:val="005C78B3"/>
    <w:rPr>
      <w:rFonts w:ascii="Times New Roman" w:eastAsia="MS Mincho" w:hAnsi="Times New Roman" w:cs="Times New Roman"/>
      <w:sz w:val="24"/>
      <w:szCs w:val="24"/>
      <w:lang w:val="en-GB" w:eastAsia="ja-JP"/>
    </w:rPr>
  </w:style>
  <w:style w:type="paragraph" w:styleId="BalloonText">
    <w:name w:val="Balloon Text"/>
    <w:basedOn w:val="Normal"/>
    <w:link w:val="BalloonTextChar"/>
    <w:uiPriority w:val="99"/>
    <w:semiHidden/>
    <w:rsid w:val="005C7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78B3"/>
    <w:rPr>
      <w:rFonts w:ascii="Tahoma" w:hAnsi="Tahoma" w:cs="Tahoma"/>
      <w:sz w:val="16"/>
      <w:szCs w:val="16"/>
    </w:rPr>
  </w:style>
  <w:style w:type="paragraph" w:styleId="Header">
    <w:name w:val="header"/>
    <w:basedOn w:val="Normal"/>
    <w:link w:val="HeaderChar"/>
    <w:uiPriority w:val="99"/>
    <w:rsid w:val="005C78B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C78B3"/>
    <w:rPr>
      <w:rFonts w:cs="Times New Roman"/>
    </w:rPr>
  </w:style>
  <w:style w:type="paragraph" w:styleId="Footer">
    <w:name w:val="footer"/>
    <w:basedOn w:val="Normal"/>
    <w:link w:val="FooterChar"/>
    <w:uiPriority w:val="99"/>
    <w:rsid w:val="005C78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C78B3"/>
    <w:rPr>
      <w:rFonts w:cs="Times New Roman"/>
    </w:rPr>
  </w:style>
  <w:style w:type="paragraph" w:styleId="ListParagraph">
    <w:name w:val="List Paragraph"/>
    <w:basedOn w:val="Normal"/>
    <w:uiPriority w:val="99"/>
    <w:qFormat/>
    <w:rsid w:val="0092435D"/>
    <w:pPr>
      <w:ind w:left="720"/>
      <w:contextualSpacing/>
    </w:pPr>
  </w:style>
  <w:style w:type="character" w:styleId="CommentReference">
    <w:name w:val="annotation reference"/>
    <w:basedOn w:val="DefaultParagraphFont"/>
    <w:uiPriority w:val="99"/>
    <w:semiHidden/>
    <w:rsid w:val="005B3DC1"/>
    <w:rPr>
      <w:rFonts w:cs="Times New Roman"/>
      <w:sz w:val="16"/>
      <w:szCs w:val="16"/>
    </w:rPr>
  </w:style>
  <w:style w:type="paragraph" w:styleId="CommentText">
    <w:name w:val="annotation text"/>
    <w:basedOn w:val="Normal"/>
    <w:link w:val="CommentTextChar"/>
    <w:uiPriority w:val="99"/>
    <w:semiHidden/>
    <w:rsid w:val="005B3DC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B3DC1"/>
    <w:rPr>
      <w:rFonts w:cs="Times New Roman"/>
      <w:sz w:val="20"/>
      <w:szCs w:val="20"/>
    </w:rPr>
  </w:style>
  <w:style w:type="paragraph" w:styleId="CommentSubject">
    <w:name w:val="annotation subject"/>
    <w:basedOn w:val="CommentText"/>
    <w:next w:val="CommentText"/>
    <w:link w:val="CommentSubjectChar"/>
    <w:uiPriority w:val="99"/>
    <w:semiHidden/>
    <w:rsid w:val="005B3DC1"/>
    <w:rPr>
      <w:b/>
      <w:bCs/>
    </w:rPr>
  </w:style>
  <w:style w:type="character" w:customStyle="1" w:styleId="CommentSubjectChar">
    <w:name w:val="Comment Subject Char"/>
    <w:basedOn w:val="CommentTextChar"/>
    <w:link w:val="CommentSubject"/>
    <w:uiPriority w:val="99"/>
    <w:semiHidden/>
    <w:locked/>
    <w:rsid w:val="005B3DC1"/>
    <w:rPr>
      <w:rFonts w:cs="Times New Roman"/>
      <w:b/>
      <w:bCs/>
      <w:sz w:val="20"/>
      <w:szCs w:val="20"/>
    </w:rPr>
  </w:style>
  <w:style w:type="character" w:styleId="Hyperlink">
    <w:name w:val="Hyperlink"/>
    <w:basedOn w:val="DefaultParagraphFont"/>
    <w:uiPriority w:val="99"/>
    <w:rsid w:val="00CA0103"/>
    <w:rPr>
      <w:rFonts w:cs="Times New Roman"/>
      <w:color w:val="0000FF"/>
      <w:u w:val="single"/>
    </w:rPr>
  </w:style>
  <w:style w:type="character" w:styleId="FollowedHyperlink">
    <w:name w:val="FollowedHyperlink"/>
    <w:basedOn w:val="DefaultParagraphFont"/>
    <w:uiPriority w:val="99"/>
    <w:rsid w:val="007533BD"/>
    <w:rPr>
      <w:rFonts w:cs="Times New Roman"/>
      <w:color w:val="800080"/>
      <w:u w:val="single"/>
    </w:rPr>
  </w:style>
  <w:style w:type="paragraph" w:styleId="Revision">
    <w:name w:val="Revision"/>
    <w:hidden/>
    <w:uiPriority w:val="99"/>
    <w:semiHidden/>
    <w:rsid w:val="005808C2"/>
    <w:rPr>
      <w:lang w:val="sv-SE" w:eastAsia="en-US"/>
    </w:rPr>
  </w:style>
  <w:style w:type="paragraph" w:customStyle="1" w:styleId="Default">
    <w:name w:val="Default"/>
    <w:rsid w:val="00F3738D"/>
    <w:pPr>
      <w:autoSpaceDE w:val="0"/>
      <w:autoSpaceDN w:val="0"/>
      <w:adjustRightInd w:val="0"/>
    </w:pPr>
    <w:rPr>
      <w:rFonts w:ascii="Times New Roman" w:hAnsi="Times New Roman"/>
      <w:color w:val="000000"/>
      <w:sz w:val="24"/>
      <w:szCs w:val="24"/>
      <w:lang w:val="sv-SE"/>
    </w:rPr>
  </w:style>
  <w:style w:type="table" w:customStyle="1" w:styleId="TableGrid4">
    <w:name w:val="Table Grid4"/>
    <w:basedOn w:val="TableNormal"/>
    <w:next w:val="TableGrid"/>
    <w:uiPriority w:val="39"/>
    <w:rsid w:val="00E9559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85EC4"/>
    <w:rPr>
      <w:color w:val="605E5C"/>
      <w:shd w:val="clear" w:color="auto" w:fill="E1DFDD"/>
    </w:rPr>
  </w:style>
  <w:style w:type="character" w:styleId="UnresolvedMention">
    <w:name w:val="Unresolved Mention"/>
    <w:basedOn w:val="DefaultParagraphFont"/>
    <w:uiPriority w:val="99"/>
    <w:semiHidden/>
    <w:unhideWhenUsed/>
    <w:rsid w:val="00851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662">
      <w:bodyDiv w:val="1"/>
      <w:marLeft w:val="0"/>
      <w:marRight w:val="0"/>
      <w:marTop w:val="0"/>
      <w:marBottom w:val="0"/>
      <w:divBdr>
        <w:top w:val="none" w:sz="0" w:space="0" w:color="auto"/>
        <w:left w:val="none" w:sz="0" w:space="0" w:color="auto"/>
        <w:bottom w:val="none" w:sz="0" w:space="0" w:color="auto"/>
        <w:right w:val="none" w:sz="0" w:space="0" w:color="auto"/>
      </w:divBdr>
    </w:div>
    <w:div w:id="87049164">
      <w:marLeft w:val="0"/>
      <w:marRight w:val="0"/>
      <w:marTop w:val="0"/>
      <w:marBottom w:val="0"/>
      <w:divBdr>
        <w:top w:val="none" w:sz="0" w:space="0" w:color="auto"/>
        <w:left w:val="none" w:sz="0" w:space="0" w:color="auto"/>
        <w:bottom w:val="none" w:sz="0" w:space="0" w:color="auto"/>
        <w:right w:val="none" w:sz="0" w:space="0" w:color="auto"/>
      </w:divBdr>
      <w:divsChild>
        <w:div w:id="87049166">
          <w:marLeft w:val="0"/>
          <w:marRight w:val="0"/>
          <w:marTop w:val="0"/>
          <w:marBottom w:val="0"/>
          <w:divBdr>
            <w:top w:val="none" w:sz="0" w:space="0" w:color="auto"/>
            <w:left w:val="none" w:sz="0" w:space="0" w:color="auto"/>
            <w:bottom w:val="none" w:sz="0" w:space="0" w:color="auto"/>
            <w:right w:val="none" w:sz="0" w:space="0" w:color="auto"/>
          </w:divBdr>
          <w:divsChild>
            <w:div w:id="87049167">
              <w:marLeft w:val="0"/>
              <w:marRight w:val="0"/>
              <w:marTop w:val="0"/>
              <w:marBottom w:val="0"/>
              <w:divBdr>
                <w:top w:val="none" w:sz="0" w:space="0" w:color="auto"/>
                <w:left w:val="none" w:sz="0" w:space="0" w:color="auto"/>
                <w:bottom w:val="none" w:sz="0" w:space="0" w:color="auto"/>
                <w:right w:val="none" w:sz="0" w:space="0" w:color="auto"/>
              </w:divBdr>
              <w:divsChild>
                <w:div w:id="87049163">
                  <w:marLeft w:val="0"/>
                  <w:marRight w:val="0"/>
                  <w:marTop w:val="0"/>
                  <w:marBottom w:val="0"/>
                  <w:divBdr>
                    <w:top w:val="none" w:sz="0" w:space="0" w:color="auto"/>
                    <w:left w:val="none" w:sz="0" w:space="0" w:color="auto"/>
                    <w:bottom w:val="none" w:sz="0" w:space="0" w:color="auto"/>
                    <w:right w:val="none" w:sz="0" w:space="0" w:color="auto"/>
                  </w:divBdr>
                </w:div>
                <w:div w:id="870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j.pontefract@shef.ac.uk" TargetMode="External"/><Relationship Id="rId13" Type="http://schemas.openxmlformats.org/officeDocument/2006/relationships/hyperlink" Target="http://www.ace-hta.gov.sg/our-guidance/osteoporosis-identification-and-management-in-primary-car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ef.ac.uk/FRAX/pdfs/WHO_Technical_Repor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EFEA-710F-4EAB-BFDC-69FFED7F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6287</Words>
  <Characters>35837</Characters>
  <Application>Microsoft Office Word</Application>
  <DocSecurity>0</DocSecurity>
  <Lines>298</Lines>
  <Paragraphs>84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FRAX based probabilities in a study of male osteoporosis</vt:lpstr>
      <vt:lpstr>FRAX based probabilities in a study of male osteoporosis</vt:lpstr>
    </vt:vector>
  </TitlesOfParts>
  <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FRAX based probabilities in a study of male osteoporosis</dc:title>
  <dc:subject/>
  <dc:creator>helena</dc:creator>
  <cp:keywords/>
  <dc:description/>
  <cp:lastModifiedBy>Drake K.A.</cp:lastModifiedBy>
  <cp:revision>2</cp:revision>
  <cp:lastPrinted>2020-03-17T11:36:00Z</cp:lastPrinted>
  <dcterms:created xsi:type="dcterms:W3CDTF">2020-08-03T11:28:00Z</dcterms:created>
  <dcterms:modified xsi:type="dcterms:W3CDTF">2020-08-03T11:28:00Z</dcterms:modified>
</cp:coreProperties>
</file>